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4"/>
        <w:ind w:left="0"/>
        <w:rPr>
          <w:rFonts w:ascii="Times New Roman"/>
          <w:sz w:val="14"/>
        </w:rPr>
      </w:pPr>
    </w:p>
    <w:p>
      <w:pPr>
        <w:pStyle w:val="BodyText"/>
        <w:spacing w:line="240" w:lineRule="auto"/>
        <w:ind w:left="100"/>
        <w:rPr>
          <w:rFonts w:ascii="Times New Roman"/>
          <w:sz w:val="20"/>
        </w:rPr>
      </w:pPr>
      <w:r>
        <w:rPr>
          <w:rFonts w:ascii="Times New Roman"/>
          <w:sz w:val="20"/>
        </w:rPr>
        <w:drawing>
          <wp:inline distT="0" distB="0" distL="0" distR="0">
            <wp:extent cx="1179725" cy="3866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79725" cy="386619"/>
                    </a:xfrm>
                    <a:prstGeom prst="rect">
                      <a:avLst/>
                    </a:prstGeom>
                  </pic:spPr>
                </pic:pic>
              </a:graphicData>
            </a:graphic>
          </wp:inline>
        </w:drawing>
      </w:r>
      <w:r>
        <w:rPr>
          <w:rFonts w:ascii="Times New Roman"/>
          <w:sz w:val="20"/>
        </w:rPr>
      </w:r>
    </w:p>
    <w:p>
      <w:pPr>
        <w:pStyle w:val="BodyText"/>
        <w:spacing w:line="240" w:lineRule="auto" w:before="9"/>
        <w:ind w:left="0"/>
        <w:rPr>
          <w:rFonts w:ascii="Times New Roman"/>
          <w:sz w:val="8"/>
        </w:rPr>
      </w:pPr>
    </w:p>
    <w:p>
      <w:pPr>
        <w:spacing w:line="254" w:lineRule="exact" w:before="38"/>
        <w:ind w:left="8829" w:right="0" w:firstLine="0"/>
        <w:jc w:val="left"/>
        <w:rPr>
          <w:sz w:val="20"/>
        </w:rPr>
      </w:pPr>
      <w:r>
        <w:rPr/>
        <w:drawing>
          <wp:anchor distT="0" distB="0" distL="0" distR="0" allowOverlap="1" layoutInCell="1" locked="0" behindDoc="0" simplePos="0" relativeHeight="1048">
            <wp:simplePos x="0" y="0"/>
            <wp:positionH relativeFrom="page">
              <wp:posOffset>6295644</wp:posOffset>
            </wp:positionH>
            <wp:positionV relativeFrom="paragraph">
              <wp:posOffset>-551437</wp:posOffset>
            </wp:positionV>
            <wp:extent cx="723900"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w w:val="99"/>
          <w:sz w:val="20"/>
        </w:rPr>
        <w:t> </w:t>
      </w:r>
    </w:p>
    <w:p>
      <w:pPr>
        <w:spacing w:line="182" w:lineRule="auto" w:before="55"/>
        <w:ind w:left="8155" w:right="285" w:hanging="802"/>
        <w:jc w:val="right"/>
        <w:rPr>
          <w:sz w:val="20"/>
        </w:rPr>
      </w:pPr>
      <w:r>
        <w:rPr>
          <w:sz w:val="20"/>
        </w:rPr>
        <w:t>嘉禾人寿[2009]疾病保险 077 号</w:t>
      </w:r>
      <w:r>
        <w:rPr>
          <w:w w:val="99"/>
          <w:sz w:val="20"/>
        </w:rPr>
        <w:t> </w:t>
      </w:r>
      <w:r>
        <w:rPr>
          <w:w w:val="95"/>
          <w:sz w:val="20"/>
        </w:rPr>
        <w:t>请扫描以查询验证条款 </w:t>
      </w:r>
    </w:p>
    <w:p>
      <w:pPr>
        <w:pStyle w:val="Heading1"/>
        <w:spacing w:line="516" w:lineRule="exact"/>
        <w:ind w:left="2616"/>
      </w:pPr>
      <w:r>
        <w:rPr>
          <w:w w:val="95"/>
        </w:rPr>
        <w:t>嘉禾附加万事兴重大疾病保险条款</w:t>
      </w:r>
    </w:p>
    <w:p>
      <w:pPr>
        <w:spacing w:before="71"/>
        <w:ind w:left="1916" w:right="1786"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40" w:lineRule="auto" w:before="110"/>
        <w:ind w:left="2024" w:right="1786"/>
        <w:jc w:val="center"/>
      </w:pPr>
      <w:r>
        <w:rPr/>
        <w:drawing>
          <wp:anchor distT="0" distB="0" distL="0" distR="0" allowOverlap="1" layoutInCell="1" locked="0" behindDoc="1" simplePos="0" relativeHeight="268349927">
            <wp:simplePos x="0" y="0"/>
            <wp:positionH relativeFrom="page">
              <wp:posOffset>723900</wp:posOffset>
            </wp:positionH>
            <wp:positionV relativeFrom="paragraph">
              <wp:posOffset>317038</wp:posOffset>
            </wp:positionV>
            <wp:extent cx="6470904" cy="72009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470904" cy="720090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3"/>
        <w:tabs>
          <w:tab w:pos="1389" w:val="left" w:leader="none"/>
        </w:tabs>
        <w:spacing w:line="240" w:lineRule="auto" w:before="84"/>
        <w:ind w:left="381"/>
        <w:jc w:val="left"/>
      </w:pPr>
      <w:r>
        <w:rPr>
          <w:rFonts w:ascii="Times New Roman" w:eastAsia="Times New Roman"/>
          <w:position w:val="-11"/>
          <w:sz w:val="52"/>
        </w:rPr>
        <w:t>C</w:t>
        <w:tab/>
      </w:r>
      <w:r>
        <w:rPr>
          <w:spacing w:val="-1"/>
        </w:rPr>
        <w:t>您拥有的重要权益</w:t>
      </w:r>
    </w:p>
    <w:p>
      <w:pPr>
        <w:pStyle w:val="ListParagraph"/>
        <w:numPr>
          <w:ilvl w:val="0"/>
          <w:numId w:val="1"/>
        </w:numPr>
        <w:tabs>
          <w:tab w:pos="1771" w:val="left" w:leader="none"/>
          <w:tab w:pos="1772" w:val="left" w:leader="none"/>
        </w:tabs>
        <w:spacing w:line="285" w:lineRule="exact" w:before="14" w:after="0"/>
        <w:ind w:left="1771" w:right="0" w:hanging="423"/>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即犹豫期）内您若要求退保，您不会遭受损失</w:t>
      </w:r>
      <w:r>
        <w:rPr>
          <w:sz w:val="21"/>
        </w:rPr>
        <w:t>………1.4</w:t>
      </w:r>
    </w:p>
    <w:p>
      <w:pPr>
        <w:pStyle w:val="ListParagraph"/>
        <w:numPr>
          <w:ilvl w:val="0"/>
          <w:numId w:val="1"/>
        </w:numPr>
        <w:tabs>
          <w:tab w:pos="1771" w:val="left" w:leader="none"/>
          <w:tab w:pos="1772" w:val="left" w:leader="none"/>
          <w:tab w:pos="9962" w:val="right" w:leader="dot"/>
        </w:tabs>
        <w:spacing w:line="280" w:lineRule="exact" w:before="0" w:after="0"/>
        <w:ind w:left="1771" w:right="0" w:hanging="423"/>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2.4</w:t>
      </w:r>
    </w:p>
    <w:p>
      <w:pPr>
        <w:pStyle w:val="ListParagraph"/>
        <w:numPr>
          <w:ilvl w:val="0"/>
          <w:numId w:val="1"/>
        </w:numPr>
        <w:tabs>
          <w:tab w:pos="1771" w:val="left" w:leader="none"/>
          <w:tab w:pos="1772" w:val="left" w:leader="none"/>
          <w:tab w:pos="9755" w:val="right" w:leader="dot"/>
        </w:tabs>
        <w:spacing w:line="284" w:lineRule="exact" w:before="0" w:after="0"/>
        <w:ind w:left="1771" w:right="0" w:hanging="423"/>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3"/>
        <w:tabs>
          <w:tab w:pos="1389" w:val="left" w:leader="none"/>
        </w:tabs>
        <w:spacing w:line="240" w:lineRule="auto" w:before="3"/>
        <w:ind w:left="381"/>
        <w:jc w:val="left"/>
      </w:pPr>
      <w:r>
        <w:rPr>
          <w:rFonts w:ascii="Times New Roman" w:eastAsia="Times New Roman"/>
          <w:position w:val="-11"/>
          <w:sz w:val="52"/>
        </w:rPr>
        <w:t>C</w:t>
        <w:tab/>
      </w:r>
      <w:r>
        <w:rPr>
          <w:spacing w:val="-1"/>
        </w:rPr>
        <w:t>您应当特别注意的事项</w:t>
      </w:r>
    </w:p>
    <w:p>
      <w:pPr>
        <w:pStyle w:val="ListParagraph"/>
        <w:numPr>
          <w:ilvl w:val="0"/>
          <w:numId w:val="2"/>
        </w:numPr>
        <w:tabs>
          <w:tab w:pos="1771" w:val="left" w:leader="none"/>
          <w:tab w:pos="1772" w:val="left" w:leader="none"/>
          <w:tab w:pos="9962" w:val="right" w:leader="dot"/>
        </w:tabs>
        <w:spacing w:line="285" w:lineRule="exact" w:before="14" w:after="0"/>
        <w:ind w:left="1771" w:right="0" w:hanging="423"/>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2.5</w:t>
      </w:r>
    </w:p>
    <w:p>
      <w:pPr>
        <w:pStyle w:val="ListParagraph"/>
        <w:numPr>
          <w:ilvl w:val="0"/>
          <w:numId w:val="2"/>
        </w:numPr>
        <w:tabs>
          <w:tab w:pos="1771" w:val="left" w:leader="none"/>
          <w:tab w:pos="1772" w:val="left" w:leader="none"/>
          <w:tab w:pos="9962" w:val="right" w:leader="dot"/>
        </w:tabs>
        <w:spacing w:line="280" w:lineRule="exact" w:before="0" w:after="0"/>
        <w:ind w:left="1771" w:right="0" w:hanging="423"/>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771" w:val="left" w:leader="none"/>
          <w:tab w:pos="1772" w:val="left" w:leader="none"/>
          <w:tab w:pos="9755" w:val="right" w:leader="dot"/>
        </w:tabs>
        <w:spacing w:line="280" w:lineRule="exact" w:before="0" w:after="0"/>
        <w:ind w:left="1771" w:right="0" w:hanging="423"/>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771" w:val="left" w:leader="none"/>
          <w:tab w:pos="1772" w:val="left" w:leader="none"/>
          <w:tab w:pos="9962" w:val="right" w:leader="dot"/>
        </w:tabs>
        <w:spacing w:line="281" w:lineRule="exact" w:before="0" w:after="0"/>
        <w:ind w:left="1771" w:right="0" w:hanging="423"/>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771" w:val="left" w:leader="none"/>
          <w:tab w:pos="1772" w:val="left" w:leader="none"/>
          <w:tab w:pos="9962" w:val="right" w:leader="dot"/>
        </w:tabs>
        <w:spacing w:line="280" w:lineRule="exact" w:before="0" w:after="0"/>
        <w:ind w:left="1771" w:right="0" w:hanging="423"/>
        <w:jc w:val="left"/>
        <w:rPr>
          <w:sz w:val="21"/>
        </w:rPr>
      </w:pPr>
      <w:r>
        <w:rPr>
          <w:rFonts w:ascii="仿宋" w:eastAsia="仿宋" w:hint="eastAsia"/>
          <w:sz w:val="21"/>
        </w:rPr>
        <w:t>主险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的</w:t>
      </w:r>
      <w:r>
        <w:rPr>
          <w:rFonts w:ascii="仿宋" w:eastAsia="仿宋" w:hint="eastAsia"/>
          <w:sz w:val="21"/>
        </w:rPr>
        <w:t>某</w:t>
      </w:r>
      <w:r>
        <w:rPr>
          <w:rFonts w:ascii="仿宋" w:eastAsia="仿宋" w:hint="eastAsia"/>
          <w:spacing w:val="-3"/>
          <w:sz w:val="21"/>
        </w:rPr>
        <w:t>些</w:t>
      </w:r>
      <w:r>
        <w:rPr>
          <w:rFonts w:ascii="仿宋" w:eastAsia="仿宋" w:hint="eastAsia"/>
          <w:sz w:val="21"/>
        </w:rPr>
        <w:t>变</w:t>
      </w:r>
      <w:r>
        <w:rPr>
          <w:rFonts w:ascii="仿宋" w:eastAsia="仿宋" w:hint="eastAsia"/>
          <w:spacing w:val="-3"/>
          <w:sz w:val="21"/>
        </w:rPr>
        <w:t>动</w:t>
      </w:r>
      <w:r>
        <w:rPr>
          <w:rFonts w:ascii="仿宋" w:eastAsia="仿宋" w:hint="eastAsia"/>
          <w:sz w:val="21"/>
        </w:rPr>
        <w:t>会</w:t>
      </w:r>
      <w:r>
        <w:rPr>
          <w:rFonts w:ascii="仿宋" w:eastAsia="仿宋" w:hint="eastAsia"/>
          <w:spacing w:val="-3"/>
          <w:sz w:val="21"/>
        </w:rPr>
        <w:t>导</w:t>
      </w:r>
      <w:r>
        <w:rPr>
          <w:rFonts w:ascii="仿宋" w:eastAsia="仿宋" w:hint="eastAsia"/>
          <w:sz w:val="21"/>
        </w:rPr>
        <w:t>致本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w:t>
      </w:r>
      <w:r>
        <w:rPr>
          <w:rFonts w:ascii="仿宋" w:eastAsia="仿宋" w:hint="eastAsia"/>
          <w:spacing w:val="-3"/>
          <w:sz w:val="21"/>
        </w:rPr>
        <w:t>力</w:t>
      </w:r>
      <w:r>
        <w:rPr>
          <w:rFonts w:ascii="仿宋" w:eastAsia="仿宋" w:hint="eastAsia"/>
          <w:sz w:val="21"/>
        </w:rPr>
        <w:t>终止</w:t>
        <w:tab/>
      </w:r>
      <w:r>
        <w:rPr>
          <w:sz w:val="21"/>
        </w:rPr>
        <w:t>9.5</w:t>
      </w:r>
    </w:p>
    <w:p>
      <w:pPr>
        <w:pStyle w:val="ListParagraph"/>
        <w:numPr>
          <w:ilvl w:val="0"/>
          <w:numId w:val="2"/>
        </w:numPr>
        <w:tabs>
          <w:tab w:pos="1771" w:val="left" w:leader="none"/>
          <w:tab w:pos="1772" w:val="left" w:leader="none"/>
        </w:tabs>
        <w:spacing w:line="280" w:lineRule="exact" w:before="0" w:after="0"/>
        <w:ind w:left="1771" w:right="0" w:hanging="423"/>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771" w:val="left" w:leader="none"/>
          <w:tab w:pos="1772" w:val="left" w:leader="none"/>
          <w:tab w:pos="10070" w:val="right" w:leader="dot"/>
        </w:tabs>
        <w:spacing w:line="285" w:lineRule="exact" w:before="0" w:after="0"/>
        <w:ind w:left="1771" w:right="0" w:hanging="423"/>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10.5</w:t>
      </w:r>
    </w:p>
    <w:p>
      <w:pPr>
        <w:pStyle w:val="Heading3"/>
        <w:tabs>
          <w:tab w:pos="1389" w:val="left" w:leader="none"/>
        </w:tabs>
        <w:spacing w:line="240" w:lineRule="auto" w:before="3"/>
        <w:ind w:left="381"/>
        <w:jc w:val="left"/>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389" w:val="left" w:leader="none"/>
        </w:tabs>
        <w:spacing w:before="26" w:after="41"/>
        <w:ind w:left="381" w:right="0" w:firstLine="0"/>
        <w:jc w:val="left"/>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tbl>
      <w:tblPr>
        <w:tblW w:w="0" w:type="auto"/>
        <w:jc w:val="left"/>
        <w:tblInd w:w="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5"/>
        <w:gridCol w:w="3259"/>
        <w:gridCol w:w="756"/>
        <w:gridCol w:w="2485"/>
      </w:tblGrid>
      <w:tr>
        <w:trPr>
          <w:trHeight w:val="460" w:hRule="atLeast"/>
        </w:trPr>
        <w:tc>
          <w:tcPr>
            <w:tcW w:w="2555" w:type="dxa"/>
            <w:tcBorders>
              <w:top w:val="single" w:sz="4" w:space="0" w:color="000000"/>
              <w:left w:val="single" w:sz="4" w:space="0" w:color="000000"/>
            </w:tcBorders>
          </w:tcPr>
          <w:p>
            <w:pPr>
              <w:pStyle w:val="TableParagraph"/>
              <w:spacing w:before="67"/>
              <w:ind w:left="110"/>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259" w:type="dxa"/>
            <w:tcBorders>
              <w:top w:val="single" w:sz="4" w:space="0" w:color="000000"/>
            </w:tcBorders>
          </w:tcPr>
          <w:p>
            <w:pPr>
              <w:pStyle w:val="TableParagraph"/>
              <w:spacing w:before="67"/>
              <w:ind w:left="135"/>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tc>
        <w:tc>
          <w:tcPr>
            <w:tcW w:w="756" w:type="dxa"/>
            <w:tcBorders>
              <w:top w:val="single" w:sz="4" w:space="0" w:color="000000"/>
            </w:tcBorders>
          </w:tcPr>
          <w:p>
            <w:pPr>
              <w:pStyle w:val="TableParagraph"/>
              <w:spacing w:before="133"/>
              <w:ind w:left="188"/>
              <w:rPr>
                <w:rFonts w:ascii="仿宋"/>
                <w:sz w:val="21"/>
              </w:rPr>
            </w:pPr>
            <w:r>
              <w:rPr>
                <w:rFonts w:ascii="仿宋"/>
                <w:sz w:val="21"/>
              </w:rPr>
              <w:t>10.3</w:t>
            </w:r>
          </w:p>
        </w:tc>
        <w:tc>
          <w:tcPr>
            <w:tcW w:w="2485" w:type="dxa"/>
            <w:tcBorders>
              <w:top w:val="single" w:sz="4" w:space="0" w:color="000000"/>
              <w:right w:val="single" w:sz="4" w:space="0" w:color="000000"/>
            </w:tcBorders>
          </w:tcPr>
          <w:p>
            <w:pPr>
              <w:pStyle w:val="TableParagraph"/>
              <w:spacing w:before="133"/>
              <w:ind w:left="63"/>
              <w:rPr>
                <w:rFonts w:ascii="仿宋" w:eastAsia="仿宋" w:hint="eastAsia"/>
                <w:sz w:val="21"/>
              </w:rPr>
            </w:pPr>
            <w:r>
              <w:rPr>
                <w:rFonts w:ascii="仿宋" w:eastAsia="仿宋" w:hint="eastAsia"/>
                <w:sz w:val="21"/>
              </w:rPr>
              <w:t>万能账户</w:t>
            </w:r>
          </w:p>
        </w:tc>
      </w:tr>
      <w:tr>
        <w:trPr>
          <w:trHeight w:val="262" w:hRule="atLeast"/>
        </w:trPr>
        <w:tc>
          <w:tcPr>
            <w:tcW w:w="2555" w:type="dxa"/>
            <w:tcBorders>
              <w:left w:val="single" w:sz="4" w:space="0" w:color="000000"/>
            </w:tcBorders>
          </w:tcPr>
          <w:p>
            <w:pPr>
              <w:pStyle w:val="TableParagraph"/>
              <w:spacing w:line="229" w:lineRule="exact"/>
              <w:ind w:left="321"/>
              <w:rPr>
                <w:rFonts w:ascii="仿宋" w:eastAsia="仿宋" w:hint="eastAsia"/>
                <w:sz w:val="21"/>
              </w:rPr>
            </w:pPr>
            <w:r>
              <w:rPr>
                <w:rFonts w:ascii="仿宋" w:eastAsia="仿宋" w:hint="eastAsia"/>
                <w:sz w:val="21"/>
              </w:rPr>
              <w:t>1.1 合同构成</w:t>
            </w:r>
          </w:p>
        </w:tc>
        <w:tc>
          <w:tcPr>
            <w:tcW w:w="3259" w:type="dxa"/>
          </w:tcPr>
          <w:p>
            <w:pPr>
              <w:pStyle w:val="TableParagraph"/>
              <w:spacing w:line="229" w:lineRule="exact"/>
              <w:ind w:left="346"/>
              <w:rPr>
                <w:rFonts w:ascii="仿宋" w:eastAsia="仿宋" w:hint="eastAsia"/>
                <w:sz w:val="21"/>
              </w:rPr>
            </w:pPr>
            <w:r>
              <w:rPr>
                <w:rFonts w:ascii="仿宋" w:eastAsia="仿宋" w:hint="eastAsia"/>
                <w:sz w:val="21"/>
              </w:rPr>
              <w:t>现金价值</w:t>
            </w:r>
          </w:p>
        </w:tc>
        <w:tc>
          <w:tcPr>
            <w:tcW w:w="756" w:type="dxa"/>
          </w:tcPr>
          <w:p>
            <w:pPr>
              <w:pStyle w:val="TableParagraph"/>
              <w:spacing w:line="229" w:lineRule="exact"/>
              <w:ind w:left="188"/>
              <w:rPr>
                <w:rFonts w:ascii="仿宋"/>
                <w:sz w:val="21"/>
              </w:rPr>
            </w:pPr>
            <w:r>
              <w:rPr>
                <w:rFonts w:ascii="仿宋"/>
                <w:sz w:val="21"/>
              </w:rPr>
              <w:t>10.4</w:t>
            </w:r>
          </w:p>
        </w:tc>
        <w:tc>
          <w:tcPr>
            <w:tcW w:w="2485" w:type="dxa"/>
            <w:tcBorders>
              <w:right w:val="single" w:sz="4" w:space="0" w:color="000000"/>
            </w:tcBorders>
          </w:tcPr>
          <w:p>
            <w:pPr>
              <w:pStyle w:val="TableParagraph"/>
              <w:spacing w:line="229" w:lineRule="exact"/>
              <w:ind w:left="63"/>
              <w:rPr>
                <w:rFonts w:ascii="仿宋" w:eastAsia="仿宋" w:hint="eastAsia"/>
                <w:sz w:val="21"/>
              </w:rPr>
            </w:pPr>
            <w:r>
              <w:rPr>
                <w:rFonts w:ascii="仿宋" w:eastAsia="仿宋" w:hint="eastAsia"/>
                <w:sz w:val="21"/>
              </w:rPr>
              <w:t>医疗机构</w:t>
            </w:r>
          </w:p>
        </w:tc>
      </w:tr>
      <w:tr>
        <w:trPr>
          <w:trHeight w:val="296" w:hRule="atLeast"/>
        </w:trPr>
        <w:tc>
          <w:tcPr>
            <w:tcW w:w="2555" w:type="dxa"/>
            <w:tcBorders>
              <w:left w:val="single" w:sz="4" w:space="0" w:color="000000"/>
            </w:tcBorders>
          </w:tcPr>
          <w:p>
            <w:pPr>
              <w:pStyle w:val="TableParagraph"/>
              <w:spacing w:line="245" w:lineRule="exact"/>
              <w:ind w:left="321"/>
              <w:rPr>
                <w:rFonts w:ascii="仿宋" w:eastAsia="仿宋" w:hint="eastAsia"/>
                <w:sz w:val="21"/>
              </w:rPr>
            </w:pPr>
            <w:r>
              <w:rPr>
                <w:rFonts w:ascii="仿宋" w:eastAsia="仿宋" w:hint="eastAsia"/>
                <w:sz w:val="21"/>
              </w:rPr>
              <w:t>1.2 合同成立与生效</w:t>
            </w:r>
          </w:p>
        </w:tc>
        <w:tc>
          <w:tcPr>
            <w:tcW w:w="3259" w:type="dxa"/>
          </w:tcPr>
          <w:p>
            <w:pPr>
              <w:pStyle w:val="TableParagraph"/>
              <w:spacing w:line="269" w:lineRule="exact"/>
              <w:ind w:left="135"/>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56" w:type="dxa"/>
          </w:tcPr>
          <w:p>
            <w:pPr>
              <w:pStyle w:val="TableParagraph"/>
              <w:spacing w:line="245" w:lineRule="exact"/>
              <w:ind w:left="188"/>
              <w:rPr>
                <w:rFonts w:ascii="仿宋"/>
                <w:sz w:val="21"/>
              </w:rPr>
            </w:pPr>
            <w:r>
              <w:rPr>
                <w:rFonts w:ascii="仿宋"/>
                <w:sz w:val="21"/>
              </w:rPr>
              <w:t>10.5</w:t>
            </w:r>
          </w:p>
        </w:tc>
        <w:tc>
          <w:tcPr>
            <w:tcW w:w="2485" w:type="dxa"/>
            <w:tcBorders>
              <w:right w:val="single" w:sz="4" w:space="0" w:color="000000"/>
            </w:tcBorders>
          </w:tcPr>
          <w:p>
            <w:pPr>
              <w:pStyle w:val="TableParagraph"/>
              <w:spacing w:line="245" w:lineRule="exact"/>
              <w:ind w:left="63"/>
              <w:rPr>
                <w:rFonts w:ascii="仿宋" w:eastAsia="仿宋" w:hint="eastAsia"/>
                <w:sz w:val="21"/>
              </w:rPr>
            </w:pPr>
            <w:r>
              <w:rPr>
                <w:rFonts w:ascii="仿宋" w:eastAsia="仿宋" w:hint="eastAsia"/>
                <w:sz w:val="21"/>
              </w:rPr>
              <w:t>重大疾病</w:t>
            </w:r>
          </w:p>
        </w:tc>
      </w:tr>
      <w:tr>
        <w:trPr>
          <w:trHeight w:val="263" w:hRule="atLeast"/>
        </w:trPr>
        <w:tc>
          <w:tcPr>
            <w:tcW w:w="2555" w:type="dxa"/>
            <w:tcBorders>
              <w:left w:val="single" w:sz="4" w:space="0" w:color="000000"/>
            </w:tcBorders>
          </w:tcPr>
          <w:p>
            <w:pPr>
              <w:pStyle w:val="TableParagraph"/>
              <w:spacing w:line="229" w:lineRule="exact"/>
              <w:ind w:left="321"/>
              <w:rPr>
                <w:rFonts w:ascii="仿宋" w:eastAsia="仿宋" w:hint="eastAsia"/>
                <w:sz w:val="21"/>
              </w:rPr>
            </w:pPr>
            <w:r>
              <w:rPr>
                <w:rFonts w:ascii="仿宋" w:eastAsia="仿宋" w:hint="eastAsia"/>
                <w:sz w:val="21"/>
              </w:rPr>
              <w:t>1.3 投保年龄</w:t>
            </w:r>
          </w:p>
        </w:tc>
        <w:tc>
          <w:tcPr>
            <w:tcW w:w="3259" w:type="dxa"/>
          </w:tcPr>
          <w:p>
            <w:pPr>
              <w:pStyle w:val="TableParagraph"/>
              <w:spacing w:line="229" w:lineRule="exact"/>
              <w:ind w:left="346"/>
              <w:rPr>
                <w:rFonts w:ascii="仿宋" w:eastAsia="仿宋" w:hint="eastAsia"/>
                <w:sz w:val="21"/>
              </w:rPr>
            </w:pPr>
            <w:r>
              <w:rPr>
                <w:rFonts w:ascii="仿宋" w:eastAsia="仿宋" w:hint="eastAsia"/>
                <w:sz w:val="21"/>
              </w:rPr>
              <w:t>6.1 效力中止</w:t>
            </w:r>
          </w:p>
        </w:tc>
        <w:tc>
          <w:tcPr>
            <w:tcW w:w="756" w:type="dxa"/>
          </w:tcPr>
          <w:p>
            <w:pPr>
              <w:pStyle w:val="TableParagraph"/>
              <w:spacing w:line="229" w:lineRule="exact"/>
              <w:ind w:left="188"/>
              <w:rPr>
                <w:rFonts w:ascii="仿宋"/>
                <w:sz w:val="21"/>
              </w:rPr>
            </w:pPr>
            <w:r>
              <w:rPr>
                <w:rFonts w:ascii="仿宋"/>
                <w:sz w:val="21"/>
              </w:rPr>
              <w:t>10.6</w:t>
            </w:r>
          </w:p>
        </w:tc>
        <w:tc>
          <w:tcPr>
            <w:tcW w:w="2485" w:type="dxa"/>
            <w:tcBorders>
              <w:right w:val="single" w:sz="4" w:space="0" w:color="000000"/>
            </w:tcBorders>
          </w:tcPr>
          <w:p>
            <w:pPr>
              <w:pStyle w:val="TableParagraph"/>
              <w:spacing w:line="229" w:lineRule="exact"/>
              <w:ind w:left="63"/>
              <w:rPr>
                <w:rFonts w:ascii="仿宋" w:eastAsia="仿宋" w:hint="eastAsia"/>
                <w:sz w:val="21"/>
              </w:rPr>
            </w:pPr>
            <w:r>
              <w:rPr>
                <w:rFonts w:ascii="仿宋" w:eastAsia="仿宋" w:hint="eastAsia"/>
                <w:sz w:val="21"/>
              </w:rPr>
              <w:t>毒品</w:t>
            </w:r>
          </w:p>
        </w:tc>
      </w:tr>
      <w:tr>
        <w:trPr>
          <w:trHeight w:val="279" w:hRule="atLeast"/>
        </w:trPr>
        <w:tc>
          <w:tcPr>
            <w:tcW w:w="2555" w:type="dxa"/>
            <w:tcBorders>
              <w:left w:val="single" w:sz="4" w:space="0" w:color="000000"/>
            </w:tcBorders>
          </w:tcPr>
          <w:p>
            <w:pPr>
              <w:pStyle w:val="TableParagraph"/>
              <w:spacing w:line="246" w:lineRule="exact"/>
              <w:ind w:left="321"/>
              <w:rPr>
                <w:rFonts w:ascii="仿宋" w:eastAsia="仿宋" w:hint="eastAsia"/>
                <w:sz w:val="21"/>
              </w:rPr>
            </w:pPr>
            <w:r>
              <w:rPr>
                <w:rFonts w:ascii="仿宋" w:eastAsia="仿宋" w:hint="eastAsia"/>
                <w:sz w:val="21"/>
              </w:rPr>
              <w:t>1.4 犹豫期</w:t>
            </w:r>
          </w:p>
        </w:tc>
        <w:tc>
          <w:tcPr>
            <w:tcW w:w="3259" w:type="dxa"/>
          </w:tcPr>
          <w:p>
            <w:pPr>
              <w:pStyle w:val="TableParagraph"/>
              <w:spacing w:line="246" w:lineRule="exact"/>
              <w:ind w:left="346"/>
              <w:rPr>
                <w:rFonts w:ascii="仿宋" w:eastAsia="仿宋" w:hint="eastAsia"/>
                <w:sz w:val="21"/>
              </w:rPr>
            </w:pPr>
            <w:r>
              <w:rPr>
                <w:rFonts w:ascii="仿宋" w:eastAsia="仿宋" w:hint="eastAsia"/>
                <w:sz w:val="21"/>
              </w:rPr>
              <w:t>6.2 效力恢复</w:t>
            </w:r>
          </w:p>
        </w:tc>
        <w:tc>
          <w:tcPr>
            <w:tcW w:w="756" w:type="dxa"/>
          </w:tcPr>
          <w:p>
            <w:pPr>
              <w:pStyle w:val="TableParagraph"/>
              <w:spacing w:line="246" w:lineRule="exact"/>
              <w:ind w:left="188"/>
              <w:rPr>
                <w:rFonts w:ascii="仿宋"/>
                <w:sz w:val="21"/>
              </w:rPr>
            </w:pPr>
            <w:r>
              <w:rPr>
                <w:rFonts w:ascii="仿宋"/>
                <w:sz w:val="21"/>
              </w:rPr>
              <w:t>10.7</w:t>
            </w:r>
          </w:p>
        </w:tc>
        <w:tc>
          <w:tcPr>
            <w:tcW w:w="2485" w:type="dxa"/>
            <w:tcBorders>
              <w:right w:val="single" w:sz="4" w:space="0" w:color="000000"/>
            </w:tcBorders>
          </w:tcPr>
          <w:p>
            <w:pPr>
              <w:pStyle w:val="TableParagraph"/>
              <w:spacing w:line="246" w:lineRule="exact"/>
              <w:ind w:left="63"/>
              <w:rPr>
                <w:rFonts w:ascii="仿宋" w:eastAsia="仿宋" w:hint="eastAsia"/>
                <w:sz w:val="21"/>
              </w:rPr>
            </w:pPr>
            <w:r>
              <w:rPr>
                <w:rFonts w:ascii="仿宋" w:eastAsia="仿宋" w:hint="eastAsia"/>
                <w:sz w:val="21"/>
              </w:rPr>
              <w:t>酒后驾驶</w:t>
            </w:r>
          </w:p>
        </w:tc>
      </w:tr>
      <w:tr>
        <w:trPr>
          <w:trHeight w:val="296" w:hRule="atLeast"/>
        </w:trPr>
        <w:tc>
          <w:tcPr>
            <w:tcW w:w="2555" w:type="dxa"/>
            <w:tcBorders>
              <w:left w:val="single" w:sz="4" w:space="0" w:color="000000"/>
            </w:tcBorders>
          </w:tcPr>
          <w:p>
            <w:pPr>
              <w:pStyle w:val="TableParagraph"/>
              <w:spacing w:line="269" w:lineRule="exact"/>
              <w:ind w:left="110"/>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59" w:type="dxa"/>
          </w:tcPr>
          <w:p>
            <w:pPr>
              <w:pStyle w:val="TableParagraph"/>
              <w:spacing w:line="269" w:lineRule="exact"/>
              <w:ind w:left="135"/>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56" w:type="dxa"/>
          </w:tcPr>
          <w:p>
            <w:pPr>
              <w:pStyle w:val="TableParagraph"/>
              <w:spacing w:line="245" w:lineRule="exact"/>
              <w:ind w:left="188"/>
              <w:rPr>
                <w:rFonts w:ascii="仿宋"/>
                <w:sz w:val="21"/>
              </w:rPr>
            </w:pPr>
            <w:r>
              <w:rPr>
                <w:rFonts w:ascii="仿宋"/>
                <w:sz w:val="21"/>
              </w:rPr>
              <w:t>10.8</w:t>
            </w:r>
          </w:p>
        </w:tc>
        <w:tc>
          <w:tcPr>
            <w:tcW w:w="2485" w:type="dxa"/>
            <w:tcBorders>
              <w:right w:val="single" w:sz="4" w:space="0" w:color="000000"/>
            </w:tcBorders>
          </w:tcPr>
          <w:p>
            <w:pPr>
              <w:pStyle w:val="TableParagraph"/>
              <w:spacing w:line="245" w:lineRule="exact"/>
              <w:ind w:left="63"/>
              <w:rPr>
                <w:rFonts w:ascii="仿宋" w:eastAsia="仿宋" w:hint="eastAsia"/>
                <w:sz w:val="21"/>
              </w:rPr>
            </w:pPr>
            <w:r>
              <w:rPr>
                <w:rFonts w:ascii="仿宋" w:eastAsia="仿宋" w:hint="eastAsia"/>
                <w:sz w:val="21"/>
              </w:rPr>
              <w:t>无合法有效驾驶证驾驶</w:t>
            </w:r>
          </w:p>
        </w:tc>
      </w:tr>
      <w:tr>
        <w:trPr>
          <w:trHeight w:val="263" w:hRule="atLeast"/>
        </w:trPr>
        <w:tc>
          <w:tcPr>
            <w:tcW w:w="2555" w:type="dxa"/>
            <w:tcBorders>
              <w:left w:val="single" w:sz="4" w:space="0" w:color="000000"/>
            </w:tcBorders>
          </w:tcPr>
          <w:p>
            <w:pPr>
              <w:pStyle w:val="TableParagraph"/>
              <w:spacing w:line="229" w:lineRule="exact"/>
              <w:ind w:left="321"/>
              <w:rPr>
                <w:rFonts w:ascii="仿宋" w:eastAsia="仿宋" w:hint="eastAsia"/>
                <w:sz w:val="21"/>
              </w:rPr>
            </w:pPr>
            <w:r>
              <w:rPr>
                <w:rFonts w:ascii="仿宋" w:eastAsia="仿宋" w:hint="eastAsia"/>
                <w:sz w:val="21"/>
              </w:rPr>
              <w:t>2.1 保险金额</w:t>
            </w:r>
          </w:p>
        </w:tc>
        <w:tc>
          <w:tcPr>
            <w:tcW w:w="3259" w:type="dxa"/>
          </w:tcPr>
          <w:p>
            <w:pPr>
              <w:pStyle w:val="TableParagraph"/>
              <w:spacing w:line="229" w:lineRule="exact"/>
              <w:ind w:right="176"/>
              <w:jc w:val="right"/>
              <w:rPr>
                <w:rFonts w:ascii="仿宋" w:eastAsia="仿宋" w:hint="eastAsia"/>
                <w:sz w:val="21"/>
              </w:rPr>
            </w:pPr>
            <w:r>
              <w:rPr>
                <w:rFonts w:ascii="仿宋" w:eastAsia="仿宋" w:hint="eastAsia"/>
                <w:sz w:val="21"/>
              </w:rPr>
              <w:t>投保人解除合同的手续及风险</w:t>
            </w:r>
          </w:p>
        </w:tc>
        <w:tc>
          <w:tcPr>
            <w:tcW w:w="756" w:type="dxa"/>
          </w:tcPr>
          <w:p>
            <w:pPr>
              <w:pStyle w:val="TableParagraph"/>
              <w:spacing w:line="229" w:lineRule="exact"/>
              <w:ind w:left="188"/>
              <w:rPr>
                <w:rFonts w:ascii="仿宋"/>
                <w:sz w:val="21"/>
              </w:rPr>
            </w:pPr>
            <w:r>
              <w:rPr>
                <w:rFonts w:ascii="仿宋"/>
                <w:sz w:val="21"/>
              </w:rPr>
              <w:t>10.9</w:t>
            </w:r>
          </w:p>
        </w:tc>
        <w:tc>
          <w:tcPr>
            <w:tcW w:w="2485" w:type="dxa"/>
            <w:tcBorders>
              <w:right w:val="single" w:sz="4" w:space="0" w:color="000000"/>
            </w:tcBorders>
          </w:tcPr>
          <w:p>
            <w:pPr>
              <w:pStyle w:val="TableParagraph"/>
              <w:spacing w:line="229" w:lineRule="exact"/>
              <w:ind w:left="63"/>
              <w:rPr>
                <w:rFonts w:ascii="仿宋" w:eastAsia="仿宋" w:hint="eastAsia"/>
                <w:sz w:val="21"/>
              </w:rPr>
            </w:pPr>
            <w:r>
              <w:rPr>
                <w:rFonts w:ascii="仿宋" w:eastAsia="仿宋" w:hint="eastAsia"/>
                <w:sz w:val="21"/>
              </w:rPr>
              <w:t>无有效行驶证</w:t>
            </w:r>
          </w:p>
        </w:tc>
      </w:tr>
      <w:tr>
        <w:trPr>
          <w:trHeight w:val="296" w:hRule="atLeast"/>
        </w:trPr>
        <w:tc>
          <w:tcPr>
            <w:tcW w:w="2555" w:type="dxa"/>
            <w:tcBorders>
              <w:left w:val="single" w:sz="4" w:space="0" w:color="000000"/>
            </w:tcBorders>
          </w:tcPr>
          <w:p>
            <w:pPr>
              <w:pStyle w:val="TableParagraph"/>
              <w:spacing w:line="246" w:lineRule="exact"/>
              <w:ind w:left="321"/>
              <w:rPr>
                <w:rFonts w:ascii="仿宋" w:eastAsia="仿宋" w:hint="eastAsia"/>
                <w:sz w:val="21"/>
              </w:rPr>
            </w:pPr>
            <w:r>
              <w:rPr>
                <w:rFonts w:ascii="仿宋" w:eastAsia="仿宋" w:hint="eastAsia"/>
                <w:sz w:val="21"/>
              </w:rPr>
              <w:t>2.2 基本保险金额变更</w:t>
            </w:r>
          </w:p>
        </w:tc>
        <w:tc>
          <w:tcPr>
            <w:tcW w:w="3259" w:type="dxa"/>
          </w:tcPr>
          <w:p>
            <w:pPr>
              <w:pStyle w:val="TableParagraph"/>
              <w:spacing w:line="270" w:lineRule="exact"/>
              <w:ind w:left="135"/>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56" w:type="dxa"/>
          </w:tcPr>
          <w:p>
            <w:pPr>
              <w:pStyle w:val="TableParagraph"/>
              <w:spacing w:line="246" w:lineRule="exact"/>
              <w:ind w:left="188"/>
              <w:rPr>
                <w:rFonts w:ascii="仿宋"/>
                <w:sz w:val="21"/>
              </w:rPr>
            </w:pPr>
            <w:r>
              <w:rPr>
                <w:rFonts w:ascii="仿宋"/>
                <w:sz w:val="21"/>
              </w:rPr>
              <w:t>10.10</w:t>
            </w:r>
          </w:p>
        </w:tc>
        <w:tc>
          <w:tcPr>
            <w:tcW w:w="2485" w:type="dxa"/>
            <w:tcBorders>
              <w:right w:val="single" w:sz="4" w:space="0" w:color="000000"/>
            </w:tcBorders>
          </w:tcPr>
          <w:p>
            <w:pPr>
              <w:pStyle w:val="TableParagraph"/>
              <w:spacing w:line="246" w:lineRule="exact"/>
              <w:ind w:left="63"/>
              <w:rPr>
                <w:rFonts w:ascii="仿宋" w:eastAsia="仿宋" w:hint="eastAsia"/>
                <w:sz w:val="21"/>
              </w:rPr>
            </w:pPr>
            <w:r>
              <w:rPr>
                <w:rFonts w:ascii="仿宋" w:eastAsia="仿宋" w:hint="eastAsia"/>
                <w:sz w:val="21"/>
              </w:rPr>
              <w:t>机动车</w:t>
            </w:r>
          </w:p>
        </w:tc>
      </w:tr>
      <w:tr>
        <w:trPr>
          <w:trHeight w:val="262" w:hRule="atLeast"/>
        </w:trPr>
        <w:tc>
          <w:tcPr>
            <w:tcW w:w="2555" w:type="dxa"/>
            <w:tcBorders>
              <w:left w:val="single" w:sz="4" w:space="0" w:color="000000"/>
            </w:tcBorders>
          </w:tcPr>
          <w:p>
            <w:pPr>
              <w:pStyle w:val="TableParagraph"/>
              <w:spacing w:line="228" w:lineRule="exact"/>
              <w:ind w:left="321"/>
              <w:rPr>
                <w:rFonts w:ascii="仿宋" w:eastAsia="仿宋" w:hint="eastAsia"/>
                <w:sz w:val="21"/>
              </w:rPr>
            </w:pPr>
            <w:r>
              <w:rPr>
                <w:rFonts w:ascii="仿宋" w:eastAsia="仿宋" w:hint="eastAsia"/>
                <w:sz w:val="21"/>
              </w:rPr>
              <w:t>2.3 保险期间</w:t>
            </w:r>
          </w:p>
        </w:tc>
        <w:tc>
          <w:tcPr>
            <w:tcW w:w="3259" w:type="dxa"/>
          </w:tcPr>
          <w:p>
            <w:pPr>
              <w:pStyle w:val="TableParagraph"/>
              <w:spacing w:line="228" w:lineRule="exact"/>
              <w:ind w:left="346"/>
              <w:rPr>
                <w:rFonts w:ascii="仿宋" w:eastAsia="仿宋" w:hint="eastAsia"/>
                <w:sz w:val="21"/>
              </w:rPr>
            </w:pPr>
            <w:r>
              <w:rPr>
                <w:rFonts w:ascii="仿宋" w:eastAsia="仿宋" w:hint="eastAsia"/>
                <w:sz w:val="21"/>
              </w:rPr>
              <w:t>8.1 明确说明和如实告知</w:t>
            </w:r>
          </w:p>
        </w:tc>
        <w:tc>
          <w:tcPr>
            <w:tcW w:w="756" w:type="dxa"/>
          </w:tcPr>
          <w:p>
            <w:pPr>
              <w:pStyle w:val="TableParagraph"/>
              <w:spacing w:line="228" w:lineRule="exact"/>
              <w:ind w:left="188"/>
              <w:rPr>
                <w:rFonts w:ascii="仿宋"/>
                <w:sz w:val="21"/>
              </w:rPr>
            </w:pPr>
            <w:r>
              <w:rPr>
                <w:rFonts w:ascii="仿宋"/>
                <w:sz w:val="21"/>
              </w:rPr>
              <w:t>10.11</w:t>
            </w:r>
          </w:p>
        </w:tc>
        <w:tc>
          <w:tcPr>
            <w:tcW w:w="2485" w:type="dxa"/>
            <w:tcBorders>
              <w:right w:val="single" w:sz="4" w:space="0" w:color="000000"/>
            </w:tcBorders>
          </w:tcPr>
          <w:p>
            <w:pPr>
              <w:pStyle w:val="TableParagraph"/>
              <w:spacing w:line="228" w:lineRule="exact"/>
              <w:ind w:left="63" w:right="-44"/>
              <w:rPr>
                <w:rFonts w:ascii="仿宋" w:eastAsia="仿宋" w:hint="eastAsia"/>
                <w:sz w:val="21"/>
              </w:rPr>
            </w:pPr>
            <w:r>
              <w:rPr>
                <w:rFonts w:ascii="仿宋" w:eastAsia="仿宋" w:hint="eastAsia"/>
                <w:spacing w:val="-10"/>
                <w:sz w:val="21"/>
              </w:rPr>
              <w:t>先天性畸形、变形或染色体</w:t>
            </w:r>
          </w:p>
        </w:tc>
      </w:tr>
      <w:tr>
        <w:trPr>
          <w:trHeight w:val="280" w:hRule="atLeast"/>
        </w:trPr>
        <w:tc>
          <w:tcPr>
            <w:tcW w:w="2555" w:type="dxa"/>
            <w:tcBorders>
              <w:left w:val="single" w:sz="4" w:space="0" w:color="000000"/>
            </w:tcBorders>
          </w:tcPr>
          <w:p>
            <w:pPr>
              <w:pStyle w:val="TableParagraph"/>
              <w:spacing w:line="246" w:lineRule="exact"/>
              <w:ind w:left="321"/>
              <w:rPr>
                <w:rFonts w:ascii="仿宋" w:eastAsia="仿宋" w:hint="eastAsia"/>
                <w:sz w:val="21"/>
              </w:rPr>
            </w:pPr>
            <w:r>
              <w:rPr>
                <w:rFonts w:ascii="仿宋" w:eastAsia="仿宋" w:hint="eastAsia"/>
                <w:sz w:val="21"/>
              </w:rPr>
              <w:t>2.4 保险责任</w:t>
            </w:r>
          </w:p>
        </w:tc>
        <w:tc>
          <w:tcPr>
            <w:tcW w:w="3259" w:type="dxa"/>
          </w:tcPr>
          <w:p>
            <w:pPr>
              <w:pStyle w:val="TableParagraph"/>
              <w:spacing w:line="246" w:lineRule="exact"/>
              <w:ind w:right="179"/>
              <w:jc w:val="right"/>
              <w:rPr>
                <w:rFonts w:ascii="仿宋" w:eastAsia="仿宋" w:hint="eastAsia"/>
                <w:sz w:val="21"/>
              </w:rPr>
            </w:pPr>
            <w:r>
              <w:rPr>
                <w:rFonts w:ascii="仿宋" w:eastAsia="仿宋" w:hint="eastAsia"/>
                <w:sz w:val="21"/>
              </w:rPr>
              <w:t>8.2 本公司合同解除权的限制</w:t>
            </w:r>
          </w:p>
        </w:tc>
        <w:tc>
          <w:tcPr>
            <w:tcW w:w="756" w:type="dxa"/>
          </w:tcPr>
          <w:p>
            <w:pPr>
              <w:pStyle w:val="TableParagraph"/>
              <w:rPr>
                <w:rFonts w:ascii="Times New Roman"/>
                <w:sz w:val="20"/>
              </w:rPr>
            </w:pPr>
          </w:p>
        </w:tc>
        <w:tc>
          <w:tcPr>
            <w:tcW w:w="2485" w:type="dxa"/>
            <w:tcBorders>
              <w:right w:val="single" w:sz="4" w:space="0" w:color="000000"/>
            </w:tcBorders>
          </w:tcPr>
          <w:p>
            <w:pPr>
              <w:pStyle w:val="TableParagraph"/>
              <w:spacing w:line="246" w:lineRule="exact"/>
              <w:ind w:left="49"/>
              <w:rPr>
                <w:rFonts w:ascii="仿宋" w:eastAsia="仿宋" w:hint="eastAsia"/>
                <w:sz w:val="21"/>
              </w:rPr>
            </w:pPr>
            <w:r>
              <w:rPr>
                <w:rFonts w:ascii="仿宋" w:eastAsia="仿宋" w:hint="eastAsia"/>
                <w:sz w:val="21"/>
              </w:rPr>
              <w:t>异常</w:t>
            </w:r>
          </w:p>
        </w:tc>
      </w:tr>
      <w:tr>
        <w:trPr>
          <w:trHeight w:val="296" w:hRule="atLeast"/>
        </w:trPr>
        <w:tc>
          <w:tcPr>
            <w:tcW w:w="2555" w:type="dxa"/>
            <w:tcBorders>
              <w:left w:val="single" w:sz="4" w:space="0" w:color="000000"/>
            </w:tcBorders>
          </w:tcPr>
          <w:p>
            <w:pPr>
              <w:pStyle w:val="TableParagraph"/>
              <w:spacing w:line="246" w:lineRule="exact"/>
              <w:ind w:left="321"/>
              <w:rPr>
                <w:rFonts w:ascii="仿宋" w:eastAsia="仿宋" w:hint="eastAsia"/>
                <w:sz w:val="21"/>
              </w:rPr>
            </w:pPr>
            <w:r>
              <w:rPr>
                <w:rFonts w:ascii="仿宋" w:eastAsia="仿宋" w:hint="eastAsia"/>
                <w:sz w:val="21"/>
              </w:rPr>
              <w:t>2.5 责任免除</w:t>
            </w:r>
          </w:p>
        </w:tc>
        <w:tc>
          <w:tcPr>
            <w:tcW w:w="3259" w:type="dxa"/>
          </w:tcPr>
          <w:p>
            <w:pPr>
              <w:pStyle w:val="TableParagraph"/>
              <w:spacing w:line="270" w:lineRule="exact"/>
              <w:ind w:left="135"/>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56" w:type="dxa"/>
          </w:tcPr>
          <w:p>
            <w:pPr>
              <w:pStyle w:val="TableParagraph"/>
              <w:spacing w:line="246" w:lineRule="exact"/>
              <w:ind w:left="188"/>
              <w:rPr>
                <w:rFonts w:ascii="仿宋"/>
                <w:sz w:val="21"/>
              </w:rPr>
            </w:pPr>
            <w:r>
              <w:rPr>
                <w:rFonts w:ascii="仿宋"/>
                <w:sz w:val="21"/>
              </w:rPr>
              <w:t>10.12</w:t>
            </w:r>
          </w:p>
        </w:tc>
        <w:tc>
          <w:tcPr>
            <w:tcW w:w="2485" w:type="dxa"/>
            <w:tcBorders>
              <w:right w:val="single" w:sz="4" w:space="0" w:color="000000"/>
            </w:tcBorders>
          </w:tcPr>
          <w:p>
            <w:pPr>
              <w:pStyle w:val="TableParagraph"/>
              <w:spacing w:line="246" w:lineRule="exact"/>
              <w:ind w:left="63"/>
              <w:rPr>
                <w:rFonts w:ascii="仿宋" w:eastAsia="仿宋" w:hint="eastAsia"/>
                <w:sz w:val="21"/>
              </w:rPr>
            </w:pPr>
            <w:r>
              <w:rPr>
                <w:rFonts w:ascii="仿宋" w:eastAsia="仿宋" w:hint="eastAsia"/>
                <w:sz w:val="21"/>
              </w:rPr>
              <w:t>遗传性疾病</w:t>
            </w:r>
          </w:p>
        </w:tc>
      </w:tr>
      <w:tr>
        <w:trPr>
          <w:trHeight w:val="279" w:hRule="atLeast"/>
        </w:trPr>
        <w:tc>
          <w:tcPr>
            <w:tcW w:w="2555" w:type="dxa"/>
            <w:tcBorders>
              <w:left w:val="single" w:sz="4" w:space="0" w:color="000000"/>
            </w:tcBorders>
          </w:tcPr>
          <w:p>
            <w:pPr>
              <w:pStyle w:val="TableParagraph"/>
              <w:spacing w:line="252" w:lineRule="exact"/>
              <w:ind w:left="110"/>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59" w:type="dxa"/>
          </w:tcPr>
          <w:p>
            <w:pPr>
              <w:pStyle w:val="TableParagraph"/>
              <w:spacing w:line="228" w:lineRule="exact"/>
              <w:ind w:left="346"/>
              <w:rPr>
                <w:rFonts w:ascii="仿宋" w:eastAsia="仿宋" w:hint="eastAsia"/>
                <w:sz w:val="21"/>
              </w:rPr>
            </w:pPr>
            <w:r>
              <w:rPr>
                <w:rFonts w:ascii="仿宋" w:eastAsia="仿宋" w:hint="eastAsia"/>
                <w:sz w:val="21"/>
              </w:rPr>
              <w:t>9.1 年龄错误</w:t>
            </w:r>
          </w:p>
        </w:tc>
        <w:tc>
          <w:tcPr>
            <w:tcW w:w="756" w:type="dxa"/>
          </w:tcPr>
          <w:p>
            <w:pPr>
              <w:pStyle w:val="TableParagraph"/>
              <w:spacing w:line="228" w:lineRule="exact"/>
              <w:ind w:left="188"/>
              <w:rPr>
                <w:rFonts w:ascii="仿宋"/>
                <w:sz w:val="21"/>
              </w:rPr>
            </w:pPr>
            <w:r>
              <w:rPr>
                <w:rFonts w:ascii="仿宋"/>
                <w:sz w:val="21"/>
              </w:rPr>
              <w:t>10.13</w:t>
            </w:r>
          </w:p>
        </w:tc>
        <w:tc>
          <w:tcPr>
            <w:tcW w:w="2485" w:type="dxa"/>
            <w:tcBorders>
              <w:right w:val="single" w:sz="4" w:space="0" w:color="000000"/>
            </w:tcBorders>
          </w:tcPr>
          <w:p>
            <w:pPr>
              <w:pStyle w:val="TableParagraph"/>
              <w:spacing w:line="228" w:lineRule="exact"/>
              <w:ind w:left="63"/>
              <w:rPr>
                <w:rFonts w:ascii="仿宋" w:eastAsia="仿宋" w:hint="eastAsia"/>
                <w:sz w:val="21"/>
              </w:rPr>
            </w:pPr>
            <w:r>
              <w:rPr>
                <w:rFonts w:ascii="仿宋" w:eastAsia="仿宋" w:hint="eastAsia"/>
                <w:sz w:val="21"/>
              </w:rPr>
              <w:t>专科医生</w:t>
            </w:r>
          </w:p>
        </w:tc>
      </w:tr>
      <w:tr>
        <w:trPr>
          <w:trHeight w:val="263" w:hRule="atLeast"/>
        </w:trPr>
        <w:tc>
          <w:tcPr>
            <w:tcW w:w="2555" w:type="dxa"/>
            <w:tcBorders>
              <w:left w:val="single" w:sz="4" w:space="0" w:color="000000"/>
            </w:tcBorders>
          </w:tcPr>
          <w:p>
            <w:pPr>
              <w:pStyle w:val="TableParagraph"/>
              <w:spacing w:line="229" w:lineRule="exact"/>
              <w:ind w:left="321"/>
              <w:rPr>
                <w:rFonts w:ascii="仿宋" w:eastAsia="仿宋" w:hint="eastAsia"/>
                <w:sz w:val="21"/>
              </w:rPr>
            </w:pPr>
            <w:r>
              <w:rPr>
                <w:rFonts w:ascii="仿宋" w:eastAsia="仿宋" w:hint="eastAsia"/>
                <w:sz w:val="21"/>
              </w:rPr>
              <w:t>3.1 受益人</w:t>
            </w:r>
          </w:p>
        </w:tc>
        <w:tc>
          <w:tcPr>
            <w:tcW w:w="3259" w:type="dxa"/>
          </w:tcPr>
          <w:p>
            <w:pPr>
              <w:pStyle w:val="TableParagraph"/>
              <w:spacing w:line="229" w:lineRule="exact"/>
              <w:ind w:left="346"/>
              <w:rPr>
                <w:rFonts w:ascii="仿宋" w:eastAsia="仿宋" w:hint="eastAsia"/>
                <w:sz w:val="21"/>
              </w:rPr>
            </w:pPr>
            <w:r>
              <w:rPr>
                <w:rFonts w:ascii="仿宋" w:eastAsia="仿宋" w:hint="eastAsia"/>
                <w:sz w:val="21"/>
              </w:rPr>
              <w:t>9.2 未还款项</w:t>
            </w:r>
          </w:p>
        </w:tc>
        <w:tc>
          <w:tcPr>
            <w:tcW w:w="756" w:type="dxa"/>
          </w:tcPr>
          <w:p>
            <w:pPr>
              <w:pStyle w:val="TableParagraph"/>
              <w:spacing w:line="229" w:lineRule="exact"/>
              <w:ind w:left="188"/>
              <w:rPr>
                <w:rFonts w:ascii="仿宋"/>
                <w:sz w:val="21"/>
              </w:rPr>
            </w:pPr>
            <w:r>
              <w:rPr>
                <w:rFonts w:ascii="仿宋"/>
                <w:sz w:val="21"/>
              </w:rPr>
              <w:t>10.14</w:t>
            </w:r>
          </w:p>
        </w:tc>
        <w:tc>
          <w:tcPr>
            <w:tcW w:w="2485" w:type="dxa"/>
            <w:tcBorders>
              <w:right w:val="single" w:sz="4" w:space="0" w:color="000000"/>
            </w:tcBorders>
          </w:tcPr>
          <w:p>
            <w:pPr>
              <w:pStyle w:val="TableParagraph"/>
              <w:spacing w:line="229" w:lineRule="exact"/>
              <w:ind w:left="63"/>
              <w:rPr>
                <w:rFonts w:ascii="仿宋" w:eastAsia="仿宋" w:hint="eastAsia"/>
                <w:sz w:val="21"/>
              </w:rPr>
            </w:pPr>
            <w:r>
              <w:rPr>
                <w:rFonts w:ascii="仿宋" w:eastAsia="仿宋" w:hint="eastAsia"/>
                <w:sz w:val="21"/>
              </w:rPr>
              <w:t>肢体机能完全丧失</w:t>
            </w:r>
          </w:p>
        </w:tc>
      </w:tr>
      <w:tr>
        <w:trPr>
          <w:trHeight w:val="279" w:hRule="atLeast"/>
        </w:trPr>
        <w:tc>
          <w:tcPr>
            <w:tcW w:w="2555" w:type="dxa"/>
            <w:tcBorders>
              <w:left w:val="single" w:sz="4" w:space="0" w:color="000000"/>
            </w:tcBorders>
          </w:tcPr>
          <w:p>
            <w:pPr>
              <w:pStyle w:val="TableParagraph"/>
              <w:spacing w:line="246" w:lineRule="exact"/>
              <w:ind w:left="321"/>
              <w:rPr>
                <w:rFonts w:ascii="仿宋" w:eastAsia="仿宋" w:hint="eastAsia"/>
                <w:sz w:val="21"/>
              </w:rPr>
            </w:pPr>
            <w:r>
              <w:rPr>
                <w:rFonts w:ascii="仿宋" w:eastAsia="仿宋" w:hint="eastAsia"/>
                <w:sz w:val="21"/>
              </w:rPr>
              <w:t>3.2 保险事故通知</w:t>
            </w:r>
          </w:p>
        </w:tc>
        <w:tc>
          <w:tcPr>
            <w:tcW w:w="3259" w:type="dxa"/>
          </w:tcPr>
          <w:p>
            <w:pPr>
              <w:pStyle w:val="TableParagraph"/>
              <w:spacing w:line="246" w:lineRule="exact"/>
              <w:ind w:left="346"/>
              <w:rPr>
                <w:rFonts w:ascii="仿宋" w:eastAsia="仿宋" w:hint="eastAsia"/>
                <w:sz w:val="21"/>
              </w:rPr>
            </w:pPr>
            <w:r>
              <w:rPr>
                <w:rFonts w:ascii="仿宋" w:eastAsia="仿宋" w:hint="eastAsia"/>
                <w:sz w:val="21"/>
              </w:rPr>
              <w:t>9.3 合同内容变更</w:t>
            </w:r>
          </w:p>
        </w:tc>
        <w:tc>
          <w:tcPr>
            <w:tcW w:w="756" w:type="dxa"/>
          </w:tcPr>
          <w:p>
            <w:pPr>
              <w:pStyle w:val="TableParagraph"/>
              <w:spacing w:line="246" w:lineRule="exact"/>
              <w:ind w:left="188"/>
              <w:rPr>
                <w:rFonts w:ascii="仿宋"/>
                <w:sz w:val="21"/>
              </w:rPr>
            </w:pPr>
            <w:r>
              <w:rPr>
                <w:rFonts w:ascii="仿宋"/>
                <w:sz w:val="21"/>
              </w:rPr>
              <w:t>10.15</w:t>
            </w:r>
          </w:p>
        </w:tc>
        <w:tc>
          <w:tcPr>
            <w:tcW w:w="2485" w:type="dxa"/>
            <w:tcBorders>
              <w:right w:val="single" w:sz="4" w:space="0" w:color="000000"/>
            </w:tcBorders>
          </w:tcPr>
          <w:p>
            <w:pPr>
              <w:pStyle w:val="TableParagraph"/>
              <w:spacing w:line="246" w:lineRule="exact"/>
              <w:ind w:left="63"/>
              <w:rPr>
                <w:rFonts w:ascii="仿宋" w:eastAsia="仿宋" w:hint="eastAsia"/>
                <w:sz w:val="21"/>
              </w:rPr>
            </w:pPr>
            <w:r>
              <w:rPr>
                <w:rFonts w:ascii="仿宋" w:eastAsia="仿宋" w:hint="eastAsia"/>
                <w:sz w:val="21"/>
              </w:rPr>
              <w:t>语言能力或咀嚼吞咽能力</w:t>
            </w:r>
          </w:p>
        </w:tc>
      </w:tr>
      <w:tr>
        <w:trPr>
          <w:trHeight w:val="279" w:hRule="atLeast"/>
        </w:trPr>
        <w:tc>
          <w:tcPr>
            <w:tcW w:w="2555" w:type="dxa"/>
            <w:tcBorders>
              <w:left w:val="single" w:sz="4" w:space="0" w:color="000000"/>
            </w:tcBorders>
          </w:tcPr>
          <w:p>
            <w:pPr>
              <w:pStyle w:val="TableParagraph"/>
              <w:spacing w:line="245" w:lineRule="exact"/>
              <w:ind w:left="321"/>
              <w:rPr>
                <w:rFonts w:ascii="仿宋" w:eastAsia="仿宋" w:hint="eastAsia"/>
                <w:sz w:val="21"/>
              </w:rPr>
            </w:pPr>
            <w:r>
              <w:rPr>
                <w:rFonts w:ascii="仿宋" w:eastAsia="仿宋" w:hint="eastAsia"/>
                <w:sz w:val="21"/>
              </w:rPr>
              <w:t>3.3 保险金申请</w:t>
            </w:r>
          </w:p>
        </w:tc>
        <w:tc>
          <w:tcPr>
            <w:tcW w:w="3259" w:type="dxa"/>
          </w:tcPr>
          <w:p>
            <w:pPr>
              <w:pStyle w:val="TableParagraph"/>
              <w:spacing w:line="245" w:lineRule="exact"/>
              <w:ind w:left="346"/>
              <w:rPr>
                <w:rFonts w:ascii="仿宋" w:eastAsia="仿宋" w:hint="eastAsia"/>
                <w:sz w:val="21"/>
              </w:rPr>
            </w:pPr>
            <w:r>
              <w:rPr>
                <w:rFonts w:ascii="仿宋" w:eastAsia="仿宋" w:hint="eastAsia"/>
                <w:sz w:val="21"/>
              </w:rPr>
              <w:t>9.4 联系方式变更</w:t>
            </w:r>
          </w:p>
        </w:tc>
        <w:tc>
          <w:tcPr>
            <w:tcW w:w="756" w:type="dxa"/>
          </w:tcPr>
          <w:p>
            <w:pPr>
              <w:pStyle w:val="TableParagraph"/>
              <w:rPr>
                <w:rFonts w:ascii="Times New Roman"/>
                <w:sz w:val="20"/>
              </w:rPr>
            </w:pPr>
          </w:p>
        </w:tc>
        <w:tc>
          <w:tcPr>
            <w:tcW w:w="2485" w:type="dxa"/>
            <w:tcBorders>
              <w:right w:val="single" w:sz="4" w:space="0" w:color="000000"/>
            </w:tcBorders>
          </w:tcPr>
          <w:p>
            <w:pPr>
              <w:pStyle w:val="TableParagraph"/>
              <w:spacing w:line="245" w:lineRule="exact"/>
              <w:ind w:left="49"/>
              <w:rPr>
                <w:rFonts w:ascii="仿宋" w:eastAsia="仿宋" w:hint="eastAsia"/>
                <w:sz w:val="21"/>
              </w:rPr>
            </w:pPr>
            <w:r>
              <w:rPr>
                <w:rFonts w:ascii="仿宋" w:eastAsia="仿宋" w:hint="eastAsia"/>
                <w:sz w:val="21"/>
              </w:rPr>
              <w:t>完全丧失</w:t>
            </w:r>
          </w:p>
        </w:tc>
      </w:tr>
      <w:tr>
        <w:trPr>
          <w:trHeight w:val="280" w:hRule="atLeast"/>
        </w:trPr>
        <w:tc>
          <w:tcPr>
            <w:tcW w:w="2555" w:type="dxa"/>
            <w:tcBorders>
              <w:left w:val="single" w:sz="4" w:space="0" w:color="000000"/>
            </w:tcBorders>
          </w:tcPr>
          <w:p>
            <w:pPr>
              <w:pStyle w:val="TableParagraph"/>
              <w:spacing w:line="246" w:lineRule="exact"/>
              <w:ind w:left="321"/>
              <w:rPr>
                <w:rFonts w:ascii="仿宋" w:eastAsia="仿宋" w:hint="eastAsia"/>
                <w:sz w:val="21"/>
              </w:rPr>
            </w:pPr>
            <w:r>
              <w:rPr>
                <w:rFonts w:ascii="仿宋" w:eastAsia="仿宋" w:hint="eastAsia"/>
                <w:sz w:val="21"/>
              </w:rPr>
              <w:t>3.4 保险金给付</w:t>
            </w:r>
          </w:p>
        </w:tc>
        <w:tc>
          <w:tcPr>
            <w:tcW w:w="3259" w:type="dxa"/>
          </w:tcPr>
          <w:p>
            <w:pPr>
              <w:pStyle w:val="TableParagraph"/>
              <w:spacing w:line="246" w:lineRule="exact"/>
              <w:ind w:right="176"/>
              <w:jc w:val="right"/>
              <w:rPr>
                <w:rFonts w:ascii="仿宋" w:eastAsia="仿宋" w:hint="eastAsia"/>
                <w:sz w:val="21"/>
              </w:rPr>
            </w:pPr>
            <w:r>
              <w:rPr>
                <w:rFonts w:ascii="仿宋" w:eastAsia="仿宋" w:hint="eastAsia"/>
                <w:sz w:val="21"/>
              </w:rPr>
              <w:t>9.5 合同效力终止的其它情况</w:t>
            </w:r>
          </w:p>
        </w:tc>
        <w:tc>
          <w:tcPr>
            <w:tcW w:w="756" w:type="dxa"/>
          </w:tcPr>
          <w:p>
            <w:pPr>
              <w:pStyle w:val="TableParagraph"/>
              <w:spacing w:line="246" w:lineRule="exact"/>
              <w:ind w:left="188"/>
              <w:rPr>
                <w:rFonts w:ascii="仿宋"/>
                <w:sz w:val="21"/>
              </w:rPr>
            </w:pPr>
            <w:r>
              <w:rPr>
                <w:rFonts w:ascii="仿宋"/>
                <w:sz w:val="21"/>
              </w:rPr>
              <w:t>10.16</w:t>
            </w:r>
          </w:p>
        </w:tc>
        <w:tc>
          <w:tcPr>
            <w:tcW w:w="2485" w:type="dxa"/>
            <w:tcBorders>
              <w:right w:val="single" w:sz="4" w:space="0" w:color="000000"/>
            </w:tcBorders>
          </w:tcPr>
          <w:p>
            <w:pPr>
              <w:pStyle w:val="TableParagraph"/>
              <w:spacing w:line="246" w:lineRule="exact"/>
              <w:ind w:left="63"/>
              <w:rPr>
                <w:rFonts w:ascii="仿宋" w:eastAsia="仿宋" w:hint="eastAsia"/>
                <w:sz w:val="21"/>
              </w:rPr>
            </w:pPr>
            <w:r>
              <w:rPr>
                <w:rFonts w:ascii="仿宋" w:eastAsia="仿宋" w:hint="eastAsia"/>
                <w:sz w:val="21"/>
              </w:rPr>
              <w:t>六项基本日常生活活动</w:t>
            </w:r>
          </w:p>
        </w:tc>
      </w:tr>
      <w:tr>
        <w:trPr>
          <w:trHeight w:val="279" w:hRule="atLeast"/>
        </w:trPr>
        <w:tc>
          <w:tcPr>
            <w:tcW w:w="2555" w:type="dxa"/>
            <w:tcBorders>
              <w:left w:val="single" w:sz="4" w:space="0" w:color="000000"/>
            </w:tcBorders>
          </w:tcPr>
          <w:p>
            <w:pPr>
              <w:pStyle w:val="TableParagraph"/>
              <w:spacing w:line="246" w:lineRule="exact"/>
              <w:ind w:left="321"/>
              <w:rPr>
                <w:rFonts w:ascii="仿宋" w:eastAsia="仿宋" w:hint="eastAsia"/>
                <w:sz w:val="21"/>
              </w:rPr>
            </w:pPr>
            <w:r>
              <w:rPr>
                <w:rFonts w:ascii="仿宋" w:eastAsia="仿宋" w:hint="eastAsia"/>
                <w:sz w:val="21"/>
              </w:rPr>
              <w:t>3.5 诉讼时效</w:t>
            </w:r>
          </w:p>
        </w:tc>
        <w:tc>
          <w:tcPr>
            <w:tcW w:w="3259" w:type="dxa"/>
          </w:tcPr>
          <w:p>
            <w:pPr>
              <w:pStyle w:val="TableParagraph"/>
              <w:spacing w:line="246" w:lineRule="exact"/>
              <w:ind w:left="346"/>
              <w:rPr>
                <w:rFonts w:ascii="仿宋" w:eastAsia="仿宋" w:hint="eastAsia"/>
                <w:sz w:val="21"/>
              </w:rPr>
            </w:pPr>
            <w:r>
              <w:rPr>
                <w:rFonts w:ascii="仿宋" w:eastAsia="仿宋" w:hint="eastAsia"/>
                <w:sz w:val="21"/>
              </w:rPr>
              <w:t>9.6 争议处理</w:t>
            </w:r>
          </w:p>
        </w:tc>
        <w:tc>
          <w:tcPr>
            <w:tcW w:w="756" w:type="dxa"/>
          </w:tcPr>
          <w:p>
            <w:pPr>
              <w:pStyle w:val="TableParagraph"/>
              <w:spacing w:line="246" w:lineRule="exact"/>
              <w:ind w:left="188"/>
              <w:rPr>
                <w:rFonts w:ascii="仿宋"/>
                <w:sz w:val="21"/>
              </w:rPr>
            </w:pPr>
            <w:r>
              <w:rPr>
                <w:rFonts w:ascii="仿宋"/>
                <w:sz w:val="21"/>
              </w:rPr>
              <w:t>10.17</w:t>
            </w:r>
          </w:p>
        </w:tc>
        <w:tc>
          <w:tcPr>
            <w:tcW w:w="2485" w:type="dxa"/>
            <w:tcBorders>
              <w:right w:val="single" w:sz="4" w:space="0" w:color="000000"/>
            </w:tcBorders>
          </w:tcPr>
          <w:p>
            <w:pPr>
              <w:pStyle w:val="TableParagraph"/>
              <w:spacing w:line="246" w:lineRule="exact"/>
              <w:ind w:left="63"/>
              <w:rPr>
                <w:rFonts w:ascii="仿宋" w:eastAsia="仿宋" w:hint="eastAsia"/>
                <w:sz w:val="21"/>
              </w:rPr>
            </w:pPr>
            <w:r>
              <w:rPr>
                <w:rFonts w:ascii="仿宋" w:eastAsia="仿宋" w:hint="eastAsia"/>
                <w:sz w:val="21"/>
              </w:rPr>
              <w:t>永久不可逆</w:t>
            </w:r>
          </w:p>
        </w:tc>
      </w:tr>
      <w:tr>
        <w:trPr>
          <w:trHeight w:val="278" w:hRule="atLeast"/>
        </w:trPr>
        <w:tc>
          <w:tcPr>
            <w:tcW w:w="2555" w:type="dxa"/>
            <w:tcBorders>
              <w:left w:val="single" w:sz="4" w:space="0" w:color="000000"/>
            </w:tcBorders>
          </w:tcPr>
          <w:p>
            <w:pPr>
              <w:pStyle w:val="TableParagraph"/>
              <w:spacing w:line="259" w:lineRule="exact"/>
              <w:ind w:left="110"/>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保险费的收取</w:t>
            </w:r>
          </w:p>
        </w:tc>
        <w:tc>
          <w:tcPr>
            <w:tcW w:w="3259" w:type="dxa"/>
          </w:tcPr>
          <w:p>
            <w:pPr>
              <w:pStyle w:val="TableParagraph"/>
              <w:spacing w:line="259" w:lineRule="exact"/>
              <w:ind w:left="135"/>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56" w:type="dxa"/>
          </w:tcPr>
          <w:p>
            <w:pPr>
              <w:pStyle w:val="TableParagraph"/>
              <w:rPr>
                <w:rFonts w:ascii="Times New Roman"/>
                <w:sz w:val="20"/>
              </w:rPr>
            </w:pPr>
          </w:p>
        </w:tc>
        <w:tc>
          <w:tcPr>
            <w:tcW w:w="2485" w:type="dxa"/>
            <w:tcBorders>
              <w:right w:val="single" w:sz="4" w:space="0" w:color="000000"/>
            </w:tcBorders>
          </w:tcPr>
          <w:p>
            <w:pPr>
              <w:pStyle w:val="TableParagraph"/>
              <w:rPr>
                <w:rFonts w:ascii="Times New Roman"/>
                <w:sz w:val="20"/>
              </w:rPr>
            </w:pPr>
          </w:p>
        </w:tc>
      </w:tr>
      <w:tr>
        <w:trPr>
          <w:trHeight w:val="553" w:hRule="atLeast"/>
        </w:trPr>
        <w:tc>
          <w:tcPr>
            <w:tcW w:w="9055" w:type="dxa"/>
            <w:gridSpan w:val="4"/>
            <w:tcBorders>
              <w:left w:val="single" w:sz="4" w:space="0" w:color="000000"/>
              <w:bottom w:val="single" w:sz="4" w:space="0" w:color="000000"/>
              <w:right w:val="single" w:sz="4" w:space="0" w:color="000000"/>
            </w:tcBorders>
          </w:tcPr>
          <w:p>
            <w:pPr>
              <w:pStyle w:val="TableParagraph"/>
              <w:numPr>
                <w:ilvl w:val="1"/>
                <w:numId w:val="3"/>
              </w:numPr>
              <w:tabs>
                <w:tab w:pos="744" w:val="left" w:leader="none"/>
                <w:tab w:pos="2896" w:val="left" w:leader="none"/>
                <w:tab w:pos="5997" w:val="left" w:leader="none"/>
              </w:tabs>
              <w:spacing w:line="262" w:lineRule="exact" w:before="0" w:after="0"/>
              <w:ind w:left="743" w:right="0" w:hanging="422"/>
              <w:jc w:val="left"/>
              <w:rPr>
                <w:rFonts w:ascii="仿宋" w:eastAsia="仿宋" w:hint="eastAsia"/>
                <w:sz w:val="21"/>
              </w:rPr>
            </w:pPr>
            <w:r>
              <w:rPr>
                <w:rFonts w:ascii="仿宋" w:eastAsia="仿宋" w:hint="eastAsia"/>
                <w:spacing w:val="-3"/>
                <w:sz w:val="21"/>
              </w:rPr>
              <w:t>保</w:t>
            </w:r>
            <w:r>
              <w:rPr>
                <w:rFonts w:ascii="仿宋" w:eastAsia="仿宋" w:hint="eastAsia"/>
                <w:sz w:val="21"/>
              </w:rPr>
              <w:t>险</w:t>
            </w:r>
            <w:r>
              <w:rPr>
                <w:rFonts w:ascii="仿宋" w:eastAsia="仿宋" w:hint="eastAsia"/>
                <w:spacing w:val="-3"/>
                <w:sz w:val="21"/>
              </w:rPr>
              <w:t>费</w:t>
            </w:r>
            <w:r>
              <w:rPr>
                <w:rFonts w:ascii="仿宋" w:eastAsia="仿宋" w:hint="eastAsia"/>
                <w:sz w:val="21"/>
              </w:rPr>
              <w:t>的</w:t>
            </w:r>
            <w:r>
              <w:rPr>
                <w:rFonts w:ascii="仿宋" w:eastAsia="仿宋" w:hint="eastAsia"/>
                <w:spacing w:val="-3"/>
                <w:sz w:val="21"/>
              </w:rPr>
              <w:t>收</w:t>
            </w:r>
            <w:r>
              <w:rPr>
                <w:rFonts w:ascii="仿宋" w:eastAsia="仿宋" w:hint="eastAsia"/>
                <w:sz w:val="21"/>
              </w:rPr>
              <w:t>取</w:t>
              <w:tab/>
              <w:t>10.1</w:t>
            </w:r>
            <w:r>
              <w:rPr>
                <w:rFonts w:ascii="仿宋" w:eastAsia="仿宋" w:hint="eastAsia"/>
                <w:spacing w:val="-1"/>
                <w:sz w:val="21"/>
              </w:rPr>
              <w:t> </w:t>
            </w:r>
            <w:r>
              <w:rPr>
                <w:rFonts w:ascii="仿宋" w:eastAsia="仿宋" w:hint="eastAsia"/>
                <w:sz w:val="21"/>
              </w:rPr>
              <w:t>周岁</w:t>
              <w:tab/>
            </w:r>
            <w:r>
              <w:rPr>
                <w:rFonts w:ascii="Microsoft JhengHei" w:eastAsia="Microsoft JhengHei" w:hint="eastAsia"/>
                <w:b/>
                <w:sz w:val="21"/>
              </w:rPr>
              <w:t>附表：</w:t>
            </w:r>
            <w:r>
              <w:rPr>
                <w:rFonts w:ascii="仿宋" w:eastAsia="仿宋" w:hint="eastAsia"/>
                <w:sz w:val="21"/>
              </w:rPr>
              <w:t>保</w:t>
            </w:r>
            <w:r>
              <w:rPr>
                <w:rFonts w:ascii="仿宋" w:eastAsia="仿宋" w:hint="eastAsia"/>
                <w:spacing w:val="-3"/>
                <w:sz w:val="21"/>
              </w:rPr>
              <w:t>险</w:t>
            </w:r>
            <w:r>
              <w:rPr>
                <w:rFonts w:ascii="仿宋" w:eastAsia="仿宋" w:hint="eastAsia"/>
                <w:sz w:val="21"/>
              </w:rPr>
              <w:t>费</w:t>
            </w:r>
            <w:r>
              <w:rPr>
                <w:rFonts w:ascii="仿宋" w:eastAsia="仿宋" w:hint="eastAsia"/>
                <w:spacing w:val="-3"/>
                <w:sz w:val="21"/>
              </w:rPr>
              <w:t>率表</w:t>
            </w:r>
          </w:p>
          <w:p>
            <w:pPr>
              <w:pStyle w:val="TableParagraph"/>
              <w:numPr>
                <w:ilvl w:val="1"/>
                <w:numId w:val="3"/>
              </w:numPr>
              <w:tabs>
                <w:tab w:pos="744" w:val="left" w:leader="none"/>
                <w:tab w:pos="2896" w:val="left" w:leader="none"/>
              </w:tabs>
              <w:spacing w:line="266" w:lineRule="exact" w:before="0" w:after="0"/>
              <w:ind w:left="743" w:right="0" w:hanging="422"/>
              <w:jc w:val="left"/>
              <w:rPr>
                <w:rFonts w:ascii="仿宋" w:eastAsia="仿宋" w:hint="eastAsia"/>
                <w:sz w:val="21"/>
              </w:rPr>
            </w:pPr>
            <w:r>
              <w:rPr>
                <w:rFonts w:ascii="仿宋" w:eastAsia="仿宋" w:hint="eastAsia"/>
                <w:spacing w:val="-3"/>
                <w:sz w:val="21"/>
              </w:rPr>
              <w:t>催</w:t>
            </w:r>
            <w:r>
              <w:rPr>
                <w:rFonts w:ascii="仿宋" w:eastAsia="仿宋" w:hint="eastAsia"/>
                <w:sz w:val="21"/>
              </w:rPr>
              <w:t>告期</w:t>
              <w:tab/>
              <w:t>10.2</w:t>
            </w:r>
            <w:r>
              <w:rPr>
                <w:rFonts w:ascii="仿宋" w:eastAsia="仿宋" w:hint="eastAsia"/>
                <w:spacing w:val="6"/>
                <w:sz w:val="21"/>
              </w:rPr>
              <w:t> </w:t>
            </w:r>
            <w:r>
              <w:rPr>
                <w:rFonts w:ascii="仿宋" w:eastAsia="仿宋" w:hint="eastAsia"/>
                <w:sz w:val="21"/>
              </w:rPr>
              <w:t>有</w:t>
            </w:r>
            <w:r>
              <w:rPr>
                <w:rFonts w:ascii="仿宋" w:eastAsia="仿宋" w:hint="eastAsia"/>
                <w:spacing w:val="-3"/>
                <w:sz w:val="21"/>
              </w:rPr>
              <w:t>效</w:t>
            </w:r>
            <w:r>
              <w:rPr>
                <w:rFonts w:ascii="仿宋" w:eastAsia="仿宋" w:hint="eastAsia"/>
                <w:sz w:val="21"/>
              </w:rPr>
              <w:t>身</w:t>
            </w:r>
            <w:r>
              <w:rPr>
                <w:rFonts w:ascii="仿宋" w:eastAsia="仿宋" w:hint="eastAsia"/>
                <w:spacing w:val="-3"/>
                <w:sz w:val="21"/>
              </w:rPr>
              <w:t>份</w:t>
            </w:r>
            <w:r>
              <w:rPr>
                <w:rFonts w:ascii="仿宋" w:eastAsia="仿宋" w:hint="eastAsia"/>
                <w:sz w:val="21"/>
              </w:rPr>
              <w:t>证件</w:t>
            </w:r>
          </w:p>
        </w:tc>
      </w:tr>
    </w:tbl>
    <w:p>
      <w:pPr>
        <w:spacing w:after="0" w:line="266" w:lineRule="exact"/>
        <w:jc w:val="left"/>
        <w:rPr>
          <w:rFonts w:ascii="仿宋" w:eastAsia="仿宋" w:hint="eastAsia"/>
          <w:sz w:val="21"/>
        </w:rPr>
        <w:sectPr>
          <w:type w:val="continuous"/>
          <w:pgSz w:w="11900" w:h="16840"/>
          <w:pgMar w:top="400" w:bottom="280" w:left="900" w:right="460"/>
        </w:sectPr>
      </w:pPr>
    </w:p>
    <w:p>
      <w:pPr>
        <w:pStyle w:val="Heading1"/>
        <w:spacing w:line="485" w:lineRule="exact"/>
        <w:ind w:left="2755"/>
      </w:pPr>
      <w:r>
        <w:rPr>
          <w:w w:val="95"/>
        </w:rPr>
        <w:t>嘉禾附加万事兴重大疾病保险条款</w:t>
      </w:r>
    </w:p>
    <w:p>
      <w:pPr>
        <w:pStyle w:val="BodyText"/>
        <w:spacing w:line="273" w:lineRule="auto" w:before="107"/>
        <w:ind w:left="160" w:right="160" w:firstLine="420"/>
      </w:pPr>
      <w:r>
        <w:rPr>
          <w:spacing w:val="-7"/>
          <w:w w:val="100"/>
        </w:rPr>
        <w:t>在本条款中，“您”指投保人，“我们”指嘉禾人寿保险股份有限公司，“本附加险合同”指您与我们之</w:t>
      </w:r>
      <w:r>
        <w:rPr>
          <w:spacing w:val="-3"/>
        </w:rPr>
        <w:t>间订立的“嘉禾附加万事兴重大疾病保险合同”。</w:t>
      </w:r>
      <w:r>
        <w:rPr/>
        <w:t> </w:t>
      </w:r>
    </w:p>
    <w:p>
      <w:pPr>
        <w:pStyle w:val="BodyText"/>
        <w:spacing w:line="269" w:lineRule="exact" w:before="7"/>
        <w:ind w:left="338"/>
      </w:pPr>
      <w:r>
        <w:rPr>
          <w:w w:val="100"/>
        </w:rPr>
        <w:t> </w:t>
      </w:r>
    </w:p>
    <w:p>
      <w:pPr>
        <w:pStyle w:val="Heading2"/>
        <w:numPr>
          <w:ilvl w:val="0"/>
          <w:numId w:val="4"/>
        </w:numPr>
        <w:tabs>
          <w:tab w:pos="979" w:val="left" w:leader="none"/>
          <w:tab w:pos="980" w:val="left" w:leader="none"/>
        </w:tabs>
        <w:spacing w:line="428" w:lineRule="exact" w:before="0" w:after="0"/>
        <w:ind w:left="979" w:right="0" w:hanging="753"/>
        <w:jc w:val="left"/>
      </w:pPr>
      <w:r>
        <w:rPr/>
        <w:t>您与我们订立的合同</w:t>
      </w:r>
    </w:p>
    <w:p>
      <w:pPr>
        <w:pStyle w:val="BodyText"/>
        <w:tabs>
          <w:tab w:pos="979" w:val="left" w:leader="none"/>
          <w:tab w:pos="2937" w:val="left" w:leader="none"/>
        </w:tabs>
        <w:spacing w:line="177" w:lineRule="exact"/>
        <w:ind w:left="223"/>
      </w:pPr>
      <w:r>
        <w:rPr/>
        <w:pict>
          <v:group style="position:absolute;margin-left:59.759998pt;margin-top:2.488727pt;width:504.15pt;height:1pt;mso-position-horizontal-relative:page;mso-position-vertical-relative:paragraph;z-index:-85456" coordorigin="1195,50" coordsize="10083,20">
            <v:line style="position:absolute" from="1195,59" to="1954,59" stroked="true" strokeweight=".96pt" strokecolor="#000000">
              <v:stroke dashstyle="solid"/>
            </v:line>
            <v:rect style="position:absolute;left:1953;top:49;width:20;height:20" filled="true" fillcolor="#000000" stroked="false">
              <v:fill type="solid"/>
            </v:rect>
            <v:line style="position:absolute" from="1973,59" to="3910,59" stroked="true" strokeweight=".96pt" strokecolor="#000000">
              <v:stroke dashstyle="solid"/>
            </v:line>
            <v:rect style="position:absolute;left:3909;top:49;width:20;height:20" filled="true" fillcolor="#000000" stroked="false">
              <v:fill type="solid"/>
            </v:rect>
            <v:line style="position:absolute" from="3929,59" to="11278,59" stroked="true" strokeweight=".96pt" strokecolor="#000000">
              <v:stroke dashstyle="solid"/>
            </v:line>
            <w10:wrap type="none"/>
          </v:group>
        </w:pict>
      </w:r>
      <w:r>
        <w:rPr>
          <w:w w:val="100"/>
        </w:rPr>
        <w:t> </w:t>
      </w:r>
      <w:r>
        <w:rPr/>
        <w:tab/>
      </w:r>
      <w:r>
        <w:rPr>
          <w:w w:val="100"/>
        </w:rPr>
        <w:t> </w:t>
      </w:r>
      <w:r>
        <w:rPr/>
        <w:tab/>
      </w:r>
      <w:r>
        <w:rPr>
          <w:w w:val="100"/>
        </w:rPr>
        <w:t> </w:t>
      </w:r>
    </w:p>
    <w:p>
      <w:pPr>
        <w:tabs>
          <w:tab w:pos="979" w:val="left" w:leader="none"/>
          <w:tab w:pos="2937" w:val="left" w:leader="none"/>
        </w:tabs>
        <w:spacing w:line="303" w:lineRule="exact" w:before="0"/>
        <w:ind w:left="223" w:right="0" w:firstLine="0"/>
        <w:jc w:val="left"/>
        <w:rPr>
          <w:sz w:val="21"/>
        </w:rPr>
      </w:pPr>
      <w:r>
        <w:rPr>
          <w:rFonts w:ascii="Microsoft JhengHei" w:eastAsia="Microsoft JhengHei" w:hint="eastAsia"/>
          <w:b/>
          <w:sz w:val="21"/>
        </w:rPr>
        <w:t>1.</w:t>
      </w:r>
      <w:r>
        <w:rPr>
          <w:rFonts w:ascii="Microsoft JhengHei" w:eastAsia="Microsoft JhengHei" w:hint="eastAsia"/>
          <w:b/>
          <w:spacing w:val="-33"/>
          <w:sz w:val="21"/>
        </w:rPr>
        <w:t> </w:t>
      </w:r>
      <w:r>
        <w:rPr>
          <w:rFonts w:ascii="Microsoft JhengHei" w:eastAsia="Microsoft JhengHei" w:hint="eastAsia"/>
          <w:b/>
          <w:sz w:val="21"/>
        </w:rPr>
        <w:t>1</w:t>
        <w:tab/>
        <w:t>合同构成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w:t>
      </w:r>
      <w:r>
        <w:rPr>
          <w:sz w:val="21"/>
        </w:rPr>
        <w:t>款</w:t>
      </w:r>
      <w:r>
        <w:rPr>
          <w:spacing w:val="-3"/>
          <w:sz w:val="21"/>
        </w:rPr>
        <w:t>、保</w:t>
      </w:r>
    </w:p>
    <w:p>
      <w:pPr>
        <w:pStyle w:val="BodyText"/>
        <w:spacing w:line="274" w:lineRule="exact" w:before="12"/>
        <w:ind w:left="2937" w:right="219"/>
      </w:pPr>
      <w:r>
        <w:rPr/>
        <w:t>险单或其他保险凭证、投保单、与本附加险合同有关的投保文件、合法有效的声明、批注、批单及其他您与我们共同认可的书面协议。 </w:t>
      </w:r>
    </w:p>
    <w:p>
      <w:pPr>
        <w:pStyle w:val="BodyText"/>
        <w:spacing w:line="246" w:lineRule="exact"/>
        <w:ind w:left="2937"/>
      </w:pPr>
      <w:r>
        <w:rPr/>
        <w:pict>
          <v:shape style="position:absolute;margin-left:62.66pt;margin-top:11.225pt;width:498.6pt;height:113.2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948"/>
                    <w:gridCol w:w="7446"/>
                  </w:tblGrid>
                  <w:tr>
                    <w:trPr>
                      <w:trHeight w:val="221" w:hRule="atLeast"/>
                    </w:trPr>
                    <w:tc>
                      <w:tcPr>
                        <w:tcW w:w="576" w:type="dxa"/>
                      </w:tcPr>
                      <w:p>
                        <w:pPr>
                          <w:pStyle w:val="TableParagraph"/>
                          <w:spacing w:line="202" w:lineRule="exact"/>
                          <w:ind w:left="50"/>
                          <w:rPr>
                            <w:sz w:val="21"/>
                          </w:rPr>
                        </w:pPr>
                        <w:r>
                          <w:rPr>
                            <w:w w:val="100"/>
                            <w:sz w:val="21"/>
                          </w:rPr>
                          <w:t> </w:t>
                        </w:r>
                      </w:p>
                    </w:tc>
                    <w:tc>
                      <w:tcPr>
                        <w:tcW w:w="1948" w:type="dxa"/>
                      </w:tcPr>
                      <w:p>
                        <w:pPr>
                          <w:pStyle w:val="TableParagraph"/>
                          <w:spacing w:line="202" w:lineRule="exact"/>
                          <w:ind w:left="230"/>
                          <w:rPr>
                            <w:sz w:val="21"/>
                          </w:rPr>
                        </w:pPr>
                        <w:r>
                          <w:rPr>
                            <w:w w:val="100"/>
                            <w:sz w:val="21"/>
                          </w:rPr>
                          <w:t> </w:t>
                        </w:r>
                      </w:p>
                    </w:tc>
                    <w:tc>
                      <w:tcPr>
                        <w:tcW w:w="7446" w:type="dxa"/>
                      </w:tcPr>
                      <w:p>
                        <w:pPr>
                          <w:pStyle w:val="TableParagraph"/>
                          <w:spacing w:line="202" w:lineRule="exact"/>
                          <w:ind w:left="240"/>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1. 2</w:t>
                        </w:r>
                      </w:p>
                    </w:tc>
                    <w:tc>
                      <w:tcPr>
                        <w:tcW w:w="1948"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合同成立与生效</w:t>
                        </w:r>
                      </w:p>
                    </w:tc>
                    <w:tc>
                      <w:tcPr>
                        <w:tcW w:w="7446" w:type="dxa"/>
                      </w:tcPr>
                      <w:p>
                        <w:pPr>
                          <w:pStyle w:val="TableParagraph"/>
                          <w:spacing w:line="231" w:lineRule="exact"/>
                          <w:ind w:left="240"/>
                          <w:rPr>
                            <w:sz w:val="21"/>
                          </w:rPr>
                        </w:pPr>
                        <w:r>
                          <w:rPr>
                            <w:sz w:val="21"/>
                          </w:rPr>
                          <w:t>您提出保险申请、我们同意承保，本附加险合同成立。自本附加险合同成立、</w:t>
                        </w:r>
                      </w:p>
                    </w:tc>
                  </w:tr>
                  <w:tr>
                    <w:trPr>
                      <w:trHeight w:val="264" w:hRule="atLeast"/>
                    </w:trPr>
                    <w:tc>
                      <w:tcPr>
                        <w:tcW w:w="576" w:type="dxa"/>
                      </w:tcPr>
                      <w:p>
                        <w:pPr>
                          <w:pStyle w:val="TableParagraph"/>
                          <w:rPr>
                            <w:rFonts w:ascii="Times New Roman"/>
                            <w:sz w:val="18"/>
                          </w:rPr>
                        </w:pPr>
                      </w:p>
                    </w:tc>
                    <w:tc>
                      <w:tcPr>
                        <w:tcW w:w="1948" w:type="dxa"/>
                      </w:tcPr>
                      <w:p>
                        <w:pPr>
                          <w:pStyle w:val="TableParagraph"/>
                          <w:rPr>
                            <w:rFonts w:ascii="Times New Roman"/>
                            <w:sz w:val="18"/>
                          </w:rPr>
                        </w:pPr>
                      </w:p>
                    </w:tc>
                    <w:tc>
                      <w:tcPr>
                        <w:tcW w:w="7446" w:type="dxa"/>
                      </w:tcPr>
                      <w:p>
                        <w:pPr>
                          <w:pStyle w:val="TableParagraph"/>
                          <w:spacing w:line="235" w:lineRule="exact"/>
                          <w:ind w:left="240"/>
                          <w:rPr>
                            <w:sz w:val="21"/>
                          </w:rPr>
                        </w:pPr>
                        <w:r>
                          <w:rPr>
                            <w:sz w:val="21"/>
                          </w:rPr>
                          <w:t>我们签发保险单或在保险单中批注的次日零时起本附加险合同生效。</w:t>
                        </w:r>
                      </w:p>
                    </w:tc>
                  </w:tr>
                  <w:tr>
                    <w:trPr>
                      <w:trHeight w:val="272" w:hRule="atLeast"/>
                    </w:trPr>
                    <w:tc>
                      <w:tcPr>
                        <w:tcW w:w="576" w:type="dxa"/>
                      </w:tcPr>
                      <w:p>
                        <w:pPr>
                          <w:pStyle w:val="TableParagraph"/>
                          <w:rPr>
                            <w:rFonts w:ascii="Times New Roman"/>
                            <w:sz w:val="20"/>
                          </w:rPr>
                        </w:pPr>
                      </w:p>
                    </w:tc>
                    <w:tc>
                      <w:tcPr>
                        <w:tcW w:w="1948" w:type="dxa"/>
                      </w:tcPr>
                      <w:p>
                        <w:pPr>
                          <w:pStyle w:val="TableParagraph"/>
                          <w:rPr>
                            <w:rFonts w:ascii="Times New Roman"/>
                            <w:sz w:val="20"/>
                          </w:rPr>
                        </w:pPr>
                      </w:p>
                    </w:tc>
                    <w:tc>
                      <w:tcPr>
                        <w:tcW w:w="7446" w:type="dxa"/>
                      </w:tcPr>
                      <w:p>
                        <w:pPr>
                          <w:pStyle w:val="TableParagraph"/>
                          <w:spacing w:line="241" w:lineRule="exact"/>
                          <w:ind w:left="240"/>
                          <w:rPr>
                            <w:sz w:val="21"/>
                          </w:rPr>
                        </w:pPr>
                        <w:r>
                          <w:rPr>
                            <w:sz w:val="21"/>
                          </w:rPr>
                          <w:t>若您在投保主险合同时，同时投保本附加险合同，则本附加险合同的成立日和</w:t>
                        </w:r>
                      </w:p>
                    </w:tc>
                  </w:tr>
                  <w:tr>
                    <w:trPr>
                      <w:trHeight w:val="272" w:hRule="atLeast"/>
                    </w:trPr>
                    <w:tc>
                      <w:tcPr>
                        <w:tcW w:w="576" w:type="dxa"/>
                      </w:tcPr>
                      <w:p>
                        <w:pPr>
                          <w:pStyle w:val="TableParagraph"/>
                          <w:rPr>
                            <w:rFonts w:ascii="Times New Roman"/>
                            <w:sz w:val="20"/>
                          </w:rPr>
                        </w:pPr>
                      </w:p>
                    </w:tc>
                    <w:tc>
                      <w:tcPr>
                        <w:tcW w:w="1948" w:type="dxa"/>
                      </w:tcPr>
                      <w:p>
                        <w:pPr>
                          <w:pStyle w:val="TableParagraph"/>
                          <w:rPr>
                            <w:rFonts w:ascii="Times New Roman"/>
                            <w:sz w:val="20"/>
                          </w:rPr>
                        </w:pPr>
                      </w:p>
                    </w:tc>
                    <w:tc>
                      <w:tcPr>
                        <w:tcW w:w="7446" w:type="dxa"/>
                      </w:tcPr>
                      <w:p>
                        <w:pPr>
                          <w:pStyle w:val="TableParagraph"/>
                          <w:spacing w:line="242" w:lineRule="exact"/>
                          <w:ind w:left="240"/>
                          <w:rPr>
                            <w:sz w:val="21"/>
                          </w:rPr>
                        </w:pPr>
                        <w:r>
                          <w:rPr>
                            <w:sz w:val="21"/>
                          </w:rPr>
                          <w:t>生效日与主险合同相同；若您在主险合同有效期内投保本附加险合同，则本附</w:t>
                        </w:r>
                      </w:p>
                    </w:tc>
                  </w:tr>
                  <w:tr>
                    <w:trPr>
                      <w:trHeight w:val="241" w:hRule="atLeast"/>
                    </w:trPr>
                    <w:tc>
                      <w:tcPr>
                        <w:tcW w:w="576" w:type="dxa"/>
                      </w:tcPr>
                      <w:p>
                        <w:pPr>
                          <w:pStyle w:val="TableParagraph"/>
                          <w:rPr>
                            <w:rFonts w:ascii="Times New Roman"/>
                            <w:sz w:val="16"/>
                          </w:rPr>
                        </w:pPr>
                      </w:p>
                    </w:tc>
                    <w:tc>
                      <w:tcPr>
                        <w:tcW w:w="1948" w:type="dxa"/>
                      </w:tcPr>
                      <w:p>
                        <w:pPr>
                          <w:pStyle w:val="TableParagraph"/>
                          <w:rPr>
                            <w:rFonts w:ascii="Times New Roman"/>
                            <w:sz w:val="16"/>
                          </w:rPr>
                        </w:pPr>
                      </w:p>
                    </w:tc>
                    <w:tc>
                      <w:tcPr>
                        <w:tcW w:w="7446" w:type="dxa"/>
                      </w:tcPr>
                      <w:p>
                        <w:pPr>
                          <w:pStyle w:val="TableParagraph"/>
                          <w:spacing w:line="221" w:lineRule="exact"/>
                          <w:ind w:left="240"/>
                          <w:rPr>
                            <w:sz w:val="21"/>
                          </w:rPr>
                        </w:pPr>
                        <w:r>
                          <w:rPr>
                            <w:sz w:val="21"/>
                          </w:rPr>
                          <w:t>加险合同的成立日和生效日以我们在保险单中批注的为准。</w:t>
                        </w:r>
                      </w:p>
                    </w:tc>
                  </w:tr>
                  <w:tr>
                    <w:trPr>
                      <w:trHeight w:val="472" w:hRule="atLeast"/>
                    </w:trPr>
                    <w:tc>
                      <w:tcPr>
                        <w:tcW w:w="576" w:type="dxa"/>
                      </w:tcPr>
                      <w:p>
                        <w:pPr>
                          <w:pStyle w:val="TableParagraph"/>
                          <w:spacing w:before="2"/>
                          <w:rPr>
                            <w:sz w:val="14"/>
                          </w:rPr>
                        </w:pPr>
                      </w:p>
                      <w:p>
                        <w:pPr>
                          <w:pStyle w:val="TableParagraph"/>
                          <w:spacing w:line="267" w:lineRule="exact"/>
                          <w:ind w:left="50"/>
                          <w:rPr>
                            <w:sz w:val="21"/>
                          </w:rPr>
                        </w:pPr>
                        <w:r>
                          <w:rPr>
                            <w:w w:val="100"/>
                            <w:sz w:val="21"/>
                          </w:rPr>
                          <w:t> </w:t>
                        </w:r>
                      </w:p>
                    </w:tc>
                    <w:tc>
                      <w:tcPr>
                        <w:tcW w:w="1948" w:type="dxa"/>
                      </w:tcPr>
                      <w:p>
                        <w:pPr>
                          <w:pStyle w:val="TableParagraph"/>
                          <w:spacing w:before="2"/>
                          <w:rPr>
                            <w:sz w:val="14"/>
                          </w:rPr>
                        </w:pPr>
                      </w:p>
                      <w:p>
                        <w:pPr>
                          <w:pStyle w:val="TableParagraph"/>
                          <w:spacing w:line="267" w:lineRule="exact"/>
                          <w:ind w:left="230"/>
                          <w:rPr>
                            <w:sz w:val="21"/>
                          </w:rPr>
                        </w:pPr>
                        <w:r>
                          <w:rPr>
                            <w:w w:val="100"/>
                            <w:sz w:val="21"/>
                          </w:rPr>
                          <w:t> </w:t>
                        </w:r>
                      </w:p>
                    </w:tc>
                    <w:tc>
                      <w:tcPr>
                        <w:tcW w:w="7446" w:type="dxa"/>
                      </w:tcPr>
                      <w:p>
                        <w:pPr>
                          <w:pStyle w:val="TableParagraph"/>
                          <w:spacing w:line="273" w:lineRule="exact"/>
                          <w:ind w:left="240"/>
                          <w:rPr>
                            <w:sz w:val="21"/>
                          </w:rPr>
                        </w:pPr>
                        <w:r>
                          <w:rPr>
                            <w:sz w:val="21"/>
                          </w:rPr>
                          <w:t>本附加险合同的保单年度、保单周年日与主险合同相同。</w:t>
                        </w:r>
                      </w:p>
                    </w:tc>
                  </w:tr>
                  <w:tr>
                    <w:trPr>
                      <w:trHeight w:val="247" w:hRule="atLeast"/>
                    </w:trPr>
                    <w:tc>
                      <w:tcPr>
                        <w:tcW w:w="576" w:type="dxa"/>
                      </w:tcPr>
                      <w:p>
                        <w:pPr>
                          <w:pStyle w:val="TableParagraph"/>
                          <w:spacing w:line="228" w:lineRule="exact"/>
                          <w:ind w:left="50"/>
                          <w:rPr>
                            <w:rFonts w:ascii="Microsoft JhengHei"/>
                            <w:b/>
                            <w:sz w:val="21"/>
                          </w:rPr>
                        </w:pPr>
                        <w:r>
                          <w:rPr>
                            <w:rFonts w:ascii="Microsoft JhengHei"/>
                            <w:b/>
                            <w:w w:val="90"/>
                            <w:sz w:val="21"/>
                          </w:rPr>
                          <w:t>1. 3</w:t>
                        </w:r>
                      </w:p>
                    </w:tc>
                    <w:tc>
                      <w:tcPr>
                        <w:tcW w:w="1948" w:type="dxa"/>
                      </w:tcPr>
                      <w:p>
                        <w:pPr>
                          <w:pStyle w:val="TableParagraph"/>
                          <w:spacing w:line="228" w:lineRule="exact"/>
                          <w:ind w:left="230"/>
                          <w:rPr>
                            <w:sz w:val="21"/>
                          </w:rPr>
                        </w:pPr>
                        <w:r>
                          <w:rPr>
                            <w:rFonts w:ascii="Microsoft JhengHei" w:eastAsia="Microsoft JhengHei" w:hint="eastAsia"/>
                            <w:b/>
                            <w:sz w:val="21"/>
                          </w:rPr>
                          <w:t>投保年龄</w:t>
                        </w:r>
                        <w:r>
                          <w:rPr>
                            <w:sz w:val="21"/>
                          </w:rPr>
                          <w:t> </w:t>
                        </w:r>
                      </w:p>
                    </w:tc>
                    <w:tc>
                      <w:tcPr>
                        <w:tcW w:w="7446" w:type="dxa"/>
                      </w:tcPr>
                      <w:p>
                        <w:pPr>
                          <w:pStyle w:val="TableParagraph"/>
                          <w:spacing w:line="228" w:lineRule="exact"/>
                          <w:ind w:left="240"/>
                          <w:rPr>
                            <w:sz w:val="21"/>
                          </w:rPr>
                        </w:pPr>
                        <w:r>
                          <w:rPr>
                            <w:spacing w:val="-4"/>
                            <w:sz w:val="21"/>
                          </w:rPr>
                          <w:t>指投保时被保险人的年龄，投保年龄以</w:t>
                        </w:r>
                        <w:r>
                          <w:rPr>
                            <w:rFonts w:ascii="Microsoft JhengHei" w:eastAsia="Microsoft JhengHei" w:hint="eastAsia"/>
                            <w:b/>
                            <w:spacing w:val="-5"/>
                            <w:sz w:val="21"/>
                          </w:rPr>
                          <w:t>周岁</w:t>
                        </w:r>
                        <w:r>
                          <w:rPr>
                            <w:spacing w:val="-3"/>
                            <w:sz w:val="21"/>
                          </w:rPr>
                          <w:t>（</w:t>
                        </w:r>
                        <w:r>
                          <w:rPr>
                            <w:spacing w:val="-6"/>
                            <w:sz w:val="21"/>
                          </w:rPr>
                          <w:t>见 </w:t>
                        </w:r>
                        <w:r>
                          <w:rPr>
                            <w:spacing w:val="-4"/>
                            <w:sz w:val="21"/>
                          </w:rPr>
                          <w:t>10.1）计算，本附加险合同接</w:t>
                        </w:r>
                      </w:p>
                    </w:tc>
                  </w:tr>
                </w:tbl>
                <w:p>
                  <w:pPr>
                    <w:pStyle w:val="BodyText"/>
                    <w:spacing w:line="240" w:lineRule="auto"/>
                    <w:ind w:left="0"/>
                  </w:pPr>
                </w:p>
              </w:txbxContent>
            </v:textbox>
            <w10:wrap type="none"/>
          </v:shape>
        </w:pict>
      </w:r>
      <w:r>
        <w:rPr/>
        <w:t>若主险合同的规定与本附加险合同的规定相抵触，以本附加险合同的规定为准。 </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12"/>
        <w:ind w:left="0"/>
        <w:rPr>
          <w:sz w:val="29"/>
        </w:rPr>
      </w:pPr>
    </w:p>
    <w:p>
      <w:pPr>
        <w:pStyle w:val="BodyText"/>
        <w:spacing w:line="240" w:lineRule="auto"/>
        <w:ind w:left="2937"/>
      </w:pPr>
      <w:r>
        <w:rPr/>
        <w:t>受的投保年龄为 0 周岁（指出生满 30 日的婴儿）至 55 周岁。 </w:t>
      </w:r>
    </w:p>
    <w:p>
      <w:pPr>
        <w:pStyle w:val="BodyText"/>
        <w:spacing w:line="240" w:lineRule="auto" w:before="6"/>
        <w:ind w:left="0"/>
        <w:rPr>
          <w:sz w:val="8"/>
        </w:rPr>
      </w:pPr>
    </w:p>
    <w:p>
      <w:pPr>
        <w:pStyle w:val="BodyText"/>
        <w:tabs>
          <w:tab w:pos="979" w:val="left" w:leader="none"/>
          <w:tab w:pos="2937" w:val="left" w:leader="none"/>
        </w:tabs>
        <w:spacing w:line="228" w:lineRule="auto"/>
        <w:ind w:left="2937" w:right="102" w:hanging="2715"/>
      </w:pPr>
      <w:r>
        <w:rPr>
          <w:rFonts w:ascii="Microsoft JhengHei" w:eastAsia="Microsoft JhengHei" w:hint="eastAsia"/>
          <w:b/>
        </w:rPr>
        <w:t>1.</w:t>
      </w:r>
      <w:r>
        <w:rPr>
          <w:rFonts w:ascii="Microsoft JhengHei" w:eastAsia="Microsoft JhengHei" w:hint="eastAsia"/>
          <w:b/>
          <w:spacing w:val="-33"/>
        </w:rPr>
        <w:t> </w:t>
      </w:r>
      <w:r>
        <w:rPr>
          <w:rFonts w:ascii="Microsoft JhengHei" w:eastAsia="Microsoft JhengHei" w:hint="eastAsia"/>
          <w:b/>
        </w:rPr>
        <w:t>4</w:t>
        <w:tab/>
        <w:t>犹豫期</w:t>
        <w:tab/>
      </w:r>
      <w:r>
        <w:rPr/>
        <w:t>自您</w:t>
      </w:r>
      <w:r>
        <w:rPr>
          <w:spacing w:val="-3"/>
        </w:rPr>
        <w:t>签</w:t>
      </w:r>
      <w:r>
        <w:rPr/>
        <w:t>收</w:t>
      </w:r>
      <w:r>
        <w:rPr>
          <w:spacing w:val="-3"/>
        </w:rPr>
        <w:t>本</w:t>
      </w:r>
      <w:r>
        <w:rPr/>
        <w:t>附</w:t>
      </w:r>
      <w:r>
        <w:rPr>
          <w:spacing w:val="-3"/>
        </w:rPr>
        <w:t>加</w:t>
      </w:r>
      <w:r>
        <w:rPr/>
        <w:t>险</w:t>
      </w:r>
      <w:r>
        <w:rPr>
          <w:spacing w:val="-3"/>
        </w:rPr>
        <w:t>合</w:t>
      </w:r>
      <w:r>
        <w:rPr/>
        <w:t>同</w:t>
      </w:r>
      <w:r>
        <w:rPr>
          <w:spacing w:val="-3"/>
        </w:rPr>
        <w:t>之</w:t>
      </w:r>
      <w:r>
        <w:rPr/>
        <w:t>日</w:t>
      </w:r>
      <w:r>
        <w:rPr>
          <w:spacing w:val="-3"/>
        </w:rPr>
        <w:t>起</w:t>
      </w:r>
      <w:r>
        <w:rPr>
          <w:spacing w:val="-99"/>
        </w:rPr>
        <w:t>，</w:t>
      </w:r>
      <w:r>
        <w:rPr/>
        <w:t>有</w:t>
      </w:r>
      <w:r>
        <w:rPr>
          <w:spacing w:val="-35"/>
        </w:rPr>
        <w:t> </w:t>
      </w:r>
      <w:r>
        <w:rPr/>
        <w:t>10</w:t>
      </w:r>
      <w:r>
        <w:rPr>
          <w:spacing w:val="-32"/>
        </w:rPr>
        <w:t> </w:t>
      </w:r>
      <w:r>
        <w:rPr>
          <w:spacing w:val="-3"/>
        </w:rPr>
        <w:t>日</w:t>
      </w:r>
      <w:r>
        <w:rPr/>
        <w:t>的</w:t>
      </w:r>
      <w:r>
        <w:rPr>
          <w:spacing w:val="-3"/>
        </w:rPr>
        <w:t>犹</w:t>
      </w:r>
      <w:r>
        <w:rPr/>
        <w:t>豫</w:t>
      </w:r>
      <w:r>
        <w:rPr>
          <w:spacing w:val="-3"/>
        </w:rPr>
        <w:t>期</w:t>
      </w:r>
      <w:r>
        <w:rPr>
          <w:spacing w:val="-101"/>
        </w:rPr>
        <w:t>。</w:t>
      </w:r>
      <w:r>
        <w:rPr>
          <w:spacing w:val="-3"/>
        </w:rPr>
        <w:t>请</w:t>
      </w:r>
      <w:r>
        <w:rPr/>
        <w:t>您认</w:t>
      </w:r>
      <w:r>
        <w:rPr>
          <w:spacing w:val="-3"/>
        </w:rPr>
        <w:t>真</w:t>
      </w:r>
      <w:r>
        <w:rPr/>
        <w:t>审</w:t>
      </w:r>
      <w:r>
        <w:rPr>
          <w:spacing w:val="-3"/>
        </w:rPr>
        <w:t>视</w:t>
      </w:r>
      <w:r>
        <w:rPr/>
        <w:t>本</w:t>
      </w:r>
      <w:r>
        <w:rPr>
          <w:spacing w:val="-3"/>
        </w:rPr>
        <w:t>附</w:t>
      </w:r>
      <w:r>
        <w:rPr/>
        <w:t>加</w:t>
      </w:r>
      <w:r>
        <w:rPr>
          <w:spacing w:val="-3"/>
        </w:rPr>
        <w:t>险</w:t>
      </w:r>
      <w:r>
        <w:rPr/>
        <w:t>合</w:t>
      </w:r>
      <w:r>
        <w:rPr>
          <w:spacing w:val="-3"/>
        </w:rPr>
        <w:t>同，</w:t>
      </w:r>
      <w:r>
        <w:rPr/>
        <w:t>如果</w:t>
      </w:r>
      <w:r>
        <w:rPr>
          <w:spacing w:val="-3"/>
        </w:rPr>
        <w:t>您</w:t>
      </w:r>
      <w:r>
        <w:rPr/>
        <w:t>认</w:t>
      </w:r>
      <w:r>
        <w:rPr>
          <w:spacing w:val="-3"/>
        </w:rPr>
        <w:t>为</w:t>
      </w:r>
      <w:r>
        <w:rPr/>
        <w:t>本</w:t>
      </w:r>
      <w:r>
        <w:rPr>
          <w:spacing w:val="-3"/>
        </w:rPr>
        <w:t>附</w:t>
      </w:r>
      <w:r>
        <w:rPr/>
        <w:t>加</w:t>
      </w:r>
      <w:r>
        <w:rPr>
          <w:spacing w:val="-3"/>
        </w:rPr>
        <w:t>险</w:t>
      </w:r>
      <w:r>
        <w:rPr/>
        <w:t>合</w:t>
      </w:r>
      <w:r>
        <w:rPr>
          <w:spacing w:val="-3"/>
        </w:rPr>
        <w:t>同</w:t>
      </w:r>
      <w:r>
        <w:rPr/>
        <w:t>与您</w:t>
      </w:r>
      <w:r>
        <w:rPr>
          <w:spacing w:val="-3"/>
        </w:rPr>
        <w:t>的</w:t>
      </w:r>
      <w:r>
        <w:rPr/>
        <w:t>需</w:t>
      </w:r>
      <w:r>
        <w:rPr>
          <w:spacing w:val="-3"/>
        </w:rPr>
        <w:t>求</w:t>
      </w:r>
      <w:r>
        <w:rPr/>
        <w:t>不</w:t>
      </w:r>
      <w:r>
        <w:rPr>
          <w:spacing w:val="-3"/>
        </w:rPr>
        <w:t>相</w:t>
      </w:r>
      <w:r>
        <w:rPr/>
        <w:t>符</w:t>
      </w:r>
      <w:r>
        <w:rPr>
          <w:spacing w:val="-3"/>
        </w:rPr>
        <w:t>，</w:t>
      </w:r>
      <w:r>
        <w:rPr/>
        <w:t>您</w:t>
      </w:r>
      <w:r>
        <w:rPr>
          <w:spacing w:val="-3"/>
        </w:rPr>
        <w:t>可</w:t>
      </w:r>
      <w:r>
        <w:rPr/>
        <w:t>以在</w:t>
      </w:r>
      <w:r>
        <w:rPr>
          <w:spacing w:val="-3"/>
        </w:rPr>
        <w:t>此</w:t>
      </w:r>
      <w:r>
        <w:rPr/>
        <w:t>期</w:t>
      </w:r>
      <w:r>
        <w:rPr>
          <w:spacing w:val="-3"/>
        </w:rPr>
        <w:t>间</w:t>
      </w:r>
      <w:r>
        <w:rPr/>
        <w:t>提</w:t>
      </w:r>
      <w:r>
        <w:rPr>
          <w:spacing w:val="-3"/>
        </w:rPr>
        <w:t>出</w:t>
      </w:r>
      <w:r>
        <w:rPr/>
        <w:t>解</w:t>
      </w:r>
      <w:r>
        <w:rPr>
          <w:spacing w:val="-3"/>
        </w:rPr>
        <w:t>除</w:t>
      </w:r>
      <w:r>
        <w:rPr/>
        <w:t>本</w:t>
      </w:r>
      <w:r>
        <w:rPr>
          <w:spacing w:val="-3"/>
        </w:rPr>
        <w:t>附加</w:t>
      </w:r>
      <w:r>
        <w:rPr/>
        <w:t>险合</w:t>
      </w:r>
      <w:r>
        <w:rPr>
          <w:spacing w:val="-3"/>
        </w:rPr>
        <w:t>同</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p>
    <w:p>
      <w:pPr>
        <w:spacing w:line="177" w:lineRule="auto" w:before="29"/>
        <w:ind w:left="2937" w:right="210" w:firstLine="0"/>
        <w:jc w:val="both"/>
        <w:rPr>
          <w:rFonts w:ascii="Microsoft JhengHei" w:eastAsia="Microsoft JhengHei" w:hint="eastAsia"/>
          <w:b/>
          <w:sz w:val="21"/>
        </w:rPr>
      </w:pPr>
      <w:r>
        <w:rPr>
          <w:spacing w:val="-3"/>
          <w:sz w:val="21"/>
        </w:rPr>
        <w:t>解除本附加险合同时，您需要填写申请书，并提供您的保险合同及</w:t>
      </w:r>
      <w:r>
        <w:rPr>
          <w:rFonts w:ascii="Microsoft JhengHei" w:eastAsia="Microsoft JhengHei" w:hint="eastAsia"/>
          <w:b/>
          <w:spacing w:val="-2"/>
          <w:sz w:val="21"/>
        </w:rPr>
        <w:t>有效身份证</w:t>
      </w:r>
      <w:r>
        <w:rPr>
          <w:rFonts w:ascii="Microsoft JhengHei" w:eastAsia="Microsoft JhengHei" w:hint="eastAsia"/>
          <w:b/>
          <w:w w:val="100"/>
          <w:sz w:val="21"/>
        </w:rPr>
        <w:t>件</w:t>
      </w:r>
      <w:r>
        <w:rPr>
          <w:w w:val="100"/>
          <w:sz w:val="21"/>
        </w:rPr>
        <w:t>（见</w:t>
      </w:r>
      <w:r>
        <w:rPr>
          <w:spacing w:val="-55"/>
          <w:sz w:val="21"/>
        </w:rPr>
        <w:t> </w:t>
      </w:r>
      <w:r>
        <w:rPr>
          <w:w w:val="100"/>
          <w:sz w:val="21"/>
        </w:rPr>
        <w:t>10.2</w:t>
      </w:r>
      <w:r>
        <w:rPr>
          <w:spacing w:val="-108"/>
          <w:w w:val="100"/>
          <w:sz w:val="21"/>
        </w:rPr>
        <w:t>）</w:t>
      </w:r>
      <w:r>
        <w:rPr>
          <w:spacing w:val="-3"/>
          <w:w w:val="100"/>
          <w:sz w:val="21"/>
        </w:rPr>
        <w:t>。</w:t>
      </w:r>
      <w:r>
        <w:rPr>
          <w:rFonts w:ascii="Microsoft JhengHei" w:eastAsia="Microsoft JhengHei" w:hint="eastAsia"/>
          <w:b/>
          <w:spacing w:val="-3"/>
          <w:w w:val="100"/>
          <w:sz w:val="21"/>
        </w:rPr>
        <w:t>自我们收到您解除合同的书面申请时起，本附加险合同即被解</w:t>
      </w:r>
      <w:r>
        <w:rPr>
          <w:rFonts w:ascii="Microsoft JhengHei" w:eastAsia="Microsoft JhengHei" w:hint="eastAsia"/>
          <w:b/>
          <w:spacing w:val="-4"/>
          <w:sz w:val="21"/>
        </w:rPr>
        <w:t>除，合同解除前发生的保险事故我们不承担保险责任，我们会将本附加险合同</w:t>
      </w:r>
      <w:r>
        <w:rPr>
          <w:rFonts w:ascii="Microsoft JhengHei" w:eastAsia="Microsoft JhengHei" w:hint="eastAsia"/>
          <w:b/>
          <w:spacing w:val="-2"/>
          <w:sz w:val="21"/>
        </w:rPr>
        <w:t>已收取的保险费退还至万能账户</w:t>
      </w:r>
      <w:r>
        <w:rPr>
          <w:rFonts w:ascii="Microsoft JhengHei" w:eastAsia="Microsoft JhengHei" w:hint="eastAsia"/>
          <w:b/>
          <w:sz w:val="21"/>
        </w:rPr>
        <w:t>（</w:t>
      </w:r>
      <w:r>
        <w:rPr>
          <w:rFonts w:ascii="Microsoft JhengHei" w:eastAsia="Microsoft JhengHei" w:hint="eastAsia"/>
          <w:b/>
          <w:spacing w:val="-8"/>
          <w:sz w:val="21"/>
        </w:rPr>
        <w:t>见 </w:t>
      </w:r>
      <w:r>
        <w:rPr>
          <w:rFonts w:ascii="Microsoft JhengHei" w:eastAsia="Microsoft JhengHei" w:hint="eastAsia"/>
          <w:b/>
          <w:sz w:val="21"/>
        </w:rPr>
        <w:t>10</w:t>
      </w:r>
      <w:r>
        <w:rPr>
          <w:rFonts w:ascii="Microsoft JhengHei" w:eastAsia="Microsoft JhengHei" w:hint="eastAsia"/>
          <w:b/>
          <w:spacing w:val="-19"/>
          <w:sz w:val="21"/>
        </w:rPr>
        <w:t>. </w:t>
      </w:r>
      <w:r>
        <w:rPr>
          <w:rFonts w:ascii="Microsoft JhengHei" w:eastAsia="Microsoft JhengHei" w:hint="eastAsia"/>
          <w:b/>
          <w:sz w:val="21"/>
        </w:rPr>
        <w:t>3 </w:t>
      </w:r>
      <w:r>
        <w:rPr>
          <w:rFonts w:ascii="Microsoft JhengHei" w:eastAsia="Microsoft JhengHei" w:hint="eastAsia"/>
          <w:b/>
          <w:spacing w:val="-106"/>
          <w:sz w:val="21"/>
        </w:rPr>
        <w:t>）。</w:t>
      </w:r>
    </w:p>
    <w:p>
      <w:pPr>
        <w:pStyle w:val="BodyText"/>
        <w:tabs>
          <w:tab w:pos="979" w:val="left" w:leader="none"/>
          <w:tab w:pos="2937" w:val="left" w:leader="none"/>
        </w:tabs>
        <w:spacing w:line="136" w:lineRule="exact"/>
        <w:ind w:left="223"/>
      </w:pPr>
      <w:r>
        <w:rPr>
          <w:w w:val="100"/>
        </w:rPr>
        <w:t> </w:t>
      </w:r>
      <w:r>
        <w:rPr/>
        <w:tab/>
      </w:r>
      <w:r>
        <w:rPr>
          <w:w w:val="100"/>
        </w:rPr>
        <w:t> </w:t>
      </w:r>
      <w:r>
        <w:rPr/>
        <w:tab/>
      </w:r>
      <w:r>
        <w:rPr>
          <w:w w:val="100"/>
        </w:rPr>
        <w:t> </w:t>
      </w:r>
    </w:p>
    <w:p>
      <w:pPr>
        <w:pStyle w:val="Heading2"/>
        <w:numPr>
          <w:ilvl w:val="0"/>
          <w:numId w:val="4"/>
        </w:numPr>
        <w:tabs>
          <w:tab w:pos="979" w:val="left" w:leader="none"/>
          <w:tab w:pos="980" w:val="left" w:leader="none"/>
        </w:tabs>
        <w:spacing w:line="419" w:lineRule="exact" w:before="0" w:after="0"/>
        <w:ind w:left="979" w:right="0" w:hanging="752"/>
        <w:jc w:val="left"/>
      </w:pPr>
      <w:r>
        <w:rPr/>
        <w:pict>
          <v:group style="position:absolute;margin-left:59.759998pt;margin-top:22.69854pt;width:504.15pt;height:1pt;mso-position-horizontal-relative:page;mso-position-vertical-relative:paragraph;z-index:1072;mso-wrap-distance-left:0;mso-wrap-distance-right:0" coordorigin="1195,454" coordsize="10083,20">
            <v:line style="position:absolute" from="1195,464" to="1954,464" stroked="true" strokeweight=".96pt" strokecolor="#000000">
              <v:stroke dashstyle="solid"/>
            </v:line>
            <v:rect style="position:absolute;left:1953;top:453;width:20;height:20" filled="true" fillcolor="#000000" stroked="false">
              <v:fill type="solid"/>
            </v:rect>
            <v:line style="position:absolute" from="1973,464" to="3910,464" stroked="true" strokeweight=".96pt" strokecolor="#000000">
              <v:stroke dashstyle="solid"/>
            </v:line>
            <v:rect style="position:absolute;left:3909;top:453;width:20;height:20" filled="true" fillcolor="#000000" stroked="false">
              <v:fill type="solid"/>
            </v:rect>
            <v:line style="position:absolute" from="3929,464" to="11278,464" stroked="true" strokeweight=".96pt" strokecolor="#000000">
              <v:stroke dashstyle="solid"/>
            </v:line>
            <w10:wrap type="topAndBottom"/>
          </v:group>
        </w:pict>
      </w:r>
      <w:r>
        <w:rPr/>
        <w:t>我们提供的保障</w:t>
      </w:r>
    </w:p>
    <w:p>
      <w:pPr>
        <w:pStyle w:val="BodyText"/>
        <w:spacing w:line="162" w:lineRule="exact"/>
        <w:ind w:left="2937"/>
      </w:pPr>
      <w:r>
        <w:rPr>
          <w:w w:val="100"/>
        </w:rPr>
        <w:t> </w:t>
      </w:r>
    </w:p>
    <w:p>
      <w:pPr>
        <w:tabs>
          <w:tab w:pos="979" w:val="left" w:leader="none"/>
          <w:tab w:pos="2937" w:val="left" w:leader="none"/>
        </w:tabs>
        <w:spacing w:line="305" w:lineRule="exact" w:before="0"/>
        <w:ind w:left="223" w:right="0" w:firstLine="0"/>
        <w:jc w:val="left"/>
        <w:rPr>
          <w:sz w:val="21"/>
        </w:rPr>
      </w:pPr>
      <w:r>
        <w:rPr>
          <w:rFonts w:ascii="Microsoft JhengHei" w:eastAsia="Microsoft JhengHei" w:hint="eastAsia"/>
          <w:b/>
          <w:sz w:val="21"/>
        </w:rPr>
        <w:t>2.</w:t>
      </w:r>
      <w:r>
        <w:rPr>
          <w:rFonts w:ascii="Microsoft JhengHei" w:eastAsia="Microsoft JhengHei" w:hint="eastAsia"/>
          <w:b/>
          <w:spacing w:val="-33"/>
          <w:sz w:val="21"/>
        </w:rPr>
        <w:t> </w:t>
      </w:r>
      <w:r>
        <w:rPr>
          <w:rFonts w:ascii="Microsoft JhengHei" w:eastAsia="Microsoft JhengHei" w:hint="eastAsia"/>
          <w:b/>
          <w:sz w:val="21"/>
        </w:rPr>
        <w:t>1</w:t>
        <w:tab/>
        <w:t>保险金额</w:t>
        <w:tab/>
      </w:r>
      <w:r>
        <w:rPr>
          <w:spacing w:val="-1"/>
          <w:sz w:val="21"/>
        </w:rPr>
        <w:t>（1）</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37" w:lineRule="auto"/>
        <w:ind w:left="2937" w:right="208"/>
      </w:pPr>
      <w:r>
        <w:rPr/>
        <w:t>本附加险合同的基本保险金额由您在投保时与我们约定并在保险单上载明。若该金额发生变更，则以变更后的金额为基本保险金额。 </w:t>
      </w:r>
    </w:p>
    <w:p>
      <w:pPr>
        <w:pStyle w:val="BodyText"/>
        <w:spacing w:before="9"/>
        <w:ind w:left="2937"/>
      </w:pPr>
      <w:r>
        <w:rPr/>
        <w:t>（2）保险金额 </w:t>
      </w:r>
    </w:p>
    <w:p>
      <w:pPr>
        <w:pStyle w:val="BodyText"/>
        <w:spacing w:line="271" w:lineRule="exact"/>
        <w:ind w:left="2937"/>
      </w:pPr>
      <w:r>
        <w:rPr/>
        <w:t>保险金额是指我们根据本附加险合同承担赔偿或者给付保险金责任的最高限</w:t>
      </w:r>
    </w:p>
    <w:p>
      <w:pPr>
        <w:pStyle w:val="BodyText"/>
        <w:spacing w:line="273" w:lineRule="exact"/>
        <w:ind w:left="2937"/>
      </w:pPr>
      <w:r>
        <w:rPr/>
        <w:pict>
          <v:shape style="position:absolute;margin-left:62.66pt;margin-top:12.578556pt;width:498.7pt;height:182.9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44"/>
                  </w:tblGrid>
                  <w:tr>
                    <w:trPr>
                      <w:trHeight w:val="493" w:hRule="atLeast"/>
                    </w:trPr>
                    <w:tc>
                      <w:tcPr>
                        <w:tcW w:w="576" w:type="dxa"/>
                      </w:tcPr>
                      <w:p>
                        <w:pPr>
                          <w:pStyle w:val="TableParagraph"/>
                          <w:spacing w:line="163" w:lineRule="exact"/>
                          <w:ind w:left="50"/>
                          <w:rPr>
                            <w:sz w:val="21"/>
                          </w:rPr>
                        </w:pPr>
                        <w:r>
                          <w:rPr>
                            <w:w w:val="100"/>
                            <w:sz w:val="21"/>
                          </w:rPr>
                          <w:t> </w:t>
                        </w:r>
                      </w:p>
                      <w:p>
                        <w:pPr>
                          <w:pStyle w:val="TableParagraph"/>
                          <w:spacing w:line="311" w:lineRule="exact"/>
                          <w:ind w:left="50"/>
                          <w:rPr>
                            <w:rFonts w:ascii="Microsoft JhengHei"/>
                            <w:b/>
                            <w:sz w:val="21"/>
                          </w:rPr>
                        </w:pPr>
                        <w:r>
                          <w:rPr>
                            <w:rFonts w:ascii="Microsoft JhengHei"/>
                            <w:b/>
                            <w:w w:val="90"/>
                            <w:sz w:val="21"/>
                          </w:rPr>
                          <w:t>2. 2</w:t>
                        </w:r>
                      </w:p>
                    </w:tc>
                    <w:tc>
                      <w:tcPr>
                        <w:tcW w:w="2054" w:type="dxa"/>
                      </w:tcPr>
                      <w:p>
                        <w:pPr>
                          <w:pStyle w:val="TableParagraph"/>
                          <w:spacing w:line="163" w:lineRule="exact"/>
                          <w:ind w:left="230"/>
                          <w:rPr>
                            <w:sz w:val="21"/>
                          </w:rPr>
                        </w:pPr>
                        <w:r>
                          <w:rPr>
                            <w:w w:val="100"/>
                            <w:sz w:val="21"/>
                          </w:rPr>
                          <w:t> </w:t>
                        </w:r>
                      </w:p>
                      <w:p>
                        <w:pPr>
                          <w:pStyle w:val="TableParagraph"/>
                          <w:spacing w:line="311" w:lineRule="exact"/>
                          <w:ind w:left="230"/>
                          <w:rPr>
                            <w:rFonts w:ascii="Microsoft JhengHei" w:eastAsia="Microsoft JhengHei" w:hint="eastAsia"/>
                            <w:b/>
                            <w:sz w:val="21"/>
                          </w:rPr>
                        </w:pPr>
                        <w:r>
                          <w:rPr>
                            <w:rFonts w:ascii="Microsoft JhengHei" w:eastAsia="Microsoft JhengHei" w:hint="eastAsia"/>
                            <w:b/>
                            <w:sz w:val="21"/>
                          </w:rPr>
                          <w:t>基本保险金额变更</w:t>
                        </w:r>
                      </w:p>
                    </w:tc>
                    <w:tc>
                      <w:tcPr>
                        <w:tcW w:w="7344" w:type="dxa"/>
                      </w:tcPr>
                      <w:p>
                        <w:pPr>
                          <w:pStyle w:val="TableParagraph"/>
                          <w:spacing w:line="196" w:lineRule="exact"/>
                          <w:ind w:left="134"/>
                          <w:rPr>
                            <w:sz w:val="21"/>
                          </w:rPr>
                        </w:pPr>
                        <w:r>
                          <w:rPr>
                            <w:w w:val="100"/>
                            <w:sz w:val="21"/>
                          </w:rPr>
                          <w:t> </w:t>
                        </w:r>
                      </w:p>
                      <w:p>
                        <w:pPr>
                          <w:pStyle w:val="TableParagraph"/>
                          <w:spacing w:line="260" w:lineRule="exact"/>
                          <w:ind w:left="134"/>
                          <w:rPr>
                            <w:sz w:val="21"/>
                          </w:rPr>
                        </w:pPr>
                        <w:r>
                          <w:rPr>
                            <w:sz w:val="21"/>
                          </w:rPr>
                          <w:t>您可以在本附加险合同的犹豫期后申请变更基本保险金额，但须符合我们的相</w:t>
                        </w:r>
                      </w:p>
                    </w:tc>
                  </w:tr>
                  <w:tr>
                    <w:trPr>
                      <w:trHeight w:val="233"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44" w:type="dxa"/>
                      </w:tcPr>
                      <w:p>
                        <w:pPr>
                          <w:pStyle w:val="TableParagraph"/>
                          <w:spacing w:line="214" w:lineRule="exact"/>
                          <w:ind w:left="134"/>
                          <w:rPr>
                            <w:sz w:val="21"/>
                          </w:rPr>
                        </w:pPr>
                        <w:r>
                          <w:rPr>
                            <w:sz w:val="21"/>
                          </w:rPr>
                          <w:t>关规定。经我们审核同意后，基本保险金额的变更自审核同意的次日零时起生</w:t>
                        </w:r>
                      </w:p>
                    </w:tc>
                  </w:tr>
                  <w:tr>
                    <w:trPr>
                      <w:trHeight w:val="261"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44" w:type="dxa"/>
                      </w:tcPr>
                      <w:p>
                        <w:pPr>
                          <w:pStyle w:val="TableParagraph"/>
                          <w:spacing w:line="242" w:lineRule="exact"/>
                          <w:ind w:left="134"/>
                          <w:rPr>
                            <w:sz w:val="21"/>
                          </w:rPr>
                        </w:pPr>
                        <w:r>
                          <w:rPr>
                            <w:sz w:val="21"/>
                          </w:rPr>
                          <w:t>效。 </w:t>
                        </w:r>
                      </w:p>
                    </w:tc>
                  </w:tr>
                  <w:tr>
                    <w:trPr>
                      <w:trHeight w:val="211"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44" w:type="dxa"/>
                      </w:tcPr>
                      <w:p>
                        <w:pPr>
                          <w:pStyle w:val="TableParagraph"/>
                          <w:spacing w:line="203" w:lineRule="exact"/>
                          <w:ind w:left="134"/>
                          <w:rPr>
                            <w:sz w:val="21"/>
                          </w:rPr>
                        </w:pPr>
                        <w:r>
                          <w:rPr>
                            <w:w w:val="100"/>
                            <w:sz w:val="21"/>
                          </w:rPr>
                          <w:t> </w:t>
                        </w:r>
                      </w:p>
                    </w:tc>
                  </w:tr>
                  <w:tr>
                    <w:trPr>
                      <w:trHeight w:val="247" w:hRule="atLeast"/>
                    </w:trPr>
                    <w:tc>
                      <w:tcPr>
                        <w:tcW w:w="576" w:type="dxa"/>
                      </w:tcPr>
                      <w:p>
                        <w:pPr>
                          <w:pStyle w:val="TableParagraph"/>
                          <w:spacing w:line="228" w:lineRule="exact"/>
                          <w:ind w:left="50"/>
                          <w:rPr>
                            <w:rFonts w:ascii="Microsoft JhengHei"/>
                            <w:b/>
                            <w:sz w:val="21"/>
                          </w:rPr>
                        </w:pPr>
                        <w:r>
                          <w:rPr>
                            <w:rFonts w:ascii="Microsoft JhengHei"/>
                            <w:b/>
                            <w:w w:val="90"/>
                            <w:sz w:val="21"/>
                          </w:rPr>
                          <w:t>2. 3</w:t>
                        </w:r>
                      </w:p>
                    </w:tc>
                    <w:tc>
                      <w:tcPr>
                        <w:tcW w:w="2054" w:type="dxa"/>
                      </w:tcPr>
                      <w:p>
                        <w:pPr>
                          <w:pStyle w:val="TableParagraph"/>
                          <w:spacing w:line="228" w:lineRule="exact"/>
                          <w:ind w:left="230"/>
                          <w:rPr>
                            <w:rFonts w:ascii="Microsoft JhengHei" w:eastAsia="Microsoft JhengHei" w:hint="eastAsia"/>
                            <w:b/>
                            <w:sz w:val="21"/>
                          </w:rPr>
                        </w:pPr>
                        <w:r>
                          <w:rPr>
                            <w:rFonts w:ascii="Microsoft JhengHei" w:eastAsia="Microsoft JhengHei" w:hint="eastAsia"/>
                            <w:b/>
                            <w:sz w:val="21"/>
                          </w:rPr>
                          <w:t>保险期间</w:t>
                        </w:r>
                      </w:p>
                    </w:tc>
                    <w:tc>
                      <w:tcPr>
                        <w:tcW w:w="7344" w:type="dxa"/>
                      </w:tcPr>
                      <w:p>
                        <w:pPr>
                          <w:pStyle w:val="TableParagraph"/>
                          <w:spacing w:line="228" w:lineRule="exact"/>
                          <w:ind w:left="134"/>
                          <w:rPr>
                            <w:sz w:val="21"/>
                          </w:rPr>
                        </w:pPr>
                        <w:r>
                          <w:rPr>
                            <w:sz w:val="21"/>
                          </w:rPr>
                          <w:t>本附加险合同的保险期间为本附加险合同生效日零时起至被保险人年满 88 周</w:t>
                        </w:r>
                      </w:p>
                    </w:tc>
                  </w:tr>
                  <w:tr>
                    <w:trPr>
                      <w:trHeight w:val="245"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44" w:type="dxa"/>
                      </w:tcPr>
                      <w:p>
                        <w:pPr>
                          <w:pStyle w:val="TableParagraph"/>
                          <w:spacing w:line="225" w:lineRule="exact"/>
                          <w:ind w:left="134"/>
                          <w:rPr>
                            <w:sz w:val="21"/>
                          </w:rPr>
                        </w:pPr>
                        <w:r>
                          <w:rPr>
                            <w:sz w:val="21"/>
                          </w:rPr>
                          <w:t>岁之后的首个保单周年日 24 时止。 </w:t>
                        </w:r>
                      </w:p>
                    </w:tc>
                  </w:tr>
                  <w:tr>
                    <w:trPr>
                      <w:trHeight w:val="211" w:hRule="atLeast"/>
                    </w:trPr>
                    <w:tc>
                      <w:tcPr>
                        <w:tcW w:w="576" w:type="dxa"/>
                      </w:tcPr>
                      <w:p>
                        <w:pPr>
                          <w:pStyle w:val="TableParagraph"/>
                          <w:spacing w:line="202" w:lineRule="exact"/>
                          <w:ind w:left="50"/>
                          <w:rPr>
                            <w:sz w:val="21"/>
                          </w:rPr>
                        </w:pPr>
                        <w:r>
                          <w:rPr>
                            <w:w w:val="100"/>
                            <w:sz w:val="21"/>
                          </w:rPr>
                          <w:t> </w:t>
                        </w:r>
                      </w:p>
                    </w:tc>
                    <w:tc>
                      <w:tcPr>
                        <w:tcW w:w="2054" w:type="dxa"/>
                      </w:tcPr>
                      <w:p>
                        <w:pPr>
                          <w:pStyle w:val="TableParagraph"/>
                          <w:spacing w:line="202" w:lineRule="exact"/>
                          <w:ind w:left="230"/>
                          <w:rPr>
                            <w:sz w:val="21"/>
                          </w:rPr>
                        </w:pPr>
                        <w:r>
                          <w:rPr>
                            <w:w w:val="100"/>
                            <w:sz w:val="21"/>
                          </w:rPr>
                          <w:t> </w:t>
                        </w:r>
                      </w:p>
                    </w:tc>
                    <w:tc>
                      <w:tcPr>
                        <w:tcW w:w="7344" w:type="dxa"/>
                      </w:tcPr>
                      <w:p>
                        <w:pPr>
                          <w:pStyle w:val="TableParagraph"/>
                          <w:spacing w:line="202" w:lineRule="exact"/>
                          <w:ind w:left="134"/>
                          <w:rPr>
                            <w:sz w:val="21"/>
                          </w:rPr>
                        </w:pPr>
                        <w:r>
                          <w:rPr>
                            <w:w w:val="100"/>
                            <w:sz w:val="21"/>
                          </w:rPr>
                          <w:t> </w:t>
                        </w:r>
                      </w:p>
                    </w:tc>
                  </w:tr>
                  <w:tr>
                    <w:trPr>
                      <w:trHeight w:val="246" w:hRule="atLeast"/>
                    </w:trPr>
                    <w:tc>
                      <w:tcPr>
                        <w:tcW w:w="576" w:type="dxa"/>
                      </w:tcPr>
                      <w:p>
                        <w:pPr>
                          <w:pStyle w:val="TableParagraph"/>
                          <w:spacing w:line="227" w:lineRule="exact"/>
                          <w:ind w:left="50"/>
                          <w:rPr>
                            <w:rFonts w:ascii="Microsoft JhengHei"/>
                            <w:b/>
                            <w:sz w:val="21"/>
                          </w:rPr>
                        </w:pPr>
                        <w:r>
                          <w:rPr>
                            <w:rFonts w:ascii="Microsoft JhengHei"/>
                            <w:b/>
                            <w:w w:val="90"/>
                            <w:sz w:val="21"/>
                          </w:rPr>
                          <w:t>2. 4</w:t>
                        </w:r>
                      </w:p>
                    </w:tc>
                    <w:tc>
                      <w:tcPr>
                        <w:tcW w:w="2054" w:type="dxa"/>
                      </w:tcPr>
                      <w:p>
                        <w:pPr>
                          <w:pStyle w:val="TableParagraph"/>
                          <w:spacing w:line="227" w:lineRule="exact"/>
                          <w:ind w:left="230"/>
                          <w:rPr>
                            <w:rFonts w:ascii="Microsoft JhengHei" w:eastAsia="Microsoft JhengHei" w:hint="eastAsia"/>
                            <w:b/>
                            <w:sz w:val="21"/>
                          </w:rPr>
                        </w:pPr>
                        <w:r>
                          <w:rPr>
                            <w:rFonts w:ascii="Microsoft JhengHei" w:eastAsia="Microsoft JhengHei" w:hint="eastAsia"/>
                            <w:b/>
                            <w:sz w:val="21"/>
                          </w:rPr>
                          <w:t>保险责任</w:t>
                        </w:r>
                      </w:p>
                    </w:tc>
                    <w:tc>
                      <w:tcPr>
                        <w:tcW w:w="7344" w:type="dxa"/>
                      </w:tcPr>
                      <w:p>
                        <w:pPr>
                          <w:pStyle w:val="TableParagraph"/>
                          <w:spacing w:line="227" w:lineRule="exact"/>
                          <w:ind w:left="134"/>
                          <w:rPr>
                            <w:sz w:val="21"/>
                          </w:rPr>
                        </w:pPr>
                        <w:r>
                          <w:rPr>
                            <w:spacing w:val="-5"/>
                            <w:sz w:val="21"/>
                          </w:rPr>
                          <w:t>在保险期间内，我们自本附加险合同生效日起第 </w:t>
                        </w:r>
                        <w:r>
                          <w:rPr>
                            <w:sz w:val="21"/>
                          </w:rPr>
                          <w:t>361</w:t>
                        </w:r>
                        <w:r>
                          <w:rPr>
                            <w:spacing w:val="-7"/>
                            <w:sz w:val="21"/>
                          </w:rPr>
                          <w:t> 日的零时开始承担下列保</w:t>
                        </w:r>
                      </w:p>
                    </w:tc>
                  </w:tr>
                  <w:tr>
                    <w:trPr>
                      <w:trHeight w:val="246"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44" w:type="dxa"/>
                      </w:tcPr>
                      <w:p>
                        <w:pPr>
                          <w:pStyle w:val="TableParagraph"/>
                          <w:spacing w:line="227" w:lineRule="exact"/>
                          <w:ind w:left="134"/>
                          <w:rPr>
                            <w:sz w:val="21"/>
                          </w:rPr>
                        </w:pPr>
                        <w:r>
                          <w:rPr>
                            <w:sz w:val="21"/>
                          </w:rPr>
                          <w:t>险责任：</w:t>
                        </w:r>
                      </w:p>
                    </w:tc>
                  </w:tr>
                  <w:tr>
                    <w:trPr>
                      <w:trHeight w:val="212" w:hRule="atLeast"/>
                    </w:trPr>
                    <w:tc>
                      <w:tcPr>
                        <w:tcW w:w="576" w:type="dxa"/>
                      </w:tcPr>
                      <w:p>
                        <w:pPr>
                          <w:pStyle w:val="TableParagraph"/>
                          <w:spacing w:line="205" w:lineRule="exact"/>
                          <w:ind w:left="50"/>
                          <w:rPr>
                            <w:sz w:val="21"/>
                          </w:rPr>
                        </w:pPr>
                        <w:r>
                          <w:rPr>
                            <w:w w:val="100"/>
                            <w:sz w:val="21"/>
                          </w:rPr>
                          <w:t> </w:t>
                        </w:r>
                      </w:p>
                    </w:tc>
                    <w:tc>
                      <w:tcPr>
                        <w:tcW w:w="2054" w:type="dxa"/>
                      </w:tcPr>
                      <w:p>
                        <w:pPr>
                          <w:pStyle w:val="TableParagraph"/>
                          <w:spacing w:line="205" w:lineRule="exact"/>
                          <w:ind w:left="230"/>
                          <w:rPr>
                            <w:sz w:val="21"/>
                          </w:rPr>
                        </w:pPr>
                        <w:r>
                          <w:rPr>
                            <w:w w:val="100"/>
                            <w:sz w:val="21"/>
                          </w:rPr>
                          <w:t> </w:t>
                        </w:r>
                      </w:p>
                    </w:tc>
                    <w:tc>
                      <w:tcPr>
                        <w:tcW w:w="7344" w:type="dxa"/>
                      </w:tcPr>
                      <w:p>
                        <w:pPr>
                          <w:pStyle w:val="TableParagraph"/>
                          <w:spacing w:line="205" w:lineRule="exact"/>
                          <w:ind w:left="134"/>
                          <w:rPr>
                            <w:sz w:val="21"/>
                          </w:rPr>
                        </w:pPr>
                        <w:r>
                          <w:rPr>
                            <w:w w:val="100"/>
                            <w:sz w:val="21"/>
                          </w:rPr>
                          <w:t> </w:t>
                        </w:r>
                      </w:p>
                    </w:tc>
                  </w:tr>
                  <w:tr>
                    <w:trPr>
                      <w:trHeight w:val="260" w:hRule="atLeast"/>
                    </w:trPr>
                    <w:tc>
                      <w:tcPr>
                        <w:tcW w:w="576" w:type="dxa"/>
                      </w:tcPr>
                      <w:p>
                        <w:pPr>
                          <w:pStyle w:val="TableParagraph"/>
                          <w:rPr>
                            <w:rFonts w:ascii="Times New Roman"/>
                            <w:sz w:val="18"/>
                          </w:rPr>
                        </w:pPr>
                      </w:p>
                    </w:tc>
                    <w:tc>
                      <w:tcPr>
                        <w:tcW w:w="2054" w:type="dxa"/>
                      </w:tcPr>
                      <w:p>
                        <w:pPr>
                          <w:pStyle w:val="TableParagraph"/>
                          <w:spacing w:line="236" w:lineRule="exact"/>
                          <w:ind w:left="230"/>
                          <w:rPr>
                            <w:rFonts w:ascii="Microsoft JhengHei" w:eastAsia="Microsoft JhengHei" w:hint="eastAsia"/>
                            <w:b/>
                            <w:sz w:val="21"/>
                          </w:rPr>
                        </w:pPr>
                        <w:r>
                          <w:rPr>
                            <w:rFonts w:ascii="Microsoft JhengHei" w:eastAsia="Microsoft JhengHei" w:hint="eastAsia"/>
                            <w:b/>
                            <w:sz w:val="21"/>
                          </w:rPr>
                          <w:t>重大疾病保险金</w:t>
                        </w:r>
                      </w:p>
                    </w:tc>
                    <w:tc>
                      <w:tcPr>
                        <w:tcW w:w="7344" w:type="dxa"/>
                      </w:tcPr>
                      <w:p>
                        <w:pPr>
                          <w:pStyle w:val="TableParagraph"/>
                          <w:spacing w:line="240" w:lineRule="exact"/>
                          <w:ind w:left="134"/>
                          <w:rPr>
                            <w:rFonts w:ascii="Microsoft JhengHei" w:eastAsia="Microsoft JhengHei" w:hint="eastAsia"/>
                            <w:b/>
                            <w:sz w:val="21"/>
                          </w:rPr>
                        </w:pPr>
                        <w:r>
                          <w:rPr>
                            <w:spacing w:val="-7"/>
                            <w:sz w:val="21"/>
                          </w:rPr>
                          <w:t>若被保险人于 </w:t>
                        </w:r>
                        <w:r>
                          <w:rPr>
                            <w:sz w:val="21"/>
                          </w:rPr>
                          <w:t>18</w:t>
                        </w:r>
                        <w:r>
                          <w:rPr>
                            <w:spacing w:val="-11"/>
                            <w:sz w:val="21"/>
                          </w:rPr>
                          <w:t> 周岁之后的首个保单周年日之前</w:t>
                        </w:r>
                        <w:r>
                          <w:rPr>
                            <w:spacing w:val="-3"/>
                            <w:sz w:val="21"/>
                          </w:rPr>
                          <w:t>（包括首个保单周年日</w:t>
                        </w:r>
                        <w:r>
                          <w:rPr>
                            <w:spacing w:val="-51"/>
                            <w:sz w:val="21"/>
                          </w:rPr>
                          <w:t>）</w:t>
                        </w:r>
                        <w:r>
                          <w:rPr>
                            <w:spacing w:val="-3"/>
                            <w:sz w:val="21"/>
                          </w:rPr>
                          <w:t>经</w:t>
                        </w:r>
                        <w:r>
                          <w:rPr>
                            <w:rFonts w:ascii="Microsoft JhengHei" w:eastAsia="Microsoft JhengHei" w:hint="eastAsia"/>
                            <w:b/>
                            <w:sz w:val="21"/>
                          </w:rPr>
                          <w:t>医</w:t>
                        </w:r>
                      </w:p>
                    </w:tc>
                  </w:tr>
                  <w:tr>
                    <w:trPr>
                      <w:trHeight w:val="274"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44" w:type="dxa"/>
                      </w:tcPr>
                      <w:p>
                        <w:pPr>
                          <w:pStyle w:val="TableParagraph"/>
                          <w:spacing w:line="254" w:lineRule="exact"/>
                          <w:ind w:left="134"/>
                          <w:rPr>
                            <w:sz w:val="21"/>
                          </w:rPr>
                        </w:pPr>
                        <w:r>
                          <w:rPr>
                            <w:rFonts w:ascii="Microsoft JhengHei" w:eastAsia="Microsoft JhengHei" w:hint="eastAsia"/>
                            <w:b/>
                            <w:sz w:val="21"/>
                          </w:rPr>
                          <w:t>疗机构</w:t>
                        </w:r>
                        <w:r>
                          <w:rPr>
                            <w:sz w:val="21"/>
                          </w:rPr>
                          <w:t>（见 10.4）确诊，首次患上符合本条款定义的</w:t>
                        </w:r>
                        <w:r>
                          <w:rPr>
                            <w:rFonts w:ascii="Microsoft JhengHei" w:eastAsia="Microsoft JhengHei" w:hint="eastAsia"/>
                            <w:b/>
                            <w:sz w:val="21"/>
                          </w:rPr>
                          <w:t>少儿阶段重大疾病</w:t>
                        </w:r>
                        <w:r>
                          <w:rPr>
                            <w:sz w:val="21"/>
                          </w:rPr>
                          <w:t>（见</w:t>
                        </w:r>
                      </w:p>
                    </w:tc>
                  </w:tr>
                  <w:tr>
                    <w:trPr>
                      <w:trHeight w:val="270"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44" w:type="dxa"/>
                      </w:tcPr>
                      <w:p>
                        <w:pPr>
                          <w:pStyle w:val="TableParagraph"/>
                          <w:spacing w:line="242" w:lineRule="exact"/>
                          <w:ind w:left="134"/>
                          <w:rPr>
                            <w:sz w:val="21"/>
                          </w:rPr>
                        </w:pPr>
                        <w:r>
                          <w:rPr>
                            <w:w w:val="100"/>
                            <w:sz w:val="21"/>
                          </w:rPr>
                          <w:t>10.5</w:t>
                        </w:r>
                        <w:r>
                          <w:rPr>
                            <w:spacing w:val="-108"/>
                            <w:w w:val="100"/>
                            <w:sz w:val="21"/>
                          </w:rPr>
                          <w:t>）</w:t>
                        </w:r>
                        <w:r>
                          <w:rPr>
                            <w:w w:val="100"/>
                            <w:sz w:val="21"/>
                          </w:rPr>
                          <w:t>，或于</w:t>
                        </w:r>
                        <w:r>
                          <w:rPr>
                            <w:spacing w:val="-50"/>
                            <w:sz w:val="21"/>
                          </w:rPr>
                          <w:t> </w:t>
                        </w:r>
                        <w:r>
                          <w:rPr>
                            <w:w w:val="100"/>
                            <w:sz w:val="21"/>
                          </w:rPr>
                          <w:t>18</w:t>
                        </w:r>
                        <w:r>
                          <w:rPr>
                            <w:spacing w:val="-48"/>
                            <w:sz w:val="21"/>
                          </w:rPr>
                          <w:t> </w:t>
                        </w:r>
                        <w:r>
                          <w:rPr>
                            <w:spacing w:val="-3"/>
                            <w:w w:val="100"/>
                            <w:sz w:val="21"/>
                          </w:rPr>
                          <w:t>周岁之后的首个保单周年日之后经医疗机构确诊，首次患上符</w:t>
                        </w:r>
                      </w:p>
                    </w:tc>
                  </w:tr>
                  <w:tr>
                    <w:trPr>
                      <w:trHeight w:val="243"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44" w:type="dxa"/>
                      </w:tcPr>
                      <w:p>
                        <w:pPr>
                          <w:pStyle w:val="TableParagraph"/>
                          <w:spacing w:line="224" w:lineRule="exact"/>
                          <w:ind w:left="134"/>
                          <w:rPr>
                            <w:sz w:val="21"/>
                          </w:rPr>
                        </w:pPr>
                        <w:r>
                          <w:rPr>
                            <w:spacing w:val="-3"/>
                            <w:w w:val="100"/>
                            <w:sz w:val="21"/>
                          </w:rPr>
                          <w:t>合本条款定义的</w:t>
                        </w:r>
                        <w:r>
                          <w:rPr>
                            <w:rFonts w:ascii="Microsoft JhengHei" w:eastAsia="Microsoft JhengHei" w:hint="eastAsia"/>
                            <w:b/>
                            <w:w w:val="100"/>
                            <w:sz w:val="21"/>
                          </w:rPr>
                          <w:t>成人阶段重大疾病</w:t>
                        </w:r>
                        <w:r>
                          <w:rPr>
                            <w:w w:val="100"/>
                            <w:sz w:val="21"/>
                          </w:rPr>
                          <w:t>（见</w:t>
                        </w:r>
                        <w:r>
                          <w:rPr>
                            <w:spacing w:val="-2"/>
                            <w:sz w:val="21"/>
                          </w:rPr>
                          <w:t> </w:t>
                        </w:r>
                        <w:r>
                          <w:rPr>
                            <w:w w:val="100"/>
                            <w:sz w:val="21"/>
                          </w:rPr>
                          <w:t>10.</w:t>
                        </w:r>
                        <w:r>
                          <w:rPr>
                            <w:spacing w:val="-3"/>
                            <w:w w:val="100"/>
                            <w:sz w:val="21"/>
                          </w:rPr>
                          <w:t>5</w:t>
                        </w:r>
                        <w:r>
                          <w:rPr>
                            <w:spacing w:val="-106"/>
                            <w:w w:val="100"/>
                            <w:sz w:val="21"/>
                          </w:rPr>
                          <w:t>）</w:t>
                        </w:r>
                        <w:r>
                          <w:rPr>
                            <w:spacing w:val="-3"/>
                            <w:w w:val="100"/>
                            <w:sz w:val="21"/>
                          </w:rPr>
                          <w:t>，我们将按基本保险金额给付重</w:t>
                        </w:r>
                      </w:p>
                    </w:tc>
                  </w:tr>
                </w:tbl>
                <w:p>
                  <w:pPr>
                    <w:pStyle w:val="BodyText"/>
                    <w:spacing w:line="240" w:lineRule="auto"/>
                    <w:ind w:left="0"/>
                  </w:pPr>
                </w:p>
              </w:txbxContent>
            </v:textbox>
            <w10:wrap type="none"/>
          </v:shape>
        </w:pict>
      </w:r>
      <w:r>
        <w:rPr/>
        <w:t>额。 </w:t>
      </w:r>
    </w:p>
    <w:p>
      <w:pPr>
        <w:spacing w:after="0" w:line="273" w:lineRule="exact"/>
        <w:sectPr>
          <w:footerReference w:type="default" r:id="rId8"/>
          <w:pgSz w:w="11900" w:h="16840"/>
          <w:pgMar w:footer="457" w:header="0" w:top="1340" w:bottom="640" w:left="1080" w:right="520"/>
          <w:pgNumType w:start="1"/>
        </w:sectPr>
      </w:pPr>
    </w:p>
    <w:p>
      <w:pPr>
        <w:pStyle w:val="BodyText"/>
        <w:spacing w:line="194" w:lineRule="auto" w:before="59"/>
        <w:ind w:left="2937" w:right="266"/>
        <w:jc w:val="both"/>
      </w:pPr>
      <w:r>
        <w:rPr>
          <w:spacing w:val="-3"/>
        </w:rPr>
        <w:t>大疾病保险金，本附加险合同终止。但若被保险人自本附加险合同最后复效日</w:t>
      </w:r>
      <w:r>
        <w:rPr>
          <w:spacing w:val="-23"/>
        </w:rPr>
        <w:t>起 </w:t>
      </w:r>
      <w:r>
        <w:rPr/>
        <w:t>180</w:t>
      </w:r>
      <w:r>
        <w:rPr>
          <w:spacing w:val="-17"/>
        </w:rPr>
        <w:t> 日内</w:t>
      </w:r>
      <w:r>
        <w:rPr/>
        <w:t>（</w:t>
      </w:r>
      <w:r>
        <w:rPr>
          <w:spacing w:val="-16"/>
        </w:rPr>
        <w:t>含第 </w:t>
      </w:r>
      <w:r>
        <w:rPr/>
        <w:t>180</w:t>
      </w:r>
      <w:r>
        <w:rPr>
          <w:spacing w:val="-23"/>
        </w:rPr>
        <w:t> 日</w:t>
      </w:r>
      <w:r>
        <w:rPr/>
        <w:t>）</w:t>
      </w:r>
      <w:r>
        <w:rPr>
          <w:spacing w:val="-3"/>
        </w:rPr>
        <w:t>经医疗机构确诊，首次患上符合本条款定义的</w:t>
      </w:r>
      <w:r>
        <w:rPr>
          <w:rFonts w:ascii="Microsoft JhengHei" w:eastAsia="Microsoft JhengHei" w:hint="eastAsia"/>
          <w:b/>
        </w:rPr>
        <w:t>重大</w:t>
      </w:r>
      <w:r>
        <w:rPr>
          <w:rFonts w:ascii="Microsoft JhengHei" w:eastAsia="Microsoft JhengHei" w:hint="eastAsia"/>
          <w:b/>
          <w:w w:val="100"/>
        </w:rPr>
        <w:t>疾病</w:t>
      </w:r>
      <w:r>
        <w:rPr>
          <w:spacing w:val="-3"/>
          <w:w w:val="100"/>
        </w:rPr>
        <w:t>（</w:t>
      </w:r>
      <w:r>
        <w:rPr>
          <w:w w:val="100"/>
        </w:rPr>
        <w:t>见</w:t>
      </w:r>
      <w:r>
        <w:rPr/>
        <w:t> </w:t>
      </w:r>
      <w:r>
        <w:rPr>
          <w:w w:val="100"/>
        </w:rPr>
        <w:t>1</w:t>
      </w:r>
      <w:r>
        <w:rPr>
          <w:spacing w:val="-3"/>
          <w:w w:val="100"/>
        </w:rPr>
        <w:t>0</w:t>
      </w:r>
      <w:r>
        <w:rPr>
          <w:w w:val="100"/>
        </w:rPr>
        <w:t>.5</w:t>
      </w:r>
      <w:r>
        <w:rPr>
          <w:spacing w:val="-106"/>
          <w:w w:val="100"/>
        </w:rPr>
        <w:t>）</w:t>
      </w:r>
      <w:r>
        <w:rPr>
          <w:spacing w:val="-3"/>
          <w:w w:val="100"/>
        </w:rPr>
        <w:t>，我们将本附加险合同已收取的保险费退还至万能账户，本附</w:t>
      </w:r>
      <w:r>
        <w:rPr>
          <w:spacing w:val="-3"/>
        </w:rPr>
        <w:t>加险合同终止。</w:t>
      </w:r>
      <w:r>
        <w:rPr/>
        <w:t> </w:t>
      </w:r>
    </w:p>
    <w:p>
      <w:pPr>
        <w:pStyle w:val="BodyText"/>
        <w:spacing w:line="237" w:lineRule="auto" w:before="1"/>
        <w:ind w:left="2937" w:right="270"/>
      </w:pPr>
      <w:r>
        <w:rPr/>
        <w:t>被保险人经医疗机构确诊首次患上符合本条款定义的多种重大疾病的，重大疾病保险金的给付以本附加险合同的基本保险金额为限。 </w:t>
      </w:r>
    </w:p>
    <w:p>
      <w:pPr>
        <w:pStyle w:val="BodyText"/>
        <w:tabs>
          <w:tab w:pos="979" w:val="left" w:leader="none"/>
          <w:tab w:pos="2937" w:val="left" w:leader="none"/>
        </w:tabs>
        <w:spacing w:line="141" w:lineRule="exact"/>
        <w:ind w:left="223"/>
      </w:pPr>
      <w:r>
        <w:rPr>
          <w:w w:val="100"/>
        </w:rPr>
        <w:t> </w:t>
      </w:r>
      <w:r>
        <w:rPr/>
        <w:tab/>
      </w:r>
      <w:r>
        <w:rPr>
          <w:w w:val="100"/>
        </w:rPr>
        <w:t> </w:t>
      </w:r>
      <w:r>
        <w:rPr/>
        <w:tab/>
      </w:r>
      <w:r>
        <w:rPr>
          <w:w w:val="100"/>
        </w:rPr>
        <w:t> </w:t>
      </w:r>
    </w:p>
    <w:p>
      <w:pPr>
        <w:pStyle w:val="Heading3"/>
        <w:tabs>
          <w:tab w:pos="979" w:val="left" w:leader="none"/>
          <w:tab w:pos="2937" w:val="left" w:leader="none"/>
        </w:tabs>
        <w:spacing w:line="177" w:lineRule="auto" w:before="46"/>
        <w:ind w:right="270" w:hanging="2715"/>
        <w:jc w:val="left"/>
      </w:pPr>
      <w:r>
        <w:rPr/>
        <w:t>2.</w:t>
      </w:r>
      <w:r>
        <w:rPr>
          <w:spacing w:val="-33"/>
        </w:rPr>
        <w:t> </w:t>
      </w:r>
      <w:r>
        <w:rPr/>
        <w:t>5</w:t>
        <w:tab/>
        <w:t>责任免</w:t>
      </w:r>
      <w:r>
        <w:rPr>
          <w:spacing w:val="-3"/>
        </w:rPr>
        <w:t>除</w:t>
        <w:tab/>
      </w:r>
      <w:r>
        <w:rPr/>
        <w:t>因下列情形之一导</w:t>
      </w:r>
      <w:r>
        <w:rPr>
          <w:spacing w:val="-3"/>
        </w:rPr>
        <w:t>致</w:t>
      </w:r>
      <w:r>
        <w:rPr/>
        <w:t>被</w:t>
      </w:r>
      <w:r>
        <w:rPr>
          <w:spacing w:val="-3"/>
        </w:rPr>
        <w:t>保</w:t>
      </w:r>
      <w:r>
        <w:rPr/>
        <w:t>险人发生疾病</w:t>
      </w:r>
      <w:r>
        <w:rPr>
          <w:spacing w:val="-10"/>
        </w:rPr>
        <w:t>、</w:t>
      </w:r>
      <w:r>
        <w:rPr/>
        <w:t>达到疾</w:t>
      </w:r>
      <w:r>
        <w:rPr>
          <w:spacing w:val="-3"/>
        </w:rPr>
        <w:t>病</w:t>
      </w:r>
      <w:r>
        <w:rPr/>
        <w:t>状态或进行手术</w:t>
      </w:r>
      <w:r>
        <w:rPr>
          <w:spacing w:val="-3"/>
        </w:rPr>
        <w:t>的</w:t>
      </w:r>
      <w:r>
        <w:rPr>
          <w:spacing w:val="-8"/>
        </w:rPr>
        <w:t>，</w:t>
      </w:r>
      <w:r>
        <w:rPr/>
        <w:t>我</w:t>
      </w:r>
      <w:r>
        <w:rPr>
          <w:spacing w:val="-3"/>
        </w:rPr>
        <w:t>们不 </w:t>
      </w:r>
      <w:r>
        <w:rPr/>
        <w:t>承担给付保险金的</w:t>
      </w:r>
      <w:r>
        <w:rPr>
          <w:spacing w:val="-3"/>
        </w:rPr>
        <w:t>责</w:t>
      </w:r>
      <w:r>
        <w:rPr/>
        <w:t>任：</w:t>
      </w:r>
    </w:p>
    <w:p>
      <w:pPr>
        <w:spacing w:line="225" w:lineRule="exact" w:before="0"/>
        <w:ind w:left="2937" w:right="0" w:firstLine="0"/>
        <w:jc w:val="both"/>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3</w:t>
      </w:r>
      <w:r>
        <w:rPr>
          <w:rFonts w:ascii="Microsoft JhengHei" w:eastAsia="Microsoft JhengHei" w:hint="eastAsia"/>
          <w:b/>
          <w:w w:val="100"/>
          <w:sz w:val="21"/>
        </w:rPr>
        <w:t>）</w:t>
      </w:r>
      <w:r>
        <w:rPr>
          <w:rFonts w:ascii="Microsoft JhengHei" w:eastAsia="Microsoft JhengHei" w:hint="eastAsia"/>
          <w:b/>
          <w:spacing w:val="-2"/>
          <w:w w:val="100"/>
          <w:sz w:val="21"/>
        </w:rPr>
        <w:t>被保险人主动吸食或注射毒品</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8</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，或驾</w:t>
      </w:r>
    </w:p>
    <w:p>
      <w:pPr>
        <w:spacing w:line="272" w:lineRule="exact" w:before="0"/>
        <w:ind w:left="3444" w:right="0" w:firstLine="0"/>
        <w:jc w:val="left"/>
        <w:rPr>
          <w:rFonts w:ascii="Microsoft JhengHei" w:eastAsia="Microsoft JhengHei" w:hint="eastAsia"/>
          <w:b/>
          <w:sz w:val="21"/>
        </w:rPr>
      </w:pPr>
      <w:r>
        <w:rPr>
          <w:rFonts w:ascii="Microsoft JhengHei" w:eastAsia="Microsoft JhengHei" w:hint="eastAsia"/>
          <w:b/>
          <w:w w:val="100"/>
          <w:sz w:val="21"/>
        </w:rPr>
        <w:t>驶无有效行驶证（见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spacing w:val="17"/>
          <w:w w:val="84"/>
          <w:sz w:val="21"/>
        </w:rPr>
        <w:t>9</w:t>
      </w:r>
      <w:r>
        <w:rPr>
          <w:rFonts w:ascii="Microsoft JhengHei" w:eastAsia="Microsoft JhengHei" w:hint="eastAsia"/>
          <w:b/>
          <w:w w:val="100"/>
          <w:sz w:val="21"/>
        </w:rPr>
        <w:t>）的机动车（见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12</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sz w:val="21"/>
        </w:rPr>
        <w:t>（6）战争、军事冲突、暴乱或武装叛乱；</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w w:val="95"/>
          <w:sz w:val="21"/>
        </w:rPr>
        <w:t>（7）核爆炸、核辐射或核污染。</w:t>
      </w:r>
    </w:p>
    <w:p>
      <w:pPr>
        <w:spacing w:line="180" w:lineRule="auto" w:before="43"/>
        <w:ind w:left="2937" w:right="270" w:firstLine="0"/>
        <w:jc w:val="left"/>
        <w:rPr>
          <w:sz w:val="21"/>
        </w:rPr>
      </w:pPr>
      <w:r>
        <w:rPr/>
        <w:pict>
          <v:shape style="position:absolute;margin-left:59.959999pt;margin-top:27.150566pt;width:506.45pt;height:444.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988"/>
                    <w:gridCol w:w="7446"/>
                  </w:tblGrid>
                  <w:tr>
                    <w:trPr>
                      <w:trHeight w:val="620" w:hRule="atLeast"/>
                    </w:trPr>
                    <w:tc>
                      <w:tcPr>
                        <w:tcW w:w="693" w:type="dxa"/>
                      </w:tcPr>
                      <w:p>
                        <w:pPr>
                          <w:pStyle w:val="TableParagraph"/>
                          <w:spacing w:line="194" w:lineRule="exact"/>
                          <w:ind w:left="104"/>
                          <w:rPr>
                            <w:sz w:val="21"/>
                          </w:rPr>
                        </w:pPr>
                        <w:r>
                          <w:rPr>
                            <w:w w:val="100"/>
                            <w:sz w:val="21"/>
                          </w:rPr>
                          <w:t> </w:t>
                        </w:r>
                      </w:p>
                      <w:p>
                        <w:pPr>
                          <w:pStyle w:val="TableParagraph"/>
                          <w:spacing w:line="406" w:lineRule="exact"/>
                          <w:ind w:left="105"/>
                          <w:rPr>
                            <w:rFonts w:ascii="Times New Roman"/>
                            <w:b/>
                            <w:sz w:val="40"/>
                          </w:rPr>
                        </w:pPr>
                        <w:r>
                          <w:rPr>
                            <w:rFonts w:ascii="Times New Roman"/>
                            <w:b/>
                            <w:w w:val="100"/>
                            <w:sz w:val="40"/>
                          </w:rPr>
                          <w:t>w</w:t>
                        </w:r>
                      </w:p>
                    </w:tc>
                    <w:tc>
                      <w:tcPr>
                        <w:tcW w:w="1988" w:type="dxa"/>
                      </w:tcPr>
                      <w:p>
                        <w:pPr>
                          <w:pStyle w:val="TableParagraph"/>
                          <w:spacing w:line="182" w:lineRule="exact"/>
                          <w:ind w:left="167"/>
                          <w:rPr>
                            <w:sz w:val="21"/>
                          </w:rPr>
                        </w:pPr>
                        <w:r>
                          <w:rPr>
                            <w:w w:val="100"/>
                            <w:sz w:val="21"/>
                          </w:rPr>
                          <w:t> </w:t>
                        </w:r>
                      </w:p>
                      <w:p>
                        <w:pPr>
                          <w:pStyle w:val="TableParagraph"/>
                          <w:spacing w:line="389" w:lineRule="exact"/>
                          <w:ind w:left="167"/>
                          <w:rPr>
                            <w:rFonts w:ascii="Microsoft JhengHei" w:eastAsia="Microsoft JhengHei" w:hint="eastAsia"/>
                            <w:b/>
                            <w:sz w:val="24"/>
                          </w:rPr>
                        </w:pPr>
                        <w:r>
                          <w:rPr>
                            <w:rFonts w:ascii="Microsoft JhengHei" w:eastAsia="Microsoft JhengHei" w:hint="eastAsia"/>
                            <w:b/>
                            <w:sz w:val="24"/>
                          </w:rPr>
                          <w:t>保险金的申请</w:t>
                        </w:r>
                      </w:p>
                    </w:tc>
                    <w:tc>
                      <w:tcPr>
                        <w:tcW w:w="7446" w:type="dxa"/>
                      </w:tcPr>
                      <w:p>
                        <w:pPr>
                          <w:pStyle w:val="TableParagraph"/>
                          <w:spacing w:line="211" w:lineRule="exact"/>
                          <w:ind w:left="137"/>
                          <w:rPr>
                            <w:sz w:val="21"/>
                          </w:rPr>
                        </w:pPr>
                        <w:r>
                          <w:rPr>
                            <w:w w:val="100"/>
                            <w:sz w:val="21"/>
                          </w:rPr>
                          <w:t> </w:t>
                        </w:r>
                      </w:p>
                      <w:p>
                        <w:pPr>
                          <w:pStyle w:val="TableParagraph"/>
                          <w:spacing w:before="54"/>
                          <w:ind w:right="485"/>
                          <w:jc w:val="right"/>
                          <w:rPr>
                            <w:sz w:val="21"/>
                          </w:rPr>
                        </w:pPr>
                        <w:r>
                          <w:rPr>
                            <w:w w:val="100"/>
                            <w:sz w:val="21"/>
                          </w:rPr>
                          <w:t> </w:t>
                        </w:r>
                      </w:p>
                    </w:tc>
                  </w:tr>
                  <w:tr>
                    <w:trPr>
                      <w:trHeight w:val="205" w:hRule="atLeast"/>
                    </w:trPr>
                    <w:tc>
                      <w:tcPr>
                        <w:tcW w:w="693" w:type="dxa"/>
                      </w:tcPr>
                      <w:p>
                        <w:pPr>
                          <w:pStyle w:val="TableParagraph"/>
                          <w:spacing w:line="185" w:lineRule="exact"/>
                          <w:ind w:left="104"/>
                          <w:rPr>
                            <w:sz w:val="21"/>
                          </w:rPr>
                        </w:pPr>
                        <w:r>
                          <w:rPr>
                            <w:w w:val="100"/>
                            <w:sz w:val="21"/>
                          </w:rPr>
                          <w:t> </w:t>
                        </w:r>
                      </w:p>
                    </w:tc>
                    <w:tc>
                      <w:tcPr>
                        <w:tcW w:w="1988" w:type="dxa"/>
                      </w:tcPr>
                      <w:p>
                        <w:pPr>
                          <w:pStyle w:val="TableParagraph"/>
                          <w:spacing w:line="185" w:lineRule="exact"/>
                          <w:ind w:left="167"/>
                          <w:rPr>
                            <w:sz w:val="21"/>
                          </w:rPr>
                        </w:pPr>
                        <w:r>
                          <w:rPr>
                            <w:w w:val="100"/>
                            <w:sz w:val="21"/>
                          </w:rPr>
                          <w:t> </w:t>
                        </w:r>
                      </w:p>
                    </w:tc>
                    <w:tc>
                      <w:tcPr>
                        <w:tcW w:w="7446" w:type="dxa"/>
                      </w:tcPr>
                      <w:p>
                        <w:pPr>
                          <w:pStyle w:val="TableParagraph"/>
                          <w:spacing w:line="185" w:lineRule="exact"/>
                          <w:ind w:left="137"/>
                          <w:rPr>
                            <w:sz w:val="21"/>
                          </w:rPr>
                        </w:pPr>
                        <w:r>
                          <w:rPr>
                            <w:w w:val="100"/>
                            <w:sz w:val="21"/>
                          </w:rPr>
                          <w:t> </w:t>
                        </w:r>
                      </w:p>
                    </w:tc>
                  </w:tr>
                  <w:tr>
                    <w:trPr>
                      <w:trHeight w:val="270" w:hRule="atLeast"/>
                    </w:trPr>
                    <w:tc>
                      <w:tcPr>
                        <w:tcW w:w="693" w:type="dxa"/>
                      </w:tcPr>
                      <w:p>
                        <w:pPr>
                          <w:pStyle w:val="TableParagraph"/>
                          <w:spacing w:line="250" w:lineRule="exact"/>
                          <w:ind w:left="104"/>
                          <w:rPr>
                            <w:rFonts w:ascii="Microsoft JhengHei"/>
                            <w:b/>
                            <w:sz w:val="21"/>
                          </w:rPr>
                        </w:pPr>
                        <w:r>
                          <w:rPr>
                            <w:rFonts w:ascii="Microsoft JhengHei"/>
                            <w:b/>
                            <w:w w:val="90"/>
                            <w:sz w:val="21"/>
                          </w:rPr>
                          <w:t>3. 1</w:t>
                        </w:r>
                      </w:p>
                    </w:tc>
                    <w:tc>
                      <w:tcPr>
                        <w:tcW w:w="1988" w:type="dxa"/>
                      </w:tcPr>
                      <w:p>
                        <w:pPr>
                          <w:pStyle w:val="TableParagraph"/>
                          <w:spacing w:line="250" w:lineRule="exact"/>
                          <w:ind w:left="167"/>
                          <w:rPr>
                            <w:rFonts w:ascii="Microsoft JhengHei" w:eastAsia="Microsoft JhengHei" w:hint="eastAsia"/>
                            <w:b/>
                            <w:sz w:val="21"/>
                          </w:rPr>
                        </w:pPr>
                        <w:r>
                          <w:rPr>
                            <w:rFonts w:ascii="Microsoft JhengHei" w:eastAsia="Microsoft JhengHei" w:hint="eastAsia"/>
                            <w:b/>
                            <w:sz w:val="21"/>
                          </w:rPr>
                          <w:t>受益人</w:t>
                        </w:r>
                      </w:p>
                    </w:tc>
                    <w:tc>
                      <w:tcPr>
                        <w:tcW w:w="7446" w:type="dxa"/>
                      </w:tcPr>
                      <w:p>
                        <w:pPr>
                          <w:pStyle w:val="TableParagraph"/>
                          <w:spacing w:line="233" w:lineRule="exact"/>
                          <w:ind w:left="137"/>
                          <w:rPr>
                            <w:sz w:val="21"/>
                          </w:rPr>
                        </w:pPr>
                        <w:r>
                          <w:rPr>
                            <w:sz w:val="21"/>
                          </w:rPr>
                          <w:t>除本附加险合同另有指定外，重大疾病保险金的受益人为被保险人本人。</w:t>
                        </w:r>
                      </w:p>
                    </w:tc>
                  </w:tr>
                  <w:tr>
                    <w:trPr>
                      <w:trHeight w:val="264" w:hRule="atLeast"/>
                    </w:trPr>
                    <w:tc>
                      <w:tcPr>
                        <w:tcW w:w="693"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34" w:lineRule="exact"/>
                          <w:ind w:left="137"/>
                          <w:rPr>
                            <w:sz w:val="21"/>
                          </w:rPr>
                        </w:pPr>
                        <w:r>
                          <w:rPr>
                            <w:sz w:val="21"/>
                          </w:rPr>
                          <w:t>被保险人为无民事行为能力人或限制民事行为能力人的，可以由其监护人指定</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受益人。</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受益人为数人的，被保险人或者投保人可以确定受益顺序和受益份额；未确定</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受益份额的，受益人按照相等份额享有受益权。 </w:t>
                        </w:r>
                      </w:p>
                    </w:tc>
                  </w:tr>
                  <w:tr>
                    <w:trPr>
                      <w:trHeight w:val="271"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您或者被保险人可以变更受益人并书面通知我们。我们收到变更受益人的书面</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通知后，在保险单或者其他保险凭证上批注或者附贴批单。 </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您指定或变更受益人时须经被保险人同意。 </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被保险人身故后，遇有下列情形之一的，保险金作为被保险人的遗产，由我们</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依照《中华人民共和国继承法》的规定履行给付保险金的义务： </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（1）没有指定受益人，或者受益人指定不明无法确定的；  </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（2）受益人先于被保险人身故，没有其他受益人的； </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（3）受益人依法丧失受益权或者放弃受益权，没有其他受益人的。 </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受益人与被保险人在同一事件中身故，且不能确定身故顺序的，推定受益人身</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故在先。 </w:t>
                        </w:r>
                      </w:p>
                    </w:tc>
                  </w:tr>
                  <w:tr>
                    <w:trPr>
                      <w:trHeight w:val="242" w:hRule="atLeast"/>
                    </w:trPr>
                    <w:tc>
                      <w:tcPr>
                        <w:tcW w:w="693" w:type="dxa"/>
                      </w:tcPr>
                      <w:p>
                        <w:pPr>
                          <w:pStyle w:val="TableParagraph"/>
                          <w:rPr>
                            <w:rFonts w:ascii="Times New Roman"/>
                            <w:sz w:val="16"/>
                          </w:rPr>
                        </w:pPr>
                      </w:p>
                    </w:tc>
                    <w:tc>
                      <w:tcPr>
                        <w:tcW w:w="1988" w:type="dxa"/>
                      </w:tcPr>
                      <w:p>
                        <w:pPr>
                          <w:pStyle w:val="TableParagraph"/>
                          <w:rPr>
                            <w:rFonts w:ascii="Times New Roman"/>
                            <w:sz w:val="16"/>
                          </w:rPr>
                        </w:pPr>
                      </w:p>
                    </w:tc>
                    <w:tc>
                      <w:tcPr>
                        <w:tcW w:w="7446" w:type="dxa"/>
                      </w:tcPr>
                      <w:p>
                        <w:pPr>
                          <w:pStyle w:val="TableParagraph"/>
                          <w:spacing w:line="222" w:lineRule="exact"/>
                          <w:ind w:left="137"/>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260" w:hRule="atLeast"/>
                    </w:trPr>
                    <w:tc>
                      <w:tcPr>
                        <w:tcW w:w="693"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40" w:lineRule="exact"/>
                          <w:ind w:left="137"/>
                          <w:rPr>
                            <w:rFonts w:ascii="Microsoft JhengHei" w:eastAsia="Microsoft JhengHei" w:hint="eastAsia"/>
                            <w:b/>
                            <w:sz w:val="21"/>
                          </w:rPr>
                        </w:pPr>
                        <w:r>
                          <w:rPr>
                            <w:rFonts w:ascii="Microsoft JhengHei" w:eastAsia="Microsoft JhengHei" w:hint="eastAsia"/>
                            <w:b/>
                            <w:sz w:val="21"/>
                          </w:rPr>
                          <w:t>该受益人丧失受益权。</w:t>
                        </w:r>
                      </w:p>
                    </w:tc>
                  </w:tr>
                  <w:tr>
                    <w:trPr>
                      <w:trHeight w:val="211" w:hRule="atLeast"/>
                    </w:trPr>
                    <w:tc>
                      <w:tcPr>
                        <w:tcW w:w="693" w:type="dxa"/>
                      </w:tcPr>
                      <w:p>
                        <w:pPr>
                          <w:pStyle w:val="TableParagraph"/>
                          <w:spacing w:line="202" w:lineRule="exact"/>
                          <w:ind w:left="104"/>
                          <w:rPr>
                            <w:sz w:val="21"/>
                          </w:rPr>
                        </w:pPr>
                        <w:r>
                          <w:rPr>
                            <w:w w:val="100"/>
                            <w:sz w:val="21"/>
                          </w:rPr>
                          <w:t> </w:t>
                        </w:r>
                      </w:p>
                    </w:tc>
                    <w:tc>
                      <w:tcPr>
                        <w:tcW w:w="1988" w:type="dxa"/>
                      </w:tcPr>
                      <w:p>
                        <w:pPr>
                          <w:pStyle w:val="TableParagraph"/>
                          <w:spacing w:line="202" w:lineRule="exact"/>
                          <w:ind w:left="167"/>
                          <w:rPr>
                            <w:sz w:val="21"/>
                          </w:rPr>
                        </w:pPr>
                        <w:r>
                          <w:rPr>
                            <w:w w:val="100"/>
                            <w:sz w:val="21"/>
                          </w:rPr>
                          <w:t> </w:t>
                        </w:r>
                      </w:p>
                    </w:tc>
                    <w:tc>
                      <w:tcPr>
                        <w:tcW w:w="7446" w:type="dxa"/>
                      </w:tcPr>
                      <w:p>
                        <w:pPr>
                          <w:pStyle w:val="TableParagraph"/>
                          <w:spacing w:line="202" w:lineRule="exact"/>
                          <w:ind w:left="137"/>
                          <w:rPr>
                            <w:sz w:val="21"/>
                          </w:rPr>
                        </w:pPr>
                        <w:r>
                          <w:rPr>
                            <w:w w:val="100"/>
                            <w:sz w:val="21"/>
                          </w:rPr>
                          <w:t> </w:t>
                        </w:r>
                      </w:p>
                    </w:tc>
                  </w:tr>
                  <w:tr>
                    <w:trPr>
                      <w:trHeight w:val="270" w:hRule="atLeast"/>
                    </w:trPr>
                    <w:tc>
                      <w:tcPr>
                        <w:tcW w:w="693" w:type="dxa"/>
                      </w:tcPr>
                      <w:p>
                        <w:pPr>
                          <w:pStyle w:val="TableParagraph"/>
                          <w:spacing w:line="250" w:lineRule="exact"/>
                          <w:ind w:left="104"/>
                          <w:rPr>
                            <w:rFonts w:ascii="Microsoft JhengHei"/>
                            <w:b/>
                            <w:sz w:val="21"/>
                          </w:rPr>
                        </w:pPr>
                        <w:r>
                          <w:rPr>
                            <w:rFonts w:ascii="Microsoft JhengHei"/>
                            <w:b/>
                            <w:w w:val="90"/>
                            <w:sz w:val="21"/>
                          </w:rPr>
                          <w:t>3. 2</w:t>
                        </w:r>
                      </w:p>
                    </w:tc>
                    <w:tc>
                      <w:tcPr>
                        <w:tcW w:w="1988" w:type="dxa"/>
                      </w:tcPr>
                      <w:p>
                        <w:pPr>
                          <w:pStyle w:val="TableParagraph"/>
                          <w:spacing w:line="250" w:lineRule="exact"/>
                          <w:ind w:left="167"/>
                          <w:rPr>
                            <w:rFonts w:ascii="Microsoft JhengHei" w:eastAsia="Microsoft JhengHei" w:hint="eastAsia"/>
                            <w:b/>
                            <w:sz w:val="21"/>
                          </w:rPr>
                        </w:pPr>
                        <w:r>
                          <w:rPr>
                            <w:rFonts w:ascii="Microsoft JhengHei" w:eastAsia="Microsoft JhengHei" w:hint="eastAsia"/>
                            <w:b/>
                            <w:sz w:val="21"/>
                          </w:rPr>
                          <w:t>保险事故通知</w:t>
                        </w:r>
                      </w:p>
                    </w:tc>
                    <w:tc>
                      <w:tcPr>
                        <w:tcW w:w="7446" w:type="dxa"/>
                      </w:tcPr>
                      <w:p>
                        <w:pPr>
                          <w:pStyle w:val="TableParagraph"/>
                          <w:spacing w:line="231" w:lineRule="exact"/>
                          <w:ind w:left="137"/>
                          <w:rPr>
                            <w:sz w:val="21"/>
                          </w:rPr>
                        </w:pPr>
                        <w:r>
                          <w:rPr>
                            <w:sz w:val="21"/>
                          </w:rPr>
                          <w:t>请您或受益人在知道保险事故发生后 10 日内通知我们。 </w:t>
                        </w:r>
                      </w:p>
                    </w:tc>
                  </w:tr>
                  <w:tr>
                    <w:trPr>
                      <w:trHeight w:val="264" w:hRule="atLeast"/>
                    </w:trPr>
                    <w:tc>
                      <w:tcPr>
                        <w:tcW w:w="693"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45" w:lineRule="exact"/>
                          <w:ind w:left="13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52" w:lineRule="exact"/>
                          <w:ind w:left="13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242" w:hRule="atLeast"/>
                    </w:trPr>
                    <w:tc>
                      <w:tcPr>
                        <w:tcW w:w="693" w:type="dxa"/>
                      </w:tcPr>
                      <w:p>
                        <w:pPr>
                          <w:pStyle w:val="TableParagraph"/>
                          <w:rPr>
                            <w:rFonts w:ascii="Times New Roman"/>
                            <w:sz w:val="16"/>
                          </w:rPr>
                        </w:pPr>
                      </w:p>
                    </w:tc>
                    <w:tc>
                      <w:tcPr>
                        <w:tcW w:w="1988" w:type="dxa"/>
                      </w:tcPr>
                      <w:p>
                        <w:pPr>
                          <w:pStyle w:val="TableParagraph"/>
                          <w:rPr>
                            <w:rFonts w:ascii="Times New Roman"/>
                            <w:sz w:val="16"/>
                          </w:rPr>
                        </w:pPr>
                      </w:p>
                    </w:tc>
                    <w:tc>
                      <w:tcPr>
                        <w:tcW w:w="7446" w:type="dxa"/>
                      </w:tcPr>
                      <w:p>
                        <w:pPr>
                          <w:pStyle w:val="TableParagraph"/>
                          <w:spacing w:line="222" w:lineRule="exact"/>
                          <w:ind w:left="137"/>
                          <w:rPr>
                            <w:sz w:val="21"/>
                          </w:rPr>
                        </w:pPr>
                        <w:r>
                          <w:rPr>
                            <w:sz w:val="21"/>
                          </w:rPr>
                          <w:t>但我们通过其他途径已经及时知道或者应当及时知道保险事故发生的或者虽未</w:t>
                        </w:r>
                      </w:p>
                    </w:tc>
                  </w:tr>
                  <w:tr>
                    <w:trPr>
                      <w:trHeight w:val="260" w:hRule="atLeast"/>
                    </w:trPr>
                    <w:tc>
                      <w:tcPr>
                        <w:tcW w:w="693"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40" w:lineRule="exact"/>
                          <w:ind w:left="137"/>
                          <w:rPr>
                            <w:sz w:val="21"/>
                          </w:rPr>
                        </w:pPr>
                        <w:r>
                          <w:rPr>
                            <w:sz w:val="21"/>
                          </w:rPr>
                          <w:t>及时通知但不影响我们确定保险事故的性质、原因、损失程度除外。 </w:t>
                        </w:r>
                      </w:p>
                    </w:tc>
                  </w:tr>
                  <w:tr>
                    <w:trPr>
                      <w:trHeight w:val="211" w:hRule="atLeast"/>
                    </w:trPr>
                    <w:tc>
                      <w:tcPr>
                        <w:tcW w:w="693" w:type="dxa"/>
                      </w:tcPr>
                      <w:p>
                        <w:pPr>
                          <w:pStyle w:val="TableParagraph"/>
                          <w:spacing w:line="202" w:lineRule="exact"/>
                          <w:ind w:left="104"/>
                          <w:rPr>
                            <w:sz w:val="21"/>
                          </w:rPr>
                        </w:pPr>
                        <w:r>
                          <w:rPr>
                            <w:w w:val="100"/>
                            <w:sz w:val="21"/>
                          </w:rPr>
                          <w:t> </w:t>
                        </w:r>
                      </w:p>
                    </w:tc>
                    <w:tc>
                      <w:tcPr>
                        <w:tcW w:w="1988" w:type="dxa"/>
                      </w:tcPr>
                      <w:p>
                        <w:pPr>
                          <w:pStyle w:val="TableParagraph"/>
                          <w:spacing w:line="202" w:lineRule="exact"/>
                          <w:ind w:left="167"/>
                          <w:rPr>
                            <w:sz w:val="21"/>
                          </w:rPr>
                        </w:pPr>
                        <w:r>
                          <w:rPr>
                            <w:w w:val="100"/>
                            <w:sz w:val="21"/>
                          </w:rPr>
                          <w:t> </w:t>
                        </w:r>
                      </w:p>
                    </w:tc>
                    <w:tc>
                      <w:tcPr>
                        <w:tcW w:w="7446" w:type="dxa"/>
                      </w:tcPr>
                      <w:p>
                        <w:pPr>
                          <w:pStyle w:val="TableParagraph"/>
                          <w:spacing w:line="202" w:lineRule="exact"/>
                          <w:ind w:left="137"/>
                          <w:rPr>
                            <w:sz w:val="21"/>
                          </w:rPr>
                        </w:pPr>
                        <w:r>
                          <w:rPr>
                            <w:w w:val="100"/>
                            <w:sz w:val="21"/>
                          </w:rPr>
                          <w:t> </w:t>
                        </w:r>
                      </w:p>
                    </w:tc>
                  </w:tr>
                  <w:tr>
                    <w:trPr>
                      <w:trHeight w:val="228" w:hRule="atLeast"/>
                    </w:trPr>
                    <w:tc>
                      <w:tcPr>
                        <w:tcW w:w="693" w:type="dxa"/>
                      </w:tcPr>
                      <w:p>
                        <w:pPr>
                          <w:pStyle w:val="TableParagraph"/>
                          <w:spacing w:line="208" w:lineRule="exact"/>
                          <w:ind w:left="104"/>
                          <w:rPr>
                            <w:sz w:val="21"/>
                          </w:rPr>
                        </w:pPr>
                        <w:r>
                          <w:rPr>
                            <w:rFonts w:ascii="Microsoft JhengHei"/>
                            <w:b/>
                            <w:w w:val="90"/>
                            <w:sz w:val="21"/>
                          </w:rPr>
                          <w:t>3. 3</w:t>
                        </w:r>
                        <w:r>
                          <w:rPr>
                            <w:rFonts w:ascii="Microsoft JhengHei"/>
                            <w:b/>
                            <w:sz w:val="21"/>
                          </w:rPr>
                          <w:t> </w:t>
                        </w:r>
                        <w:r>
                          <w:rPr>
                            <w:w w:val="100"/>
                            <w:sz w:val="21"/>
                          </w:rPr>
                          <w:t> </w:t>
                        </w:r>
                      </w:p>
                    </w:tc>
                    <w:tc>
                      <w:tcPr>
                        <w:tcW w:w="1988" w:type="dxa"/>
                      </w:tcPr>
                      <w:p>
                        <w:pPr>
                          <w:pStyle w:val="TableParagraph"/>
                          <w:spacing w:line="208"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446" w:type="dxa"/>
                      </w:tcPr>
                      <w:p>
                        <w:pPr>
                          <w:pStyle w:val="TableParagraph"/>
                          <w:spacing w:line="208" w:lineRule="exact"/>
                          <w:ind w:left="151"/>
                          <w:rPr>
                            <w:sz w:val="21"/>
                          </w:rPr>
                        </w:pPr>
                        <w:r>
                          <w:rPr>
                            <w:sz w:val="21"/>
                          </w:rPr>
                          <w:t>在申请保险金时，请按照下列方式办理： </w:t>
                        </w:r>
                      </w:p>
                    </w:tc>
                  </w:tr>
                  <w:tr>
                    <w:trPr>
                      <w:trHeight w:val="206" w:hRule="atLeast"/>
                    </w:trPr>
                    <w:tc>
                      <w:tcPr>
                        <w:tcW w:w="693" w:type="dxa"/>
                      </w:tcPr>
                      <w:p>
                        <w:pPr>
                          <w:pStyle w:val="TableParagraph"/>
                          <w:rPr>
                            <w:rFonts w:ascii="Times New Roman"/>
                            <w:sz w:val="14"/>
                          </w:rPr>
                        </w:pPr>
                      </w:p>
                    </w:tc>
                    <w:tc>
                      <w:tcPr>
                        <w:tcW w:w="1988" w:type="dxa"/>
                      </w:tcPr>
                      <w:p>
                        <w:pPr>
                          <w:pStyle w:val="TableParagraph"/>
                          <w:rPr>
                            <w:rFonts w:ascii="Times New Roman"/>
                            <w:sz w:val="14"/>
                          </w:rPr>
                        </w:pPr>
                      </w:p>
                    </w:tc>
                    <w:tc>
                      <w:tcPr>
                        <w:tcW w:w="7446" w:type="dxa"/>
                      </w:tcPr>
                      <w:p>
                        <w:pPr>
                          <w:pStyle w:val="TableParagraph"/>
                          <w:spacing w:line="186" w:lineRule="exact"/>
                          <w:ind w:left="137"/>
                          <w:rPr>
                            <w:sz w:val="21"/>
                          </w:rPr>
                        </w:pPr>
                        <w:r>
                          <w:rPr>
                            <w:w w:val="100"/>
                            <w:sz w:val="21"/>
                          </w:rPr>
                          <w:t> </w:t>
                        </w:r>
                      </w:p>
                    </w:tc>
                  </w:tr>
                  <w:tr>
                    <w:trPr>
                      <w:trHeight w:val="260" w:hRule="atLeast"/>
                    </w:trPr>
                    <w:tc>
                      <w:tcPr>
                        <w:tcW w:w="693" w:type="dxa"/>
                      </w:tcPr>
                      <w:p>
                        <w:pPr>
                          <w:pStyle w:val="TableParagraph"/>
                          <w:rPr>
                            <w:rFonts w:ascii="Times New Roman"/>
                            <w:sz w:val="18"/>
                          </w:rPr>
                        </w:pPr>
                      </w:p>
                    </w:tc>
                    <w:tc>
                      <w:tcPr>
                        <w:tcW w:w="1988" w:type="dxa"/>
                      </w:tcPr>
                      <w:p>
                        <w:pPr>
                          <w:pStyle w:val="TableParagraph"/>
                          <w:spacing w:line="236" w:lineRule="exact"/>
                          <w:ind w:left="167"/>
                          <w:rPr>
                            <w:rFonts w:ascii="Microsoft JhengHei" w:eastAsia="Microsoft JhengHei" w:hint="eastAsia"/>
                            <w:b/>
                            <w:sz w:val="21"/>
                          </w:rPr>
                        </w:pPr>
                        <w:r>
                          <w:rPr>
                            <w:rFonts w:ascii="Microsoft JhengHei" w:eastAsia="Microsoft JhengHei" w:hint="eastAsia"/>
                            <w:b/>
                            <w:sz w:val="21"/>
                          </w:rPr>
                          <w:t>重大疾病保险金申</w:t>
                        </w:r>
                      </w:p>
                    </w:tc>
                    <w:tc>
                      <w:tcPr>
                        <w:tcW w:w="7446" w:type="dxa"/>
                      </w:tcPr>
                      <w:p>
                        <w:pPr>
                          <w:pStyle w:val="TableParagraph"/>
                          <w:spacing w:line="231" w:lineRule="exact"/>
                          <w:ind w:left="137"/>
                          <w:rPr>
                            <w:sz w:val="21"/>
                          </w:rPr>
                        </w:pPr>
                        <w:r>
                          <w:rPr>
                            <w:sz w:val="21"/>
                          </w:rPr>
                          <w:t>在申请重大疾病保险金时，申请人须填写保险金给付申请书，并提供下列证明</w:t>
                        </w:r>
                      </w:p>
                    </w:tc>
                  </w:tr>
                  <w:tr>
                    <w:trPr>
                      <w:trHeight w:val="275" w:hRule="atLeast"/>
                    </w:trPr>
                    <w:tc>
                      <w:tcPr>
                        <w:tcW w:w="693" w:type="dxa"/>
                      </w:tcPr>
                      <w:p>
                        <w:pPr>
                          <w:pStyle w:val="TableParagraph"/>
                          <w:rPr>
                            <w:rFonts w:ascii="Times New Roman"/>
                            <w:sz w:val="20"/>
                          </w:rPr>
                        </w:pPr>
                      </w:p>
                    </w:tc>
                    <w:tc>
                      <w:tcPr>
                        <w:tcW w:w="1988" w:type="dxa"/>
                      </w:tcPr>
                      <w:p>
                        <w:pPr>
                          <w:pStyle w:val="TableParagraph"/>
                          <w:spacing w:line="251" w:lineRule="exact"/>
                          <w:ind w:left="167"/>
                          <w:rPr>
                            <w:rFonts w:ascii="Microsoft JhengHei" w:eastAsia="Microsoft JhengHei" w:hint="eastAsia"/>
                            <w:b/>
                            <w:sz w:val="21"/>
                          </w:rPr>
                        </w:pPr>
                        <w:r>
                          <w:rPr>
                            <w:rFonts w:ascii="Microsoft JhengHei" w:eastAsia="Microsoft JhengHei" w:hint="eastAsia"/>
                            <w:b/>
                            <w:w w:val="100"/>
                            <w:sz w:val="21"/>
                          </w:rPr>
                          <w:t>请</w:t>
                        </w:r>
                      </w:p>
                    </w:tc>
                    <w:tc>
                      <w:tcPr>
                        <w:tcW w:w="7446" w:type="dxa"/>
                      </w:tcPr>
                      <w:p>
                        <w:pPr>
                          <w:pStyle w:val="TableParagraph"/>
                          <w:spacing w:line="241" w:lineRule="exact"/>
                          <w:ind w:left="137"/>
                          <w:rPr>
                            <w:sz w:val="21"/>
                          </w:rPr>
                        </w:pPr>
                        <w:r>
                          <w:rPr>
                            <w:sz w:val="21"/>
                          </w:rPr>
                          <w:t>和资料： </w:t>
                        </w:r>
                      </w:p>
                    </w:tc>
                  </w:tr>
                  <w:tr>
                    <w:trPr>
                      <w:trHeight w:val="269" w:hRule="atLeast"/>
                    </w:trPr>
                    <w:tc>
                      <w:tcPr>
                        <w:tcW w:w="693"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39" w:lineRule="exact"/>
                          <w:ind w:left="137"/>
                          <w:rPr>
                            <w:sz w:val="21"/>
                          </w:rPr>
                        </w:pPr>
                        <w:r>
                          <w:rPr>
                            <w:sz w:val="21"/>
                          </w:rPr>
                          <w:t>（1）保险合同； </w:t>
                        </w:r>
                      </w:p>
                    </w:tc>
                  </w:tr>
                  <w:tr>
                    <w:trPr>
                      <w:trHeight w:val="271"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（2）申请人的有效身份证件； </w:t>
                        </w:r>
                      </w:p>
                    </w:tc>
                  </w:tr>
                  <w:tr>
                    <w:trPr>
                      <w:trHeight w:val="241" w:hRule="atLeast"/>
                    </w:trPr>
                    <w:tc>
                      <w:tcPr>
                        <w:tcW w:w="693" w:type="dxa"/>
                      </w:tcPr>
                      <w:p>
                        <w:pPr>
                          <w:pStyle w:val="TableParagraph"/>
                          <w:rPr>
                            <w:rFonts w:ascii="Times New Roman"/>
                            <w:sz w:val="16"/>
                          </w:rPr>
                        </w:pPr>
                      </w:p>
                    </w:tc>
                    <w:tc>
                      <w:tcPr>
                        <w:tcW w:w="1988" w:type="dxa"/>
                      </w:tcPr>
                      <w:p>
                        <w:pPr>
                          <w:pStyle w:val="TableParagraph"/>
                          <w:rPr>
                            <w:rFonts w:ascii="Times New Roman"/>
                            <w:sz w:val="16"/>
                          </w:rPr>
                        </w:pPr>
                      </w:p>
                    </w:tc>
                    <w:tc>
                      <w:tcPr>
                        <w:tcW w:w="7446" w:type="dxa"/>
                      </w:tcPr>
                      <w:p>
                        <w:pPr>
                          <w:pStyle w:val="TableParagraph"/>
                          <w:spacing w:line="221" w:lineRule="exact"/>
                          <w:ind w:left="137"/>
                          <w:rPr>
                            <w:sz w:val="21"/>
                          </w:rPr>
                        </w:pPr>
                        <w:r>
                          <w:rPr>
                            <w:sz w:val="21"/>
                          </w:rPr>
                          <w:t>（3）医疗机构根据本附加险合同释义中“10.5 重大疾病”定义，出具的被保</w:t>
                        </w:r>
                      </w:p>
                    </w:tc>
                  </w:tr>
                </w:tbl>
                <w:p>
                  <w:pPr>
                    <w:pStyle w:val="BodyText"/>
                    <w:spacing w:line="240" w:lineRule="auto"/>
                    <w:ind w:left="0"/>
                  </w:pPr>
                </w:p>
              </w:txbxContent>
            </v:textbox>
            <w10:wrap type="none"/>
          </v:shape>
        </w:pict>
      </w:r>
      <w:r>
        <w:rPr>
          <w:rFonts w:ascii="Microsoft JhengHei" w:eastAsia="Microsoft JhengHei" w:hint="eastAsia"/>
          <w:b/>
          <w:sz w:val="21"/>
        </w:rPr>
        <w:t>发生上述情形导致被保险人发生疾病、达到疾病状态或进行手术的，本附加险合同终止，我们将本附加险合同的现金价值退还至万能账户。</w:t>
      </w:r>
      <w:r>
        <w:rPr>
          <w:sz w:val="21"/>
        </w:rPr>
        <w:t> </w:t>
      </w:r>
    </w:p>
    <w:p>
      <w:pPr>
        <w:pStyle w:val="BodyText"/>
        <w:spacing w:line="240" w:lineRule="auto"/>
        <w:ind w:left="0"/>
        <w:rPr>
          <w:sz w:val="20"/>
        </w:rPr>
      </w:pPr>
    </w:p>
    <w:p>
      <w:pPr>
        <w:pStyle w:val="BodyText"/>
        <w:spacing w:line="240" w:lineRule="auto" w:before="13"/>
        <w:ind w:left="0"/>
      </w:pPr>
      <w:r>
        <w:rPr/>
        <w:pict>
          <v:group style="position:absolute;margin-left:59.759998pt;margin-top:16.363194pt;width:504.15pt;height:1pt;mso-position-horizontal-relative:page;mso-position-vertical-relative:paragraph;z-index:1168;mso-wrap-distance-left:0;mso-wrap-distance-right:0" coordorigin="1195,327" coordsize="10083,20">
            <v:line style="position:absolute" from="1195,337" to="1954,337" stroked="true" strokeweight=".96pt" strokecolor="#000000">
              <v:stroke dashstyle="solid"/>
            </v:line>
            <v:rect style="position:absolute;left:1953;top:327;width:20;height:20" filled="true" fillcolor="#000000" stroked="false">
              <v:fill type="solid"/>
            </v:rect>
            <v:line style="position:absolute" from="1973,337" to="3910,337" stroked="true" strokeweight=".96pt" strokecolor="#000000">
              <v:stroke dashstyle="solid"/>
            </v:line>
            <v:rect style="position:absolute;left:3909;top:327;width:20;height:20" filled="true" fillcolor="#000000" stroked="false">
              <v:fill type="solid"/>
            </v:rect>
            <v:line style="position:absolute" from="3929,337" to="11278,337" stroked="true" strokeweight=".96pt" strokecolor="#000000">
              <v:stroke dashstyle="solid"/>
            </v:line>
            <w10:wrap type="topAndBottom"/>
          </v:group>
        </w:pict>
      </w:r>
    </w:p>
    <w:p>
      <w:pPr>
        <w:spacing w:after="0" w:line="240" w:lineRule="auto"/>
        <w:sectPr>
          <w:pgSz w:w="11900" w:h="16840"/>
          <w:pgMar w:header="0" w:footer="457" w:top="1280" w:bottom="640" w:left="1080" w:right="460"/>
        </w:sectPr>
      </w:pPr>
    </w:p>
    <w:p>
      <w:pPr>
        <w:pStyle w:val="BodyText"/>
        <w:spacing w:line="273" w:lineRule="exact" w:before="7"/>
        <w:ind w:left="3441"/>
      </w:pPr>
      <w:r>
        <w:rPr/>
        <w:t>险人的病历、必要病理检验、血液检验及其他科学诊断报告或手术证明； </w:t>
      </w:r>
    </w:p>
    <w:p>
      <w:pPr>
        <w:pStyle w:val="BodyText"/>
        <w:spacing w:line="240" w:lineRule="auto"/>
        <w:ind w:left="3441" w:right="208" w:hanging="504"/>
      </w:pPr>
      <w:r>
        <w:rPr>
          <w:spacing w:val="-12"/>
        </w:rPr>
        <w:t>（4）</w:t>
      </w:r>
      <w:r>
        <w:rPr>
          <w:spacing w:val="-7"/>
        </w:rPr>
        <w:t>所能够提供的与确认保险事故的性质、原因、伤害程度等有关的其他证明</w:t>
      </w:r>
      <w:r>
        <w:rPr>
          <w:spacing w:val="-2"/>
        </w:rPr>
        <w:t>和资料。</w:t>
      </w:r>
      <w:r>
        <w:rPr/>
        <w:t> </w:t>
      </w:r>
    </w:p>
    <w:p>
      <w:pPr>
        <w:pStyle w:val="BodyText"/>
        <w:tabs>
          <w:tab w:pos="2937" w:val="left" w:leader="none"/>
        </w:tabs>
        <w:spacing w:line="131" w:lineRule="exact"/>
        <w:ind w:left="223"/>
      </w:pPr>
      <w:r>
        <w:rPr>
          <w:w w:val="100"/>
        </w:rPr>
        <w:t> </w:t>
      </w:r>
      <w:r>
        <w:rPr/>
        <w:tab/>
      </w:r>
      <w:r>
        <w:rPr>
          <w:w w:val="100"/>
        </w:rPr>
        <w:t> </w:t>
      </w:r>
    </w:p>
    <w:p>
      <w:pPr>
        <w:pStyle w:val="BodyText"/>
        <w:tabs>
          <w:tab w:pos="979" w:val="left" w:leader="none"/>
          <w:tab w:pos="2937" w:val="left" w:leader="none"/>
        </w:tabs>
        <w:spacing w:line="305" w:lineRule="exact"/>
        <w:ind w:left="223"/>
      </w:pPr>
      <w:r>
        <w:rPr>
          <w:w w:val="100"/>
        </w:rPr>
        <w:t> </w:t>
      </w:r>
      <w:r>
        <w:rPr/>
        <w:tab/>
      </w:r>
      <w:r>
        <w:rPr>
          <w:rFonts w:ascii="Microsoft JhengHei" w:eastAsia="Microsoft JhengHei" w:hint="eastAsia"/>
          <w:b/>
          <w:position w:val="2"/>
        </w:rPr>
        <w:t>特别</w:t>
      </w:r>
      <w:r>
        <w:rPr>
          <w:rFonts w:ascii="Microsoft JhengHei" w:eastAsia="Microsoft JhengHei" w:hint="eastAsia"/>
          <w:b/>
          <w:spacing w:val="-3"/>
          <w:position w:val="2"/>
        </w:rPr>
        <w:t>注</w:t>
      </w:r>
      <w:r>
        <w:rPr>
          <w:rFonts w:ascii="Microsoft JhengHei" w:eastAsia="Microsoft JhengHei" w:hint="eastAsia"/>
          <w:b/>
          <w:position w:val="2"/>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r>
        <w:rPr>
          <w:spacing w:val="-3"/>
        </w:rPr>
        <w:t>。</w:t>
      </w:r>
      <w:r>
        <w:rPr/>
        <w:t> </w:t>
      </w:r>
    </w:p>
    <w:p>
      <w:pPr>
        <w:pStyle w:val="BodyText"/>
        <w:spacing w:line="270" w:lineRule="exact"/>
        <w:ind w:left="2937"/>
        <w:jc w:val="both"/>
      </w:pPr>
      <w:r>
        <w:rPr/>
        <w:t>以上证明和资料不完整的，我们将及时一次性通知申请人补充提供有关证明和</w:t>
      </w:r>
    </w:p>
    <w:p>
      <w:pPr>
        <w:pStyle w:val="BodyText"/>
        <w:spacing w:line="230" w:lineRule="exact"/>
        <w:ind w:left="2937"/>
        <w:jc w:val="both"/>
      </w:pPr>
      <w:r>
        <w:rPr/>
        <w:t>资料。</w:t>
      </w:r>
    </w:p>
    <w:p>
      <w:pPr>
        <w:pStyle w:val="BodyText"/>
        <w:tabs>
          <w:tab w:pos="979" w:val="left" w:leader="none"/>
          <w:tab w:pos="2937" w:val="left" w:leader="none"/>
        </w:tabs>
        <w:spacing w:line="183" w:lineRule="exact"/>
        <w:ind w:left="223"/>
      </w:pPr>
      <w:r>
        <w:rPr>
          <w:w w:val="100"/>
        </w:rPr>
        <w:t> </w:t>
      </w:r>
      <w:r>
        <w:rPr/>
        <w:tab/>
      </w:r>
      <w:r>
        <w:rPr>
          <w:w w:val="100"/>
        </w:rPr>
        <w:t> </w:t>
      </w:r>
      <w:r>
        <w:rPr/>
        <w:tab/>
      </w:r>
      <w:r>
        <w:rPr>
          <w:w w:val="100"/>
        </w:rPr>
        <w:t> </w:t>
      </w:r>
    </w:p>
    <w:p>
      <w:pPr>
        <w:pStyle w:val="ListParagraph"/>
        <w:numPr>
          <w:ilvl w:val="1"/>
          <w:numId w:val="5"/>
        </w:numPr>
        <w:tabs>
          <w:tab w:pos="979" w:val="left" w:leader="none"/>
          <w:tab w:pos="980" w:val="left" w:leader="none"/>
          <w:tab w:pos="2937" w:val="left" w:leader="none"/>
        </w:tabs>
        <w:spacing w:line="303" w:lineRule="exact" w:before="0" w:after="0"/>
        <w:ind w:left="979" w:right="0" w:hanging="756"/>
        <w:jc w:val="left"/>
        <w:rPr>
          <w:sz w:val="21"/>
        </w:rPr>
      </w:pPr>
      <w:r>
        <w:rPr>
          <w:rFonts w:ascii="Microsoft JhengHei" w:eastAsia="Microsoft JhengHei" w:hint="eastAsia"/>
          <w:b/>
          <w:sz w:val="21"/>
        </w:rPr>
        <w:t>4</w:t>
        <w:tab/>
        <w:t>保险金给付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约</w:t>
      </w:r>
      <w:r>
        <w:rPr>
          <w:spacing w:val="-3"/>
          <w:sz w:val="21"/>
        </w:rPr>
        <w:t>定</w:t>
      </w:r>
      <w:r>
        <w:rPr>
          <w:sz w:val="21"/>
        </w:rPr>
        <w:t>的证</w:t>
      </w:r>
      <w:r>
        <w:rPr>
          <w:spacing w:val="-3"/>
          <w:sz w:val="21"/>
        </w:rPr>
        <w:t>明</w:t>
      </w:r>
      <w:r>
        <w:rPr>
          <w:sz w:val="21"/>
        </w:rPr>
        <w:t>和</w:t>
      </w:r>
      <w:r>
        <w:rPr>
          <w:spacing w:val="-3"/>
          <w:sz w:val="21"/>
        </w:rPr>
        <w:t>资</w:t>
      </w:r>
      <w:r>
        <w:rPr>
          <w:sz w:val="21"/>
        </w:rPr>
        <w:t>料</w:t>
      </w:r>
      <w:r>
        <w:rPr>
          <w:spacing w:val="-3"/>
          <w:sz w:val="21"/>
        </w:rPr>
        <w:t>后</w:t>
      </w:r>
      <w:r>
        <w:rPr>
          <w:sz w:val="21"/>
        </w:rPr>
        <w:t>， </w:t>
      </w:r>
      <w:r>
        <w:rPr>
          <w:spacing w:val="-3"/>
          <w:sz w:val="21"/>
        </w:rPr>
        <w:t>将</w:t>
      </w:r>
      <w:r>
        <w:rPr>
          <w:sz w:val="21"/>
        </w:rPr>
        <w:t>在</w:t>
      </w:r>
      <w:r>
        <w:rPr>
          <w:spacing w:val="-46"/>
          <w:sz w:val="21"/>
        </w:rPr>
        <w:t> </w:t>
      </w:r>
      <w:r>
        <w:rPr>
          <w:sz w:val="21"/>
        </w:rPr>
        <w:t>5</w:t>
      </w:r>
      <w:r>
        <w:rPr>
          <w:spacing w:val="-48"/>
          <w:sz w:val="21"/>
        </w:rPr>
        <w:t> </w:t>
      </w:r>
      <w:r>
        <w:rPr>
          <w:sz w:val="21"/>
        </w:rPr>
        <w:t>日</w:t>
      </w:r>
    </w:p>
    <w:p>
      <w:pPr>
        <w:pStyle w:val="BodyText"/>
        <w:spacing w:line="260" w:lineRule="exact"/>
        <w:ind w:left="2937"/>
        <w:jc w:val="both"/>
      </w:pPr>
      <w:r>
        <w:rPr/>
        <w:t>内作出核定；情形复杂的，在 30 日内作出核定。对属于保险责任的，我们在与</w:t>
      </w:r>
    </w:p>
    <w:p>
      <w:pPr>
        <w:pStyle w:val="BodyText"/>
        <w:ind w:left="2937"/>
        <w:jc w:val="both"/>
      </w:pPr>
      <w:r>
        <w:rPr/>
        <w:t>受益人达成给付保险金的协议后 10 日内，履行给付保险金义务。 </w:t>
      </w:r>
    </w:p>
    <w:p>
      <w:pPr>
        <w:pStyle w:val="BodyText"/>
        <w:spacing w:line="237" w:lineRule="auto" w:before="2"/>
        <w:ind w:left="2937" w:right="208"/>
        <w:jc w:val="both"/>
      </w:pPr>
      <w:r>
        <w:rPr/>
        <w:t>我们未及时履行前款规定义务的，除支付保险金外，应当赔偿受益人因此受到的损失。 </w:t>
      </w:r>
    </w:p>
    <w:p>
      <w:pPr>
        <w:pStyle w:val="Heading3"/>
        <w:spacing w:line="177" w:lineRule="auto" w:before="27"/>
        <w:ind w:right="207"/>
      </w:pPr>
      <w:r>
        <w:rPr>
          <w:spacing w:val="-3"/>
        </w:rPr>
        <w:t>对不属于保险责任的，我们自作出核定之日起 </w:t>
      </w:r>
      <w:r>
        <w:rPr/>
        <w:t>3</w:t>
      </w:r>
      <w:r>
        <w:rPr>
          <w:spacing w:val="-2"/>
        </w:rPr>
        <w:t> 日内向受益人发出拒绝给付保</w:t>
      </w:r>
      <w:r>
        <w:rPr>
          <w:spacing w:val="-3"/>
        </w:rPr>
        <w:t>险金通知书并说明理由。</w:t>
      </w:r>
    </w:p>
    <w:p>
      <w:pPr>
        <w:pStyle w:val="BodyText"/>
        <w:spacing w:before="2"/>
        <w:ind w:left="2937" w:right="207"/>
        <w:jc w:val="both"/>
      </w:pPr>
      <w:r>
        <w:rPr>
          <w:spacing w:val="-5"/>
        </w:rPr>
        <w:t>我们在收到保险金给付申请书及有关证明和资料之日起 </w:t>
      </w:r>
      <w:r>
        <w:rPr/>
        <w:t>60</w:t>
      </w:r>
      <w:r>
        <w:rPr>
          <w:spacing w:val="-17"/>
        </w:rPr>
        <w:t> 日内，对给付保险金</w:t>
      </w:r>
      <w:r>
        <w:rPr>
          <w:spacing w:val="-8"/>
        </w:rPr>
        <w:t>的数额不能确定的，根据已有证明和资料可以确定的数额先予支付；我们最终</w:t>
      </w:r>
      <w:r>
        <w:rPr>
          <w:spacing w:val="-5"/>
        </w:rPr>
        <w:t>确定给付保险金的数额后，将支付相应的差额。</w:t>
      </w:r>
    </w:p>
    <w:p>
      <w:pPr>
        <w:pStyle w:val="BodyText"/>
        <w:tabs>
          <w:tab w:pos="979" w:val="left" w:leader="none"/>
          <w:tab w:pos="2937" w:val="left" w:leader="none"/>
        </w:tabs>
        <w:spacing w:line="116" w:lineRule="exact"/>
        <w:ind w:left="223"/>
      </w:pPr>
      <w:r>
        <w:rPr>
          <w:w w:val="100"/>
        </w:rPr>
        <w:t> </w:t>
      </w:r>
      <w:r>
        <w:rPr/>
        <w:tab/>
      </w:r>
      <w:r>
        <w:rPr>
          <w:w w:val="100"/>
        </w:rPr>
        <w:t> </w:t>
      </w:r>
      <w:r>
        <w:rPr/>
        <w:tab/>
      </w:r>
      <w:r>
        <w:rPr>
          <w:w w:val="100"/>
        </w:rPr>
        <w:t> </w:t>
      </w:r>
    </w:p>
    <w:p>
      <w:pPr>
        <w:pStyle w:val="ListParagraph"/>
        <w:numPr>
          <w:ilvl w:val="1"/>
          <w:numId w:val="5"/>
        </w:numPr>
        <w:tabs>
          <w:tab w:pos="979" w:val="left" w:leader="none"/>
          <w:tab w:pos="980" w:val="left" w:leader="none"/>
          <w:tab w:pos="2937" w:val="left" w:leader="none"/>
        </w:tabs>
        <w:spacing w:line="303" w:lineRule="exact" w:before="0" w:after="0"/>
        <w:ind w:left="979" w:right="0" w:hanging="756"/>
        <w:jc w:val="left"/>
        <w:rPr>
          <w:sz w:val="21"/>
        </w:rPr>
      </w:pPr>
      <w:r>
        <w:rPr>
          <w:rFonts w:ascii="Microsoft JhengHei" w:eastAsia="Microsoft JhengHei" w:hint="eastAsia"/>
          <w:b/>
          <w:sz w:val="21"/>
        </w:rPr>
        <w:t>5</w:t>
        <w:tab/>
        <w:t>诉讼时效</w:t>
        <w:tab/>
      </w:r>
      <w:r>
        <w:rPr>
          <w:sz w:val="21"/>
        </w:rPr>
        <w:t>受益</w:t>
      </w:r>
      <w:r>
        <w:rPr>
          <w:spacing w:val="-3"/>
          <w:sz w:val="21"/>
        </w:rPr>
        <w:t>人</w:t>
      </w:r>
      <w:r>
        <w:rPr>
          <w:sz w:val="21"/>
        </w:rPr>
        <w:t>向</w:t>
      </w:r>
      <w:r>
        <w:rPr>
          <w:spacing w:val="-3"/>
          <w:sz w:val="21"/>
        </w:rPr>
        <w:t>我</w:t>
      </w:r>
      <w:r>
        <w:rPr>
          <w:sz w:val="21"/>
        </w:rPr>
        <w:t>们</w:t>
      </w:r>
      <w:r>
        <w:rPr>
          <w:spacing w:val="-3"/>
          <w:sz w:val="21"/>
        </w:rPr>
        <w:t>请</w:t>
      </w:r>
      <w:r>
        <w:rPr>
          <w:sz w:val="21"/>
        </w:rPr>
        <w:t>求</w:t>
      </w:r>
      <w:r>
        <w:rPr>
          <w:spacing w:val="-3"/>
          <w:sz w:val="21"/>
        </w:rPr>
        <w:t>给</w:t>
      </w:r>
      <w:r>
        <w:rPr>
          <w:sz w:val="21"/>
        </w:rPr>
        <w:t>付</w:t>
      </w:r>
      <w:r>
        <w:rPr>
          <w:spacing w:val="-3"/>
          <w:sz w:val="21"/>
        </w:rPr>
        <w:t>保</w:t>
      </w:r>
      <w:r>
        <w:rPr>
          <w:sz w:val="21"/>
        </w:rPr>
        <w:t>险金</w:t>
      </w:r>
      <w:r>
        <w:rPr>
          <w:spacing w:val="-3"/>
          <w:sz w:val="21"/>
        </w:rPr>
        <w:t>的</w:t>
      </w:r>
      <w:r>
        <w:rPr>
          <w:sz w:val="21"/>
        </w:rPr>
        <w:t>诉</w:t>
      </w:r>
      <w:r>
        <w:rPr>
          <w:spacing w:val="-3"/>
          <w:sz w:val="21"/>
        </w:rPr>
        <w:t>讼</w:t>
      </w:r>
      <w:r>
        <w:rPr>
          <w:sz w:val="21"/>
        </w:rPr>
        <w:t>时</w:t>
      </w:r>
      <w:r>
        <w:rPr>
          <w:spacing w:val="-3"/>
          <w:sz w:val="21"/>
        </w:rPr>
        <w:t>效</w:t>
      </w:r>
      <w:r>
        <w:rPr>
          <w:sz w:val="21"/>
        </w:rPr>
        <w:t>期</w:t>
      </w:r>
      <w:r>
        <w:rPr>
          <w:spacing w:val="-3"/>
          <w:sz w:val="21"/>
        </w:rPr>
        <w:t>间</w:t>
      </w:r>
      <w:r>
        <w:rPr>
          <w:sz w:val="21"/>
        </w:rPr>
        <w:t>为</w:t>
      </w:r>
      <w:r>
        <w:rPr>
          <w:spacing w:val="-32"/>
          <w:sz w:val="21"/>
        </w:rPr>
        <w:t> </w:t>
      </w:r>
      <w:r>
        <w:rPr>
          <w:rFonts w:ascii="Times New Roman" w:eastAsia="Times New Roman"/>
          <w:sz w:val="21"/>
        </w:rPr>
        <w:t>2</w:t>
      </w:r>
      <w:r>
        <w:rPr>
          <w:rFonts w:ascii="Times New Roman" w:eastAsia="Times New Roman"/>
          <w:spacing w:val="16"/>
          <w:sz w:val="21"/>
        </w:rPr>
        <w:t> </w:t>
      </w:r>
      <w:r>
        <w:rPr>
          <w:sz w:val="21"/>
        </w:rPr>
        <w:t>年，</w:t>
      </w:r>
      <w:r>
        <w:rPr>
          <w:spacing w:val="-3"/>
          <w:sz w:val="21"/>
        </w:rPr>
        <w:t>自</w:t>
      </w:r>
      <w:r>
        <w:rPr>
          <w:sz w:val="21"/>
        </w:rPr>
        <w:t>其</w:t>
      </w:r>
      <w:r>
        <w:rPr>
          <w:spacing w:val="-3"/>
          <w:sz w:val="21"/>
        </w:rPr>
        <w:t>知</w:t>
      </w:r>
      <w:r>
        <w:rPr>
          <w:sz w:val="21"/>
        </w:rPr>
        <w:t>道</w:t>
      </w:r>
      <w:r>
        <w:rPr>
          <w:spacing w:val="-3"/>
          <w:sz w:val="21"/>
        </w:rPr>
        <w:t>或</w:t>
      </w:r>
      <w:r>
        <w:rPr>
          <w:sz w:val="21"/>
        </w:rPr>
        <w:t>者</w:t>
      </w:r>
      <w:r>
        <w:rPr>
          <w:spacing w:val="-3"/>
          <w:sz w:val="21"/>
        </w:rPr>
        <w:t>应</w:t>
      </w:r>
      <w:r>
        <w:rPr>
          <w:sz w:val="21"/>
        </w:rPr>
        <w:t>当</w:t>
      </w:r>
      <w:r>
        <w:rPr>
          <w:spacing w:val="-3"/>
          <w:sz w:val="21"/>
        </w:rPr>
        <w:t>知道</w:t>
      </w:r>
    </w:p>
    <w:p>
      <w:pPr>
        <w:pStyle w:val="BodyText"/>
        <w:spacing w:line="218" w:lineRule="exact"/>
        <w:ind w:left="2937"/>
        <w:jc w:val="both"/>
      </w:pPr>
      <w:r>
        <w:rPr/>
        <w:t>保险事故发生之日起计算。</w:t>
      </w:r>
    </w:p>
    <w:p>
      <w:pPr>
        <w:pStyle w:val="BodyText"/>
        <w:tabs>
          <w:tab w:pos="979" w:val="left" w:leader="none"/>
          <w:tab w:pos="2937" w:val="left" w:leader="none"/>
        </w:tabs>
        <w:spacing w:line="202" w:lineRule="exact"/>
        <w:ind w:left="223"/>
      </w:pPr>
      <w:r>
        <w:rPr>
          <w:w w:val="100"/>
        </w:rPr>
        <w:t> </w:t>
      </w:r>
      <w:r>
        <w:rPr/>
        <w:tab/>
      </w:r>
      <w:r>
        <w:rPr>
          <w:w w:val="100"/>
        </w:rPr>
        <w:t> </w:t>
      </w:r>
      <w:r>
        <w:rPr/>
        <w:tab/>
      </w:r>
      <w:r>
        <w:rPr>
          <w:w w:val="100"/>
        </w:rPr>
        <w:t> </w:t>
      </w:r>
    </w:p>
    <w:p>
      <w:pPr>
        <w:tabs>
          <w:tab w:pos="979" w:val="left" w:leader="none"/>
        </w:tabs>
        <w:spacing w:line="404" w:lineRule="exact" w:before="0"/>
        <w:ind w:left="227" w:right="0" w:firstLine="0"/>
        <w:jc w:val="left"/>
        <w:rPr>
          <w:rFonts w:ascii="Microsoft JhengHei" w:eastAsia="Microsoft JhengHei" w:hint="eastAsia"/>
          <w:b/>
          <w:sz w:val="24"/>
        </w:rPr>
      </w:pPr>
      <w:r>
        <w:rPr>
          <w:rFonts w:ascii="Times New Roman" w:eastAsia="Times New Roman"/>
          <w:b/>
          <w:position w:val="-3"/>
          <w:sz w:val="40"/>
        </w:rPr>
        <w:t>x</w:t>
        <w:tab/>
      </w:r>
      <w:r>
        <w:rPr>
          <w:rFonts w:ascii="Microsoft JhengHei" w:eastAsia="Microsoft JhengHei" w:hint="eastAsia"/>
          <w:b/>
          <w:sz w:val="24"/>
        </w:rPr>
        <w:t>保险费的收取</w:t>
      </w:r>
    </w:p>
    <w:p>
      <w:pPr>
        <w:pStyle w:val="BodyText"/>
        <w:tabs>
          <w:tab w:pos="979" w:val="left" w:leader="none"/>
          <w:tab w:pos="2937" w:val="left" w:leader="none"/>
        </w:tabs>
        <w:spacing w:line="177" w:lineRule="exact"/>
        <w:ind w:left="223"/>
      </w:pPr>
      <w:r>
        <w:rPr/>
        <w:pict>
          <v:group style="position:absolute;margin-left:59.759998pt;margin-top:2.48874pt;width:504.15pt;height:1pt;mso-position-horizontal-relative:page;mso-position-vertical-relative:paragraph;z-index:-85312" coordorigin="1195,50" coordsize="10083,20">
            <v:line style="position:absolute" from="1195,59" to="1954,59" stroked="true" strokeweight=".96pt" strokecolor="#000000">
              <v:stroke dashstyle="solid"/>
            </v:line>
            <v:rect style="position:absolute;left:1953;top:49;width:20;height:20" filled="true" fillcolor="#000000" stroked="false">
              <v:fill type="solid"/>
            </v:rect>
            <v:line style="position:absolute" from="1973,59" to="3910,59" stroked="true" strokeweight=".96pt" strokecolor="#000000">
              <v:stroke dashstyle="solid"/>
            </v:line>
            <v:rect style="position:absolute;left:3909;top:49;width:20;height:20" filled="true" fillcolor="#000000" stroked="false">
              <v:fill type="solid"/>
            </v:rect>
            <v:line style="position:absolute" from="3929,59" to="11278,59" stroked="true" strokeweight=".96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6"/>
        </w:numPr>
        <w:tabs>
          <w:tab w:pos="979" w:val="left" w:leader="none"/>
          <w:tab w:pos="980" w:val="left" w:leader="none"/>
          <w:tab w:pos="2937" w:val="left" w:leader="none"/>
        </w:tabs>
        <w:spacing w:line="303" w:lineRule="exact" w:before="0" w:after="0"/>
        <w:ind w:left="979" w:right="0" w:hanging="756"/>
        <w:jc w:val="left"/>
        <w:rPr>
          <w:sz w:val="21"/>
        </w:rPr>
      </w:pPr>
      <w:r>
        <w:rPr>
          <w:rFonts w:ascii="Microsoft JhengHei" w:eastAsia="Microsoft JhengHei" w:hint="eastAsia"/>
          <w:b/>
          <w:sz w:val="21"/>
        </w:rPr>
        <w:t>1</w:t>
        <w:tab/>
        <w:t>保险费的收取</w:t>
        <w:tab/>
      </w:r>
      <w:r>
        <w:rPr>
          <w:sz w:val="21"/>
        </w:rPr>
        <w:t>自本</w:t>
      </w:r>
      <w:r>
        <w:rPr>
          <w:spacing w:val="-3"/>
          <w:sz w:val="21"/>
        </w:rPr>
        <w:t>附</w:t>
      </w:r>
      <w:r>
        <w:rPr>
          <w:sz w:val="21"/>
        </w:rPr>
        <w:t>加</w:t>
      </w:r>
      <w:r>
        <w:rPr>
          <w:spacing w:val="-3"/>
          <w:sz w:val="21"/>
        </w:rPr>
        <w:t>险</w:t>
      </w:r>
      <w:r>
        <w:rPr>
          <w:sz w:val="21"/>
        </w:rPr>
        <w:t>合</w:t>
      </w:r>
      <w:r>
        <w:rPr>
          <w:spacing w:val="-3"/>
          <w:sz w:val="21"/>
        </w:rPr>
        <w:t>同</w:t>
      </w:r>
      <w:r>
        <w:rPr>
          <w:sz w:val="21"/>
        </w:rPr>
        <w:t>生</w:t>
      </w:r>
      <w:r>
        <w:rPr>
          <w:spacing w:val="-3"/>
          <w:sz w:val="21"/>
        </w:rPr>
        <w:t>效</w:t>
      </w:r>
      <w:r>
        <w:rPr>
          <w:sz w:val="21"/>
        </w:rPr>
        <w:t>日</w:t>
      </w:r>
      <w:r>
        <w:rPr>
          <w:spacing w:val="-3"/>
          <w:sz w:val="21"/>
        </w:rPr>
        <w:t>起</w:t>
      </w:r>
      <w:r>
        <w:rPr>
          <w:sz w:val="21"/>
        </w:rPr>
        <w:t>第</w:t>
      </w:r>
      <w:r>
        <w:rPr>
          <w:spacing w:val="-32"/>
          <w:sz w:val="21"/>
        </w:rPr>
        <w:t> </w:t>
      </w:r>
      <w:r>
        <w:rPr>
          <w:sz w:val="21"/>
        </w:rPr>
        <w:t>361</w:t>
      </w:r>
      <w:r>
        <w:rPr>
          <w:spacing w:val="-35"/>
          <w:sz w:val="21"/>
        </w:rPr>
        <w:t> </w:t>
      </w:r>
      <w:r>
        <w:rPr>
          <w:sz w:val="21"/>
        </w:rPr>
        <w:t>日</w:t>
      </w:r>
      <w:r>
        <w:rPr>
          <w:spacing w:val="-3"/>
          <w:sz w:val="21"/>
        </w:rPr>
        <w:t>的</w:t>
      </w:r>
      <w:r>
        <w:rPr>
          <w:sz w:val="21"/>
        </w:rPr>
        <w:t>零</w:t>
      </w:r>
      <w:r>
        <w:rPr>
          <w:spacing w:val="-3"/>
          <w:sz w:val="21"/>
        </w:rPr>
        <w:t>时</w:t>
      </w:r>
      <w:r>
        <w:rPr>
          <w:sz w:val="21"/>
        </w:rPr>
        <w:t>开</w:t>
      </w:r>
      <w:r>
        <w:rPr>
          <w:spacing w:val="-3"/>
          <w:sz w:val="21"/>
        </w:rPr>
        <w:t>始</w:t>
      </w:r>
      <w:r>
        <w:rPr>
          <w:sz w:val="21"/>
        </w:rPr>
        <w:t>，</w:t>
      </w:r>
      <w:r>
        <w:rPr>
          <w:spacing w:val="-3"/>
          <w:sz w:val="21"/>
        </w:rPr>
        <w:t>我</w:t>
      </w:r>
      <w:r>
        <w:rPr>
          <w:sz w:val="21"/>
        </w:rPr>
        <w:t>们将</w:t>
      </w:r>
      <w:r>
        <w:rPr>
          <w:spacing w:val="-3"/>
          <w:sz w:val="21"/>
        </w:rPr>
        <w:t>在</w:t>
      </w:r>
      <w:r>
        <w:rPr>
          <w:sz w:val="21"/>
        </w:rPr>
        <w:t>每</w:t>
      </w:r>
      <w:r>
        <w:rPr>
          <w:spacing w:val="-3"/>
          <w:sz w:val="21"/>
        </w:rPr>
        <w:t>月</w:t>
      </w:r>
      <w:r>
        <w:rPr>
          <w:sz w:val="21"/>
        </w:rPr>
        <w:t>万</w:t>
      </w:r>
      <w:r>
        <w:rPr>
          <w:spacing w:val="-3"/>
          <w:sz w:val="21"/>
        </w:rPr>
        <w:t>能</w:t>
      </w:r>
      <w:r>
        <w:rPr>
          <w:sz w:val="21"/>
        </w:rPr>
        <w:t>账</w:t>
      </w:r>
      <w:r>
        <w:rPr>
          <w:spacing w:val="-3"/>
          <w:sz w:val="21"/>
        </w:rPr>
        <w:t>户</w:t>
      </w:r>
      <w:r>
        <w:rPr>
          <w:sz w:val="21"/>
        </w:rPr>
        <w:t>的</w:t>
      </w:r>
      <w:r>
        <w:rPr>
          <w:spacing w:val="-3"/>
          <w:sz w:val="21"/>
        </w:rPr>
        <w:t>结</w:t>
      </w:r>
      <w:r>
        <w:rPr>
          <w:sz w:val="21"/>
        </w:rPr>
        <w:t>算</w:t>
      </w:r>
    </w:p>
    <w:p>
      <w:pPr>
        <w:pStyle w:val="BodyText"/>
        <w:spacing w:line="237" w:lineRule="auto"/>
        <w:ind w:left="2937" w:right="215"/>
        <w:jc w:val="both"/>
      </w:pPr>
      <w:r>
        <w:rPr/>
        <w:t>日零时按当月实际日数从万能账户中扣除本附加险合同的当月保险费。每日的保险费等于年保险费的 1/365，年保险费根据被保险人的年龄、性别以及本附加险合同的基本保险金额决定。标准体每千元基本保险金额应收取的年保险费请见附表。 </w:t>
      </w:r>
    </w:p>
    <w:p>
      <w:pPr>
        <w:pStyle w:val="BodyText"/>
        <w:spacing w:line="237" w:lineRule="auto" w:before="9"/>
        <w:ind w:left="2937" w:right="207"/>
        <w:jc w:val="both"/>
      </w:pPr>
      <w:r>
        <w:rPr>
          <w:spacing w:val="-10"/>
        </w:rPr>
        <w:t>我们保留提高和降低保险费率的权利，并在提高和降低保险费率前 </w:t>
      </w:r>
      <w:r>
        <w:rPr/>
        <w:t>30</w:t>
      </w:r>
      <w:r>
        <w:rPr>
          <w:spacing w:val="-10"/>
        </w:rPr>
        <w:t> 日书面通</w:t>
      </w:r>
      <w:r>
        <w:rPr>
          <w:spacing w:val="-5"/>
        </w:rPr>
        <w:t>知您。保险费率的调整针对所有被保险人或同一投保年龄的所有被保险人。我</w:t>
      </w:r>
      <w:r>
        <w:rPr>
          <w:spacing w:val="-3"/>
        </w:rPr>
        <w:t>们进行保险费率调整后，请您按调整后的保险费交付以后各期保险费。</w:t>
      </w:r>
      <w:r>
        <w:rPr/>
        <w:t> </w:t>
      </w:r>
    </w:p>
    <w:p>
      <w:pPr>
        <w:pStyle w:val="BodyText"/>
        <w:tabs>
          <w:tab w:pos="979" w:val="left" w:leader="none"/>
          <w:tab w:pos="2937" w:val="left" w:leader="none"/>
        </w:tabs>
        <w:spacing w:line="140" w:lineRule="exact"/>
        <w:ind w:left="223"/>
      </w:pPr>
      <w:r>
        <w:rPr>
          <w:w w:val="100"/>
        </w:rPr>
        <w:t> </w:t>
      </w:r>
      <w:r>
        <w:rPr/>
        <w:tab/>
      </w:r>
      <w:r>
        <w:rPr>
          <w:w w:val="100"/>
        </w:rPr>
        <w:t> </w:t>
      </w:r>
      <w:r>
        <w:rPr/>
        <w:tab/>
      </w:r>
      <w:r>
        <w:rPr>
          <w:w w:val="100"/>
        </w:rPr>
        <w:t> </w:t>
      </w:r>
    </w:p>
    <w:p>
      <w:pPr>
        <w:pStyle w:val="ListParagraph"/>
        <w:numPr>
          <w:ilvl w:val="1"/>
          <w:numId w:val="6"/>
        </w:numPr>
        <w:tabs>
          <w:tab w:pos="979" w:val="left" w:leader="none"/>
          <w:tab w:pos="980" w:val="left" w:leader="none"/>
          <w:tab w:pos="2937" w:val="left" w:leader="none"/>
        </w:tabs>
        <w:spacing w:line="303" w:lineRule="exact" w:before="0" w:after="0"/>
        <w:ind w:left="979" w:right="0" w:hanging="756"/>
        <w:jc w:val="left"/>
        <w:rPr>
          <w:sz w:val="21"/>
        </w:rPr>
      </w:pPr>
      <w:r>
        <w:rPr>
          <w:rFonts w:ascii="Microsoft JhengHei" w:eastAsia="Microsoft JhengHei" w:hint="eastAsia"/>
          <w:b/>
          <w:sz w:val="21"/>
        </w:rPr>
        <w:t>2</w:t>
        <w:tab/>
        <w:t>催告期</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，在</w:t>
      </w:r>
      <w:r>
        <w:rPr>
          <w:spacing w:val="-3"/>
          <w:sz w:val="21"/>
        </w:rPr>
        <w:t>每</w:t>
      </w:r>
      <w:r>
        <w:rPr>
          <w:sz w:val="21"/>
        </w:rPr>
        <w:t>月</w:t>
      </w:r>
      <w:r>
        <w:rPr>
          <w:spacing w:val="-3"/>
          <w:sz w:val="21"/>
        </w:rPr>
        <w:t>结</w:t>
      </w:r>
      <w:r>
        <w:rPr>
          <w:sz w:val="21"/>
        </w:rPr>
        <w:t>算</w:t>
      </w:r>
      <w:r>
        <w:rPr>
          <w:spacing w:val="-3"/>
          <w:sz w:val="21"/>
        </w:rPr>
        <w:t>日</w:t>
      </w:r>
      <w:r>
        <w:rPr>
          <w:sz w:val="21"/>
        </w:rPr>
        <w:t>零</w:t>
      </w:r>
      <w:r>
        <w:rPr>
          <w:spacing w:val="-3"/>
          <w:sz w:val="21"/>
        </w:rPr>
        <w:t>时</w:t>
      </w:r>
      <w:r>
        <w:rPr>
          <w:sz w:val="21"/>
        </w:rPr>
        <w:t>若</w:t>
      </w:r>
      <w:r>
        <w:rPr>
          <w:spacing w:val="-3"/>
          <w:sz w:val="21"/>
        </w:rPr>
        <w:t>万</w:t>
      </w:r>
      <w:r>
        <w:rPr>
          <w:sz w:val="21"/>
        </w:rPr>
        <w:t>能账</w:t>
      </w:r>
      <w:r>
        <w:rPr>
          <w:spacing w:val="-3"/>
          <w:sz w:val="21"/>
        </w:rPr>
        <w:t>户</w:t>
      </w:r>
      <w:r>
        <w:rPr>
          <w:sz w:val="21"/>
        </w:rPr>
        <w:t>价</w:t>
      </w:r>
      <w:r>
        <w:rPr>
          <w:spacing w:val="-3"/>
          <w:sz w:val="21"/>
        </w:rPr>
        <w:t>值</w:t>
      </w:r>
      <w:r>
        <w:rPr>
          <w:sz w:val="21"/>
        </w:rPr>
        <w:t>不</w:t>
      </w:r>
      <w:r>
        <w:rPr>
          <w:spacing w:val="-3"/>
          <w:sz w:val="21"/>
        </w:rPr>
        <w:t>足</w:t>
      </w:r>
      <w:r>
        <w:rPr>
          <w:sz w:val="21"/>
        </w:rPr>
        <w:t>以</w:t>
      </w:r>
      <w:r>
        <w:rPr>
          <w:spacing w:val="-3"/>
          <w:sz w:val="21"/>
        </w:rPr>
        <w:t>支</w:t>
      </w:r>
      <w:r>
        <w:rPr>
          <w:sz w:val="21"/>
        </w:rPr>
        <w:t>付 </w:t>
      </w:r>
      <w:r>
        <w:rPr>
          <w:spacing w:val="-3"/>
          <w:sz w:val="21"/>
        </w:rPr>
        <w:t>本附</w:t>
      </w:r>
    </w:p>
    <w:p>
      <w:pPr>
        <w:pStyle w:val="BodyText"/>
        <w:spacing w:line="260" w:lineRule="exact"/>
        <w:ind w:left="2937"/>
        <w:jc w:val="both"/>
      </w:pPr>
      <w:r>
        <w:rPr/>
        <w:t>加险合同的当期保险费及万能账户的各项费用的，且您自我们催告之日起超过</w:t>
      </w:r>
    </w:p>
    <w:p>
      <w:pPr>
        <w:pStyle w:val="BodyText"/>
        <w:ind w:left="2937"/>
        <w:jc w:val="both"/>
      </w:pPr>
      <w:r>
        <w:rPr/>
        <w:t>30 日未支付保险费的，本附加险合同效力中止。 </w:t>
      </w:r>
    </w:p>
    <w:p>
      <w:pPr>
        <w:pStyle w:val="BodyText"/>
        <w:spacing w:line="237" w:lineRule="auto" w:before="1"/>
        <w:ind w:left="2937" w:right="215"/>
        <w:jc w:val="both"/>
      </w:pPr>
      <w:r>
        <w:rPr/>
        <w:t>被保险人在前款规定期限内发生保险事故的，我们将按照本附加险合同约定给付保险金，但会扣减欠交的保险费。</w:t>
      </w:r>
    </w:p>
    <w:p>
      <w:pPr>
        <w:pStyle w:val="BodyText"/>
        <w:tabs>
          <w:tab w:pos="979" w:val="left" w:leader="none"/>
          <w:tab w:pos="2937" w:val="left" w:leader="none"/>
        </w:tabs>
        <w:spacing w:line="160" w:lineRule="exact"/>
        <w:ind w:left="223"/>
      </w:pPr>
      <w:r>
        <w:rPr>
          <w:w w:val="100"/>
        </w:rPr>
        <w:t> </w:t>
      </w:r>
      <w:r>
        <w:rPr/>
        <w:tab/>
      </w:r>
      <w:r>
        <w:rPr>
          <w:w w:val="100"/>
        </w:rPr>
        <w:t> </w:t>
      </w:r>
      <w:r>
        <w:rPr/>
        <w:tab/>
      </w:r>
      <w:r>
        <w:rPr>
          <w:w w:val="100"/>
        </w:rPr>
        <w:t> </w:t>
      </w:r>
    </w:p>
    <w:p>
      <w:pPr>
        <w:pStyle w:val="Heading2"/>
        <w:numPr>
          <w:ilvl w:val="0"/>
          <w:numId w:val="7"/>
        </w:numPr>
        <w:tabs>
          <w:tab w:pos="979" w:val="left" w:leader="none"/>
          <w:tab w:pos="980" w:val="left" w:leader="none"/>
        </w:tabs>
        <w:spacing w:line="405" w:lineRule="exact" w:before="0" w:after="0"/>
        <w:ind w:left="979" w:right="0" w:hanging="752"/>
        <w:jc w:val="left"/>
      </w:pPr>
      <w:r>
        <w:rPr/>
        <w:t>现金价值权益</w:t>
      </w:r>
    </w:p>
    <w:p>
      <w:pPr>
        <w:pStyle w:val="BodyText"/>
        <w:tabs>
          <w:tab w:pos="979" w:val="left" w:leader="none"/>
          <w:tab w:pos="2937" w:val="left" w:leader="none"/>
        </w:tabs>
        <w:spacing w:line="177" w:lineRule="exact"/>
        <w:ind w:left="223"/>
      </w:pPr>
      <w:r>
        <w:rPr/>
        <w:pict>
          <v:group style="position:absolute;margin-left:59.759998pt;margin-top:2.428748pt;width:504.15pt;height:1pt;mso-position-horizontal-relative:page;mso-position-vertical-relative:paragraph;z-index:-85288" coordorigin="1195,49" coordsize="10083,20">
            <v:line style="position:absolute" from="1195,58" to="1954,58" stroked="true" strokeweight=".96pt" strokecolor="#000000">
              <v:stroke dashstyle="solid"/>
            </v:line>
            <v:rect style="position:absolute;left:1953;top:48;width:20;height:20" filled="true" fillcolor="#000000" stroked="false">
              <v:fill type="solid"/>
            </v:rect>
            <v:line style="position:absolute" from="1973,58" to="3910,58" stroked="true" strokeweight=".96pt" strokecolor="#000000">
              <v:stroke dashstyle="solid"/>
            </v:line>
            <v:rect style="position:absolute;left:3909;top:48;width:20;height:20" filled="true" fillcolor="#000000" stroked="false">
              <v:fill type="solid"/>
            </v:rect>
            <v:line style="position:absolute" from="3929,58" to="11278,58" stroked="true" strokeweight=".96pt" strokecolor="#000000">
              <v:stroke dashstyle="solid"/>
            </v:line>
            <w10:wrap type="none"/>
          </v:group>
        </w:pict>
      </w:r>
      <w:r>
        <w:rPr>
          <w:w w:val="100"/>
        </w:rPr>
        <w:t> </w:t>
      </w:r>
      <w:r>
        <w:rPr/>
        <w:tab/>
      </w:r>
      <w:r>
        <w:rPr>
          <w:w w:val="100"/>
        </w:rPr>
        <w:t> </w:t>
      </w:r>
      <w:r>
        <w:rPr/>
        <w:tab/>
      </w:r>
      <w:r>
        <w:rPr>
          <w:w w:val="100"/>
        </w:rPr>
        <w:t> </w:t>
      </w:r>
    </w:p>
    <w:p>
      <w:pPr>
        <w:pStyle w:val="BodyText"/>
        <w:tabs>
          <w:tab w:pos="2937" w:val="left" w:leader="none"/>
        </w:tabs>
        <w:spacing w:line="261" w:lineRule="exact"/>
        <w:ind w:left="979"/>
      </w:pPr>
      <w:r>
        <w:rPr>
          <w:rFonts w:ascii="Microsoft JhengHei" w:hAnsi="Microsoft JhengHei" w:eastAsia="Microsoft JhengHei" w:hint="eastAsia"/>
          <w:b/>
        </w:rPr>
        <w:t>现金价值</w:t>
        <w:tab/>
      </w:r>
      <w:r>
        <w:rPr>
          <w:spacing w:val="-1"/>
        </w:rPr>
        <w:t>本附</w:t>
      </w:r>
      <w:r>
        <w:rPr>
          <w:spacing w:val="-3"/>
        </w:rPr>
        <w:t>加</w:t>
      </w:r>
      <w:r>
        <w:rPr>
          <w:spacing w:val="-1"/>
        </w:rPr>
        <w:t>险</w:t>
      </w:r>
      <w:r>
        <w:rPr>
          <w:spacing w:val="-3"/>
        </w:rPr>
        <w:t>合</w:t>
      </w:r>
      <w:r>
        <w:rPr/>
        <w:t>同</w:t>
      </w:r>
      <w:r>
        <w:rPr>
          <w:spacing w:val="-3"/>
        </w:rPr>
        <w:t>的</w:t>
      </w:r>
      <w:r>
        <w:rPr/>
        <w:t>现</w:t>
      </w:r>
      <w:r>
        <w:rPr>
          <w:spacing w:val="-3"/>
        </w:rPr>
        <w:t>金</w:t>
      </w:r>
      <w:r>
        <w:rPr/>
        <w:t>价</w:t>
      </w:r>
      <w:r>
        <w:rPr>
          <w:spacing w:val="-3"/>
        </w:rPr>
        <w:t>值=</w:t>
      </w:r>
      <w:r>
        <w:rPr/>
        <w:t>当月</w:t>
      </w:r>
      <w:r>
        <w:rPr>
          <w:spacing w:val="-3"/>
        </w:rPr>
        <w:t>保</w:t>
      </w:r>
      <w:r>
        <w:rPr/>
        <w:t>险</w:t>
      </w:r>
      <w:r>
        <w:rPr>
          <w:spacing w:val="-3"/>
        </w:rPr>
        <w:t>费</w:t>
      </w:r>
      <w:r>
        <w:rPr/>
        <w:t>×(1-</w:t>
      </w:r>
      <w:r>
        <w:rPr>
          <w:spacing w:val="-3"/>
        </w:rPr>
        <w:t>当</w:t>
      </w:r>
      <w:r>
        <w:rPr/>
        <w:t>月</w:t>
      </w:r>
      <w:r>
        <w:rPr>
          <w:spacing w:val="-3"/>
        </w:rPr>
        <w:t>已经</w:t>
      </w:r>
      <w:r>
        <w:rPr/>
        <w:t>过天</w:t>
      </w:r>
      <w:r>
        <w:rPr>
          <w:spacing w:val="-3"/>
        </w:rPr>
        <w:t>数</w:t>
      </w:r>
      <w:r>
        <w:rPr/>
        <w:t>／</w:t>
      </w:r>
      <w:r>
        <w:rPr>
          <w:spacing w:val="-3"/>
        </w:rPr>
        <w:t>当</w:t>
      </w:r>
      <w:r>
        <w:rPr/>
        <w:t>月</w:t>
      </w:r>
      <w:r>
        <w:rPr>
          <w:spacing w:val="-3"/>
        </w:rPr>
        <w:t>实</w:t>
      </w:r>
      <w:r>
        <w:rPr/>
        <w:t>际</w:t>
      </w:r>
      <w:r>
        <w:rPr>
          <w:spacing w:val="-3"/>
        </w:rPr>
        <w:t>天</w:t>
      </w:r>
      <w:r>
        <w:rPr/>
        <w:t>数)</w:t>
      </w:r>
      <w:r>
        <w:rPr>
          <w:spacing w:val="-96"/>
        </w:rPr>
        <w:t>。</w:t>
      </w:r>
      <w:r>
        <w:rPr/>
        <w:t> </w:t>
      </w:r>
    </w:p>
    <w:p>
      <w:pPr>
        <w:pStyle w:val="BodyText"/>
        <w:tabs>
          <w:tab w:pos="979" w:val="left" w:leader="none"/>
          <w:tab w:pos="2937" w:val="left" w:leader="none"/>
        </w:tabs>
        <w:spacing w:line="190" w:lineRule="exact"/>
        <w:ind w:left="223"/>
      </w:pPr>
      <w:r>
        <w:rPr>
          <w:w w:val="100"/>
        </w:rPr>
        <w:t> </w:t>
      </w:r>
      <w:r>
        <w:rPr/>
        <w:tab/>
      </w:r>
      <w:r>
        <w:rPr>
          <w:w w:val="100"/>
        </w:rPr>
        <w:t> </w:t>
      </w:r>
      <w:r>
        <w:rPr/>
        <w:tab/>
      </w:r>
      <w:r>
        <w:rPr>
          <w:w w:val="100"/>
        </w:rPr>
        <w:t> </w:t>
      </w:r>
    </w:p>
    <w:p>
      <w:pPr>
        <w:pStyle w:val="Heading2"/>
        <w:numPr>
          <w:ilvl w:val="0"/>
          <w:numId w:val="7"/>
        </w:numPr>
        <w:tabs>
          <w:tab w:pos="979" w:val="left" w:leader="none"/>
          <w:tab w:pos="980" w:val="left" w:leader="none"/>
        </w:tabs>
        <w:spacing w:line="453" w:lineRule="exact" w:before="0" w:after="0"/>
        <w:ind w:left="979" w:right="0" w:hanging="752"/>
        <w:jc w:val="left"/>
      </w:pPr>
      <w:r>
        <w:rPr/>
        <w:pict>
          <v:shape style="position:absolute;margin-left:59.959999pt;margin-top:20.943546pt;width:503.75pt;height:126.15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632"/>
                    <w:gridCol w:w="7813"/>
                  </w:tblGrid>
                  <w:tr>
                    <w:trPr>
                      <w:trHeight w:val="451" w:hRule="atLeast"/>
                    </w:trPr>
                    <w:tc>
                      <w:tcPr>
                        <w:tcW w:w="630" w:type="dxa"/>
                      </w:tcPr>
                      <w:p>
                        <w:pPr>
                          <w:pStyle w:val="TableParagraph"/>
                          <w:spacing w:line="163" w:lineRule="exact"/>
                          <w:ind w:left="104"/>
                          <w:rPr>
                            <w:sz w:val="21"/>
                          </w:rPr>
                        </w:pPr>
                        <w:r>
                          <w:rPr>
                            <w:w w:val="100"/>
                            <w:sz w:val="21"/>
                          </w:rPr>
                          <w:t> </w:t>
                        </w:r>
                      </w:p>
                      <w:p>
                        <w:pPr>
                          <w:pStyle w:val="TableParagraph"/>
                          <w:spacing w:line="269" w:lineRule="exact"/>
                          <w:ind w:left="104"/>
                          <w:rPr>
                            <w:rFonts w:ascii="Microsoft JhengHei"/>
                            <w:b/>
                            <w:sz w:val="21"/>
                          </w:rPr>
                        </w:pPr>
                        <w:r>
                          <w:rPr>
                            <w:rFonts w:ascii="Microsoft JhengHei"/>
                            <w:b/>
                            <w:w w:val="90"/>
                            <w:sz w:val="21"/>
                          </w:rPr>
                          <w:t>6. 1</w:t>
                        </w:r>
                      </w:p>
                    </w:tc>
                    <w:tc>
                      <w:tcPr>
                        <w:tcW w:w="1632" w:type="dxa"/>
                      </w:tcPr>
                      <w:p>
                        <w:pPr>
                          <w:pStyle w:val="TableParagraph"/>
                          <w:spacing w:line="163" w:lineRule="exact"/>
                          <w:ind w:left="230"/>
                          <w:rPr>
                            <w:sz w:val="21"/>
                          </w:rPr>
                        </w:pPr>
                        <w:r>
                          <w:rPr>
                            <w:w w:val="100"/>
                            <w:sz w:val="21"/>
                          </w:rPr>
                          <w:t> </w:t>
                        </w:r>
                      </w:p>
                      <w:p>
                        <w:pPr>
                          <w:pStyle w:val="TableParagraph"/>
                          <w:spacing w:line="269" w:lineRule="exact"/>
                          <w:ind w:left="230"/>
                          <w:rPr>
                            <w:rFonts w:ascii="Microsoft JhengHei" w:eastAsia="Microsoft JhengHei" w:hint="eastAsia"/>
                            <w:b/>
                            <w:sz w:val="21"/>
                          </w:rPr>
                        </w:pPr>
                        <w:r>
                          <w:rPr>
                            <w:rFonts w:ascii="Microsoft JhengHei" w:eastAsia="Microsoft JhengHei" w:hint="eastAsia"/>
                            <w:b/>
                            <w:sz w:val="21"/>
                          </w:rPr>
                          <w:t>效力中止</w:t>
                        </w:r>
                      </w:p>
                    </w:tc>
                    <w:tc>
                      <w:tcPr>
                        <w:tcW w:w="7813" w:type="dxa"/>
                      </w:tcPr>
                      <w:p>
                        <w:pPr>
                          <w:pStyle w:val="TableParagraph"/>
                          <w:spacing w:line="163" w:lineRule="exact"/>
                          <w:ind w:left="556"/>
                          <w:rPr>
                            <w:sz w:val="21"/>
                          </w:rPr>
                        </w:pPr>
                        <w:r>
                          <w:rPr>
                            <w:w w:val="100"/>
                            <w:sz w:val="21"/>
                          </w:rPr>
                          <w:t> </w:t>
                        </w:r>
                      </w:p>
                      <w:p>
                        <w:pPr>
                          <w:pStyle w:val="TableParagraph"/>
                          <w:spacing w:line="269" w:lineRule="exact"/>
                          <w:ind w:left="556"/>
                          <w:rPr>
                            <w:rFonts w:ascii="Microsoft JhengHei" w:eastAsia="Microsoft JhengHei" w:hint="eastAsia"/>
                            <w:b/>
                            <w:sz w:val="21"/>
                          </w:rPr>
                        </w:pPr>
                        <w:r>
                          <w:rPr>
                            <w:rFonts w:ascii="Microsoft JhengHei" w:eastAsia="Microsoft JhengHei" w:hint="eastAsia"/>
                            <w:b/>
                            <w:sz w:val="21"/>
                          </w:rPr>
                          <w:t>在本附加险合同效力中止期间，我们不承担保险责任。</w:t>
                        </w:r>
                      </w:p>
                    </w:tc>
                  </w:tr>
                  <w:tr>
                    <w:trPr>
                      <w:trHeight w:val="203" w:hRule="atLeast"/>
                    </w:trPr>
                    <w:tc>
                      <w:tcPr>
                        <w:tcW w:w="630" w:type="dxa"/>
                      </w:tcPr>
                      <w:p>
                        <w:pPr>
                          <w:pStyle w:val="TableParagraph"/>
                          <w:spacing w:line="184" w:lineRule="exact"/>
                          <w:ind w:left="104"/>
                          <w:rPr>
                            <w:sz w:val="21"/>
                          </w:rPr>
                        </w:pPr>
                        <w:r>
                          <w:rPr>
                            <w:w w:val="100"/>
                            <w:sz w:val="21"/>
                          </w:rPr>
                          <w:t> </w:t>
                        </w:r>
                      </w:p>
                    </w:tc>
                    <w:tc>
                      <w:tcPr>
                        <w:tcW w:w="1632" w:type="dxa"/>
                      </w:tcPr>
                      <w:p>
                        <w:pPr>
                          <w:pStyle w:val="TableParagraph"/>
                          <w:spacing w:line="184" w:lineRule="exact"/>
                          <w:ind w:left="230"/>
                          <w:rPr>
                            <w:sz w:val="21"/>
                          </w:rPr>
                        </w:pPr>
                        <w:r>
                          <w:rPr>
                            <w:w w:val="100"/>
                            <w:sz w:val="21"/>
                          </w:rPr>
                          <w:t> </w:t>
                        </w:r>
                      </w:p>
                    </w:tc>
                    <w:tc>
                      <w:tcPr>
                        <w:tcW w:w="7813" w:type="dxa"/>
                      </w:tcPr>
                      <w:p>
                        <w:pPr>
                          <w:pStyle w:val="TableParagraph"/>
                          <w:rPr>
                            <w:rFonts w:ascii="Times New Roman"/>
                            <w:sz w:val="14"/>
                          </w:rPr>
                        </w:pPr>
                      </w:p>
                    </w:tc>
                  </w:tr>
                  <w:tr>
                    <w:trPr>
                      <w:trHeight w:val="271" w:hRule="atLeast"/>
                    </w:trPr>
                    <w:tc>
                      <w:tcPr>
                        <w:tcW w:w="630" w:type="dxa"/>
                      </w:tcPr>
                      <w:p>
                        <w:pPr>
                          <w:pStyle w:val="TableParagraph"/>
                          <w:spacing w:line="252" w:lineRule="exact"/>
                          <w:ind w:left="104"/>
                          <w:rPr>
                            <w:rFonts w:ascii="Microsoft JhengHei"/>
                            <w:b/>
                            <w:sz w:val="21"/>
                          </w:rPr>
                        </w:pPr>
                        <w:r>
                          <w:rPr>
                            <w:rFonts w:ascii="Microsoft JhengHei"/>
                            <w:b/>
                            <w:w w:val="90"/>
                            <w:sz w:val="21"/>
                          </w:rPr>
                          <w:t>6. 2</w:t>
                        </w:r>
                      </w:p>
                    </w:tc>
                    <w:tc>
                      <w:tcPr>
                        <w:tcW w:w="1632"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效力恢复</w:t>
                        </w:r>
                      </w:p>
                    </w:tc>
                    <w:tc>
                      <w:tcPr>
                        <w:tcW w:w="7813" w:type="dxa"/>
                      </w:tcPr>
                      <w:p>
                        <w:pPr>
                          <w:pStyle w:val="TableParagraph"/>
                          <w:spacing w:line="233" w:lineRule="exact"/>
                          <w:ind w:left="556"/>
                          <w:rPr>
                            <w:sz w:val="21"/>
                          </w:rPr>
                        </w:pPr>
                        <w:r>
                          <w:rPr>
                            <w:sz w:val="21"/>
                          </w:rPr>
                          <w:t>本附加险合同效力中止后 2 年内，您可以申请恢复本附加险合同效力。经我们</w:t>
                        </w:r>
                      </w:p>
                    </w:tc>
                  </w:tr>
                  <w:tr>
                    <w:trPr>
                      <w:trHeight w:val="260" w:hRule="atLeast"/>
                    </w:trPr>
                    <w:tc>
                      <w:tcPr>
                        <w:tcW w:w="2262" w:type="dxa"/>
                        <w:gridSpan w:val="2"/>
                        <w:vMerge w:val="restart"/>
                      </w:tcPr>
                      <w:p>
                        <w:pPr>
                          <w:pStyle w:val="TableParagraph"/>
                          <w:rPr>
                            <w:rFonts w:ascii="Times New Roman"/>
                            <w:sz w:val="20"/>
                          </w:rPr>
                        </w:pPr>
                      </w:p>
                    </w:tc>
                    <w:tc>
                      <w:tcPr>
                        <w:tcW w:w="7813" w:type="dxa"/>
                      </w:tcPr>
                      <w:p>
                        <w:pPr>
                          <w:pStyle w:val="TableParagraph"/>
                          <w:spacing w:line="235" w:lineRule="exact"/>
                          <w:ind w:left="556"/>
                          <w:rPr>
                            <w:sz w:val="21"/>
                          </w:rPr>
                        </w:pPr>
                        <w:r>
                          <w:rPr>
                            <w:sz w:val="21"/>
                          </w:rPr>
                          <w:t>与您协商并达成协议，自您补交保险费之日起，本附加险合同效力恢复。 </w:t>
                        </w:r>
                      </w:p>
                    </w:tc>
                  </w:tr>
                  <w:tr>
                    <w:trPr>
                      <w:trHeight w:val="284" w:hRule="atLeast"/>
                    </w:trPr>
                    <w:tc>
                      <w:tcPr>
                        <w:tcW w:w="2262" w:type="dxa"/>
                        <w:gridSpan w:val="2"/>
                        <w:vMerge/>
                        <w:tcBorders>
                          <w:top w:val="nil"/>
                        </w:tcBorders>
                      </w:tcPr>
                      <w:p>
                        <w:pPr>
                          <w:rPr>
                            <w:sz w:val="2"/>
                            <w:szCs w:val="2"/>
                          </w:rPr>
                        </w:pPr>
                      </w:p>
                    </w:tc>
                    <w:tc>
                      <w:tcPr>
                        <w:tcW w:w="7813" w:type="dxa"/>
                      </w:tcPr>
                      <w:p>
                        <w:pPr>
                          <w:pStyle w:val="TableParagraph"/>
                          <w:spacing w:line="265" w:lineRule="exact"/>
                          <w:ind w:left="556"/>
                          <w:rPr>
                            <w:rFonts w:ascii="Microsoft JhengHei" w:eastAsia="Microsoft JhengHei" w:hint="eastAsia"/>
                            <w:b/>
                            <w:sz w:val="21"/>
                          </w:rPr>
                        </w:pPr>
                        <w:r>
                          <w:rPr>
                            <w:rFonts w:ascii="Microsoft JhengHei" w:eastAsia="Microsoft JhengHei" w:hint="eastAsia"/>
                            <w:b/>
                            <w:sz w:val="21"/>
                          </w:rPr>
                          <w:t>自本附加险合同效力中止之日起满 2 年您和我们未达成协议的，我们有权解除</w:t>
                        </w:r>
                      </w:p>
                    </w:tc>
                  </w:tr>
                  <w:tr>
                    <w:trPr>
                      <w:trHeight w:val="264" w:hRule="atLeast"/>
                    </w:trPr>
                    <w:tc>
                      <w:tcPr>
                        <w:tcW w:w="2262" w:type="dxa"/>
                        <w:gridSpan w:val="2"/>
                        <w:vMerge/>
                        <w:tcBorders>
                          <w:top w:val="nil"/>
                        </w:tcBorders>
                      </w:tcPr>
                      <w:p>
                        <w:pPr>
                          <w:rPr>
                            <w:sz w:val="2"/>
                            <w:szCs w:val="2"/>
                          </w:rPr>
                        </w:pPr>
                      </w:p>
                    </w:tc>
                    <w:tc>
                      <w:tcPr>
                        <w:tcW w:w="7813" w:type="dxa"/>
                      </w:tcPr>
                      <w:p>
                        <w:pPr>
                          <w:pStyle w:val="TableParagraph"/>
                          <w:spacing w:line="245" w:lineRule="exact"/>
                          <w:ind w:left="556"/>
                          <w:rPr>
                            <w:rFonts w:ascii="Microsoft JhengHei" w:eastAsia="Microsoft JhengHei" w:hint="eastAsia"/>
                            <w:b/>
                            <w:sz w:val="21"/>
                          </w:rPr>
                        </w:pPr>
                        <w:r>
                          <w:rPr>
                            <w:rFonts w:ascii="Microsoft JhengHei" w:eastAsia="Microsoft JhengHei" w:hint="eastAsia"/>
                            <w:b/>
                            <w:sz w:val="21"/>
                          </w:rPr>
                          <w:t>本附加险合同。我们解除合同的，将本附加险合同中止时的现金价值退还至万</w:t>
                        </w:r>
                      </w:p>
                    </w:tc>
                  </w:tr>
                  <w:tr>
                    <w:trPr>
                      <w:trHeight w:val="272" w:hRule="atLeast"/>
                    </w:trPr>
                    <w:tc>
                      <w:tcPr>
                        <w:tcW w:w="2262" w:type="dxa"/>
                        <w:gridSpan w:val="2"/>
                        <w:vMerge/>
                        <w:tcBorders>
                          <w:top w:val="nil"/>
                        </w:tcBorders>
                      </w:tcPr>
                      <w:p>
                        <w:pPr>
                          <w:rPr>
                            <w:sz w:val="2"/>
                            <w:szCs w:val="2"/>
                          </w:rPr>
                        </w:pPr>
                      </w:p>
                    </w:tc>
                    <w:tc>
                      <w:tcPr>
                        <w:tcW w:w="7813" w:type="dxa"/>
                      </w:tcPr>
                      <w:p>
                        <w:pPr>
                          <w:pStyle w:val="TableParagraph"/>
                          <w:spacing w:line="252" w:lineRule="exact"/>
                          <w:ind w:left="556"/>
                          <w:rPr>
                            <w:sz w:val="21"/>
                          </w:rPr>
                        </w:pPr>
                        <w:r>
                          <w:rPr>
                            <w:rFonts w:ascii="Microsoft JhengHei" w:eastAsia="Microsoft JhengHei" w:hint="eastAsia"/>
                            <w:b/>
                            <w:sz w:val="21"/>
                          </w:rPr>
                          <w:t>能账户</w:t>
                        </w:r>
                        <w:r>
                          <w:rPr>
                            <w:sz w:val="21"/>
                          </w:rPr>
                          <w:t>。 </w:t>
                        </w:r>
                      </w:p>
                    </w:tc>
                  </w:tr>
                  <w:tr>
                    <w:trPr>
                      <w:trHeight w:val="272" w:hRule="atLeast"/>
                    </w:trPr>
                    <w:tc>
                      <w:tcPr>
                        <w:tcW w:w="2262" w:type="dxa"/>
                        <w:gridSpan w:val="2"/>
                        <w:vMerge/>
                        <w:tcBorders>
                          <w:top w:val="nil"/>
                        </w:tcBorders>
                      </w:tcPr>
                      <w:p>
                        <w:pPr>
                          <w:rPr>
                            <w:sz w:val="2"/>
                            <w:szCs w:val="2"/>
                          </w:rPr>
                        </w:pPr>
                      </w:p>
                    </w:tc>
                    <w:tc>
                      <w:tcPr>
                        <w:tcW w:w="7813" w:type="dxa"/>
                      </w:tcPr>
                      <w:p>
                        <w:pPr>
                          <w:pStyle w:val="TableParagraph"/>
                          <w:spacing w:line="242" w:lineRule="exact"/>
                          <w:ind w:left="556"/>
                          <w:rPr>
                            <w:sz w:val="21"/>
                          </w:rPr>
                        </w:pPr>
                        <w:r>
                          <w:rPr>
                            <w:sz w:val="21"/>
                          </w:rPr>
                          <w:t>嘉禾附加万事兴两全保险（万能型）合同效力中止期间，本附加险合同不能单</w:t>
                        </w:r>
                      </w:p>
                    </w:tc>
                  </w:tr>
                  <w:tr>
                    <w:trPr>
                      <w:trHeight w:val="241" w:hRule="atLeast"/>
                    </w:trPr>
                    <w:tc>
                      <w:tcPr>
                        <w:tcW w:w="2262" w:type="dxa"/>
                        <w:gridSpan w:val="2"/>
                        <w:vMerge/>
                        <w:tcBorders>
                          <w:top w:val="nil"/>
                        </w:tcBorders>
                      </w:tcPr>
                      <w:p>
                        <w:pPr>
                          <w:rPr>
                            <w:sz w:val="2"/>
                            <w:szCs w:val="2"/>
                          </w:rPr>
                        </w:pPr>
                      </w:p>
                    </w:tc>
                    <w:tc>
                      <w:tcPr>
                        <w:tcW w:w="7813" w:type="dxa"/>
                      </w:tcPr>
                      <w:p>
                        <w:pPr>
                          <w:pStyle w:val="TableParagraph"/>
                          <w:spacing w:line="221" w:lineRule="exact"/>
                          <w:ind w:left="556"/>
                          <w:rPr>
                            <w:sz w:val="21"/>
                          </w:rPr>
                        </w:pPr>
                        <w:r>
                          <w:rPr>
                            <w:sz w:val="21"/>
                          </w:rPr>
                          <w:t>独申请复效。</w:t>
                        </w:r>
                      </w:p>
                    </w:tc>
                  </w:tr>
                </w:tbl>
                <w:p>
                  <w:pPr>
                    <w:pStyle w:val="BodyText"/>
                    <w:spacing w:line="240" w:lineRule="auto"/>
                    <w:ind w:left="0"/>
                  </w:pPr>
                </w:p>
              </w:txbxContent>
            </v:textbox>
            <w10:wrap type="none"/>
          </v:shape>
        </w:pict>
      </w:r>
      <w:r>
        <w:rPr/>
        <w:t>合同效力的中止及恢复</w:t>
      </w:r>
    </w:p>
    <w:p>
      <w:pPr>
        <w:pStyle w:val="BodyText"/>
        <w:spacing w:line="20" w:lineRule="exact"/>
        <w:ind w:left="105"/>
        <w:rPr>
          <w:rFonts w:ascii="Microsoft JhengHei"/>
          <w:sz w:val="2"/>
        </w:rPr>
      </w:pPr>
      <w:r>
        <w:rPr>
          <w:rFonts w:ascii="Times New Roman"/>
          <w:spacing w:val="6"/>
          <w:sz w:val="2"/>
        </w:rPr>
        <w:t> </w:t>
      </w:r>
      <w:r>
        <w:rPr>
          <w:rFonts w:ascii="Microsoft JhengHei"/>
          <w:spacing w:val="6"/>
          <w:sz w:val="2"/>
        </w:rPr>
        <w:pict>
          <v:group style="width:504.15pt;height:1pt;mso-position-horizontal-relative:char;mso-position-vertical-relative:line" coordorigin="0,0" coordsize="10083,20">
            <v:line style="position:absolute" from="0,10" to="758,10" stroked="true" strokeweight=".96pt" strokecolor="#000000">
              <v:stroke dashstyle="solid"/>
            </v:line>
            <v:rect style="position:absolute;left:758;top:0;width:20;height:20" filled="true" fillcolor="#000000" stroked="false">
              <v:fill type="solid"/>
            </v:rect>
            <v:line style="position:absolute" from="778,10" to="2714,10" stroked="true" strokeweight=".96pt" strokecolor="#000000">
              <v:stroke dashstyle="solid"/>
            </v:line>
            <v:rect style="position:absolute;left:2714;top:0;width:20;height:20" filled="true" fillcolor="#000000" stroked="false">
              <v:fill type="solid"/>
            </v:rect>
            <v:line style="position:absolute" from="2734,10" to="10082,10" stroked="true" strokeweight=".96pt" strokecolor="#000000">
              <v:stroke dashstyle="solid"/>
            </v:line>
          </v:group>
        </w:pict>
      </w:r>
      <w:r>
        <w:rPr>
          <w:rFonts w:ascii="Microsoft JhengHei"/>
          <w:spacing w:val="6"/>
          <w:sz w:val="2"/>
        </w:rPr>
      </w:r>
    </w:p>
    <w:p>
      <w:pPr>
        <w:spacing w:after="0" w:line="20" w:lineRule="exact"/>
        <w:rPr>
          <w:rFonts w:ascii="Microsoft JhengHei"/>
          <w:sz w:val="2"/>
        </w:rPr>
        <w:sectPr>
          <w:pgSz w:w="11900" w:h="16840"/>
          <w:pgMar w:header="0" w:footer="457" w:top="1280" w:bottom="640" w:left="1080" w:right="520"/>
        </w:sectPr>
      </w:pPr>
    </w:p>
    <w:p>
      <w:pPr>
        <w:pStyle w:val="BodyText"/>
        <w:spacing w:line="246" w:lineRule="exact" w:before="23"/>
        <w:ind w:left="2937"/>
      </w:pPr>
      <w:r>
        <w:rPr>
          <w:w w:val="100"/>
        </w:rPr>
        <w:t> </w:t>
      </w:r>
    </w:p>
    <w:p>
      <w:pPr>
        <w:tabs>
          <w:tab w:pos="979" w:val="left" w:leader="none"/>
          <w:tab w:pos="9412" w:val="left" w:leader="none"/>
        </w:tabs>
        <w:spacing w:line="405" w:lineRule="exact" w:before="0"/>
        <w:ind w:left="228" w:right="0" w:firstLine="0"/>
        <w:jc w:val="left"/>
        <w:rPr>
          <w:sz w:val="21"/>
        </w:rPr>
      </w:pPr>
      <w:r>
        <w:rPr>
          <w:rFonts w:ascii="Times New Roman" w:eastAsia="Times New Roman"/>
          <w:b/>
          <w:position w:val="-3"/>
          <w:sz w:val="40"/>
        </w:rPr>
        <w:t>{</w:t>
        <w:tab/>
      </w:r>
      <w:r>
        <w:rPr>
          <w:rFonts w:ascii="Microsoft JhengHei" w:eastAsia="Microsoft JhengHei" w:hint="eastAsia"/>
          <w:b/>
          <w:sz w:val="24"/>
        </w:rPr>
        <w:t>合同解除</w:t>
        <w:tab/>
      </w:r>
      <w:r>
        <w:rPr>
          <w:w w:val="100"/>
          <w:sz w:val="21"/>
        </w:rPr>
        <w:t> </w:t>
      </w:r>
    </w:p>
    <w:p>
      <w:pPr>
        <w:pStyle w:val="BodyText"/>
        <w:tabs>
          <w:tab w:pos="979" w:val="left" w:leader="none"/>
          <w:tab w:pos="2937" w:val="left" w:leader="none"/>
        </w:tabs>
        <w:spacing w:line="226" w:lineRule="exact"/>
        <w:ind w:left="223"/>
      </w:pPr>
      <w:r>
        <w:rPr/>
        <w:pict>
          <v:group style="position:absolute;margin-left:59.759998pt;margin-top:2.368749pt;width:504.15pt;height:1pt;mso-position-horizontal-relative:page;mso-position-vertical-relative:paragraph;z-index:-85216" coordorigin="1195,47" coordsize="10083,20">
            <v:line style="position:absolute" from="1195,57" to="1954,57" stroked="true" strokeweight=".96pt" strokecolor="#000000">
              <v:stroke dashstyle="solid"/>
            </v:line>
            <v:rect style="position:absolute;left:1953;top:47;width:20;height:20" filled="true" fillcolor="#000000" stroked="false">
              <v:fill type="solid"/>
            </v:rect>
            <v:line style="position:absolute" from="1973,57" to="3910,57" stroked="true" strokeweight=".96pt" strokecolor="#000000">
              <v:stroke dashstyle="solid"/>
            </v:line>
            <v:rect style="position:absolute;left:3909;top:47;width:20;height:20" filled="true" fillcolor="#000000" stroked="false">
              <v:fill type="solid"/>
            </v:rect>
            <v:line style="position:absolute" from="3929,57" to="11278,57" stroked="true" strokeweight=".96pt" strokecolor="#000000">
              <v:stroke dashstyle="solid"/>
            </v:line>
            <w10:wrap type="none"/>
          </v:group>
        </w:pict>
      </w:r>
      <w:r>
        <w:rPr>
          <w:w w:val="100"/>
        </w:rPr>
        <w:t> </w:t>
      </w:r>
      <w:r>
        <w:rPr/>
        <w:tab/>
      </w:r>
      <w:r>
        <w:rPr>
          <w:w w:val="100"/>
        </w:rPr>
        <w:t> </w:t>
      </w:r>
      <w:r>
        <w:rPr/>
        <w:tab/>
      </w:r>
      <w:r>
        <w:rPr>
          <w:w w:val="100"/>
        </w:rPr>
        <w:t> </w:t>
      </w:r>
    </w:p>
    <w:p>
      <w:pPr>
        <w:spacing w:after="0" w:line="226" w:lineRule="exact"/>
        <w:sectPr>
          <w:pgSz w:w="11900" w:h="16840"/>
          <w:pgMar w:header="0" w:footer="457" w:top="1180" w:bottom="640" w:left="1080" w:right="520"/>
        </w:sectPr>
      </w:pPr>
    </w:p>
    <w:p>
      <w:pPr>
        <w:pStyle w:val="Heading3"/>
        <w:spacing w:line="220" w:lineRule="exact"/>
        <w:ind w:left="979"/>
        <w:jc w:val="left"/>
      </w:pPr>
      <w:r>
        <w:rPr/>
        <w:t>投保人解除合同的</w:t>
      </w:r>
    </w:p>
    <w:p>
      <w:pPr>
        <w:spacing w:line="320" w:lineRule="exact" w:before="0"/>
        <w:ind w:left="979" w:right="0" w:firstLine="0"/>
        <w:jc w:val="left"/>
        <w:rPr>
          <w:rFonts w:ascii="Microsoft JhengHei" w:eastAsia="Microsoft JhengHei" w:hint="eastAsia"/>
          <w:b/>
          <w:sz w:val="21"/>
        </w:rPr>
      </w:pPr>
      <w:r>
        <w:rPr>
          <w:rFonts w:ascii="Microsoft JhengHei" w:eastAsia="Microsoft JhengHei" w:hint="eastAsia"/>
          <w:b/>
          <w:sz w:val="21"/>
        </w:rPr>
        <w:t>手续及风险</w:t>
      </w:r>
    </w:p>
    <w:p>
      <w:pPr>
        <w:pStyle w:val="BodyText"/>
        <w:spacing w:line="241" w:lineRule="exact"/>
        <w:ind w:left="228"/>
      </w:pPr>
      <w:r>
        <w:rPr/>
        <w:br w:type="column"/>
      </w:r>
      <w:r>
        <w:rPr/>
        <w:t>如您在犹豫期后申请解除本附加险合同，请填写保险合同变更申请书并提供下</w:t>
      </w:r>
    </w:p>
    <w:p>
      <w:pPr>
        <w:pStyle w:val="BodyText"/>
        <w:ind w:left="228"/>
      </w:pPr>
      <w:r>
        <w:rPr/>
        <w:t>列资料： </w:t>
      </w:r>
    </w:p>
    <w:p>
      <w:pPr>
        <w:pStyle w:val="BodyText"/>
        <w:ind w:left="228"/>
      </w:pPr>
      <w:r>
        <w:rPr/>
        <w:t>（1）保险合同； </w:t>
      </w:r>
    </w:p>
    <w:p>
      <w:pPr>
        <w:pStyle w:val="BodyText"/>
        <w:ind w:left="228"/>
      </w:pPr>
      <w:r>
        <w:rPr/>
        <w:t>（2）您的有效身份证件。 </w:t>
      </w:r>
    </w:p>
    <w:p>
      <w:pPr>
        <w:pStyle w:val="BodyText"/>
        <w:spacing w:line="240" w:lineRule="auto"/>
        <w:ind w:left="228" w:right="219"/>
      </w:pPr>
      <w:r>
        <w:rPr/>
        <w:t>自我们收到保险合同变更申请书时起，本附加险合同终止。我们自收到保险合同变更申请书之日起 30 日内将本附加险合同的现金价值退还至万能账户。 </w:t>
      </w:r>
    </w:p>
    <w:p>
      <w:pPr>
        <w:pStyle w:val="Heading3"/>
        <w:spacing w:line="250" w:lineRule="exact" w:before="2"/>
        <w:ind w:left="228"/>
        <w:jc w:val="left"/>
      </w:pPr>
      <w:r>
        <w:rPr/>
        <w:t>您在犹豫期后解除合同会遭受一定损失。</w:t>
      </w:r>
    </w:p>
    <w:p>
      <w:pPr>
        <w:spacing w:after="0" w:line="250" w:lineRule="exact"/>
        <w:jc w:val="left"/>
        <w:sectPr>
          <w:type w:val="continuous"/>
          <w:pgSz w:w="11900" w:h="16840"/>
          <w:pgMar w:top="400" w:bottom="280" w:left="1080" w:right="520"/>
          <w:cols w:num="2" w:equalWidth="0">
            <w:col w:w="2669" w:space="40"/>
            <w:col w:w="7591"/>
          </w:cols>
        </w:sectPr>
      </w:pPr>
    </w:p>
    <w:p>
      <w:pPr>
        <w:pStyle w:val="BodyText"/>
        <w:tabs>
          <w:tab w:pos="979" w:val="left" w:leader="none"/>
          <w:tab w:pos="2937" w:val="left" w:leader="none"/>
        </w:tabs>
        <w:spacing w:line="181" w:lineRule="exact"/>
        <w:ind w:left="223"/>
      </w:pPr>
      <w:r>
        <w:rPr>
          <w:w w:val="100"/>
        </w:rPr>
        <w:t> </w:t>
      </w:r>
      <w:r>
        <w:rPr/>
        <w:tab/>
      </w:r>
      <w:r>
        <w:rPr>
          <w:w w:val="100"/>
        </w:rPr>
        <w:t> </w:t>
      </w:r>
      <w:r>
        <w:rPr/>
        <w:tab/>
      </w:r>
      <w:r>
        <w:rPr>
          <w:w w:val="100"/>
        </w:rPr>
        <w:t> </w:t>
      </w:r>
    </w:p>
    <w:p>
      <w:pPr>
        <w:tabs>
          <w:tab w:pos="979" w:val="left" w:leader="none"/>
          <w:tab w:pos="9050" w:val="left" w:leader="none"/>
        </w:tabs>
        <w:spacing w:line="404" w:lineRule="exact" w:before="0"/>
        <w:ind w:left="229" w:right="0" w:firstLine="0"/>
        <w:jc w:val="left"/>
        <w:rPr>
          <w:sz w:val="21"/>
        </w:rPr>
      </w:pPr>
      <w:r>
        <w:rPr>
          <w:rFonts w:ascii="Times New Roman" w:eastAsia="Times New Roman"/>
          <w:b/>
          <w:position w:val="-3"/>
          <w:sz w:val="40"/>
        </w:rPr>
        <w:t>|</w:t>
        <w:tab/>
      </w:r>
      <w:r>
        <w:rPr>
          <w:rFonts w:ascii="Microsoft JhengHei" w:eastAsia="Microsoft JhengHei" w:hint="eastAsia"/>
          <w:b/>
          <w:sz w:val="24"/>
        </w:rPr>
        <w:t>如实告知</w:t>
        <w:tab/>
      </w:r>
      <w:r>
        <w:rPr>
          <w:w w:val="100"/>
          <w:sz w:val="21"/>
        </w:rPr>
        <w:t> </w:t>
      </w:r>
    </w:p>
    <w:p>
      <w:pPr>
        <w:pStyle w:val="BodyText"/>
        <w:tabs>
          <w:tab w:pos="979" w:val="left" w:leader="none"/>
          <w:tab w:pos="2937" w:val="left" w:leader="none"/>
        </w:tabs>
        <w:spacing w:line="226" w:lineRule="exact"/>
        <w:ind w:left="223"/>
      </w:pPr>
      <w:r>
        <w:rPr/>
        <w:pict>
          <v:group style="position:absolute;margin-left:59.759998pt;margin-top:2.488741pt;width:504.15pt;height:1pt;mso-position-horizontal-relative:page;mso-position-vertical-relative:paragraph;z-index:-85192" coordorigin="1195,50" coordsize="10083,20">
            <v:line style="position:absolute" from="1195,59" to="1954,59" stroked="true" strokeweight=".96pt" strokecolor="#000000">
              <v:stroke dashstyle="solid"/>
            </v:line>
            <v:rect style="position:absolute;left:1953;top:49;width:20;height:20" filled="true" fillcolor="#000000" stroked="false">
              <v:fill type="solid"/>
            </v:rect>
            <v:line style="position:absolute" from="1973,59" to="3910,59" stroked="true" strokeweight=".96pt" strokecolor="#000000">
              <v:stroke dashstyle="solid"/>
            </v:line>
            <v:rect style="position:absolute;left:3909;top:49;width:20;height:20" filled="true" fillcolor="#000000" stroked="false">
              <v:fill type="solid"/>
            </v:rect>
            <v:line style="position:absolute" from="3929,59" to="11278,59" stroked="true" strokeweight=".96pt" strokecolor="#000000">
              <v:stroke dashstyle="solid"/>
            </v:line>
            <w10:wrap type="none"/>
          </v:group>
        </w:pict>
      </w:r>
      <w:r>
        <w:rPr>
          <w:w w:val="100"/>
        </w:rPr>
        <w:t> </w:t>
      </w:r>
      <w:r>
        <w:rPr/>
        <w:tab/>
      </w:r>
      <w:r>
        <w:rPr>
          <w:w w:val="100"/>
        </w:rPr>
        <w:t> </w:t>
      </w:r>
      <w:r>
        <w:rPr/>
        <w:tab/>
      </w:r>
      <w:r>
        <w:rPr>
          <w:w w:val="100"/>
        </w:rPr>
        <w:t> </w:t>
      </w:r>
    </w:p>
    <w:p>
      <w:pPr>
        <w:spacing w:after="0" w:line="226" w:lineRule="exact"/>
        <w:sectPr>
          <w:type w:val="continuous"/>
          <w:pgSz w:w="11900" w:h="16840"/>
          <w:pgMar w:top="400" w:bottom="280" w:left="1080" w:right="520"/>
        </w:sectPr>
      </w:pPr>
    </w:p>
    <w:p>
      <w:pPr>
        <w:pStyle w:val="Heading3"/>
        <w:numPr>
          <w:ilvl w:val="1"/>
          <w:numId w:val="8"/>
        </w:numPr>
        <w:tabs>
          <w:tab w:pos="979" w:val="left" w:leader="none"/>
          <w:tab w:pos="980" w:val="left" w:leader="none"/>
        </w:tabs>
        <w:spacing w:line="223" w:lineRule="exact" w:before="0" w:after="0"/>
        <w:ind w:left="979" w:right="0" w:hanging="756"/>
        <w:jc w:val="left"/>
      </w:pPr>
      <w:r>
        <w:rPr>
          <w:w w:val="95"/>
        </w:rPr>
        <w:t>1</w:t>
        <w:tab/>
        <w:t>明确说明和如实  </w:t>
      </w:r>
      <w:r>
        <w:rPr/>
        <w:t>告</w:t>
      </w:r>
    </w:p>
    <w:p>
      <w:pPr>
        <w:spacing w:line="320" w:lineRule="exact" w:before="0"/>
        <w:ind w:left="0" w:right="497" w:firstLine="0"/>
        <w:jc w:val="center"/>
        <w:rPr>
          <w:rFonts w:ascii="Microsoft JhengHei" w:eastAsia="Microsoft JhengHei" w:hint="eastAsia"/>
          <w:b/>
          <w:sz w:val="21"/>
        </w:rPr>
      </w:pPr>
      <w:r>
        <w:rPr>
          <w:rFonts w:ascii="Microsoft JhengHei" w:eastAsia="Microsoft JhengHei" w:hint="eastAsia"/>
          <w:b/>
          <w:w w:val="100"/>
          <w:sz w:val="21"/>
        </w:rPr>
        <w:t>知</w:t>
      </w: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before="8"/>
        <w:ind w:left="0"/>
        <w:rPr>
          <w:rFonts w:ascii="Microsoft JhengHei"/>
          <w:b/>
          <w:sz w:val="11"/>
        </w:rPr>
      </w:pPr>
    </w:p>
    <w:p>
      <w:pPr>
        <w:pStyle w:val="ListParagraph"/>
        <w:numPr>
          <w:ilvl w:val="1"/>
          <w:numId w:val="8"/>
        </w:numPr>
        <w:tabs>
          <w:tab w:pos="979" w:val="left" w:leader="none"/>
          <w:tab w:pos="980" w:val="left" w:leader="none"/>
        </w:tabs>
        <w:spacing w:line="320" w:lineRule="exact" w:before="0" w:after="0"/>
        <w:ind w:left="979" w:right="0" w:hanging="756"/>
        <w:jc w:val="left"/>
        <w:rPr>
          <w:rFonts w:ascii="Microsoft JhengHei" w:eastAsia="Microsoft JhengHei" w:hint="eastAsia"/>
          <w:b/>
          <w:sz w:val="21"/>
        </w:rPr>
      </w:pPr>
      <w:r>
        <w:rPr>
          <w:rFonts w:ascii="Microsoft JhengHei" w:eastAsia="Microsoft JhengHei" w:hint="eastAsia"/>
          <w:b/>
          <w:w w:val="95"/>
          <w:sz w:val="21"/>
        </w:rPr>
        <w:t>2</w:t>
        <w:tab/>
        <w:t>本公司合同解除  </w:t>
      </w:r>
      <w:r>
        <w:rPr>
          <w:rFonts w:ascii="Microsoft JhengHei" w:eastAsia="Microsoft JhengHei" w:hint="eastAsia"/>
          <w:b/>
          <w:sz w:val="21"/>
        </w:rPr>
        <w:t>权</w:t>
      </w:r>
    </w:p>
    <w:p>
      <w:pPr>
        <w:spacing w:line="320" w:lineRule="exact" w:before="0"/>
        <w:ind w:left="962" w:right="1036" w:firstLine="0"/>
        <w:jc w:val="center"/>
        <w:rPr>
          <w:rFonts w:ascii="Microsoft JhengHei" w:eastAsia="Microsoft JhengHei" w:hint="eastAsia"/>
          <w:b/>
          <w:sz w:val="21"/>
        </w:rPr>
      </w:pPr>
      <w:r>
        <w:rPr>
          <w:rFonts w:ascii="Microsoft JhengHei" w:eastAsia="Microsoft JhengHei" w:hint="eastAsia"/>
          <w:b/>
          <w:sz w:val="21"/>
        </w:rPr>
        <w:t>的限制</w:t>
      </w:r>
    </w:p>
    <w:p>
      <w:pPr>
        <w:pStyle w:val="BodyText"/>
        <w:spacing w:line="244" w:lineRule="exact"/>
        <w:ind w:left="223"/>
      </w:pPr>
      <w:r>
        <w:rPr/>
        <w:br w:type="column"/>
      </w:r>
      <w:r>
        <w:rPr/>
        <w:t>订立本附加险合同时，我们应向您说明本附加险合同的内容。对保险条款中免</w:t>
      </w:r>
    </w:p>
    <w:p>
      <w:pPr>
        <w:pStyle w:val="BodyText"/>
        <w:spacing w:line="237" w:lineRule="auto" w:before="2"/>
        <w:ind w:left="223" w:right="215"/>
        <w:jc w:val="both"/>
      </w:pPr>
      <w:r>
        <w:rPr/>
        <w:t>除我们责任的条款，我们在订立合同时应当在投保单、保险单或者其他保险凭证上作出足以引起您注意的提示，并对该条款的内容以书面或者口头形式向您作出明确说明，未作提示或者明确说明的，该条款不产生效力。我们会就您和被保险人的有关情况提出询问，您应当如实告知。 </w:t>
      </w:r>
    </w:p>
    <w:p>
      <w:pPr>
        <w:pStyle w:val="Heading3"/>
        <w:spacing w:line="180" w:lineRule="auto" w:before="21"/>
        <w:ind w:left="223" w:right="210"/>
      </w:pPr>
      <w:r>
        <w:rPr/>
        <w:t>如果您故意或因重大过失未履行如实告知义务，足以影响我们决定是否同意承保或者提高保险费率的，我们有权解除本附加险合同。</w:t>
      </w:r>
    </w:p>
    <w:p>
      <w:pPr>
        <w:spacing w:line="180" w:lineRule="auto" w:before="0"/>
        <w:ind w:left="223" w:right="196" w:firstLine="0"/>
        <w:jc w:val="both"/>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如果您故意不履行如实告知义务，对于本附加险合同解除前发生的保险事故， 我们不承担给付保险金的责任，并不退还保险费。</w:t>
      </w:r>
    </w:p>
    <w:p>
      <w:pPr>
        <w:spacing w:line="180" w:lineRule="auto" w:before="0"/>
        <w:ind w:left="223" w:right="208" w:firstLine="0"/>
        <w:jc w:val="both"/>
        <w:rPr>
          <w:sz w:val="21"/>
        </w:rPr>
      </w:pPr>
      <w:r>
        <w:rPr>
          <w:rFonts w:ascii="Microsoft JhengHei" w:eastAsia="Microsoft JhengHei" w:hint="eastAsia"/>
          <w:b/>
          <w:spacing w:val="-4"/>
          <w:sz w:val="21"/>
        </w:rPr>
        <w:t>如果您因重大过失未履行如实告知义务，对保险事故的发生有严重影响的，对</w:t>
      </w:r>
      <w:r>
        <w:rPr>
          <w:rFonts w:ascii="Microsoft JhengHei" w:eastAsia="Microsoft JhengHei" w:hint="eastAsia"/>
          <w:b/>
          <w:spacing w:val="-6"/>
          <w:sz w:val="21"/>
        </w:rPr>
        <w:t>于本附加险合同解除前发生的保险事故，我们不承担给付保险金的责任，但将保险费退还至万能账户。</w:t>
      </w:r>
      <w:r>
        <w:rPr>
          <w:sz w:val="21"/>
        </w:rPr>
        <w:t> </w:t>
      </w:r>
    </w:p>
    <w:p>
      <w:pPr>
        <w:pStyle w:val="BodyText"/>
        <w:spacing w:before="2"/>
        <w:ind w:left="223" w:right="215"/>
        <w:jc w:val="both"/>
      </w:pPr>
      <w:r>
        <w:rPr/>
        <w:t>我们在本附加险合同订立时已经知道您未如实告知的情况的，我们不得解除本附加险合同；发生保险事故的，我们承担给付保险金的责任。 </w:t>
      </w:r>
    </w:p>
    <w:p>
      <w:pPr>
        <w:pStyle w:val="BodyText"/>
        <w:spacing w:line="115" w:lineRule="exact"/>
        <w:ind w:left="223"/>
      </w:pPr>
      <w:r>
        <w:rPr>
          <w:w w:val="100"/>
        </w:rPr>
        <w:t> </w:t>
      </w:r>
    </w:p>
    <w:p>
      <w:pPr>
        <w:pStyle w:val="Heading3"/>
        <w:spacing w:line="270" w:lineRule="exact"/>
        <w:ind w:left="223"/>
        <w:jc w:val="left"/>
      </w:pPr>
      <w:r>
        <w:rPr/>
        <w:t>“8. 1  明确说明和如实告知”规定的合同解除权，自我们知道有解除事由之日</w:t>
      </w:r>
    </w:p>
    <w:p>
      <w:pPr>
        <w:spacing w:line="177" w:lineRule="auto" w:before="48"/>
        <w:ind w:left="223" w:right="210" w:firstLine="0"/>
        <w:jc w:val="both"/>
        <w:rPr>
          <w:rFonts w:ascii="Microsoft JhengHei" w:eastAsia="Microsoft JhengHei" w:hint="eastAsia"/>
          <w:b/>
          <w:sz w:val="21"/>
        </w:rPr>
      </w:pPr>
      <w:r>
        <w:rPr>
          <w:rFonts w:ascii="Microsoft JhengHei" w:eastAsia="Microsoft JhengHei" w:hint="eastAsia"/>
          <w:b/>
          <w:sz w:val="21"/>
        </w:rPr>
        <w:t>起，超过 30 日不行使而消灭。自本附加险合同成立之日起超过 2 年的，我们不得解除本附加险合同；发生保险事故的，我们承担给付保险金的责任。</w:t>
      </w:r>
    </w:p>
    <w:p>
      <w:pPr>
        <w:spacing w:after="0" w:line="177" w:lineRule="auto"/>
        <w:jc w:val="both"/>
        <w:rPr>
          <w:rFonts w:ascii="Microsoft JhengHei" w:eastAsia="Microsoft JhengHei" w:hint="eastAsia"/>
          <w:sz w:val="21"/>
        </w:rPr>
        <w:sectPr>
          <w:type w:val="continuous"/>
          <w:pgSz w:w="11900" w:h="16840"/>
          <w:pgMar w:top="400" w:bottom="280" w:left="1080" w:right="520"/>
          <w:cols w:num="2" w:equalWidth="0">
            <w:col w:w="2669" w:space="45"/>
            <w:col w:w="7586"/>
          </w:cols>
        </w:sectPr>
      </w:pPr>
    </w:p>
    <w:p>
      <w:pPr>
        <w:pStyle w:val="BodyText"/>
        <w:tabs>
          <w:tab w:pos="979" w:val="left" w:leader="none"/>
          <w:tab w:pos="2937" w:val="left" w:leader="none"/>
        </w:tabs>
        <w:spacing w:line="137" w:lineRule="exact"/>
        <w:ind w:left="223"/>
      </w:pPr>
      <w:r>
        <w:rPr>
          <w:w w:val="100"/>
        </w:rPr>
        <w:t> </w:t>
      </w:r>
      <w:r>
        <w:rPr/>
        <w:tab/>
      </w:r>
      <w:r>
        <w:rPr>
          <w:w w:val="100"/>
        </w:rPr>
        <w:t> </w:t>
      </w:r>
      <w:r>
        <w:rPr/>
        <w:tab/>
      </w:r>
      <w:r>
        <w:rPr>
          <w:w w:val="100"/>
        </w:rPr>
        <w:t> </w:t>
      </w:r>
    </w:p>
    <w:p>
      <w:pPr>
        <w:pStyle w:val="Heading2"/>
        <w:tabs>
          <w:tab w:pos="979" w:val="left" w:leader="none"/>
        </w:tabs>
        <w:spacing w:line="454" w:lineRule="exact"/>
        <w:ind w:left="228" w:firstLine="0"/>
      </w:pPr>
      <w:r>
        <w:rPr/>
        <w:pict>
          <v:shape style="position:absolute;margin-left:59.959999pt;margin-top:21.00354pt;width:503.6pt;height:49.95pt;mso-position-horizontal-relative:page;mso-position-vertical-relative:paragraph;z-index:1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632"/>
                    <w:gridCol w:w="7811"/>
                  </w:tblGrid>
                  <w:tr>
                    <w:trPr>
                      <w:trHeight w:val="221" w:hRule="atLeast"/>
                    </w:trPr>
                    <w:tc>
                      <w:tcPr>
                        <w:tcW w:w="630" w:type="dxa"/>
                      </w:tcPr>
                      <w:p>
                        <w:pPr>
                          <w:pStyle w:val="TableParagraph"/>
                          <w:spacing w:line="202" w:lineRule="exact"/>
                          <w:ind w:left="104"/>
                          <w:rPr>
                            <w:sz w:val="21"/>
                          </w:rPr>
                        </w:pPr>
                        <w:r>
                          <w:rPr>
                            <w:w w:val="100"/>
                            <w:sz w:val="21"/>
                          </w:rPr>
                          <w:t> </w:t>
                        </w:r>
                      </w:p>
                    </w:tc>
                    <w:tc>
                      <w:tcPr>
                        <w:tcW w:w="1632" w:type="dxa"/>
                      </w:tcPr>
                      <w:p>
                        <w:pPr>
                          <w:pStyle w:val="TableParagraph"/>
                          <w:spacing w:line="202" w:lineRule="exact"/>
                          <w:ind w:left="230"/>
                          <w:rPr>
                            <w:sz w:val="21"/>
                          </w:rPr>
                        </w:pPr>
                        <w:r>
                          <w:rPr>
                            <w:w w:val="100"/>
                            <w:sz w:val="21"/>
                          </w:rPr>
                          <w:t> </w:t>
                        </w:r>
                      </w:p>
                    </w:tc>
                    <w:tc>
                      <w:tcPr>
                        <w:tcW w:w="7811" w:type="dxa"/>
                      </w:tcPr>
                      <w:p>
                        <w:pPr>
                          <w:pStyle w:val="TableParagraph"/>
                          <w:spacing w:line="202" w:lineRule="exact"/>
                          <w:ind w:left="556"/>
                          <w:rPr>
                            <w:sz w:val="21"/>
                          </w:rPr>
                        </w:pPr>
                        <w:r>
                          <w:rPr>
                            <w:w w:val="100"/>
                            <w:sz w:val="21"/>
                          </w:rPr>
                          <w:t> </w:t>
                        </w:r>
                      </w:p>
                    </w:tc>
                  </w:tr>
                  <w:tr>
                    <w:trPr>
                      <w:trHeight w:val="535" w:hRule="atLeast"/>
                    </w:trPr>
                    <w:tc>
                      <w:tcPr>
                        <w:tcW w:w="630" w:type="dxa"/>
                      </w:tcPr>
                      <w:p>
                        <w:pPr>
                          <w:pStyle w:val="TableParagraph"/>
                          <w:spacing w:line="255" w:lineRule="exact"/>
                          <w:ind w:left="104"/>
                          <w:rPr>
                            <w:rFonts w:ascii="Microsoft JhengHei"/>
                            <w:b/>
                            <w:sz w:val="21"/>
                          </w:rPr>
                        </w:pPr>
                        <w:r>
                          <w:rPr>
                            <w:rFonts w:ascii="Microsoft JhengHei"/>
                            <w:b/>
                            <w:w w:val="90"/>
                            <w:sz w:val="21"/>
                          </w:rPr>
                          <w:t>9. 1</w:t>
                        </w:r>
                      </w:p>
                    </w:tc>
                    <w:tc>
                      <w:tcPr>
                        <w:tcW w:w="1632" w:type="dxa"/>
                      </w:tcPr>
                      <w:p>
                        <w:pPr>
                          <w:pStyle w:val="TableParagraph"/>
                          <w:spacing w:line="255" w:lineRule="exact"/>
                          <w:ind w:left="230"/>
                          <w:rPr>
                            <w:rFonts w:ascii="Microsoft JhengHei" w:eastAsia="Microsoft JhengHei" w:hint="eastAsia"/>
                            <w:b/>
                            <w:sz w:val="21"/>
                          </w:rPr>
                        </w:pPr>
                        <w:r>
                          <w:rPr>
                            <w:rFonts w:ascii="Microsoft JhengHei" w:eastAsia="Microsoft JhengHei" w:hint="eastAsia"/>
                            <w:b/>
                            <w:sz w:val="21"/>
                          </w:rPr>
                          <w:t>年龄错误</w:t>
                        </w:r>
                      </w:p>
                    </w:tc>
                    <w:tc>
                      <w:tcPr>
                        <w:tcW w:w="7811" w:type="dxa"/>
                      </w:tcPr>
                      <w:p>
                        <w:pPr>
                          <w:pStyle w:val="TableParagraph"/>
                          <w:spacing w:line="231" w:lineRule="exact"/>
                          <w:ind w:left="558"/>
                          <w:rPr>
                            <w:sz w:val="21"/>
                          </w:rPr>
                        </w:pPr>
                        <w:r>
                          <w:rPr>
                            <w:sz w:val="21"/>
                          </w:rPr>
                          <w:t>您在申请投保时，应将与有效身份证件相符的被保险人的出生日期在投保单上</w:t>
                        </w:r>
                      </w:p>
                      <w:p>
                        <w:pPr>
                          <w:pStyle w:val="TableParagraph"/>
                          <w:spacing w:line="274" w:lineRule="exact"/>
                          <w:ind w:left="556"/>
                          <w:rPr>
                            <w:sz w:val="21"/>
                          </w:rPr>
                        </w:pPr>
                        <w:r>
                          <w:rPr>
                            <w:sz w:val="21"/>
                          </w:rPr>
                          <w:t>填明，如果发生错误按照下列方式办理： </w:t>
                        </w:r>
                      </w:p>
                    </w:tc>
                  </w:tr>
                  <w:tr>
                    <w:trPr>
                      <w:trHeight w:val="241" w:hRule="atLeast"/>
                    </w:trPr>
                    <w:tc>
                      <w:tcPr>
                        <w:tcW w:w="630" w:type="dxa"/>
                      </w:tcPr>
                      <w:p>
                        <w:pPr>
                          <w:pStyle w:val="TableParagraph"/>
                          <w:rPr>
                            <w:rFonts w:ascii="Times New Roman"/>
                            <w:sz w:val="16"/>
                          </w:rPr>
                        </w:pPr>
                      </w:p>
                    </w:tc>
                    <w:tc>
                      <w:tcPr>
                        <w:tcW w:w="1632" w:type="dxa"/>
                      </w:tcPr>
                      <w:p>
                        <w:pPr>
                          <w:pStyle w:val="TableParagraph"/>
                          <w:rPr>
                            <w:rFonts w:ascii="Times New Roman"/>
                            <w:sz w:val="16"/>
                          </w:rPr>
                        </w:pPr>
                      </w:p>
                    </w:tc>
                    <w:tc>
                      <w:tcPr>
                        <w:tcW w:w="7811" w:type="dxa"/>
                      </w:tcPr>
                      <w:p>
                        <w:pPr>
                          <w:pStyle w:val="TableParagraph"/>
                          <w:spacing w:line="221" w:lineRule="exact"/>
                          <w:ind w:left="556"/>
                          <w:rPr>
                            <w:rFonts w:ascii="Microsoft JhengHei" w:eastAsia="Microsoft JhengHei" w:hint="eastAsia"/>
                            <w:b/>
                            <w:sz w:val="21"/>
                          </w:rPr>
                        </w:pPr>
                        <w:r>
                          <w:rPr>
                            <w:sz w:val="21"/>
                          </w:rPr>
                          <w:t>（1）</w:t>
                        </w:r>
                        <w:r>
                          <w:rPr>
                            <w:rFonts w:ascii="Microsoft JhengHei" w:eastAsia="Microsoft JhengHei" w:hint="eastAsia"/>
                            <w:b/>
                            <w:sz w:val="21"/>
                          </w:rPr>
                          <w:t>您申报的被保险人年龄不真实，并且其真实年龄不符合本附加险合同约</w:t>
                        </w:r>
                      </w:p>
                    </w:tc>
                  </w:tr>
                </w:tbl>
                <w:p>
                  <w:pPr>
                    <w:pStyle w:val="BodyText"/>
                    <w:spacing w:line="240" w:lineRule="auto"/>
                    <w:ind w:left="0"/>
                  </w:pPr>
                </w:p>
              </w:txbxContent>
            </v:textbox>
            <w10:wrap type="none"/>
          </v:shape>
        </w:pict>
      </w:r>
      <w:r>
        <w:rPr>
          <w:rFonts w:ascii="Times New Roman" w:eastAsia="Times New Roman"/>
          <w:position w:val="-3"/>
          <w:sz w:val="40"/>
        </w:rPr>
        <w:t>}</w:t>
        <w:tab/>
      </w:r>
      <w:r>
        <w:rPr/>
        <w:t>其他需要关注的事项</w:t>
      </w:r>
    </w:p>
    <w:p>
      <w:pPr>
        <w:pStyle w:val="BodyText"/>
        <w:spacing w:line="20" w:lineRule="exact"/>
        <w:ind w:left="105"/>
        <w:rPr>
          <w:rFonts w:ascii="Microsoft JhengHei"/>
          <w:sz w:val="2"/>
        </w:rPr>
      </w:pPr>
      <w:r>
        <w:rPr>
          <w:rFonts w:ascii="Times New Roman"/>
          <w:spacing w:val="6"/>
          <w:sz w:val="2"/>
        </w:rPr>
        <w:t> </w:t>
      </w:r>
      <w:r>
        <w:rPr>
          <w:rFonts w:ascii="Microsoft JhengHei"/>
          <w:spacing w:val="6"/>
          <w:sz w:val="2"/>
        </w:rPr>
        <w:pict>
          <v:group style="width:504.15pt;height:1pt;mso-position-horizontal-relative:char;mso-position-vertical-relative:line" coordorigin="0,0" coordsize="10083,20">
            <v:line style="position:absolute" from="0,10" to="758,10" stroked="true" strokeweight=".96pt" strokecolor="#000000">
              <v:stroke dashstyle="solid"/>
            </v:line>
            <v:rect style="position:absolute;left:758;top:0;width:20;height:20" filled="true" fillcolor="#000000" stroked="false">
              <v:fill type="solid"/>
            </v:rect>
            <v:line style="position:absolute" from="778,10" to="2714,10" stroked="true" strokeweight=".96pt" strokecolor="#000000">
              <v:stroke dashstyle="solid"/>
            </v:line>
            <v:rect style="position:absolute;left:2714;top:0;width:20;height:20" filled="true" fillcolor="#000000" stroked="false">
              <v:fill type="solid"/>
            </v:rect>
            <v:line style="position:absolute" from="2734,10" to="10082,10" stroked="true" strokeweight=".96pt" strokecolor="#000000">
              <v:stroke dashstyle="solid"/>
            </v:line>
          </v:group>
        </w:pict>
      </w:r>
      <w:r>
        <w:rPr>
          <w:rFonts w:ascii="Microsoft JhengHei"/>
          <w:spacing w:val="6"/>
          <w:sz w:val="2"/>
        </w:rPr>
      </w:r>
    </w:p>
    <w:p>
      <w:pPr>
        <w:pStyle w:val="BodyText"/>
        <w:spacing w:line="240" w:lineRule="auto" w:before="9"/>
        <w:ind w:left="0"/>
        <w:rPr>
          <w:rFonts w:ascii="Microsoft JhengHei"/>
          <w:b/>
          <w:sz w:val="55"/>
        </w:rPr>
      </w:pPr>
    </w:p>
    <w:p>
      <w:pPr>
        <w:pStyle w:val="Heading3"/>
        <w:spacing w:line="180" w:lineRule="auto" w:before="1"/>
        <w:ind w:left="3463" w:right="297"/>
      </w:pPr>
      <w:r>
        <w:rPr/>
        <w:t>定投保年龄限制的，在保险事故发生之前我们有权解除本附加险合同， 并将本附加险合同的现金价值退还至万能账户。我们行使合同解除权适用“8. 2 本公司合同解除权的限制”的规定。</w:t>
      </w:r>
    </w:p>
    <w:p>
      <w:pPr>
        <w:spacing w:line="180" w:lineRule="auto" w:before="0"/>
        <w:ind w:left="3463" w:right="297" w:hanging="526"/>
        <w:jc w:val="both"/>
        <w:rPr>
          <w:rFonts w:ascii="Microsoft JhengHei" w:eastAsia="Microsoft JhengHei" w:hint="eastAsia"/>
          <w:b/>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47" w:lineRule="exact" w:before="3"/>
        <w:ind w:left="2937"/>
      </w:pPr>
      <w:r>
        <w:rPr/>
        <w:t>（3）您申报的被保险人年龄不真实，致使您实付保险费多于应付保险费的，我</w:t>
      </w:r>
    </w:p>
    <w:p>
      <w:pPr>
        <w:pStyle w:val="BodyText"/>
        <w:spacing w:line="274" w:lineRule="exact"/>
        <w:ind w:left="3463"/>
        <w:jc w:val="both"/>
      </w:pPr>
      <w:r>
        <w:rPr/>
        <w:pict>
          <v:shape style="position:absolute;margin-left:62.66pt;margin-top:12.518554pt;width:498pt;height:107.7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843"/>
                    <w:gridCol w:w="7541"/>
                  </w:tblGrid>
                  <w:tr>
                    <w:trPr>
                      <w:trHeight w:val="717" w:hRule="atLeast"/>
                    </w:trPr>
                    <w:tc>
                      <w:tcPr>
                        <w:tcW w:w="576" w:type="dxa"/>
                      </w:tcPr>
                      <w:p>
                        <w:pPr>
                          <w:pStyle w:val="TableParagraph"/>
                          <w:spacing w:line="163" w:lineRule="exact"/>
                          <w:ind w:left="50"/>
                          <w:rPr>
                            <w:sz w:val="21"/>
                          </w:rPr>
                        </w:pPr>
                        <w:r>
                          <w:rPr>
                            <w:w w:val="100"/>
                            <w:sz w:val="21"/>
                          </w:rPr>
                          <w:t> </w:t>
                        </w:r>
                      </w:p>
                      <w:p>
                        <w:pPr>
                          <w:pStyle w:val="TableParagraph"/>
                          <w:spacing w:line="317" w:lineRule="exact"/>
                          <w:ind w:left="50"/>
                          <w:rPr>
                            <w:rFonts w:ascii="Microsoft JhengHei"/>
                            <w:b/>
                            <w:sz w:val="21"/>
                          </w:rPr>
                        </w:pPr>
                        <w:r>
                          <w:rPr>
                            <w:rFonts w:ascii="Microsoft JhengHei"/>
                            <w:b/>
                            <w:w w:val="90"/>
                            <w:sz w:val="21"/>
                          </w:rPr>
                          <w:t>9. 2</w:t>
                        </w:r>
                      </w:p>
                    </w:tc>
                    <w:tc>
                      <w:tcPr>
                        <w:tcW w:w="1843" w:type="dxa"/>
                      </w:tcPr>
                      <w:p>
                        <w:pPr>
                          <w:pStyle w:val="TableParagraph"/>
                          <w:spacing w:line="163" w:lineRule="exact"/>
                          <w:ind w:left="230"/>
                          <w:rPr>
                            <w:sz w:val="21"/>
                          </w:rPr>
                        </w:pPr>
                        <w:r>
                          <w:rPr>
                            <w:w w:val="100"/>
                            <w:sz w:val="21"/>
                          </w:rPr>
                          <w:t> </w:t>
                        </w:r>
                      </w:p>
                      <w:p>
                        <w:pPr>
                          <w:pStyle w:val="TableParagraph"/>
                          <w:spacing w:line="317" w:lineRule="exact"/>
                          <w:ind w:left="230"/>
                          <w:rPr>
                            <w:rFonts w:ascii="Microsoft JhengHei" w:eastAsia="Microsoft JhengHei" w:hint="eastAsia"/>
                            <w:b/>
                            <w:sz w:val="21"/>
                          </w:rPr>
                        </w:pPr>
                        <w:r>
                          <w:rPr>
                            <w:rFonts w:ascii="Microsoft JhengHei" w:eastAsia="Microsoft JhengHei" w:hint="eastAsia"/>
                            <w:b/>
                            <w:sz w:val="21"/>
                          </w:rPr>
                          <w:t>未还款项</w:t>
                        </w:r>
                      </w:p>
                    </w:tc>
                    <w:tc>
                      <w:tcPr>
                        <w:tcW w:w="7541" w:type="dxa"/>
                      </w:tcPr>
                      <w:p>
                        <w:pPr>
                          <w:pStyle w:val="TableParagraph"/>
                          <w:spacing w:line="196" w:lineRule="exact"/>
                          <w:ind w:left="345"/>
                          <w:rPr>
                            <w:sz w:val="21"/>
                          </w:rPr>
                        </w:pPr>
                        <w:r>
                          <w:rPr>
                            <w:w w:val="100"/>
                            <w:sz w:val="21"/>
                          </w:rPr>
                          <w:t> </w:t>
                        </w:r>
                      </w:p>
                      <w:p>
                        <w:pPr>
                          <w:pStyle w:val="TableParagraph"/>
                          <w:spacing w:line="274" w:lineRule="exact" w:before="11"/>
                          <w:ind w:left="345" w:right="48"/>
                          <w:rPr>
                            <w:sz w:val="21"/>
                          </w:rPr>
                        </w:pPr>
                        <w:r>
                          <w:rPr>
                            <w:sz w:val="21"/>
                          </w:rPr>
                          <w:t>未还款项包括欠交的保险费及其他欠款。我们在给付各项保险金、退还现金价值或返还保险费时，会在扣除上述各项欠款后给付。 </w:t>
                        </w:r>
                      </w:p>
                    </w:tc>
                  </w:tr>
                  <w:tr>
                    <w:trPr>
                      <w:trHeight w:val="174" w:hRule="atLeast"/>
                    </w:trPr>
                    <w:tc>
                      <w:tcPr>
                        <w:tcW w:w="576" w:type="dxa"/>
                      </w:tcPr>
                      <w:p>
                        <w:pPr>
                          <w:pStyle w:val="TableParagraph"/>
                          <w:spacing w:line="166" w:lineRule="exact"/>
                          <w:ind w:left="50"/>
                          <w:rPr>
                            <w:sz w:val="21"/>
                          </w:rPr>
                        </w:pPr>
                        <w:r>
                          <w:rPr>
                            <w:w w:val="100"/>
                            <w:sz w:val="21"/>
                          </w:rPr>
                          <w:t> </w:t>
                        </w:r>
                      </w:p>
                    </w:tc>
                    <w:tc>
                      <w:tcPr>
                        <w:tcW w:w="1843" w:type="dxa"/>
                      </w:tcPr>
                      <w:p>
                        <w:pPr>
                          <w:pStyle w:val="TableParagraph"/>
                          <w:spacing w:line="166" w:lineRule="exact"/>
                          <w:ind w:left="230"/>
                          <w:rPr>
                            <w:sz w:val="21"/>
                          </w:rPr>
                        </w:pPr>
                        <w:r>
                          <w:rPr>
                            <w:w w:val="100"/>
                            <w:sz w:val="21"/>
                          </w:rPr>
                          <w:t> </w:t>
                        </w:r>
                      </w:p>
                    </w:tc>
                    <w:tc>
                      <w:tcPr>
                        <w:tcW w:w="7541" w:type="dxa"/>
                      </w:tcPr>
                      <w:p>
                        <w:pPr>
                          <w:pStyle w:val="TableParagraph"/>
                          <w:spacing w:line="166" w:lineRule="exact"/>
                          <w:ind w:left="345"/>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9. 3</w:t>
                        </w:r>
                      </w:p>
                    </w:tc>
                    <w:tc>
                      <w:tcPr>
                        <w:tcW w:w="1843"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541" w:type="dxa"/>
                      </w:tcPr>
                      <w:p>
                        <w:pPr>
                          <w:pStyle w:val="TableParagraph"/>
                          <w:spacing w:line="233" w:lineRule="exact"/>
                          <w:ind w:left="345"/>
                          <w:rPr>
                            <w:sz w:val="21"/>
                          </w:rPr>
                        </w:pPr>
                        <w:r>
                          <w:rPr>
                            <w:sz w:val="21"/>
                          </w:rPr>
                          <w:t>在本附加险合同有效期内，经您与我们协商一致，可以变更本附加险合同的有</w:t>
                        </w:r>
                      </w:p>
                    </w:tc>
                  </w:tr>
                  <w:tr>
                    <w:trPr>
                      <w:trHeight w:val="233" w:hRule="atLeast"/>
                    </w:trPr>
                    <w:tc>
                      <w:tcPr>
                        <w:tcW w:w="576" w:type="dxa"/>
                      </w:tcPr>
                      <w:p>
                        <w:pPr>
                          <w:pStyle w:val="TableParagraph"/>
                          <w:rPr>
                            <w:rFonts w:ascii="Times New Roman"/>
                            <w:sz w:val="16"/>
                          </w:rPr>
                        </w:pPr>
                      </w:p>
                    </w:tc>
                    <w:tc>
                      <w:tcPr>
                        <w:tcW w:w="1843" w:type="dxa"/>
                      </w:tcPr>
                      <w:p>
                        <w:pPr>
                          <w:pStyle w:val="TableParagraph"/>
                          <w:rPr>
                            <w:rFonts w:ascii="Times New Roman"/>
                            <w:sz w:val="16"/>
                          </w:rPr>
                        </w:pPr>
                      </w:p>
                    </w:tc>
                    <w:tc>
                      <w:tcPr>
                        <w:tcW w:w="7541" w:type="dxa"/>
                      </w:tcPr>
                      <w:p>
                        <w:pPr>
                          <w:pStyle w:val="TableParagraph"/>
                          <w:spacing w:line="214" w:lineRule="exact"/>
                          <w:ind w:left="345"/>
                          <w:rPr>
                            <w:sz w:val="21"/>
                          </w:rPr>
                        </w:pPr>
                        <w:r>
                          <w:rPr>
                            <w:sz w:val="21"/>
                          </w:rPr>
                          <w:t>关内容。变更本附加险合同的，应当由我们在保险单或者其他保险凭证上批注</w:t>
                        </w:r>
                      </w:p>
                    </w:tc>
                  </w:tr>
                  <w:tr>
                    <w:trPr>
                      <w:trHeight w:val="261" w:hRule="atLeast"/>
                    </w:trPr>
                    <w:tc>
                      <w:tcPr>
                        <w:tcW w:w="576" w:type="dxa"/>
                      </w:tcPr>
                      <w:p>
                        <w:pPr>
                          <w:pStyle w:val="TableParagraph"/>
                          <w:rPr>
                            <w:rFonts w:ascii="Times New Roman"/>
                            <w:sz w:val="18"/>
                          </w:rPr>
                        </w:pPr>
                      </w:p>
                    </w:tc>
                    <w:tc>
                      <w:tcPr>
                        <w:tcW w:w="1843" w:type="dxa"/>
                      </w:tcPr>
                      <w:p>
                        <w:pPr>
                          <w:pStyle w:val="TableParagraph"/>
                          <w:rPr>
                            <w:rFonts w:ascii="Times New Roman"/>
                            <w:sz w:val="18"/>
                          </w:rPr>
                        </w:pPr>
                      </w:p>
                    </w:tc>
                    <w:tc>
                      <w:tcPr>
                        <w:tcW w:w="7541" w:type="dxa"/>
                      </w:tcPr>
                      <w:p>
                        <w:pPr>
                          <w:pStyle w:val="TableParagraph"/>
                          <w:spacing w:line="242" w:lineRule="exact"/>
                          <w:ind w:left="345"/>
                          <w:rPr>
                            <w:sz w:val="21"/>
                          </w:rPr>
                        </w:pPr>
                        <w:r>
                          <w:rPr>
                            <w:sz w:val="21"/>
                          </w:rPr>
                          <w:t>或者附贴批单，也可以由您与我们订立书面的变更协议。 </w:t>
                        </w:r>
                      </w:p>
                    </w:tc>
                  </w:tr>
                  <w:tr>
                    <w:trPr>
                      <w:trHeight w:val="211" w:hRule="atLeast"/>
                    </w:trPr>
                    <w:tc>
                      <w:tcPr>
                        <w:tcW w:w="576" w:type="dxa"/>
                      </w:tcPr>
                      <w:p>
                        <w:pPr>
                          <w:pStyle w:val="TableParagraph"/>
                          <w:spacing w:line="203" w:lineRule="exact"/>
                          <w:ind w:left="50"/>
                          <w:rPr>
                            <w:sz w:val="21"/>
                          </w:rPr>
                        </w:pPr>
                        <w:r>
                          <w:rPr>
                            <w:w w:val="100"/>
                            <w:sz w:val="21"/>
                          </w:rPr>
                          <w:t> </w:t>
                        </w:r>
                      </w:p>
                    </w:tc>
                    <w:tc>
                      <w:tcPr>
                        <w:tcW w:w="1843" w:type="dxa"/>
                      </w:tcPr>
                      <w:p>
                        <w:pPr>
                          <w:pStyle w:val="TableParagraph"/>
                          <w:spacing w:line="203" w:lineRule="exact"/>
                          <w:ind w:left="230"/>
                          <w:rPr>
                            <w:sz w:val="21"/>
                          </w:rPr>
                        </w:pPr>
                        <w:r>
                          <w:rPr>
                            <w:w w:val="100"/>
                            <w:sz w:val="21"/>
                          </w:rPr>
                          <w:t> </w:t>
                        </w:r>
                      </w:p>
                    </w:tc>
                    <w:tc>
                      <w:tcPr>
                        <w:tcW w:w="7541" w:type="dxa"/>
                      </w:tcPr>
                      <w:p>
                        <w:pPr>
                          <w:pStyle w:val="TableParagraph"/>
                          <w:spacing w:line="203" w:lineRule="exact"/>
                          <w:ind w:left="345"/>
                          <w:rPr>
                            <w:sz w:val="21"/>
                          </w:rPr>
                        </w:pPr>
                        <w:r>
                          <w:rPr>
                            <w:w w:val="100"/>
                            <w:sz w:val="21"/>
                          </w:rPr>
                          <w:t> </w:t>
                        </w:r>
                      </w:p>
                    </w:tc>
                  </w:tr>
                  <w:tr>
                    <w:trPr>
                      <w:trHeight w:val="247" w:hRule="atLeast"/>
                    </w:trPr>
                    <w:tc>
                      <w:tcPr>
                        <w:tcW w:w="576" w:type="dxa"/>
                      </w:tcPr>
                      <w:p>
                        <w:pPr>
                          <w:pStyle w:val="TableParagraph"/>
                          <w:spacing w:line="228" w:lineRule="exact"/>
                          <w:ind w:left="50"/>
                          <w:rPr>
                            <w:rFonts w:ascii="Microsoft JhengHei"/>
                            <w:b/>
                            <w:sz w:val="21"/>
                          </w:rPr>
                        </w:pPr>
                        <w:r>
                          <w:rPr>
                            <w:rFonts w:ascii="Microsoft JhengHei"/>
                            <w:b/>
                            <w:w w:val="90"/>
                            <w:sz w:val="21"/>
                          </w:rPr>
                          <w:t>9. 4</w:t>
                        </w:r>
                      </w:p>
                    </w:tc>
                    <w:tc>
                      <w:tcPr>
                        <w:tcW w:w="1843" w:type="dxa"/>
                      </w:tcPr>
                      <w:p>
                        <w:pPr>
                          <w:pStyle w:val="TableParagraph"/>
                          <w:spacing w:line="228"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541" w:type="dxa"/>
                      </w:tcPr>
                      <w:p>
                        <w:pPr>
                          <w:pStyle w:val="TableParagraph"/>
                          <w:spacing w:line="228" w:lineRule="exact"/>
                          <w:ind w:left="345"/>
                          <w:rPr>
                            <w:sz w:val="21"/>
                          </w:rPr>
                        </w:pPr>
                        <w:r>
                          <w:rPr>
                            <w:sz w:val="21"/>
                          </w:rPr>
                          <w:t>为了保障您的合法权益，您的住所、通讯地址或电话等联系方式变更时，请及</w:t>
                        </w:r>
                      </w:p>
                    </w:tc>
                  </w:tr>
                </w:tbl>
                <w:p>
                  <w:pPr>
                    <w:pStyle w:val="BodyText"/>
                    <w:spacing w:line="240" w:lineRule="auto"/>
                    <w:ind w:left="0"/>
                  </w:pPr>
                </w:p>
              </w:txbxContent>
            </v:textbox>
            <w10:wrap type="none"/>
          </v:shape>
        </w:pict>
      </w:r>
      <w:r>
        <w:rPr/>
        <w:t>们会将多收的保险费退还至万能账户。 </w:t>
      </w:r>
    </w:p>
    <w:p>
      <w:pPr>
        <w:spacing w:after="0" w:line="274" w:lineRule="exact"/>
        <w:jc w:val="both"/>
        <w:sectPr>
          <w:type w:val="continuous"/>
          <w:pgSz w:w="11900" w:h="16840"/>
          <w:pgMar w:top="400" w:bottom="280" w:left="1080" w:right="520"/>
        </w:sectPr>
      </w:pPr>
    </w:p>
    <w:p>
      <w:pPr>
        <w:pStyle w:val="BodyText"/>
        <w:spacing w:line="237" w:lineRule="auto" w:before="10"/>
        <w:ind w:left="2937" w:right="315"/>
        <w:jc w:val="both"/>
      </w:pPr>
      <w:r>
        <w:rPr/>
        <w:pict>
          <v:shape style="position:absolute;margin-left:62.66pt;margin-top:40.151257pt;width:498.2pt;height:153.4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34"/>
                  </w:tblGrid>
                  <w:tr>
                    <w:trPr>
                      <w:trHeight w:val="223"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34" w:type="dxa"/>
                      </w:tcPr>
                      <w:p>
                        <w:pPr>
                          <w:pStyle w:val="TableParagraph"/>
                          <w:spacing w:line="203" w:lineRule="exact"/>
                          <w:ind w:left="134"/>
                          <w:rPr>
                            <w:sz w:val="21"/>
                          </w:rPr>
                        </w:pPr>
                        <w:r>
                          <w:rPr>
                            <w:w w:val="100"/>
                            <w:sz w:val="21"/>
                          </w:rPr>
                          <w:t> </w:t>
                        </w:r>
                      </w:p>
                    </w:tc>
                  </w:tr>
                  <w:tr>
                    <w:trPr>
                      <w:trHeight w:val="271" w:hRule="atLeast"/>
                    </w:trPr>
                    <w:tc>
                      <w:tcPr>
                        <w:tcW w:w="576" w:type="dxa"/>
                      </w:tcPr>
                      <w:p>
                        <w:pPr>
                          <w:pStyle w:val="TableParagraph"/>
                          <w:spacing w:line="252" w:lineRule="exact"/>
                          <w:ind w:left="50"/>
                          <w:rPr>
                            <w:rFonts w:ascii="Microsoft JhengHei"/>
                            <w:b/>
                            <w:sz w:val="21"/>
                          </w:rPr>
                        </w:pPr>
                        <w:r>
                          <w:rPr>
                            <w:rFonts w:ascii="Microsoft JhengHei"/>
                            <w:b/>
                            <w:w w:val="90"/>
                            <w:sz w:val="21"/>
                          </w:rPr>
                          <w:t>9. 5</w:t>
                        </w:r>
                      </w:p>
                    </w:tc>
                    <w:tc>
                      <w:tcPr>
                        <w:tcW w:w="2054"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34" w:type="dxa"/>
                      </w:tcPr>
                      <w:p>
                        <w:pPr>
                          <w:pStyle w:val="TableParagraph"/>
                          <w:spacing w:line="252"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4  保险责任”中约定的合同效力终止情况之外，发生下述情况的，本附</w:t>
                        </w:r>
                      </w:p>
                    </w:tc>
                  </w:tr>
                  <w:tr>
                    <w:trPr>
                      <w:trHeight w:val="260" w:hRule="atLeast"/>
                    </w:trPr>
                    <w:tc>
                      <w:tcPr>
                        <w:tcW w:w="576" w:type="dxa"/>
                      </w:tcPr>
                      <w:p>
                        <w:pPr>
                          <w:pStyle w:val="TableParagraph"/>
                          <w:rPr>
                            <w:rFonts w:ascii="Times New Roman"/>
                            <w:sz w:val="18"/>
                          </w:rPr>
                        </w:pPr>
                      </w:p>
                    </w:tc>
                    <w:tc>
                      <w:tcPr>
                        <w:tcW w:w="2054" w:type="dxa"/>
                      </w:tcPr>
                      <w:p>
                        <w:pPr>
                          <w:pStyle w:val="TableParagraph"/>
                          <w:spacing w:line="24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34" w:type="dxa"/>
                      </w:tcPr>
                      <w:p>
                        <w:pPr>
                          <w:pStyle w:val="TableParagraph"/>
                          <w:spacing w:line="240" w:lineRule="exact"/>
                          <w:ind w:left="134"/>
                          <w:rPr>
                            <w:rFonts w:ascii="Microsoft JhengHei" w:eastAsia="Microsoft JhengHei" w:hint="eastAsia"/>
                            <w:b/>
                            <w:sz w:val="21"/>
                          </w:rPr>
                        </w:pPr>
                        <w:r>
                          <w:rPr>
                            <w:rFonts w:ascii="Microsoft JhengHei" w:eastAsia="Microsoft JhengHei" w:hint="eastAsia"/>
                            <w:b/>
                            <w:sz w:val="21"/>
                          </w:rPr>
                          <w:t>加险合同效力终止：</w:t>
                        </w:r>
                      </w:p>
                    </w:tc>
                  </w:tr>
                  <w:tr>
                    <w:trPr>
                      <w:trHeight w:val="279"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60" w:lineRule="exact"/>
                          <w:ind w:left="134"/>
                          <w:rPr>
                            <w:rFonts w:ascii="Microsoft JhengHei" w:eastAsia="Microsoft JhengHei" w:hint="eastAsia"/>
                            <w:b/>
                            <w:sz w:val="21"/>
                          </w:rPr>
                        </w:pPr>
                        <w:r>
                          <w:rPr>
                            <w:rFonts w:ascii="Microsoft JhengHei" w:eastAsia="Microsoft JhengHei" w:hint="eastAsia"/>
                            <w:b/>
                            <w:w w:val="95"/>
                            <w:sz w:val="21"/>
                          </w:rPr>
                          <w:t>（1）主险合同效力终止；</w:t>
                        </w:r>
                      </w:p>
                    </w:tc>
                  </w:tr>
                  <w:tr>
                    <w:trPr>
                      <w:trHeight w:val="272"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（2）嘉禾附加万事兴两全保险（万能型）合同效力终止；</w:t>
                        </w:r>
                      </w:p>
                    </w:tc>
                  </w:tr>
                  <w:tr>
                    <w:trPr>
                      <w:trHeight w:val="276"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56" w:lineRule="exact"/>
                          <w:ind w:left="134"/>
                          <w:rPr>
                            <w:rFonts w:ascii="Microsoft JhengHei" w:eastAsia="Microsoft JhengHei" w:hint="eastAsia"/>
                            <w:b/>
                            <w:sz w:val="21"/>
                          </w:rPr>
                        </w:pPr>
                        <w:r>
                          <w:rPr>
                            <w:rFonts w:ascii="Microsoft JhengHei" w:eastAsia="Microsoft JhengHei" w:hint="eastAsia"/>
                            <w:b/>
                            <w:sz w:val="21"/>
                          </w:rPr>
                          <w:t>（3）法律规定或当事人约定终止的其他情形。</w:t>
                        </w:r>
                      </w:p>
                    </w:tc>
                  </w:tr>
                  <w:tr>
                    <w:trPr>
                      <w:trHeight w:val="233"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34" w:type="dxa"/>
                      </w:tcPr>
                      <w:p>
                        <w:pPr>
                          <w:pStyle w:val="TableParagraph"/>
                          <w:spacing w:line="214" w:lineRule="exact"/>
                          <w:ind w:left="134"/>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本附加险合同由于上述情况在保险期间届满前终止的，我们将退还本附加险合</w:t>
                        </w:r>
                      </w:p>
                    </w:tc>
                  </w:tr>
                  <w:tr>
                    <w:trPr>
                      <w:trHeight w:val="261"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34" w:type="dxa"/>
                      </w:tcPr>
                      <w:p>
                        <w:pPr>
                          <w:pStyle w:val="TableParagraph"/>
                          <w:spacing w:line="242" w:lineRule="exact"/>
                          <w:ind w:left="134"/>
                          <w:rPr>
                            <w:sz w:val="21"/>
                          </w:rPr>
                        </w:pPr>
                        <w:r>
                          <w:rPr>
                            <w:rFonts w:ascii="Microsoft JhengHei" w:eastAsia="Microsoft JhengHei" w:hint="eastAsia"/>
                            <w:b/>
                            <w:sz w:val="21"/>
                          </w:rPr>
                          <w:t>同的现金价值。</w:t>
                        </w:r>
                        <w:r>
                          <w:rPr>
                            <w:sz w:val="21"/>
                          </w:rPr>
                          <w:t> </w:t>
                        </w:r>
                      </w:p>
                    </w:tc>
                  </w:tr>
                  <w:tr>
                    <w:trPr>
                      <w:trHeight w:val="211"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34" w:type="dxa"/>
                      </w:tcPr>
                      <w:p>
                        <w:pPr>
                          <w:pStyle w:val="TableParagraph"/>
                          <w:spacing w:line="203" w:lineRule="exact"/>
                          <w:ind w:left="134"/>
                          <w:rPr>
                            <w:sz w:val="21"/>
                          </w:rPr>
                        </w:pPr>
                        <w:r>
                          <w:rPr>
                            <w:w w:val="100"/>
                            <w:sz w:val="21"/>
                          </w:rPr>
                          <w:t> </w:t>
                        </w:r>
                      </w:p>
                    </w:tc>
                  </w:tr>
                  <w:tr>
                    <w:trPr>
                      <w:trHeight w:val="271" w:hRule="atLeast"/>
                    </w:trPr>
                    <w:tc>
                      <w:tcPr>
                        <w:tcW w:w="576" w:type="dxa"/>
                      </w:tcPr>
                      <w:p>
                        <w:pPr>
                          <w:pStyle w:val="TableParagraph"/>
                          <w:spacing w:line="252" w:lineRule="exact"/>
                          <w:ind w:left="50"/>
                          <w:rPr>
                            <w:rFonts w:ascii="Microsoft JhengHei"/>
                            <w:b/>
                            <w:sz w:val="21"/>
                          </w:rPr>
                        </w:pPr>
                        <w:r>
                          <w:rPr>
                            <w:rFonts w:ascii="Microsoft JhengHei"/>
                            <w:b/>
                            <w:w w:val="90"/>
                            <w:sz w:val="21"/>
                          </w:rPr>
                          <w:t>9. 6</w:t>
                        </w:r>
                      </w:p>
                    </w:tc>
                    <w:tc>
                      <w:tcPr>
                        <w:tcW w:w="2054"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34" w:type="dxa"/>
                      </w:tcPr>
                      <w:p>
                        <w:pPr>
                          <w:pStyle w:val="TableParagraph"/>
                          <w:spacing w:line="233" w:lineRule="exact"/>
                          <w:ind w:left="134"/>
                          <w:rPr>
                            <w:sz w:val="21"/>
                          </w:rPr>
                        </w:pPr>
                        <w:r>
                          <w:rPr>
                            <w:sz w:val="21"/>
                          </w:rPr>
                          <w:t>本附加险合同争议解决方式由您在投保时与我们约定，从下列两种方式中选择</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34" w:type="dxa"/>
                      </w:tcPr>
                      <w:p>
                        <w:pPr>
                          <w:pStyle w:val="TableParagraph"/>
                          <w:spacing w:line="235" w:lineRule="exact"/>
                          <w:ind w:left="134"/>
                          <w:rPr>
                            <w:sz w:val="21"/>
                          </w:rPr>
                        </w:pPr>
                        <w:r>
                          <w:rPr>
                            <w:sz w:val="21"/>
                          </w:rPr>
                          <w:t>一种： </w:t>
                        </w:r>
                      </w:p>
                    </w:tc>
                  </w:tr>
                  <w:tr>
                    <w:trPr>
                      <w:trHeight w:val="241"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34" w:type="dxa"/>
                      </w:tcPr>
                      <w:p>
                        <w:pPr>
                          <w:pStyle w:val="TableParagraph"/>
                          <w:spacing w:line="221" w:lineRule="exact"/>
                          <w:ind w:left="134"/>
                          <w:rPr>
                            <w:sz w:val="21"/>
                          </w:rPr>
                        </w:pPr>
                        <w:r>
                          <w:rPr>
                            <w:sz w:val="21"/>
                          </w:rPr>
                          <w:t>（1）因履行本附加险合同发生的争议，由双方协商解决，协商不成的，提交</w:t>
                        </w:r>
                      </w:p>
                    </w:tc>
                  </w:tr>
                </w:tbl>
                <w:p>
                  <w:pPr>
                    <w:pStyle w:val="BodyText"/>
                    <w:spacing w:line="240" w:lineRule="auto"/>
                    <w:ind w:left="0"/>
                  </w:pPr>
                </w:p>
              </w:txbxContent>
            </v:textbox>
            <w10:wrap type="none"/>
          </v:shape>
        </w:pict>
      </w:r>
      <w:r>
        <w:rPr/>
        <w:t>时以书面形式或双方认可的其他形式通知我们。若您未以书面形式或双方认可的其他形式通知我们，我们按本附加险合同载明的最后住所或通讯地址所发送的有关通知，均视为已送达给您。 </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tabs>
          <w:tab w:pos="4178" w:val="left" w:leader="none"/>
        </w:tabs>
        <w:spacing w:line="273" w:lineRule="exact" w:before="163"/>
        <w:ind w:left="3441"/>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spacing w:line="271" w:lineRule="exact"/>
        <w:ind w:left="2937"/>
      </w:pPr>
      <w:r>
        <w:rPr/>
        <w:t>（2）因履行本附加险合同发生的争议，由双方协商解决，协商不成的，依法向</w:t>
      </w:r>
    </w:p>
    <w:p>
      <w:pPr>
        <w:pStyle w:val="BodyText"/>
        <w:spacing w:line="273" w:lineRule="exact"/>
        <w:ind w:left="3441"/>
      </w:pPr>
      <w:r>
        <w:rPr/>
        <w:pict>
          <v:shape style="position:absolute;margin-left:59.959999pt;margin-top:12.578526pt;width:504pt;height:158.550pt;mso-position-horizontal-relative:page;mso-position-vertical-relative:paragraph;z-index:14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727"/>
                    <w:gridCol w:w="7607"/>
                  </w:tblGrid>
                  <w:tr>
                    <w:trPr>
                      <w:trHeight w:val="620" w:hRule="atLeast"/>
                    </w:trPr>
                    <w:tc>
                      <w:tcPr>
                        <w:tcW w:w="746" w:type="dxa"/>
                      </w:tcPr>
                      <w:p>
                        <w:pPr>
                          <w:pStyle w:val="TableParagraph"/>
                          <w:spacing w:line="194" w:lineRule="exact"/>
                          <w:ind w:left="104"/>
                          <w:rPr>
                            <w:sz w:val="21"/>
                          </w:rPr>
                        </w:pPr>
                        <w:r>
                          <w:rPr>
                            <w:w w:val="100"/>
                            <w:sz w:val="21"/>
                          </w:rPr>
                          <w:t> </w:t>
                        </w:r>
                      </w:p>
                      <w:p>
                        <w:pPr>
                          <w:pStyle w:val="TableParagraph"/>
                          <w:spacing w:line="406" w:lineRule="exact"/>
                          <w:ind w:left="107"/>
                          <w:rPr>
                            <w:rFonts w:ascii="Times New Roman"/>
                            <w:b/>
                            <w:sz w:val="40"/>
                          </w:rPr>
                        </w:pPr>
                        <w:r>
                          <w:rPr>
                            <w:rFonts w:ascii="Times New Roman"/>
                            <w:b/>
                            <w:w w:val="100"/>
                            <w:sz w:val="40"/>
                          </w:rPr>
                          <w:t>~</w:t>
                        </w:r>
                      </w:p>
                    </w:tc>
                    <w:tc>
                      <w:tcPr>
                        <w:tcW w:w="1727" w:type="dxa"/>
                      </w:tcPr>
                      <w:p>
                        <w:pPr>
                          <w:pStyle w:val="TableParagraph"/>
                          <w:spacing w:line="182" w:lineRule="exact"/>
                          <w:ind w:left="114"/>
                          <w:rPr>
                            <w:sz w:val="21"/>
                          </w:rPr>
                        </w:pPr>
                        <w:r>
                          <w:rPr>
                            <w:w w:val="100"/>
                            <w:sz w:val="21"/>
                          </w:rPr>
                          <w:t> </w:t>
                        </w:r>
                      </w:p>
                      <w:p>
                        <w:pPr>
                          <w:pStyle w:val="TableParagraph"/>
                          <w:spacing w:line="389" w:lineRule="exact"/>
                          <w:ind w:left="114"/>
                          <w:rPr>
                            <w:rFonts w:ascii="Microsoft JhengHei" w:eastAsia="Microsoft JhengHei" w:hint="eastAsia"/>
                            <w:b/>
                            <w:sz w:val="24"/>
                          </w:rPr>
                        </w:pPr>
                        <w:r>
                          <w:rPr>
                            <w:rFonts w:ascii="Microsoft JhengHei" w:eastAsia="Microsoft JhengHei" w:hint="eastAsia"/>
                            <w:b/>
                            <w:sz w:val="24"/>
                          </w:rPr>
                          <w:t>释义</w:t>
                        </w:r>
                      </w:p>
                    </w:tc>
                    <w:tc>
                      <w:tcPr>
                        <w:tcW w:w="7607" w:type="dxa"/>
                      </w:tcPr>
                      <w:p>
                        <w:pPr>
                          <w:pStyle w:val="TableParagraph"/>
                          <w:spacing w:line="211" w:lineRule="exact"/>
                          <w:ind w:left="345"/>
                          <w:rPr>
                            <w:sz w:val="21"/>
                          </w:rPr>
                        </w:pPr>
                        <w:r>
                          <w:rPr>
                            <w:w w:val="100"/>
                            <w:sz w:val="21"/>
                          </w:rPr>
                          <w:t> </w:t>
                        </w:r>
                      </w:p>
                    </w:tc>
                  </w:tr>
                  <w:tr>
                    <w:trPr>
                      <w:trHeight w:val="204" w:hRule="atLeast"/>
                    </w:trPr>
                    <w:tc>
                      <w:tcPr>
                        <w:tcW w:w="746" w:type="dxa"/>
                      </w:tcPr>
                      <w:p>
                        <w:pPr>
                          <w:pStyle w:val="TableParagraph"/>
                          <w:spacing w:line="184" w:lineRule="exact"/>
                          <w:ind w:left="104"/>
                          <w:rPr>
                            <w:sz w:val="21"/>
                          </w:rPr>
                        </w:pPr>
                        <w:r>
                          <w:rPr>
                            <w:w w:val="100"/>
                            <w:sz w:val="21"/>
                          </w:rPr>
                          <w:t> </w:t>
                        </w:r>
                      </w:p>
                    </w:tc>
                    <w:tc>
                      <w:tcPr>
                        <w:tcW w:w="1727" w:type="dxa"/>
                      </w:tcPr>
                      <w:p>
                        <w:pPr>
                          <w:pStyle w:val="TableParagraph"/>
                          <w:spacing w:line="184" w:lineRule="exact"/>
                          <w:ind w:left="114"/>
                          <w:rPr>
                            <w:sz w:val="21"/>
                          </w:rPr>
                        </w:pPr>
                        <w:r>
                          <w:rPr>
                            <w:w w:val="100"/>
                            <w:sz w:val="21"/>
                          </w:rPr>
                          <w:t> </w:t>
                        </w:r>
                      </w:p>
                    </w:tc>
                    <w:tc>
                      <w:tcPr>
                        <w:tcW w:w="7607" w:type="dxa"/>
                      </w:tcPr>
                      <w:p>
                        <w:pPr>
                          <w:pStyle w:val="TableParagraph"/>
                          <w:spacing w:line="184" w:lineRule="exact"/>
                          <w:ind w:left="345"/>
                          <w:rPr>
                            <w:sz w:val="21"/>
                          </w:rPr>
                        </w:pPr>
                        <w:r>
                          <w:rPr>
                            <w:w w:val="100"/>
                            <w:sz w:val="21"/>
                          </w:rPr>
                          <w:t> </w:t>
                        </w:r>
                      </w:p>
                    </w:tc>
                  </w:tr>
                  <w:tr>
                    <w:trPr>
                      <w:trHeight w:val="270" w:hRule="atLeast"/>
                    </w:trPr>
                    <w:tc>
                      <w:tcPr>
                        <w:tcW w:w="746" w:type="dxa"/>
                      </w:tcPr>
                      <w:p>
                        <w:pPr>
                          <w:pStyle w:val="TableParagraph"/>
                          <w:spacing w:line="250" w:lineRule="exact"/>
                          <w:ind w:left="104"/>
                          <w:rPr>
                            <w:rFonts w:ascii="Microsoft JhengHei"/>
                            <w:b/>
                            <w:sz w:val="21"/>
                          </w:rPr>
                        </w:pPr>
                        <w:r>
                          <w:rPr>
                            <w:rFonts w:ascii="Microsoft JhengHei"/>
                            <w:b/>
                            <w:w w:val="90"/>
                            <w:sz w:val="21"/>
                          </w:rPr>
                          <w:t>10. 1</w:t>
                        </w:r>
                      </w:p>
                    </w:tc>
                    <w:tc>
                      <w:tcPr>
                        <w:tcW w:w="1727" w:type="dxa"/>
                      </w:tcPr>
                      <w:p>
                        <w:pPr>
                          <w:pStyle w:val="TableParagraph"/>
                          <w:spacing w:line="250" w:lineRule="exact"/>
                          <w:ind w:left="114"/>
                          <w:rPr>
                            <w:sz w:val="21"/>
                          </w:rPr>
                        </w:pPr>
                        <w:r>
                          <w:rPr>
                            <w:rFonts w:ascii="Microsoft JhengHei" w:eastAsia="Microsoft JhengHei" w:hint="eastAsia"/>
                            <w:b/>
                            <w:sz w:val="21"/>
                          </w:rPr>
                          <w:t>周岁</w:t>
                        </w:r>
                        <w:r>
                          <w:rPr>
                            <w:sz w:val="21"/>
                          </w:rPr>
                          <w:t>  </w:t>
                        </w:r>
                      </w:p>
                    </w:tc>
                    <w:tc>
                      <w:tcPr>
                        <w:tcW w:w="7607" w:type="dxa"/>
                      </w:tcPr>
                      <w:p>
                        <w:pPr>
                          <w:pStyle w:val="TableParagraph"/>
                          <w:spacing w:line="231" w:lineRule="exact"/>
                          <w:ind w:left="345"/>
                          <w:rPr>
                            <w:sz w:val="21"/>
                          </w:rPr>
                        </w:pPr>
                        <w:r>
                          <w:rPr>
                            <w:sz w:val="21"/>
                          </w:rPr>
                          <w:t>指按有效身份证件中记载的出生日期计算的年龄，自出生之日起为 0 周岁，每</w:t>
                        </w:r>
                      </w:p>
                    </w:tc>
                  </w:tr>
                  <w:tr>
                    <w:trPr>
                      <w:trHeight w:val="434" w:hRule="atLeast"/>
                    </w:trPr>
                    <w:tc>
                      <w:tcPr>
                        <w:tcW w:w="746" w:type="dxa"/>
                      </w:tcPr>
                      <w:p>
                        <w:pPr>
                          <w:pStyle w:val="TableParagraph"/>
                          <w:rPr>
                            <w:rFonts w:ascii="Times New Roman"/>
                            <w:sz w:val="20"/>
                          </w:rPr>
                        </w:pPr>
                      </w:p>
                    </w:tc>
                    <w:tc>
                      <w:tcPr>
                        <w:tcW w:w="1727" w:type="dxa"/>
                      </w:tcPr>
                      <w:p>
                        <w:pPr>
                          <w:pStyle w:val="TableParagraph"/>
                          <w:rPr>
                            <w:rFonts w:ascii="Times New Roman"/>
                            <w:sz w:val="20"/>
                          </w:rPr>
                        </w:pPr>
                      </w:p>
                    </w:tc>
                    <w:tc>
                      <w:tcPr>
                        <w:tcW w:w="7607" w:type="dxa"/>
                      </w:tcPr>
                      <w:p>
                        <w:pPr>
                          <w:pStyle w:val="TableParagraph"/>
                          <w:spacing w:line="191" w:lineRule="exact"/>
                          <w:ind w:left="345"/>
                          <w:rPr>
                            <w:sz w:val="21"/>
                          </w:rPr>
                        </w:pPr>
                        <w:r>
                          <w:rPr>
                            <w:sz w:val="21"/>
                          </w:rPr>
                          <w:t>经过 1 年增加 1 岁，不足 1 年的不计。 </w:t>
                        </w:r>
                      </w:p>
                      <w:p>
                        <w:pPr>
                          <w:pStyle w:val="TableParagraph"/>
                          <w:spacing w:line="223" w:lineRule="exact"/>
                          <w:ind w:left="345"/>
                          <w:rPr>
                            <w:sz w:val="21"/>
                          </w:rPr>
                        </w:pPr>
                        <w:r>
                          <w:rPr>
                            <w:w w:val="100"/>
                            <w:sz w:val="21"/>
                          </w:rPr>
                          <w:t> </w:t>
                        </w:r>
                      </w:p>
                    </w:tc>
                  </w:tr>
                  <w:tr>
                    <w:trPr>
                      <w:trHeight w:val="270" w:hRule="atLeast"/>
                    </w:trPr>
                    <w:tc>
                      <w:tcPr>
                        <w:tcW w:w="746" w:type="dxa"/>
                      </w:tcPr>
                      <w:p>
                        <w:pPr>
                          <w:pStyle w:val="TableParagraph"/>
                          <w:spacing w:line="250" w:lineRule="exact"/>
                          <w:ind w:left="104"/>
                          <w:rPr>
                            <w:sz w:val="21"/>
                          </w:rPr>
                        </w:pPr>
                        <w:r>
                          <w:rPr>
                            <w:rFonts w:ascii="Microsoft JhengHei"/>
                            <w:b/>
                            <w:w w:val="90"/>
                            <w:sz w:val="21"/>
                          </w:rPr>
                          <w:t>10. 2</w:t>
                        </w:r>
                        <w:r>
                          <w:rPr>
                            <w:rFonts w:ascii="Microsoft JhengHei"/>
                            <w:b/>
                            <w:sz w:val="21"/>
                          </w:rPr>
                          <w:t> </w:t>
                        </w:r>
                        <w:r>
                          <w:rPr>
                            <w:w w:val="100"/>
                            <w:sz w:val="21"/>
                          </w:rPr>
                          <w:t> </w:t>
                        </w:r>
                      </w:p>
                    </w:tc>
                    <w:tc>
                      <w:tcPr>
                        <w:tcW w:w="1727" w:type="dxa"/>
                      </w:tcPr>
                      <w:p>
                        <w:pPr>
                          <w:pStyle w:val="TableParagraph"/>
                          <w:spacing w:line="250"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607" w:type="dxa"/>
                      </w:tcPr>
                      <w:p>
                        <w:pPr>
                          <w:pStyle w:val="TableParagraph"/>
                          <w:spacing w:line="233" w:lineRule="exact"/>
                          <w:ind w:left="345"/>
                          <w:rPr>
                            <w:sz w:val="21"/>
                          </w:rPr>
                        </w:pPr>
                        <w:r>
                          <w:rPr>
                            <w:sz w:val="21"/>
                          </w:rPr>
                          <w:t>指由政府主管部门规定的证明其身份的证件，如：居民身份证、按规定可使用</w:t>
                        </w:r>
                      </w:p>
                    </w:tc>
                  </w:tr>
                  <w:tr>
                    <w:trPr>
                      <w:trHeight w:val="435" w:hRule="atLeast"/>
                    </w:trPr>
                    <w:tc>
                      <w:tcPr>
                        <w:tcW w:w="746" w:type="dxa"/>
                      </w:tcPr>
                      <w:p>
                        <w:pPr>
                          <w:pStyle w:val="TableParagraph"/>
                          <w:rPr>
                            <w:rFonts w:ascii="Times New Roman"/>
                            <w:sz w:val="20"/>
                          </w:rPr>
                        </w:pPr>
                      </w:p>
                    </w:tc>
                    <w:tc>
                      <w:tcPr>
                        <w:tcW w:w="1727" w:type="dxa"/>
                      </w:tcPr>
                      <w:p>
                        <w:pPr>
                          <w:pStyle w:val="TableParagraph"/>
                          <w:rPr>
                            <w:rFonts w:ascii="Times New Roman"/>
                            <w:sz w:val="20"/>
                          </w:rPr>
                        </w:pPr>
                      </w:p>
                    </w:tc>
                    <w:tc>
                      <w:tcPr>
                        <w:tcW w:w="7607" w:type="dxa"/>
                      </w:tcPr>
                      <w:p>
                        <w:pPr>
                          <w:pStyle w:val="TableParagraph"/>
                          <w:spacing w:line="191" w:lineRule="exact"/>
                          <w:ind w:left="345"/>
                          <w:rPr>
                            <w:sz w:val="21"/>
                          </w:rPr>
                        </w:pPr>
                        <w:r>
                          <w:rPr>
                            <w:sz w:val="21"/>
                          </w:rPr>
                          <w:t>的有效护照、军官证、警官证、士兵证、户口簿等证件。 </w:t>
                        </w:r>
                      </w:p>
                      <w:p>
                        <w:pPr>
                          <w:pStyle w:val="TableParagraph"/>
                          <w:spacing w:line="224" w:lineRule="exact"/>
                          <w:ind w:left="345"/>
                          <w:rPr>
                            <w:sz w:val="21"/>
                          </w:rPr>
                        </w:pPr>
                        <w:r>
                          <w:rPr>
                            <w:w w:val="100"/>
                            <w:sz w:val="21"/>
                          </w:rPr>
                          <w:t> </w:t>
                        </w:r>
                      </w:p>
                    </w:tc>
                  </w:tr>
                  <w:tr>
                    <w:trPr>
                      <w:trHeight w:val="432" w:hRule="atLeast"/>
                    </w:trPr>
                    <w:tc>
                      <w:tcPr>
                        <w:tcW w:w="746" w:type="dxa"/>
                      </w:tcPr>
                      <w:p>
                        <w:pPr>
                          <w:pStyle w:val="TableParagraph"/>
                          <w:spacing w:line="257" w:lineRule="exact"/>
                          <w:ind w:left="104"/>
                          <w:rPr>
                            <w:sz w:val="21"/>
                          </w:rPr>
                        </w:pPr>
                        <w:r>
                          <w:rPr>
                            <w:rFonts w:ascii="Microsoft JhengHei"/>
                            <w:b/>
                            <w:w w:val="90"/>
                            <w:sz w:val="21"/>
                          </w:rPr>
                          <w:t>10. 3</w:t>
                        </w:r>
                        <w:r>
                          <w:rPr>
                            <w:rFonts w:ascii="Microsoft JhengHei"/>
                            <w:b/>
                            <w:sz w:val="21"/>
                          </w:rPr>
                          <w:t> </w:t>
                        </w:r>
                        <w:r>
                          <w:rPr>
                            <w:w w:val="100"/>
                            <w:sz w:val="21"/>
                          </w:rPr>
                          <w:t> </w:t>
                        </w:r>
                      </w:p>
                    </w:tc>
                    <w:tc>
                      <w:tcPr>
                        <w:tcW w:w="1727" w:type="dxa"/>
                      </w:tcPr>
                      <w:p>
                        <w:pPr>
                          <w:pStyle w:val="TableParagraph"/>
                          <w:spacing w:line="257" w:lineRule="exact"/>
                          <w:ind w:left="114"/>
                          <w:rPr>
                            <w:sz w:val="21"/>
                          </w:rPr>
                        </w:pPr>
                        <w:r>
                          <w:rPr>
                            <w:rFonts w:ascii="Microsoft JhengHei" w:eastAsia="Microsoft JhengHei" w:hint="eastAsia"/>
                            <w:b/>
                            <w:sz w:val="21"/>
                          </w:rPr>
                          <w:t>万能账户</w:t>
                        </w:r>
                        <w:r>
                          <w:rPr>
                            <w:sz w:val="21"/>
                          </w:rPr>
                          <w:t> </w:t>
                        </w:r>
                      </w:p>
                    </w:tc>
                    <w:tc>
                      <w:tcPr>
                        <w:tcW w:w="7607" w:type="dxa"/>
                      </w:tcPr>
                      <w:p>
                        <w:pPr>
                          <w:pStyle w:val="TableParagraph"/>
                          <w:spacing w:line="189" w:lineRule="exact"/>
                          <w:ind w:left="345"/>
                          <w:rPr>
                            <w:sz w:val="21"/>
                          </w:rPr>
                        </w:pPr>
                        <w:r>
                          <w:rPr>
                            <w:sz w:val="21"/>
                          </w:rPr>
                          <w:t>指嘉禾附加万事兴两全保险（万能型）合同的账户。 </w:t>
                        </w:r>
                      </w:p>
                      <w:p>
                        <w:pPr>
                          <w:pStyle w:val="TableParagraph"/>
                          <w:spacing w:line="223" w:lineRule="exact"/>
                          <w:ind w:left="345"/>
                          <w:rPr>
                            <w:sz w:val="21"/>
                          </w:rPr>
                        </w:pPr>
                        <w:r>
                          <w:rPr>
                            <w:w w:val="100"/>
                            <w:sz w:val="21"/>
                          </w:rPr>
                          <w:t> </w:t>
                        </w:r>
                      </w:p>
                    </w:tc>
                  </w:tr>
                  <w:tr>
                    <w:trPr>
                      <w:trHeight w:val="270" w:hRule="atLeast"/>
                    </w:trPr>
                    <w:tc>
                      <w:tcPr>
                        <w:tcW w:w="746" w:type="dxa"/>
                      </w:tcPr>
                      <w:p>
                        <w:pPr>
                          <w:pStyle w:val="TableParagraph"/>
                          <w:spacing w:line="250" w:lineRule="exact"/>
                          <w:ind w:left="104"/>
                          <w:rPr>
                            <w:sz w:val="21"/>
                          </w:rPr>
                        </w:pPr>
                        <w:r>
                          <w:rPr>
                            <w:rFonts w:ascii="Microsoft JhengHei"/>
                            <w:b/>
                            <w:w w:val="90"/>
                            <w:sz w:val="21"/>
                          </w:rPr>
                          <w:t>10. 4</w:t>
                        </w:r>
                        <w:r>
                          <w:rPr>
                            <w:rFonts w:ascii="Microsoft JhengHei"/>
                            <w:b/>
                            <w:sz w:val="21"/>
                          </w:rPr>
                          <w:t> </w:t>
                        </w:r>
                        <w:r>
                          <w:rPr>
                            <w:w w:val="100"/>
                            <w:sz w:val="21"/>
                          </w:rPr>
                          <w:t> </w:t>
                        </w:r>
                      </w:p>
                    </w:tc>
                    <w:tc>
                      <w:tcPr>
                        <w:tcW w:w="1727" w:type="dxa"/>
                      </w:tcPr>
                      <w:p>
                        <w:pPr>
                          <w:pStyle w:val="TableParagraph"/>
                          <w:spacing w:line="250" w:lineRule="exact"/>
                          <w:ind w:left="114"/>
                          <w:rPr>
                            <w:sz w:val="21"/>
                          </w:rPr>
                        </w:pPr>
                        <w:r>
                          <w:rPr>
                            <w:rFonts w:ascii="Microsoft JhengHei" w:eastAsia="Microsoft JhengHei" w:hint="eastAsia"/>
                            <w:b/>
                            <w:sz w:val="21"/>
                          </w:rPr>
                          <w:t>医疗机构</w:t>
                        </w:r>
                        <w:r>
                          <w:rPr>
                            <w:sz w:val="21"/>
                          </w:rPr>
                          <w:t> </w:t>
                        </w:r>
                      </w:p>
                    </w:tc>
                    <w:tc>
                      <w:tcPr>
                        <w:tcW w:w="7607" w:type="dxa"/>
                      </w:tcPr>
                      <w:p>
                        <w:pPr>
                          <w:pStyle w:val="TableParagraph"/>
                          <w:spacing w:line="233" w:lineRule="exact"/>
                          <w:ind w:left="345"/>
                          <w:rPr>
                            <w:sz w:val="21"/>
                          </w:rPr>
                        </w:pPr>
                        <w:r>
                          <w:rPr>
                            <w:sz w:val="21"/>
                          </w:rPr>
                          <w:t>除本附加险合同另有约定外，指符合下列所有条件的机构： </w:t>
                        </w:r>
                      </w:p>
                    </w:tc>
                  </w:tr>
                  <w:tr>
                    <w:trPr>
                      <w:trHeight w:val="233" w:hRule="atLeast"/>
                    </w:trPr>
                    <w:tc>
                      <w:tcPr>
                        <w:tcW w:w="746" w:type="dxa"/>
                      </w:tcPr>
                      <w:p>
                        <w:pPr>
                          <w:pStyle w:val="TableParagraph"/>
                          <w:rPr>
                            <w:rFonts w:ascii="Times New Roman"/>
                            <w:sz w:val="16"/>
                          </w:rPr>
                        </w:pPr>
                      </w:p>
                    </w:tc>
                    <w:tc>
                      <w:tcPr>
                        <w:tcW w:w="1727" w:type="dxa"/>
                      </w:tcPr>
                      <w:p>
                        <w:pPr>
                          <w:pStyle w:val="TableParagraph"/>
                          <w:rPr>
                            <w:rFonts w:ascii="Times New Roman"/>
                            <w:sz w:val="16"/>
                          </w:rPr>
                        </w:pPr>
                      </w:p>
                    </w:tc>
                    <w:tc>
                      <w:tcPr>
                        <w:tcW w:w="7607" w:type="dxa"/>
                      </w:tcPr>
                      <w:p>
                        <w:pPr>
                          <w:pStyle w:val="TableParagraph"/>
                          <w:spacing w:line="214" w:lineRule="exact"/>
                          <w:ind w:left="345"/>
                          <w:rPr>
                            <w:sz w:val="21"/>
                          </w:rPr>
                        </w:pPr>
                        <w:r>
                          <w:rPr>
                            <w:sz w:val="21"/>
                          </w:rPr>
                          <w:t>（1）指经国家卫生行政部门评定的二级或二级以上综合医院或专科医院(前述</w:t>
                        </w:r>
                      </w:p>
                    </w:tc>
                  </w:tr>
                </w:tbl>
                <w:p>
                  <w:pPr>
                    <w:pStyle w:val="BodyText"/>
                    <w:spacing w:line="240" w:lineRule="auto"/>
                    <w:ind w:left="0"/>
                  </w:pPr>
                </w:p>
              </w:txbxContent>
            </v:textbox>
            <w10:wrap type="none"/>
          </v:shape>
        </w:pict>
      </w:r>
      <w:r>
        <w:rPr/>
        <w:t>人民法院起诉。 </w:t>
      </w:r>
    </w:p>
    <w:p>
      <w:pPr>
        <w:pStyle w:val="BodyText"/>
        <w:spacing w:line="240" w:lineRule="auto"/>
        <w:ind w:left="0"/>
        <w:rPr>
          <w:sz w:val="20"/>
        </w:rPr>
      </w:pPr>
    </w:p>
    <w:p>
      <w:pPr>
        <w:pStyle w:val="BodyText"/>
        <w:spacing w:line="240" w:lineRule="auto" w:before="11"/>
        <w:ind w:left="0"/>
        <w:rPr>
          <w:sz w:val="23"/>
        </w:rPr>
      </w:pPr>
      <w:r>
        <w:rPr/>
        <w:pict>
          <v:group style="position:absolute;margin-left:59.759998pt;margin-top:17.6068pt;width:504.15pt;height:1pt;mso-position-horizontal-relative:page;mso-position-vertical-relative:paragraph;z-index:1432;mso-wrap-distance-left:0;mso-wrap-distance-right:0" coordorigin="1195,352" coordsize="10083,20">
            <v:line style="position:absolute" from="1195,362" to="1954,362" stroked="true" strokeweight=".96pt" strokecolor="#000000">
              <v:stroke dashstyle="solid"/>
            </v:line>
            <v:rect style="position:absolute;left:1953;top:352;width:20;height:20" filled="true" fillcolor="#000000" stroked="false">
              <v:fill type="solid"/>
            </v:rect>
            <v:line style="position:absolute" from="1973,362" to="3910,362" stroked="true" strokeweight=".96pt" strokecolor="#000000">
              <v:stroke dashstyle="solid"/>
            </v:line>
            <v:rect style="position:absolute;left:3909;top:352;width:20;height:20" filled="true" fillcolor="#000000" stroked="false">
              <v:fill type="solid"/>
            </v:rect>
            <v:line style="position:absolute" from="3929,362" to="11278,362" stroked="true" strokeweight=".96pt" strokecolor="#000000">
              <v:stroke dashstyle="solid"/>
            </v:line>
            <w10:wrap type="topAndBottom"/>
          </v:group>
        </w:pic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37" w:lineRule="auto" w:before="132"/>
        <w:ind w:left="3463" w:right="298"/>
      </w:pPr>
      <w:r>
        <w:rPr>
          <w:spacing w:val="-8"/>
        </w:rPr>
        <w:t>综合医院和专科医院中的观察室、联合病床、康复病房、家庭长期护理病</w:t>
      </w:r>
      <w:r>
        <w:rPr>
          <w:spacing w:val="-2"/>
        </w:rPr>
        <w:t>床除外)；</w:t>
      </w:r>
      <w:r>
        <w:rPr/>
        <w:t> </w:t>
      </w:r>
    </w:p>
    <w:p>
      <w:pPr>
        <w:pStyle w:val="BodyText"/>
        <w:ind w:left="2937"/>
        <w:jc w:val="both"/>
      </w:pPr>
      <w:r>
        <w:rPr/>
        <w:t>（2）不包括精神病院、私人诊所，以及作为康复、疗养、护理、戒酒、戒毒或</w:t>
      </w:r>
    </w:p>
    <w:p>
      <w:pPr>
        <w:pStyle w:val="BodyText"/>
        <w:spacing w:line="252" w:lineRule="exact"/>
        <w:ind w:left="3463"/>
      </w:pPr>
      <w:r>
        <w:rPr/>
        <w:t>类似的医疗机构。 </w:t>
      </w:r>
    </w:p>
    <w:p>
      <w:pPr>
        <w:pStyle w:val="BodyText"/>
        <w:spacing w:line="161" w:lineRule="exact"/>
        <w:ind w:left="2937"/>
      </w:pPr>
      <w:r>
        <w:rPr>
          <w:w w:val="100"/>
        </w:rPr>
        <w:t> </w:t>
      </w:r>
    </w:p>
    <w:p>
      <w:pPr>
        <w:tabs>
          <w:tab w:pos="979" w:val="left" w:leader="none"/>
          <w:tab w:pos="2937" w:val="left" w:leader="none"/>
        </w:tabs>
        <w:spacing w:line="270" w:lineRule="exact" w:before="0"/>
        <w:ind w:left="223" w:right="0" w:firstLine="0"/>
        <w:jc w:val="left"/>
        <w:rPr>
          <w:sz w:val="21"/>
        </w:rPr>
      </w:pPr>
      <w:r>
        <w:rPr>
          <w:rFonts w:ascii="Microsoft JhengHei" w:eastAsia="Microsoft JhengHei" w:hint="eastAsia"/>
          <w:b/>
          <w:sz w:val="21"/>
        </w:rPr>
        <w:t>10.</w:t>
      </w:r>
      <w:r>
        <w:rPr>
          <w:rFonts w:ascii="Microsoft JhengHei" w:eastAsia="Microsoft JhengHei" w:hint="eastAsia"/>
          <w:b/>
          <w:spacing w:val="-35"/>
          <w:sz w:val="21"/>
        </w:rPr>
        <w:t> </w:t>
      </w:r>
      <w:r>
        <w:rPr>
          <w:rFonts w:ascii="Microsoft JhengHei" w:eastAsia="Microsoft JhengHei" w:hint="eastAsia"/>
          <w:b/>
          <w:sz w:val="21"/>
        </w:rPr>
        <w:t>5</w:t>
        <w:tab/>
        <w:t>重大疾病</w:t>
        <w:tab/>
      </w:r>
      <w:r>
        <w:rPr>
          <w:sz w:val="21"/>
        </w:rPr>
        <w:t>本条</w:t>
      </w:r>
      <w:r>
        <w:rPr>
          <w:spacing w:val="-3"/>
          <w:sz w:val="21"/>
        </w:rPr>
        <w:t>款</w:t>
      </w:r>
      <w:r>
        <w:rPr>
          <w:sz w:val="21"/>
        </w:rPr>
        <w:t>定</w:t>
      </w:r>
      <w:r>
        <w:rPr>
          <w:spacing w:val="-3"/>
          <w:sz w:val="21"/>
        </w:rPr>
        <w:t>义</w:t>
      </w:r>
      <w:r>
        <w:rPr>
          <w:sz w:val="21"/>
        </w:rPr>
        <w:t>的</w:t>
      </w:r>
      <w:r>
        <w:rPr>
          <w:spacing w:val="-3"/>
          <w:sz w:val="21"/>
        </w:rPr>
        <w:t>重</w:t>
      </w:r>
      <w:r>
        <w:rPr>
          <w:sz w:val="21"/>
        </w:rPr>
        <w:t>大</w:t>
      </w:r>
      <w:r>
        <w:rPr>
          <w:spacing w:val="-3"/>
          <w:sz w:val="21"/>
        </w:rPr>
        <w:t>疾</w:t>
      </w:r>
      <w:r>
        <w:rPr>
          <w:sz w:val="21"/>
        </w:rPr>
        <w:t>病</w:t>
      </w:r>
      <w:r>
        <w:rPr>
          <w:spacing w:val="-3"/>
          <w:sz w:val="21"/>
        </w:rPr>
        <w:t>包</w:t>
      </w:r>
      <w:r>
        <w:rPr>
          <w:sz w:val="21"/>
        </w:rPr>
        <w:t>括少</w:t>
      </w:r>
      <w:r>
        <w:rPr>
          <w:spacing w:val="-3"/>
          <w:sz w:val="21"/>
        </w:rPr>
        <w:t>儿</w:t>
      </w:r>
      <w:r>
        <w:rPr>
          <w:sz w:val="21"/>
        </w:rPr>
        <w:t>阶</w:t>
      </w:r>
      <w:r>
        <w:rPr>
          <w:spacing w:val="-3"/>
          <w:sz w:val="21"/>
        </w:rPr>
        <w:t>段</w:t>
      </w:r>
      <w:r>
        <w:rPr>
          <w:sz w:val="21"/>
        </w:rPr>
        <w:t>重</w:t>
      </w:r>
      <w:r>
        <w:rPr>
          <w:spacing w:val="-3"/>
          <w:sz w:val="21"/>
        </w:rPr>
        <w:t>大</w:t>
      </w:r>
      <w:r>
        <w:rPr>
          <w:sz w:val="21"/>
        </w:rPr>
        <w:t>疾</w:t>
      </w:r>
      <w:r>
        <w:rPr>
          <w:spacing w:val="-3"/>
          <w:sz w:val="21"/>
        </w:rPr>
        <w:t>病</w:t>
      </w:r>
      <w:r>
        <w:rPr>
          <w:sz w:val="21"/>
        </w:rPr>
        <w:t>和</w:t>
      </w:r>
      <w:r>
        <w:rPr>
          <w:spacing w:val="-3"/>
          <w:sz w:val="21"/>
        </w:rPr>
        <w:t>成</w:t>
      </w:r>
      <w:r>
        <w:rPr>
          <w:sz w:val="21"/>
        </w:rPr>
        <w:t>人阶</w:t>
      </w:r>
      <w:r>
        <w:rPr>
          <w:spacing w:val="-3"/>
          <w:sz w:val="21"/>
        </w:rPr>
        <w:t>段</w:t>
      </w:r>
      <w:r>
        <w:rPr>
          <w:sz w:val="21"/>
        </w:rPr>
        <w:t>重</w:t>
      </w:r>
      <w:r>
        <w:rPr>
          <w:spacing w:val="-3"/>
          <w:sz w:val="21"/>
        </w:rPr>
        <w:t>大</w:t>
      </w:r>
      <w:r>
        <w:rPr>
          <w:sz w:val="21"/>
        </w:rPr>
        <w:t>疾</w:t>
      </w:r>
      <w:r>
        <w:rPr>
          <w:spacing w:val="-3"/>
          <w:sz w:val="21"/>
        </w:rPr>
        <w:t>病。</w:t>
      </w:r>
    </w:p>
    <w:p>
      <w:pPr>
        <w:pStyle w:val="BodyText"/>
        <w:spacing w:line="306" w:lineRule="exact"/>
        <w:ind w:left="2937"/>
      </w:pPr>
      <w:r>
        <w:rPr/>
        <w:t>被保险人发生符合以下疾病定义所述条件的疾病，应当由</w:t>
      </w:r>
      <w:r>
        <w:rPr>
          <w:rFonts w:ascii="Microsoft JhengHei" w:eastAsia="Microsoft JhengHei" w:hint="eastAsia"/>
          <w:b/>
        </w:rPr>
        <w:t>专科医生</w:t>
      </w:r>
      <w:r>
        <w:rPr/>
        <w:t>（见 10.13）</w:t>
      </w:r>
    </w:p>
    <w:p>
      <w:pPr>
        <w:pStyle w:val="BodyText"/>
        <w:spacing w:line="261" w:lineRule="exact"/>
        <w:ind w:left="2937"/>
      </w:pPr>
      <w:r>
        <w:rPr/>
        <w:pict>
          <v:shape style="position:absolute;margin-left:62.66pt;margin-top:11.981257pt;width:506.25pt;height:199.8pt;mso-position-horizontal-relative:page;mso-position-vertical-relative:paragraph;z-index:15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2147"/>
                    <w:gridCol w:w="7497"/>
                  </w:tblGrid>
                  <w:tr>
                    <w:trPr>
                      <w:trHeight w:val="223" w:hRule="atLeast"/>
                    </w:trPr>
                    <w:tc>
                      <w:tcPr>
                        <w:tcW w:w="481" w:type="dxa"/>
                      </w:tcPr>
                      <w:p>
                        <w:pPr>
                          <w:pStyle w:val="TableParagraph"/>
                          <w:spacing w:line="203" w:lineRule="exact"/>
                          <w:ind w:left="50"/>
                          <w:rPr>
                            <w:sz w:val="21"/>
                          </w:rPr>
                        </w:pPr>
                        <w:r>
                          <w:rPr>
                            <w:w w:val="100"/>
                            <w:sz w:val="21"/>
                          </w:rPr>
                          <w:t> </w:t>
                        </w:r>
                      </w:p>
                    </w:tc>
                    <w:tc>
                      <w:tcPr>
                        <w:tcW w:w="2147" w:type="dxa"/>
                      </w:tcPr>
                      <w:p>
                        <w:pPr>
                          <w:pStyle w:val="TableParagraph"/>
                          <w:spacing w:line="203" w:lineRule="exact"/>
                          <w:ind w:left="325"/>
                          <w:rPr>
                            <w:sz w:val="21"/>
                          </w:rPr>
                        </w:pPr>
                        <w:r>
                          <w:rPr>
                            <w:w w:val="100"/>
                            <w:sz w:val="21"/>
                          </w:rPr>
                          <w:t> </w:t>
                        </w:r>
                      </w:p>
                    </w:tc>
                    <w:tc>
                      <w:tcPr>
                        <w:tcW w:w="7497" w:type="dxa"/>
                      </w:tcPr>
                      <w:p>
                        <w:pPr>
                          <w:pStyle w:val="TableParagraph"/>
                          <w:spacing w:line="203" w:lineRule="exact"/>
                          <w:ind w:left="136"/>
                          <w:rPr>
                            <w:sz w:val="21"/>
                          </w:rPr>
                        </w:pPr>
                        <w:r>
                          <w:rPr>
                            <w:w w:val="100"/>
                            <w:sz w:val="21"/>
                          </w:rPr>
                          <w:t> </w:t>
                        </w:r>
                      </w:p>
                    </w:tc>
                  </w:tr>
                  <w:tr>
                    <w:trPr>
                      <w:trHeight w:val="261" w:hRule="atLeast"/>
                    </w:trPr>
                    <w:tc>
                      <w:tcPr>
                        <w:tcW w:w="481" w:type="dxa"/>
                      </w:tcPr>
                      <w:p>
                        <w:pPr>
                          <w:pStyle w:val="TableParagraph"/>
                          <w:spacing w:line="230" w:lineRule="exact"/>
                          <w:ind w:left="50"/>
                          <w:rPr>
                            <w:sz w:val="21"/>
                          </w:rPr>
                        </w:pPr>
                        <w:r>
                          <w:rPr>
                            <w:w w:val="100"/>
                            <w:sz w:val="21"/>
                          </w:rPr>
                          <w:t> </w:t>
                        </w:r>
                      </w:p>
                    </w:tc>
                    <w:tc>
                      <w:tcPr>
                        <w:tcW w:w="2147" w:type="dxa"/>
                      </w:tcPr>
                      <w:p>
                        <w:pPr>
                          <w:pStyle w:val="TableParagraph"/>
                          <w:spacing w:line="235" w:lineRule="exact"/>
                          <w:ind w:left="325"/>
                          <w:rPr>
                            <w:rFonts w:ascii="Microsoft JhengHei" w:eastAsia="Microsoft JhengHei" w:hint="eastAsia"/>
                            <w:b/>
                            <w:sz w:val="21"/>
                          </w:rPr>
                        </w:pPr>
                        <w:r>
                          <w:rPr>
                            <w:rFonts w:ascii="Microsoft JhengHei" w:eastAsia="Microsoft JhengHei" w:hint="eastAsia"/>
                            <w:b/>
                            <w:sz w:val="21"/>
                          </w:rPr>
                          <w:t>少儿阶段重大疾病</w:t>
                        </w:r>
                      </w:p>
                    </w:tc>
                    <w:tc>
                      <w:tcPr>
                        <w:tcW w:w="7497" w:type="dxa"/>
                      </w:tcPr>
                      <w:p>
                        <w:pPr>
                          <w:pStyle w:val="TableParagraph"/>
                          <w:spacing w:line="230" w:lineRule="exact"/>
                          <w:ind w:left="136"/>
                          <w:rPr>
                            <w:sz w:val="21"/>
                          </w:rPr>
                        </w:pPr>
                        <w:r>
                          <w:rPr>
                            <w:spacing w:val="-22"/>
                            <w:sz w:val="21"/>
                          </w:rPr>
                          <w:t>“1</w:t>
                        </w:r>
                        <w:r>
                          <w:rPr>
                            <w:spacing w:val="-35"/>
                            <w:sz w:val="21"/>
                          </w:rPr>
                          <w:t>”至“</w:t>
                        </w:r>
                        <w:r>
                          <w:rPr>
                            <w:spacing w:val="-17"/>
                            <w:sz w:val="21"/>
                          </w:rPr>
                          <w:t>19</w:t>
                        </w:r>
                        <w:r>
                          <w:rPr>
                            <w:spacing w:val="-8"/>
                            <w:sz w:val="21"/>
                          </w:rPr>
                          <w:t>”项所列重大疾病名称及疾病定义由中国保险行业协会统一制定</w:t>
                        </w:r>
                        <w:r>
                          <w:rPr>
                            <w:spacing w:val="-3"/>
                            <w:sz w:val="21"/>
                          </w:rPr>
                          <w:t>（见</w:t>
                        </w:r>
                      </w:p>
                    </w:tc>
                  </w:tr>
                  <w:tr>
                    <w:trPr>
                      <w:trHeight w:val="271" w:hRule="atLeast"/>
                    </w:trPr>
                    <w:tc>
                      <w:tcPr>
                        <w:tcW w:w="2628" w:type="dxa"/>
                        <w:gridSpan w:val="2"/>
                        <w:vMerge w:val="restart"/>
                      </w:tcPr>
                      <w:p>
                        <w:pPr>
                          <w:pStyle w:val="TableParagraph"/>
                          <w:rPr>
                            <w:rFonts w:ascii="Times New Roman"/>
                            <w:sz w:val="20"/>
                          </w:rPr>
                        </w:pPr>
                      </w:p>
                    </w:tc>
                    <w:tc>
                      <w:tcPr>
                        <w:tcW w:w="7497" w:type="dxa"/>
                      </w:tcPr>
                      <w:p>
                        <w:pPr>
                          <w:pStyle w:val="TableParagraph"/>
                          <w:spacing w:line="242" w:lineRule="exact"/>
                          <w:ind w:left="136"/>
                          <w:rPr>
                            <w:sz w:val="21"/>
                          </w:rPr>
                        </w:pPr>
                        <w:r>
                          <w:rPr>
                            <w:spacing w:val="-10"/>
                            <w:w w:val="100"/>
                            <w:sz w:val="21"/>
                          </w:rPr>
                          <w:t>《重大疾病保险的疾病定义使用规范》</w:t>
                        </w:r>
                        <w:r>
                          <w:rPr>
                            <w:spacing w:val="-108"/>
                            <w:w w:val="100"/>
                            <w:sz w:val="21"/>
                          </w:rPr>
                          <w:t>）</w:t>
                        </w:r>
                        <w:r>
                          <w:rPr>
                            <w:spacing w:val="-10"/>
                            <w:w w:val="100"/>
                            <w:sz w:val="21"/>
                          </w:rPr>
                          <w:t>。为扩大本附加险合同的保障范围</w:t>
                        </w:r>
                        <w:r>
                          <w:rPr>
                            <w:spacing w:val="-92"/>
                            <w:w w:val="100"/>
                            <w:sz w:val="21"/>
                          </w:rPr>
                          <w:t>，“</w:t>
                        </w:r>
                        <w:r>
                          <w:rPr>
                            <w:w w:val="100"/>
                            <w:sz w:val="21"/>
                          </w:rPr>
                          <w:t>20”</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至“28”项重大疾病名称及疾病定义由我们自行制定使用。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1、恶性肿瘤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指恶性细胞不受控制的进行性增长和扩散，浸润和破坏周围正常组织，可以经</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血管、淋巴管和体腔扩散转移到身体其它部位的疾病。经病理学检查结果明确</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诊断，临床诊断属于世界卫生组织《疾病和有关健康问题的国际统计分类》</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（ICD-10）的恶性肿瘤范畴。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下列疾病不在保障范围内：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（1）原位癌；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（2）相当于Binet分期方案A期程度的慢性淋巴细胞白血病；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（3）相当于Ann Arbor分期方案I期程度的何杰金氏病；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r>
                    <w:trPr>
                      <w:trHeight w:val="242" w:hRule="atLeast"/>
                    </w:trPr>
                    <w:tc>
                      <w:tcPr>
                        <w:tcW w:w="2628" w:type="dxa"/>
                        <w:gridSpan w:val="2"/>
                        <w:vMerge/>
                        <w:tcBorders>
                          <w:top w:val="nil"/>
                        </w:tcBorders>
                      </w:tcPr>
                      <w:p>
                        <w:pPr>
                          <w:rPr>
                            <w:sz w:val="2"/>
                            <w:szCs w:val="2"/>
                          </w:rPr>
                        </w:pPr>
                      </w:p>
                    </w:tc>
                    <w:tc>
                      <w:tcPr>
                        <w:tcW w:w="7497" w:type="dxa"/>
                      </w:tcPr>
                      <w:p>
                        <w:pPr>
                          <w:pStyle w:val="TableParagraph"/>
                          <w:spacing w:line="222" w:lineRule="exact"/>
                          <w:ind w:left="136"/>
                          <w:rPr>
                            <w:sz w:val="21"/>
                          </w:rPr>
                        </w:pPr>
                        <w:r>
                          <w:rPr>
                            <w:sz w:val="21"/>
                          </w:rPr>
                          <w:t>（5）TNM分期为T1N0M0期或更轻分期的前列腺癌；  </w:t>
                        </w:r>
                      </w:p>
                    </w:tc>
                  </w:tr>
                </w:tbl>
                <w:p>
                  <w:pPr>
                    <w:pStyle w:val="BodyText"/>
                    <w:spacing w:line="240" w:lineRule="auto"/>
                    <w:ind w:left="0"/>
                  </w:pPr>
                </w:p>
              </w:txbxContent>
            </v:textbox>
            <w10:wrap type="none"/>
          </v:shape>
        </w:pict>
      </w:r>
      <w:r>
        <w:rPr/>
        <w:t>明确诊断。</w:t>
      </w:r>
    </w:p>
    <w:p>
      <w:pPr>
        <w:spacing w:after="0" w:line="261" w:lineRule="exact"/>
        <w:sectPr>
          <w:pgSz w:w="11900" w:h="16840"/>
          <w:pgMar w:header="0" w:footer="457" w:top="1280" w:bottom="640" w:left="1080" w:right="420"/>
        </w:sectPr>
      </w:pPr>
    </w:p>
    <w:p>
      <w:pPr>
        <w:pStyle w:val="BodyText"/>
        <w:spacing w:line="273" w:lineRule="exact" w:before="7"/>
      </w:pPr>
      <w:r>
        <w:rPr/>
        <w:t>（6）感染艾滋病病毒或患艾滋病期间所患恶性肿瘤。  </w:t>
      </w:r>
    </w:p>
    <w:p>
      <w:pPr>
        <w:pStyle w:val="BodyText"/>
      </w:pPr>
      <w:r>
        <w:rPr/>
        <w:t>2、重大器官移植术或造血干细胞移植术  </w:t>
      </w:r>
    </w:p>
    <w:p>
      <w:pPr>
        <w:pStyle w:val="BodyText"/>
        <w:spacing w:line="237" w:lineRule="auto" w:before="2"/>
        <w:ind w:right="275"/>
      </w:pPr>
      <w:r>
        <w:rPr/>
        <w:t>重大器官移植术，指因相应器官功能衰竭，已经实施了肾脏、肝脏、心脏或肺脏的异体移植手术。  </w:t>
      </w:r>
    </w:p>
    <w:p>
      <w:pPr>
        <w:pStyle w:val="BodyText"/>
        <w:spacing w:line="237" w:lineRule="auto" w:before="1"/>
        <w:ind w:right="275"/>
        <w:jc w:val="both"/>
      </w:pPr>
      <w:r>
        <w:rPr/>
        <w:t>造血干细胞移植术，指因造血功能损害或造血系统恶性肿瘤，已经实施了造血干细胞（包括骨髓造血干细胞、外周血造血干细胞和脐血造血干细胞）的异体移植手术。  </w:t>
      </w:r>
    </w:p>
    <w:p>
      <w:pPr>
        <w:pStyle w:val="BodyText"/>
        <w:spacing w:line="271" w:lineRule="exact"/>
      </w:pPr>
      <w:r>
        <w:rPr/>
        <w:t>3、终末期肾病（或称慢性肾功能衰竭尿毒症期）  </w:t>
      </w:r>
    </w:p>
    <w:p>
      <w:pPr>
        <w:pStyle w:val="BodyText"/>
        <w:spacing w:line="237" w:lineRule="auto" w:before="2"/>
        <w:ind w:right="219"/>
      </w:pPr>
      <w:r>
        <w:rPr/>
        <w:t>指双肾功能慢性不可逆性衰竭，达到尿毒症期，经诊断后已经进行了至少90天的规律性透析治疗或实施了肾脏移植手术。  </w:t>
      </w:r>
    </w:p>
    <w:p>
      <w:pPr>
        <w:pStyle w:val="BodyText"/>
      </w:pPr>
      <w:r>
        <w:rPr/>
        <w:t>4、多个肢体缺失  </w:t>
      </w:r>
    </w:p>
    <w:p>
      <w:pPr>
        <w:pStyle w:val="BodyText"/>
        <w:spacing w:line="240" w:lineRule="auto"/>
        <w:ind w:right="219"/>
      </w:pPr>
      <w:r>
        <w:rPr/>
        <w:t>指因疾病或意外伤害导致两个或两个以上肢体自腕关节或踝关节近端（靠近躯干端）以上完全性断离。  </w:t>
      </w:r>
    </w:p>
    <w:p>
      <w:pPr>
        <w:pStyle w:val="BodyText"/>
        <w:spacing w:line="271" w:lineRule="exact" w:before="1"/>
        <w:jc w:val="both"/>
      </w:pPr>
      <w:r>
        <w:rPr/>
        <w:t>5、急性或亚急性重症肝炎  </w:t>
      </w:r>
    </w:p>
    <w:p>
      <w:pPr>
        <w:pStyle w:val="BodyText"/>
        <w:jc w:val="both"/>
      </w:pPr>
      <w:r>
        <w:rPr/>
        <w:t>指因肝炎病毒感染引起肝脏组织弥漫性坏死，导致急性肝功能衰竭，且经血清</w:t>
      </w:r>
    </w:p>
    <w:p>
      <w:pPr>
        <w:pStyle w:val="BodyText"/>
        <w:jc w:val="both"/>
      </w:pPr>
      <w:r>
        <w:rPr/>
        <w:t>学或病毒学检查证实，并须满足下列全部条件：  </w:t>
      </w:r>
    </w:p>
    <w:p>
      <w:pPr>
        <w:pStyle w:val="BodyText"/>
        <w:jc w:val="both"/>
      </w:pPr>
      <w:r>
        <w:rPr/>
        <w:t>（1）重度黄疸或黄疸迅速加重；  </w:t>
      </w:r>
    </w:p>
    <w:p>
      <w:pPr>
        <w:pStyle w:val="BodyText"/>
        <w:jc w:val="both"/>
      </w:pPr>
      <w:r>
        <w:rPr/>
        <w:t>（2）肝性脑病；  </w:t>
      </w:r>
    </w:p>
    <w:p>
      <w:pPr>
        <w:pStyle w:val="BodyText"/>
        <w:jc w:val="both"/>
      </w:pPr>
      <w:r>
        <w:rPr/>
        <w:t>（3）B超或其它影像学检查显示肝脏体积急速萎缩；  </w:t>
      </w:r>
    </w:p>
    <w:p>
      <w:pPr>
        <w:pStyle w:val="BodyText"/>
        <w:jc w:val="both"/>
      </w:pPr>
      <w:r>
        <w:rPr/>
        <w:t>（4）肝功能指标进行性恶化。  </w:t>
      </w:r>
    </w:p>
    <w:p>
      <w:pPr>
        <w:pStyle w:val="BodyText"/>
        <w:jc w:val="both"/>
      </w:pPr>
      <w:r>
        <w:rPr/>
        <w:t>6、良性脑肿瘤  </w:t>
      </w:r>
    </w:p>
    <w:p>
      <w:pPr>
        <w:pStyle w:val="BodyText"/>
        <w:spacing w:line="237" w:lineRule="auto" w:before="1"/>
        <w:ind w:right="219"/>
        <w:jc w:val="both"/>
      </w:pPr>
      <w:r>
        <w:rPr/>
        <w:t>指脑的良性肿瘤，已经引起颅内压增高，临床表现为视神经乳头水肿、精神症</w:t>
      </w:r>
      <w:r>
        <w:rPr>
          <w:spacing w:val="-7"/>
          <w:w w:val="100"/>
        </w:rPr>
        <w:t>状、癫痫及运动感觉障碍等，并危及生命。须由头颅断层扫描</w:t>
      </w:r>
      <w:r>
        <w:rPr>
          <w:w w:val="100"/>
        </w:rPr>
        <w:t>（CT</w:t>
      </w:r>
      <w:r>
        <w:rPr>
          <w:spacing w:val="-108"/>
          <w:w w:val="100"/>
        </w:rPr>
        <w:t>）</w:t>
      </w:r>
      <w:r>
        <w:rPr>
          <w:spacing w:val="-4"/>
          <w:w w:val="100"/>
        </w:rPr>
        <w:t>、核磁共振</w:t>
      </w:r>
      <w:r>
        <w:rPr>
          <w:spacing w:val="-4"/>
        </w:rPr>
        <w:t>检查（MRI）或正电子发射断层扫描（PET）等影像学检查证实，并须满足下列</w:t>
      </w:r>
      <w:r>
        <w:rPr>
          <w:spacing w:val="-3"/>
        </w:rPr>
        <w:t>至少一项条件：  </w:t>
      </w:r>
    </w:p>
    <w:p>
      <w:pPr>
        <w:pStyle w:val="BodyText"/>
        <w:jc w:val="both"/>
      </w:pPr>
      <w:r>
        <w:rPr/>
        <w:t>（1）实际实施了开颅进行的脑肿瘤完全切除或部分切除的手术；  </w:t>
      </w:r>
    </w:p>
    <w:p>
      <w:pPr>
        <w:pStyle w:val="BodyText"/>
        <w:jc w:val="both"/>
      </w:pPr>
      <w:r>
        <w:rPr/>
        <w:t>（2）实际实施了对脑肿瘤进行的放射治疗。  </w:t>
      </w:r>
    </w:p>
    <w:p>
      <w:pPr>
        <w:pStyle w:val="BodyText"/>
        <w:jc w:val="both"/>
      </w:pPr>
      <w:r>
        <w:rPr/>
        <w:t>脑垂体瘤、脑囊肿、脑血管性疾病不在保障范围内。  </w:t>
      </w:r>
    </w:p>
    <w:p>
      <w:pPr>
        <w:pStyle w:val="BodyText"/>
        <w:jc w:val="both"/>
      </w:pPr>
      <w:r>
        <w:rPr/>
        <w:t>7、慢性肝功能衰竭失代偿期  </w:t>
      </w:r>
    </w:p>
    <w:p>
      <w:pPr>
        <w:pStyle w:val="BodyText"/>
        <w:jc w:val="both"/>
      </w:pPr>
      <w:r>
        <w:rPr/>
        <w:t>指因慢性肝脏疾病导致肝功能衰竭。须满足下列全部条件：  </w:t>
      </w:r>
    </w:p>
    <w:p>
      <w:pPr>
        <w:pStyle w:val="BodyText"/>
        <w:jc w:val="both"/>
      </w:pPr>
      <w:r>
        <w:rPr/>
        <w:t>（1）持续性黄疸；  </w:t>
      </w:r>
    </w:p>
    <w:p>
      <w:pPr>
        <w:pStyle w:val="BodyText"/>
        <w:jc w:val="both"/>
      </w:pPr>
      <w:r>
        <w:rPr/>
        <w:t>（2）腹水；  </w:t>
      </w:r>
    </w:p>
    <w:p>
      <w:pPr>
        <w:pStyle w:val="BodyText"/>
        <w:jc w:val="both"/>
      </w:pPr>
      <w:r>
        <w:rPr/>
        <w:t>（3）肝性脑病；  </w:t>
      </w:r>
    </w:p>
    <w:p>
      <w:pPr>
        <w:pStyle w:val="BodyText"/>
        <w:jc w:val="both"/>
      </w:pPr>
      <w:r>
        <w:rPr/>
        <w:t>（4）充血性脾肿大伴脾功能亢进或食管胃底静脉曲张。  </w:t>
      </w:r>
    </w:p>
    <w:p>
      <w:pPr>
        <w:pStyle w:val="BodyText"/>
        <w:jc w:val="both"/>
      </w:pPr>
      <w:r>
        <w:rPr/>
        <w:t>因酗酒或药物滥用导致的肝功能衰竭不在保障范围内。  </w:t>
      </w:r>
    </w:p>
    <w:p>
      <w:pPr>
        <w:pStyle w:val="BodyText"/>
        <w:jc w:val="both"/>
      </w:pPr>
      <w:r>
        <w:rPr/>
        <w:t>8、脑炎后遗症或脑膜炎后遗症  </w:t>
      </w:r>
    </w:p>
    <w:p>
      <w:pPr>
        <w:pStyle w:val="BodyText"/>
        <w:jc w:val="both"/>
      </w:pPr>
      <w:r>
        <w:rPr/>
        <w:t>指因患脑炎或脑膜炎导致的神经系统永久性的功能障碍。神经系统永久性的功</w:t>
      </w:r>
    </w:p>
    <w:p>
      <w:pPr>
        <w:pStyle w:val="BodyText"/>
        <w:spacing w:line="239" w:lineRule="exact"/>
        <w:jc w:val="both"/>
      </w:pPr>
      <w:r>
        <w:rPr/>
        <w:t>能障碍，指疾病确诊180天后，仍遗留下列一种或一种以上障碍：  </w:t>
      </w:r>
    </w:p>
    <w:p>
      <w:pPr>
        <w:spacing w:line="284" w:lineRule="exact" w:before="0"/>
        <w:ind w:left="2337"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.14</w:t>
      </w:r>
      <w:r>
        <w:rPr>
          <w:spacing w:val="-108"/>
          <w:w w:val="100"/>
          <w:sz w:val="21"/>
        </w:rPr>
        <w:t>）</w:t>
      </w:r>
      <w:r>
        <w:rPr>
          <w:w w:val="100"/>
          <w:sz w:val="21"/>
        </w:rPr>
        <w:t>；</w:t>
      </w:r>
      <w:r>
        <w:rPr>
          <w:spacing w:val="-3"/>
          <w:w w:val="100"/>
          <w:sz w:val="21"/>
        </w:rPr>
        <w:t>  </w:t>
      </w:r>
    </w:p>
    <w:p>
      <w:pPr>
        <w:spacing w:line="272" w:lineRule="exact" w:before="0"/>
        <w:ind w:left="2337"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.15</w:t>
      </w:r>
      <w:r>
        <w:rPr>
          <w:spacing w:val="-108"/>
          <w:w w:val="100"/>
          <w:sz w:val="21"/>
        </w:rPr>
        <w:t>）</w:t>
      </w:r>
      <w:r>
        <w:rPr>
          <w:w w:val="100"/>
          <w:sz w:val="21"/>
        </w:rPr>
        <w:t>；</w:t>
      </w:r>
      <w:r>
        <w:rPr>
          <w:spacing w:val="-3"/>
          <w:w w:val="100"/>
          <w:sz w:val="21"/>
        </w:rPr>
        <w:t>  </w:t>
      </w:r>
    </w:p>
    <w:p>
      <w:pPr>
        <w:spacing w:line="306" w:lineRule="exact" w:before="0"/>
        <w:ind w:left="2337"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（见10.16）</w:t>
      </w:r>
    </w:p>
    <w:p>
      <w:pPr>
        <w:pStyle w:val="BodyText"/>
        <w:spacing w:line="260" w:lineRule="exact"/>
        <w:jc w:val="both"/>
      </w:pPr>
      <w:r>
        <w:rPr/>
        <w:t>中的三项或三项以上。  </w:t>
      </w:r>
    </w:p>
    <w:p>
      <w:pPr>
        <w:pStyle w:val="BodyText"/>
        <w:spacing w:line="271" w:lineRule="exact"/>
        <w:jc w:val="both"/>
      </w:pPr>
      <w:r>
        <w:rPr/>
        <w:t>9、深度昏迷  </w:t>
      </w:r>
    </w:p>
    <w:p>
      <w:pPr>
        <w:pStyle w:val="BodyText"/>
        <w:spacing w:line="237" w:lineRule="auto"/>
        <w:ind w:right="279"/>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pPr>
      <w:r>
        <w:rPr/>
        <w:t>因酗酒或药物滥用导致的深度昏迷不在保障范围内。  </w:t>
      </w:r>
    </w:p>
    <w:p>
      <w:pPr>
        <w:pStyle w:val="BodyText"/>
        <w:spacing w:line="239" w:lineRule="exact"/>
      </w:pPr>
      <w:r>
        <w:rPr/>
        <w:t>10、双耳失聪  </w:t>
      </w:r>
    </w:p>
    <w:p>
      <w:pPr>
        <w:pStyle w:val="BodyText"/>
        <w:spacing w:line="318" w:lineRule="exact"/>
      </w:pPr>
      <w:r>
        <w:rPr/>
        <w:t>指因疾病或意外伤害导致双耳听力</w:t>
      </w:r>
      <w:r>
        <w:rPr>
          <w:rFonts w:ascii="Microsoft JhengHei" w:eastAsia="Microsoft JhengHei" w:hint="eastAsia"/>
          <w:b/>
        </w:rPr>
        <w:t>永久不可逆</w:t>
      </w:r>
      <w:r>
        <w:rPr/>
        <w:t>（见10.17）性丧失，在500赫兹、</w:t>
      </w:r>
    </w:p>
    <w:p>
      <w:pPr>
        <w:pStyle w:val="BodyText"/>
        <w:spacing w:line="274" w:lineRule="exact" w:before="12"/>
        <w:ind w:right="275"/>
      </w:pPr>
      <w:r>
        <w:rPr/>
        <w:t>1000赫兹和2000赫兹语音频率下，平均听阈大于90分贝，且经纯音听力测试、声导抗检测或听觉诱发电位检测等证实。  </w:t>
      </w:r>
    </w:p>
    <w:p>
      <w:pPr>
        <w:spacing w:after="0" w:line="274" w:lineRule="exact"/>
        <w:sectPr>
          <w:pgSz w:w="11900" w:h="16840"/>
          <w:pgMar w:header="0" w:footer="457" w:top="1280" w:bottom="640" w:left="1680" w:right="460"/>
        </w:sectPr>
      </w:pPr>
    </w:p>
    <w:p>
      <w:pPr>
        <w:pStyle w:val="BodyText"/>
        <w:spacing w:line="273" w:lineRule="exact" w:before="7"/>
      </w:pPr>
      <w:r>
        <w:rPr/>
        <w:t>保障范围不包括3周岁以下儿童。  </w:t>
      </w:r>
    </w:p>
    <w:p>
      <w:pPr>
        <w:pStyle w:val="BodyText"/>
      </w:pPr>
      <w:r>
        <w:rPr/>
        <w:t>11、双目失明  </w:t>
      </w:r>
    </w:p>
    <w:p>
      <w:pPr>
        <w:pStyle w:val="BodyText"/>
        <w:spacing w:line="237" w:lineRule="auto" w:before="2"/>
        <w:ind w:right="219"/>
      </w:pPr>
      <w:r>
        <w:rPr/>
        <w:t>指因疾病或意外伤害导致双眼视力永久不可逆性丧失，双眼中较好眼须满足下列至少一项条件：  </w:t>
      </w:r>
    </w:p>
    <w:p>
      <w:pPr>
        <w:pStyle w:val="BodyText"/>
      </w:pPr>
      <w:r>
        <w:rPr/>
        <w:t>（1）眼球缺失或摘除；  </w:t>
      </w:r>
    </w:p>
    <w:p>
      <w:pPr>
        <w:pStyle w:val="BodyText"/>
        <w:spacing w:line="240" w:lineRule="auto"/>
        <w:ind w:right="219"/>
      </w:pPr>
      <w:r>
        <w:rPr>
          <w:spacing w:val="-6"/>
        </w:rPr>
        <w:t>（2）</w:t>
      </w:r>
      <w:r>
        <w:rPr>
          <w:spacing w:val="-3"/>
        </w:rPr>
        <w:t>矫正视力低于</w:t>
      </w:r>
      <w:r>
        <w:rPr>
          <w:spacing w:val="-4"/>
        </w:rPr>
        <w:t>0.02（</w:t>
      </w:r>
      <w:r>
        <w:rPr>
          <w:spacing w:val="-5"/>
        </w:rPr>
        <w:t>采用国际标准视力表，如果使用其它视力表应进行换</w:t>
      </w:r>
      <w:r>
        <w:rPr>
          <w:spacing w:val="-5"/>
          <w:w w:val="100"/>
        </w:rPr>
        <w:t>算</w:t>
      </w:r>
      <w:r>
        <w:rPr>
          <w:spacing w:val="-106"/>
          <w:w w:val="100"/>
        </w:rPr>
        <w:t>）</w:t>
      </w:r>
      <w:r>
        <w:rPr>
          <w:w w:val="100"/>
        </w:rPr>
        <w:t>；</w:t>
      </w:r>
      <w:r>
        <w:rPr>
          <w:spacing w:val="-3"/>
          <w:w w:val="100"/>
        </w:rPr>
        <w:t>  </w:t>
      </w:r>
    </w:p>
    <w:p>
      <w:pPr>
        <w:pStyle w:val="BodyText"/>
        <w:spacing w:line="271" w:lineRule="exact" w:before="1"/>
      </w:pPr>
      <w:r>
        <w:rPr/>
        <w:t>（3）视野半径小于5度。  </w:t>
      </w:r>
    </w:p>
    <w:p>
      <w:pPr>
        <w:pStyle w:val="BodyText"/>
      </w:pPr>
      <w:r>
        <w:rPr/>
        <w:t>保障范围不包括3周岁以下儿童。  </w:t>
      </w:r>
    </w:p>
    <w:p>
      <w:pPr>
        <w:pStyle w:val="BodyText"/>
      </w:pPr>
      <w:r>
        <w:rPr/>
        <w:t>12、瘫痪  </w:t>
      </w:r>
    </w:p>
    <w:p>
      <w:pPr>
        <w:pStyle w:val="BodyText"/>
        <w:spacing w:line="237" w:lineRule="auto" w:before="2"/>
        <w:ind w:right="275"/>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1" w:lineRule="exact"/>
        <w:jc w:val="both"/>
      </w:pPr>
      <w:r>
        <w:rPr/>
        <w:t>13、心脏瓣膜手术  </w:t>
      </w:r>
    </w:p>
    <w:p>
      <w:pPr>
        <w:pStyle w:val="BodyText"/>
        <w:jc w:val="both"/>
      </w:pPr>
      <w:r>
        <w:rPr/>
        <w:t>指为治疗心脏瓣膜疾病，实际实施了开胸进行的心脏瓣膜置换或修复的手术。 </w:t>
      </w:r>
    </w:p>
    <w:p>
      <w:pPr>
        <w:pStyle w:val="BodyText"/>
        <w:jc w:val="both"/>
      </w:pPr>
      <w:r>
        <w:rPr/>
        <w:t>14、严重脑损伤  </w:t>
      </w:r>
    </w:p>
    <w:p>
      <w:pPr>
        <w:pStyle w:val="BodyText"/>
        <w:jc w:val="both"/>
      </w:pPr>
      <w:r>
        <w:rPr/>
        <w:t>指因头部遭受机械性外力，引起脑重要部位损伤，导致神经系统永久性的功能</w:t>
      </w:r>
    </w:p>
    <w:p>
      <w:pPr>
        <w:pStyle w:val="BodyText"/>
        <w:jc w:val="both"/>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jc w:val="both"/>
      </w:pPr>
      <w:r>
        <w:rPr/>
        <w:t>（PET）等影像学检查证实。神经系统永久性的功能障碍，指脑损伤180天后，</w:t>
      </w:r>
    </w:p>
    <w:p>
      <w:pPr>
        <w:pStyle w:val="BodyText"/>
        <w:jc w:val="both"/>
      </w:pPr>
      <w:r>
        <w:rPr/>
        <w:t>仍遗留下列一种或一种以上障碍：  </w:t>
      </w:r>
    </w:p>
    <w:p>
      <w:pPr>
        <w:pStyle w:val="BodyText"/>
        <w:jc w:val="both"/>
      </w:pPr>
      <w:r>
        <w:rPr/>
        <w:t>（1）一肢或一肢以上肢体机能完全丧失；  </w:t>
      </w:r>
    </w:p>
    <w:p>
      <w:pPr>
        <w:pStyle w:val="BodyText"/>
        <w:spacing w:line="271" w:lineRule="exact"/>
        <w:jc w:val="both"/>
      </w:pPr>
      <w:r>
        <w:rPr/>
        <w:t>（2）语言能力或咀嚼吞咽能力完全丧失；  </w:t>
      </w:r>
    </w:p>
    <w:p>
      <w:pPr>
        <w:pStyle w:val="BodyText"/>
        <w:jc w:val="both"/>
      </w:pPr>
      <w:r>
        <w:rPr/>
        <w:t>（3）自主生活能力完全丧失，无法独立完成六项基本日常生活活动中的三项或</w:t>
      </w:r>
    </w:p>
    <w:p>
      <w:pPr>
        <w:pStyle w:val="BodyText"/>
        <w:jc w:val="both"/>
      </w:pPr>
      <w:r>
        <w:rPr/>
        <w:t>三项以上。  </w:t>
      </w:r>
    </w:p>
    <w:p>
      <w:pPr>
        <w:pStyle w:val="BodyText"/>
        <w:jc w:val="both"/>
      </w:pPr>
      <w:r>
        <w:rPr/>
        <w:t>15、严重Ⅲ度烧伤  </w:t>
      </w:r>
    </w:p>
    <w:p>
      <w:pPr>
        <w:pStyle w:val="BodyText"/>
        <w:jc w:val="both"/>
      </w:pPr>
      <w:r>
        <w:rPr/>
        <w:t>指烧伤程度为Ⅲ度，且Ⅲ度烧伤的面积达到全身体表面积的20％或20％以上。</w:t>
      </w:r>
    </w:p>
    <w:p>
      <w:pPr>
        <w:pStyle w:val="BodyText"/>
        <w:jc w:val="both"/>
      </w:pPr>
      <w:r>
        <w:rPr/>
        <w:t>体表面积根据《中国新九分法》计算。  </w:t>
      </w:r>
    </w:p>
    <w:p>
      <w:pPr>
        <w:pStyle w:val="BodyText"/>
        <w:jc w:val="both"/>
      </w:pPr>
      <w:r>
        <w:rPr/>
        <w:t>16、严重原发性肺动脉高压  </w:t>
      </w:r>
    </w:p>
    <w:p>
      <w:pPr>
        <w:pStyle w:val="BodyText"/>
        <w:spacing w:line="237" w:lineRule="auto" w:before="1"/>
        <w:ind w:right="275"/>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jc w:val="both"/>
      </w:pPr>
      <w:r>
        <w:rPr/>
        <w:t>17、语言能力丧失  </w:t>
      </w:r>
    </w:p>
    <w:p>
      <w:pPr>
        <w:pStyle w:val="BodyText"/>
        <w:jc w:val="both"/>
      </w:pPr>
      <w:r>
        <w:rPr/>
        <w:t>指因疾病或意外伤害导致完全丧失语言能力，经过积极治疗至少12个月（声带</w:t>
      </w:r>
    </w:p>
    <w:p>
      <w:pPr>
        <w:pStyle w:val="BodyText"/>
        <w:jc w:val="both"/>
      </w:pPr>
      <w:r>
        <w:rPr>
          <w:spacing w:val="-3"/>
          <w:w w:val="100"/>
        </w:rPr>
        <w:t>完全切除不受此时间限制</w:t>
      </w:r>
      <w:r>
        <w:rPr>
          <w:spacing w:val="-108"/>
          <w:w w:val="100"/>
        </w:rPr>
        <w:t>）</w:t>
      </w:r>
      <w:r>
        <w:rPr>
          <w:spacing w:val="-3"/>
          <w:w w:val="100"/>
        </w:rPr>
        <w:t>，仍无法通过现有医疗手段恢复。  </w:t>
      </w:r>
    </w:p>
    <w:p>
      <w:pPr>
        <w:pStyle w:val="BodyText"/>
        <w:jc w:val="both"/>
      </w:pPr>
      <w:r>
        <w:rPr/>
        <w:t>精神心理因素所致的语言能力丧失不在保障范围内。  </w:t>
      </w:r>
    </w:p>
    <w:p>
      <w:pPr>
        <w:pStyle w:val="BodyText"/>
        <w:jc w:val="both"/>
      </w:pPr>
      <w:r>
        <w:rPr/>
        <w:t>保障范围不包括3周岁以下儿童。  </w:t>
      </w:r>
    </w:p>
    <w:p>
      <w:pPr>
        <w:pStyle w:val="BodyText"/>
        <w:jc w:val="both"/>
      </w:pPr>
      <w:r>
        <w:rPr/>
        <w:t>18、重型再生障碍性贫血  </w:t>
      </w:r>
    </w:p>
    <w:p>
      <w:pPr>
        <w:pStyle w:val="BodyText"/>
        <w:jc w:val="both"/>
      </w:pPr>
      <w:r>
        <w:rPr/>
        <w:t>指因骨髓造血功能慢性持续性衰竭导致的贫血、中性粒细胞减少及血小板减少。</w:t>
      </w:r>
    </w:p>
    <w:p>
      <w:pPr>
        <w:pStyle w:val="BodyText"/>
        <w:jc w:val="both"/>
      </w:pPr>
      <w:r>
        <w:rPr/>
        <w:t>须满足下列全部条件：  </w:t>
      </w:r>
    </w:p>
    <w:p>
      <w:pPr>
        <w:pStyle w:val="BodyText"/>
        <w:jc w:val="both"/>
      </w:pPr>
      <w:r>
        <w:rPr/>
        <w:t>（1）骨髓穿刺检查或骨髓活检结果支持诊断；  </w:t>
      </w:r>
    </w:p>
    <w:p>
      <w:pPr>
        <w:pStyle w:val="BodyText"/>
        <w:jc w:val="both"/>
      </w:pPr>
      <w:r>
        <w:rPr/>
        <w:t>（2）外周血象须具备以下三项条件：  </w:t>
      </w:r>
    </w:p>
    <w:p>
      <w:pPr>
        <w:pStyle w:val="BodyText"/>
        <w:jc w:val="both"/>
      </w:pPr>
      <w:r>
        <w:rPr/>
        <w:t>① 中性粒细胞绝对值≤0.5×10</w:t>
      </w:r>
      <w:r>
        <w:rPr>
          <w:position w:val="11"/>
          <w:sz w:val="11"/>
        </w:rPr>
        <w:t>9</w:t>
      </w:r>
      <w:r>
        <w:rPr/>
        <w:t>/L ；  </w:t>
      </w:r>
    </w:p>
    <w:p>
      <w:pPr>
        <w:pStyle w:val="BodyText"/>
        <w:spacing w:line="271" w:lineRule="exact"/>
        <w:jc w:val="both"/>
      </w:pPr>
      <w:r>
        <w:rPr/>
        <w:t>② 网织红细胞＜1%；  </w:t>
      </w:r>
    </w:p>
    <w:p>
      <w:pPr>
        <w:pStyle w:val="BodyText"/>
        <w:jc w:val="both"/>
      </w:pPr>
      <w:r>
        <w:rPr/>
        <w:t>③ 血小板绝对值≤20×10</w:t>
      </w:r>
      <w:r>
        <w:rPr>
          <w:position w:val="11"/>
          <w:sz w:val="11"/>
        </w:rPr>
        <w:t>9</w:t>
      </w:r>
      <w:r>
        <w:rPr/>
        <w:t>/L。  </w:t>
      </w:r>
    </w:p>
    <w:p>
      <w:pPr>
        <w:pStyle w:val="BodyText"/>
        <w:jc w:val="both"/>
      </w:pPr>
      <w:r>
        <w:rPr/>
        <w:t>19、主动脉手术  </w:t>
      </w:r>
    </w:p>
    <w:p>
      <w:pPr>
        <w:pStyle w:val="BodyText"/>
        <w:spacing w:line="237" w:lineRule="auto" w:before="1"/>
        <w:ind w:right="219"/>
        <w:jc w:val="both"/>
      </w:pPr>
      <w:r>
        <w:rPr/>
        <w:t>指为治疗主动脉疾病，实际实施了开胸或开腹进行的切除、置换、修补病损主动脉血管的手术。主动脉指胸主动脉和腹主动脉，不包括胸主动脉和腹主动脉的分支血管。  </w:t>
      </w:r>
    </w:p>
    <w:p>
      <w:pPr>
        <w:pStyle w:val="BodyText"/>
        <w:jc w:val="both"/>
      </w:pPr>
      <w:r>
        <w:rPr/>
        <w:t>动脉内血管成形术不在保障范围内。  </w:t>
      </w:r>
    </w:p>
    <w:p>
      <w:pPr>
        <w:pStyle w:val="BodyText"/>
        <w:jc w:val="both"/>
      </w:pPr>
      <w:r>
        <w:rPr/>
        <w:t>20、脊髓灰质炎  </w:t>
      </w:r>
    </w:p>
    <w:p>
      <w:pPr>
        <w:pStyle w:val="BodyText"/>
        <w:spacing w:line="274" w:lineRule="exact"/>
        <w:jc w:val="both"/>
      </w:pPr>
      <w:r>
        <w:rPr/>
        <w:t>脊髓灰质炎是由于脊髓灰质炎病毒感染所致的瘫痪性疾病，临床表现为运动功</w:t>
      </w:r>
    </w:p>
    <w:p>
      <w:pPr>
        <w:spacing w:after="0" w:line="274" w:lineRule="exact"/>
        <w:jc w:val="both"/>
        <w:sectPr>
          <w:pgSz w:w="11900" w:h="16840"/>
          <w:pgMar w:header="0" w:footer="457" w:top="1280" w:bottom="640" w:left="1680" w:right="460"/>
        </w:sectPr>
      </w:pPr>
    </w:p>
    <w:p>
      <w:pPr>
        <w:pStyle w:val="BodyText"/>
        <w:spacing w:line="237" w:lineRule="auto" w:before="10"/>
        <w:ind w:right="219"/>
        <w:jc w:val="both"/>
      </w:pPr>
      <w:r>
        <w:rPr/>
        <w:t>能损害或呼吸无力。脊髓灰质炎诊断必须明确无疑。本附加险合同仅对脊髓灰质炎造成的神经系统功能损害已导致被保险人永久不可逆性的肢体瘫痪的情况予以理赔。 </w:t>
      </w:r>
    </w:p>
    <w:p>
      <w:pPr>
        <w:pStyle w:val="BodyText"/>
        <w:spacing w:line="271" w:lineRule="exact"/>
        <w:rPr>
          <w:sz w:val="16"/>
        </w:rPr>
      </w:pPr>
      <w:r>
        <w:rPr/>
        <w:t>21、严重慢性呼吸功能衰竭</w:t>
      </w:r>
      <w:r>
        <w:rPr>
          <w:w w:val="100"/>
          <w:sz w:val="16"/>
        </w:rPr>
        <w:t> </w:t>
      </w:r>
    </w:p>
    <w:p>
      <w:pPr>
        <w:pStyle w:val="BodyText"/>
        <w:spacing w:line="237" w:lineRule="auto" w:before="2"/>
        <w:ind w:right="219"/>
      </w:pPr>
      <w:r>
        <w:rPr/>
        <w:t>被保险人患有慢性呼吸系统疾病或其它导致呼吸功能障碍的慢性疾病而出现永久不可逆性的慢性呼吸衰竭，由专科医生确认并符合以下各项： </w:t>
      </w:r>
    </w:p>
    <w:p>
      <w:pPr>
        <w:pStyle w:val="BodyText"/>
        <w:jc w:val="both"/>
      </w:pPr>
      <w:r>
        <w:rPr/>
        <w:t>（1）休息时出现呼吸困难； </w:t>
      </w:r>
    </w:p>
    <w:p>
      <w:pPr>
        <w:pStyle w:val="BodyText"/>
        <w:jc w:val="both"/>
      </w:pPr>
      <w:r>
        <w:rPr>
          <w:position w:val="1"/>
        </w:rPr>
        <w:t>（2）动脉氧分压 （PaO</w:t>
      </w:r>
      <w:r>
        <w:rPr>
          <w:sz w:val="11"/>
        </w:rPr>
        <w:t>2</w:t>
      </w:r>
      <w:r>
        <w:rPr>
          <w:position w:val="1"/>
        </w:rPr>
        <w:t>）&lt; 50mmHg； </w:t>
      </w:r>
    </w:p>
    <w:p>
      <w:pPr>
        <w:pStyle w:val="BodyText"/>
        <w:spacing w:line="273" w:lineRule="exact"/>
        <w:jc w:val="both"/>
      </w:pPr>
      <w:r>
        <w:rPr>
          <w:position w:val="1"/>
        </w:rPr>
        <w:t>（3）动脉血氧饱和度 （SaO</w:t>
      </w:r>
      <w:r>
        <w:rPr>
          <w:sz w:val="11"/>
        </w:rPr>
        <w:t>2</w:t>
      </w:r>
      <w:r>
        <w:rPr>
          <w:position w:val="1"/>
        </w:rPr>
        <w:t>）&lt; 80％； </w:t>
      </w:r>
    </w:p>
    <w:p>
      <w:pPr>
        <w:pStyle w:val="BodyText"/>
        <w:spacing w:line="281" w:lineRule="exact"/>
        <w:jc w:val="both"/>
      </w:pPr>
      <w:r>
        <w:rPr/>
        <w:t>（</w:t>
      </w:r>
      <w:r>
        <w:rPr>
          <w:rFonts w:ascii="Times New Roman" w:eastAsia="Times New Roman"/>
        </w:rPr>
        <w:t>4</w:t>
      </w:r>
      <w:r>
        <w:rPr/>
        <w:t>）因缺氧必须接受持续的输氧治疗。 </w:t>
      </w:r>
    </w:p>
    <w:p>
      <w:pPr>
        <w:pStyle w:val="BodyText"/>
        <w:spacing w:line="264" w:lineRule="exact"/>
        <w:jc w:val="both"/>
      </w:pPr>
      <w:r>
        <w:rPr/>
        <w:t>22、经输血导致的人类免疫缺陷病毒感染  </w:t>
      </w:r>
    </w:p>
    <w:p>
      <w:pPr>
        <w:pStyle w:val="BodyText"/>
        <w:jc w:val="both"/>
      </w:pPr>
      <w:r>
        <w:rPr/>
        <w:t>被保险人感染上人类免疫缺陷病毒（HIV）并且符合下列所有条件： </w:t>
      </w:r>
    </w:p>
    <w:p>
      <w:pPr>
        <w:pStyle w:val="BodyText"/>
        <w:jc w:val="both"/>
      </w:pPr>
      <w:r>
        <w:rPr/>
        <w:t>（1）本附加险合同生效日或最后复效日后，被保险人因输血而感染 HIV； </w:t>
      </w:r>
    </w:p>
    <w:p>
      <w:pPr>
        <w:pStyle w:val="BodyText"/>
        <w:jc w:val="both"/>
      </w:pPr>
      <w:r>
        <w:rPr/>
        <w:t>（2）提供输血治疗的输血中心或医疗机构出具该项输血感染属医疗责任事故的</w:t>
      </w:r>
    </w:p>
    <w:p>
      <w:pPr>
        <w:pStyle w:val="BodyText"/>
        <w:jc w:val="both"/>
      </w:pPr>
      <w:r>
        <w:rPr/>
        <w:t>报告，或者法院终审裁定为医疗责任； </w:t>
      </w:r>
    </w:p>
    <w:p>
      <w:pPr>
        <w:pStyle w:val="BodyText"/>
        <w:jc w:val="both"/>
      </w:pPr>
      <w:r>
        <w:rPr/>
        <w:t>（3）受感染的被保险人不是血友病患者。 </w:t>
      </w:r>
    </w:p>
    <w:p>
      <w:pPr>
        <w:pStyle w:val="BodyText"/>
        <w:jc w:val="both"/>
      </w:pPr>
      <w:r>
        <w:rPr/>
        <w:t>在任何治愈艾滋病（AIDS）或阻止 HIV 病毒作用的疗法被发现以后，或能防止</w:t>
      </w:r>
    </w:p>
    <w:p>
      <w:pPr>
        <w:pStyle w:val="BodyText"/>
        <w:jc w:val="both"/>
      </w:pPr>
      <w:r>
        <w:rPr/>
        <w:t>AIDS 发生的医疗方法被研究出来以后，本附加险合同将不再予以赔付。 </w:t>
      </w:r>
    </w:p>
    <w:p>
      <w:pPr>
        <w:pStyle w:val="BodyText"/>
        <w:jc w:val="both"/>
      </w:pPr>
      <w:r>
        <w:rPr/>
        <w:t>任何因其他传播方式（包括：性传播或静脉注射毒品）导致的 HIV 感染不在保</w:t>
      </w:r>
    </w:p>
    <w:p>
      <w:pPr>
        <w:pStyle w:val="BodyText"/>
        <w:jc w:val="both"/>
      </w:pPr>
      <w:r>
        <w:rPr/>
        <w:t>障范围内。 </w:t>
      </w:r>
    </w:p>
    <w:p>
      <w:pPr>
        <w:pStyle w:val="BodyText"/>
        <w:jc w:val="both"/>
      </w:pPr>
      <w:r>
        <w:rPr/>
        <w:t>23、1 型糖尿病 </w:t>
      </w:r>
    </w:p>
    <w:p>
      <w:pPr>
        <w:pStyle w:val="BodyText"/>
        <w:spacing w:line="237" w:lineRule="auto" w:before="1"/>
        <w:ind w:right="219"/>
        <w:jc w:val="both"/>
      </w:pPr>
      <w:r>
        <w:rPr/>
        <w:t>胰岛素依赖型糖尿病是由于胰岛素分泌不足引起的慢性血糖升高，并需持续性</w:t>
      </w:r>
      <w:r>
        <w:rPr>
          <w:spacing w:val="-4"/>
        </w:rPr>
        <w:t>地依赖外源性胰岛素维持 </w:t>
      </w:r>
      <w:r>
        <w:rPr/>
        <w:t>180</w:t>
      </w:r>
      <w:r>
        <w:rPr>
          <w:spacing w:val="-3"/>
        </w:rPr>
        <w:t> 天以上，须由专科医生确诊并满足下述至少一个条件：</w:t>
      </w:r>
      <w:r>
        <w:rPr/>
        <w:t> </w:t>
      </w:r>
    </w:p>
    <w:p>
      <w:pPr>
        <w:pStyle w:val="BodyText"/>
        <w:spacing w:line="271" w:lineRule="exact"/>
        <w:jc w:val="both"/>
      </w:pPr>
      <w:r>
        <w:rPr/>
        <w:t>（1）专科医生确定已出现增殖性视网膜病变； </w:t>
      </w:r>
    </w:p>
    <w:p>
      <w:pPr>
        <w:pStyle w:val="BodyText"/>
        <w:jc w:val="both"/>
      </w:pPr>
      <w:r>
        <w:rPr/>
        <w:t>（2）须植入心脏起搏器治疗心脏病；  </w:t>
      </w:r>
      <w:r>
        <w:rPr>
          <w:w w:val="100"/>
        </w:rPr>
        <w:t> </w:t>
      </w:r>
    </w:p>
    <w:p>
      <w:pPr>
        <w:pStyle w:val="BodyText"/>
        <w:jc w:val="both"/>
      </w:pPr>
      <w:r>
        <w:rPr/>
        <w:t>（3）因坏疽需切除一只或以上脚趾。 </w:t>
      </w:r>
    </w:p>
    <w:p>
      <w:pPr>
        <w:pStyle w:val="BodyText"/>
        <w:jc w:val="both"/>
      </w:pPr>
      <w:r>
        <w:rPr/>
        <w:t>24、严重幼年型类风湿关节炎 </w:t>
      </w:r>
    </w:p>
    <w:p>
      <w:pPr>
        <w:pStyle w:val="BodyText"/>
        <w:spacing w:line="237" w:lineRule="auto"/>
        <w:ind w:right="219"/>
        <w:jc w:val="both"/>
      </w:pPr>
      <w:r>
        <w:rPr/>
        <w:t>幼年型类风湿关节炎是一种儿童期发病的慢性关节炎，其特点为高热和系统性病症出现数月后发生关节炎。本保单仅对实际接受了膝关节或髋关节置换手术治疗的严重幼年型类风湿关节炎予以理赔。 </w:t>
      </w:r>
    </w:p>
    <w:p>
      <w:pPr>
        <w:pStyle w:val="BodyText"/>
      </w:pPr>
      <w:r>
        <w:rPr/>
        <w:t>25、川崎氏病 </w:t>
      </w:r>
    </w:p>
    <w:p>
      <w:pPr>
        <w:pStyle w:val="BodyText"/>
        <w:spacing w:line="237" w:lineRule="auto" w:before="1"/>
        <w:ind w:right="111"/>
      </w:pPr>
      <w:r>
        <w:rPr>
          <w:spacing w:val="-6"/>
        </w:rPr>
        <w:t>指一种以损伤冠状动脉血管为主，可同时合并其他大血管损害的系统性血管炎。本病必须由本公司认可的儿科专科医生确诊，且保障仅限于伴有冠状动脉瘤的川崎病，作为心脏受累的证据，诊断须由血管造影或超声心动图检查诊断证实</w:t>
      </w:r>
      <w:r>
        <w:rPr>
          <w:spacing w:val="-5"/>
        </w:rPr>
        <w:t>存在冠状动脉瘤形成，且此冠状动脉瘤于最初急性发病后持续至少 </w:t>
      </w:r>
      <w:r>
        <w:rPr/>
        <w:t>180</w:t>
      </w:r>
      <w:r>
        <w:rPr>
          <w:spacing w:val="-13"/>
        </w:rPr>
        <w:t> 天。</w:t>
      </w:r>
      <w:r>
        <w:rPr/>
        <w:t> </w:t>
      </w:r>
    </w:p>
    <w:p>
      <w:pPr>
        <w:pStyle w:val="BodyText"/>
        <w:spacing w:line="271" w:lineRule="exact"/>
      </w:pPr>
      <w:r>
        <w:rPr/>
        <w:t>26、疾病或外伤所致智力障碍（残疾） </w:t>
      </w:r>
    </w:p>
    <w:p>
      <w:pPr>
        <w:pStyle w:val="BodyText"/>
        <w:spacing w:line="237" w:lineRule="auto" w:before="2"/>
        <w:ind w:right="219"/>
        <w:jc w:val="both"/>
      </w:pPr>
      <w:r>
        <w:rPr>
          <w:spacing w:val="-5"/>
        </w:rPr>
        <w:t>因严重头部创伤或疾病造成被保险人智力低常</w:t>
      </w:r>
      <w:r>
        <w:rPr>
          <w:spacing w:val="-3"/>
        </w:rPr>
        <w:t>（智力低于常态</w:t>
      </w:r>
      <w:r>
        <w:rPr>
          <w:spacing w:val="-108"/>
        </w:rPr>
        <w:t>）</w:t>
      </w:r>
      <w:r>
        <w:rPr>
          <w:spacing w:val="-6"/>
        </w:rPr>
        <w:t>、智力残疾或学</w:t>
      </w:r>
      <w:r>
        <w:rPr>
          <w:w w:val="100"/>
        </w:rPr>
        <w:t>习障碍。根据智商</w:t>
      </w:r>
      <w:r>
        <w:rPr>
          <w:spacing w:val="1"/>
          <w:w w:val="100"/>
        </w:rPr>
        <w:t>（</w:t>
      </w:r>
      <w:r>
        <w:rPr>
          <w:w w:val="100"/>
        </w:rPr>
        <w:t>IQ）智力低常分为轻度</w:t>
      </w:r>
      <w:r>
        <w:rPr>
          <w:spacing w:val="1"/>
          <w:w w:val="100"/>
        </w:rPr>
        <w:t>（</w:t>
      </w:r>
      <w:r>
        <w:rPr>
          <w:w w:val="100"/>
        </w:rPr>
        <w:t>IQ</w:t>
      </w:r>
      <w:r>
        <w:rPr>
          <w:spacing w:val="-3"/>
          <w:w w:val="100"/>
        </w:rPr>
        <w:t>5</w:t>
      </w:r>
      <w:r>
        <w:rPr>
          <w:w w:val="100"/>
        </w:rPr>
        <w:t>0</w:t>
      </w:r>
      <w:r>
        <w:rPr>
          <w:spacing w:val="-3"/>
          <w:w w:val="100"/>
        </w:rPr>
        <w:t>-</w:t>
      </w:r>
      <w:r>
        <w:rPr>
          <w:w w:val="100"/>
        </w:rPr>
        <w:t>7</w:t>
      </w:r>
      <w:r>
        <w:rPr>
          <w:spacing w:val="1"/>
          <w:w w:val="100"/>
        </w:rPr>
        <w:t>0</w:t>
      </w:r>
      <w:r>
        <w:rPr>
          <w:spacing w:val="-106"/>
          <w:w w:val="100"/>
        </w:rPr>
        <w:t>）</w:t>
      </w:r>
      <w:r>
        <w:rPr>
          <w:w w:val="100"/>
        </w:rPr>
        <w:t>；中度</w:t>
      </w:r>
      <w:r>
        <w:rPr>
          <w:spacing w:val="1"/>
          <w:w w:val="100"/>
        </w:rPr>
        <w:t>（</w:t>
      </w:r>
      <w:r>
        <w:rPr>
          <w:w w:val="100"/>
        </w:rPr>
        <w:t>IQ</w:t>
      </w:r>
      <w:r>
        <w:rPr>
          <w:spacing w:val="-3"/>
          <w:w w:val="100"/>
        </w:rPr>
        <w:t>3</w:t>
      </w:r>
      <w:r>
        <w:rPr>
          <w:w w:val="100"/>
        </w:rPr>
        <w:t>5-50</w:t>
      </w:r>
      <w:r>
        <w:rPr>
          <w:spacing w:val="-104"/>
          <w:w w:val="100"/>
        </w:rPr>
        <w:t>）</w:t>
      </w:r>
      <w:r>
        <w:rPr>
          <w:w w:val="100"/>
        </w:rPr>
        <w:t>；重</w:t>
      </w:r>
      <w:r>
        <w:rPr>
          <w:spacing w:val="-10"/>
          <w:w w:val="100"/>
        </w:rPr>
        <w:t>度</w:t>
      </w:r>
      <w:r>
        <w:rPr>
          <w:w w:val="100"/>
        </w:rPr>
        <w:t>（IQ</w:t>
      </w:r>
      <w:r>
        <w:rPr>
          <w:spacing w:val="-3"/>
          <w:w w:val="100"/>
        </w:rPr>
        <w:t>2</w:t>
      </w:r>
      <w:r>
        <w:rPr>
          <w:w w:val="100"/>
        </w:rPr>
        <w:t>0-3</w:t>
      </w:r>
      <w:r>
        <w:rPr>
          <w:spacing w:val="-3"/>
          <w:w w:val="100"/>
        </w:rPr>
        <w:t>5</w:t>
      </w:r>
      <w:r>
        <w:rPr>
          <w:spacing w:val="-10"/>
          <w:w w:val="100"/>
        </w:rPr>
        <w:t>）</w:t>
      </w:r>
      <w:r>
        <w:rPr>
          <w:spacing w:val="-5"/>
          <w:w w:val="100"/>
        </w:rPr>
        <w:t>和极重度</w:t>
      </w:r>
      <w:r>
        <w:rPr>
          <w:spacing w:val="-3"/>
          <w:w w:val="100"/>
        </w:rPr>
        <w:t>（</w:t>
      </w:r>
      <w:r>
        <w:rPr>
          <w:w w:val="100"/>
        </w:rPr>
        <w:t>IQ&lt;20</w:t>
      </w:r>
      <w:r>
        <w:rPr>
          <w:spacing w:val="-108"/>
          <w:w w:val="100"/>
        </w:rPr>
        <w:t>）</w:t>
      </w:r>
      <w:r>
        <w:rPr>
          <w:spacing w:val="-5"/>
          <w:w w:val="100"/>
        </w:rPr>
        <w:t>。智商</w:t>
      </w:r>
      <w:r>
        <w:rPr>
          <w:spacing w:val="-53"/>
        </w:rPr>
        <w:t> </w:t>
      </w:r>
      <w:r>
        <w:rPr>
          <w:w w:val="100"/>
        </w:rPr>
        <w:t>7</w:t>
      </w:r>
      <w:r>
        <w:rPr>
          <w:spacing w:val="-3"/>
          <w:w w:val="100"/>
        </w:rPr>
        <w:t>0</w:t>
      </w:r>
      <w:r>
        <w:rPr>
          <w:w w:val="100"/>
        </w:rPr>
        <w:t>-85</w:t>
      </w:r>
      <w:r>
        <w:rPr>
          <w:spacing w:val="-55"/>
        </w:rPr>
        <w:t> </w:t>
      </w:r>
      <w:r>
        <w:rPr>
          <w:spacing w:val="-4"/>
          <w:w w:val="100"/>
        </w:rPr>
        <w:t>为智力临界低常。智商的检测必</w:t>
      </w:r>
      <w:r>
        <w:rPr>
          <w:spacing w:val="-4"/>
        </w:rPr>
        <w:t>须由本公司认可的专职心理测验工作者进行，心理测验工作者必须持有由心理测量专业委员会资格认定书。根据被保险人年龄采用对应的智力量表如韦克斯</w:t>
      </w:r>
      <w:r>
        <w:rPr>
          <w:spacing w:val="-3"/>
        </w:rPr>
        <w:t>勒智力量表</w:t>
      </w:r>
      <w:r>
        <w:rPr/>
        <w:t>（</w:t>
      </w:r>
      <w:r>
        <w:rPr>
          <w:spacing w:val="-3"/>
        </w:rPr>
        <w:t>儿童智力量表或成人智力量表</w:t>
      </w:r>
      <w:r>
        <w:rPr>
          <w:spacing w:val="-108"/>
        </w:rPr>
        <w:t>）</w:t>
      </w:r>
      <w:r>
        <w:rPr>
          <w:spacing w:val="-3"/>
        </w:rPr>
        <w:t>。</w:t>
      </w:r>
      <w:r>
        <w:rPr/>
        <w:t> </w:t>
      </w:r>
    </w:p>
    <w:p>
      <w:pPr>
        <w:pStyle w:val="BodyText"/>
        <w:spacing w:line="240" w:lineRule="auto"/>
        <w:ind w:right="4314"/>
      </w:pPr>
      <w:r>
        <w:rPr>
          <w:spacing w:val="-3"/>
        </w:rPr>
        <w:t>确诊时必须具备所有下列条件： </w:t>
      </w:r>
      <w:r>
        <w:rPr/>
        <w:t>1)</w:t>
      </w:r>
      <w:r>
        <w:rPr>
          <w:spacing w:val="-7"/>
        </w:rPr>
        <w:t> 被保险人大于或等于 </w:t>
      </w:r>
      <w:r>
        <w:rPr/>
        <w:t>6</w:t>
      </w:r>
      <w:r>
        <w:rPr>
          <w:spacing w:val="-15"/>
        </w:rPr>
        <w:t> 周岁；</w:t>
      </w:r>
      <w:r>
        <w:rPr/>
        <w:t> </w:t>
      </w:r>
    </w:p>
    <w:p>
      <w:pPr>
        <w:pStyle w:val="BodyText"/>
        <w:spacing w:line="271" w:lineRule="exact" w:before="4"/>
      </w:pPr>
      <w:r>
        <w:rPr/>
        <w:t>2) 儿科专科医生确诊被保险人由于严重头部创伤或疾病造成智力低下； </w:t>
      </w:r>
    </w:p>
    <w:p>
      <w:pPr>
        <w:pStyle w:val="BodyText"/>
        <w:spacing w:line="237" w:lineRule="auto" w:before="2"/>
        <w:ind w:right="172"/>
      </w:pPr>
      <w:r>
        <w:rPr/>
        <w:t>3)</w:t>
      </w:r>
      <w:r>
        <w:rPr>
          <w:spacing w:val="-3"/>
        </w:rPr>
        <w:t> 专职合格心理检测工作者适时做的心理检测证实被保险人智力低常（</w:t>
      </w:r>
      <w:r>
        <w:rPr>
          <w:spacing w:val="-2"/>
        </w:rPr>
        <w:t>轻度、</w:t>
      </w:r>
      <w:r>
        <w:rPr>
          <w:spacing w:val="-3"/>
          <w:w w:val="100"/>
        </w:rPr>
        <w:t>中度、重度或极重度</w:t>
      </w:r>
      <w:r>
        <w:rPr>
          <w:spacing w:val="-106"/>
          <w:w w:val="100"/>
        </w:rPr>
        <w:t>）</w:t>
      </w:r>
      <w:r>
        <w:rPr>
          <w:spacing w:val="-3"/>
          <w:w w:val="100"/>
        </w:rPr>
        <w:t>；</w:t>
      </w:r>
      <w:r>
        <w:rPr>
          <w:w w:val="100"/>
        </w:rPr>
        <w:t> </w:t>
      </w:r>
    </w:p>
    <w:p>
      <w:pPr>
        <w:pStyle w:val="BodyText"/>
        <w:jc w:val="both"/>
      </w:pPr>
      <w:r>
        <w:rPr/>
        <w:t>4) 被保险人的智力低常自确认日起持续 180 天以上。 </w:t>
      </w:r>
    </w:p>
    <w:p>
      <w:pPr>
        <w:pStyle w:val="BodyText"/>
        <w:jc w:val="both"/>
      </w:pPr>
      <w:r>
        <w:rPr/>
        <w:t>先天性疾病以及遗传性疾病引起的智力障碍不在保障范围内。 </w:t>
      </w:r>
    </w:p>
    <w:p>
      <w:pPr>
        <w:pStyle w:val="BodyText"/>
        <w:spacing w:line="274" w:lineRule="exact"/>
        <w:jc w:val="both"/>
      </w:pPr>
      <w:r>
        <w:rPr/>
        <w:t>27、严重哮喘 </w:t>
      </w:r>
    </w:p>
    <w:p>
      <w:pPr>
        <w:spacing w:after="0" w:line="274" w:lineRule="exact"/>
        <w:jc w:val="both"/>
        <w:sectPr>
          <w:pgSz w:w="11900" w:h="16840"/>
          <w:pgMar w:header="0" w:footer="457" w:top="1280" w:bottom="640" w:left="1680" w:right="460"/>
        </w:sectPr>
      </w:pPr>
    </w:p>
    <w:p>
      <w:pPr>
        <w:pStyle w:val="BodyText"/>
        <w:spacing w:line="273" w:lineRule="exact" w:before="7"/>
        <w:ind w:left="2877"/>
      </w:pPr>
      <w:r>
        <w:rPr/>
        <w:t>严重哮喘诊断必须明确诊断，并且满足下列标准中的三项或三项以上： </w:t>
      </w:r>
    </w:p>
    <w:p>
      <w:pPr>
        <w:pStyle w:val="BodyText"/>
        <w:ind w:left="2877"/>
      </w:pPr>
      <w:r>
        <w:rPr/>
        <w:t>（1）过去两年中有哮喘持续状态病史； </w:t>
      </w:r>
    </w:p>
    <w:p>
      <w:pPr>
        <w:pStyle w:val="BodyText"/>
        <w:spacing w:line="237" w:lineRule="auto" w:before="2"/>
        <w:ind w:left="2877" w:right="208"/>
      </w:pPr>
      <w:r>
        <w:rPr/>
        <w:t>（2）身体活动耐受能力显著且持续下降，在家及在静态時需接受医生指定的氧气疗法； </w:t>
      </w:r>
    </w:p>
    <w:p>
      <w:pPr>
        <w:pStyle w:val="BodyText"/>
        <w:ind w:left="2877"/>
      </w:pPr>
      <w:r>
        <w:rPr/>
        <w:t>（3）慢性肺部过度膨胀充气导致的胸廓畸形； </w:t>
      </w:r>
    </w:p>
    <w:p>
      <w:pPr>
        <w:pStyle w:val="BodyText"/>
        <w:ind w:left="2877"/>
      </w:pPr>
      <w:r>
        <w:rPr/>
        <w:t>（4）</w:t>
      </w:r>
      <w:r>
        <w:rPr>
          <w:spacing w:val="-3"/>
        </w:rPr>
        <w:t>持续每日口服皮质类固醇激素（</w:t>
      </w:r>
      <w:r>
        <w:rPr>
          <w:spacing w:val="-11"/>
        </w:rPr>
        <w:t>至少持续 </w:t>
      </w:r>
      <w:r>
        <w:rPr/>
        <w:t>6</w:t>
      </w:r>
      <w:r>
        <w:rPr>
          <w:spacing w:val="-10"/>
        </w:rPr>
        <w:t> 个月以上</w:t>
      </w:r>
      <w:r>
        <w:rPr>
          <w:spacing w:val="-106"/>
        </w:rPr>
        <w:t>）</w:t>
      </w:r>
      <w:r>
        <w:rPr>
          <w:spacing w:val="-3"/>
        </w:rPr>
        <w:t>。</w:t>
      </w:r>
      <w:r>
        <w:rPr/>
        <w:t> </w:t>
      </w:r>
    </w:p>
    <w:p>
      <w:pPr>
        <w:pStyle w:val="BodyText"/>
        <w:ind w:left="2877"/>
      </w:pPr>
      <w:r>
        <w:rPr/>
        <w:t>28、原发性心肌病 </w:t>
      </w:r>
    </w:p>
    <w:p>
      <w:pPr>
        <w:pStyle w:val="BodyText"/>
        <w:spacing w:line="237" w:lineRule="auto" w:before="1"/>
        <w:ind w:left="2877" w:right="259"/>
        <w:jc w:val="both"/>
      </w:pPr>
      <w:r>
        <w:rPr/>
        <w:t>原发性心肌病是指不明原因引起的一类心肌病变，包括原发性扩张型心肌病、原发性肥厚型心肌病及原发性限制型心肌病三种，病变必须已造成事实上心室功能障碍而出现明显的心功能衰竭(美国纽约心脏协会心功能分类标准心功能四级*</w:t>
      </w:r>
      <w:r>
        <w:rPr>
          <w:spacing w:val="-4"/>
        </w:rPr>
        <w:t>)，且有相关住院医疗记录显示四级心功能衰竭状态持续至少 </w:t>
      </w:r>
      <w:r>
        <w:rPr/>
        <w:t>180</w:t>
      </w:r>
      <w:r>
        <w:rPr>
          <w:spacing w:val="-4"/>
        </w:rPr>
        <w:t> 天。该疾病索赔时须要经专科医生做出明确诊断。继发于全身性疾病或其它器官系统</w:t>
      </w:r>
      <w:r>
        <w:rPr>
          <w:spacing w:val="-3"/>
        </w:rPr>
        <w:t>疾病不属本保障范围。</w:t>
      </w:r>
      <w:r>
        <w:rPr/>
        <w:t> </w:t>
      </w:r>
    </w:p>
    <w:p>
      <w:pPr>
        <w:pStyle w:val="BodyText"/>
        <w:spacing w:line="279" w:lineRule="exact"/>
        <w:ind w:left="2877"/>
      </w:pPr>
      <w:r>
        <w:rPr>
          <w:rFonts w:ascii="Times New Roman" w:eastAsia="Times New Roman"/>
        </w:rPr>
        <w:t>*</w:t>
      </w:r>
      <w:r>
        <w:rPr/>
        <w:t>美国纽约心脏协会分类标准心功能四级是指有医疗机构的医疗记录显示病人</w:t>
      </w:r>
    </w:p>
    <w:p>
      <w:pPr>
        <w:pStyle w:val="BodyText"/>
        <w:spacing w:line="266" w:lineRule="exact"/>
        <w:ind w:left="2877"/>
      </w:pPr>
      <w:r>
        <w:rPr/>
        <w:pict>
          <v:shape style="position:absolute;margin-left:62.66pt;margin-top:12.121204pt;width:506.25pt;height:499.35pt;mso-position-horizontal-relative:page;mso-position-vertical-relative:paragraph;z-index:15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2147"/>
                    <w:gridCol w:w="7497"/>
                  </w:tblGrid>
                  <w:tr>
                    <w:trPr>
                      <w:trHeight w:val="224" w:hRule="atLeast"/>
                    </w:trPr>
                    <w:tc>
                      <w:tcPr>
                        <w:tcW w:w="481" w:type="dxa"/>
                      </w:tcPr>
                      <w:p>
                        <w:pPr>
                          <w:pStyle w:val="TableParagraph"/>
                          <w:spacing w:line="205" w:lineRule="exact"/>
                          <w:ind w:left="50"/>
                          <w:rPr>
                            <w:sz w:val="21"/>
                          </w:rPr>
                        </w:pPr>
                        <w:r>
                          <w:rPr>
                            <w:w w:val="100"/>
                            <w:sz w:val="21"/>
                          </w:rPr>
                          <w:t> </w:t>
                        </w:r>
                      </w:p>
                    </w:tc>
                    <w:tc>
                      <w:tcPr>
                        <w:tcW w:w="2147" w:type="dxa"/>
                      </w:tcPr>
                      <w:p>
                        <w:pPr>
                          <w:pStyle w:val="TableParagraph"/>
                          <w:spacing w:line="205" w:lineRule="exact"/>
                          <w:ind w:left="325"/>
                          <w:rPr>
                            <w:sz w:val="21"/>
                          </w:rPr>
                        </w:pPr>
                        <w:r>
                          <w:rPr>
                            <w:w w:val="100"/>
                            <w:sz w:val="21"/>
                          </w:rPr>
                          <w:t> </w:t>
                        </w:r>
                      </w:p>
                    </w:tc>
                    <w:tc>
                      <w:tcPr>
                        <w:tcW w:w="7497" w:type="dxa"/>
                      </w:tcPr>
                      <w:p>
                        <w:pPr>
                          <w:pStyle w:val="TableParagraph"/>
                          <w:spacing w:line="205" w:lineRule="exact"/>
                          <w:ind w:left="136"/>
                          <w:rPr>
                            <w:sz w:val="21"/>
                          </w:rPr>
                        </w:pPr>
                        <w:r>
                          <w:rPr>
                            <w:w w:val="100"/>
                            <w:sz w:val="21"/>
                          </w:rPr>
                          <w:t> </w:t>
                        </w:r>
                      </w:p>
                    </w:tc>
                  </w:tr>
                  <w:tr>
                    <w:trPr>
                      <w:trHeight w:val="261" w:hRule="atLeast"/>
                    </w:trPr>
                    <w:tc>
                      <w:tcPr>
                        <w:tcW w:w="481" w:type="dxa"/>
                      </w:tcPr>
                      <w:p>
                        <w:pPr>
                          <w:pStyle w:val="TableParagraph"/>
                          <w:spacing w:line="231" w:lineRule="exact"/>
                          <w:ind w:left="50"/>
                          <w:rPr>
                            <w:sz w:val="21"/>
                          </w:rPr>
                        </w:pPr>
                        <w:r>
                          <w:rPr>
                            <w:w w:val="100"/>
                            <w:sz w:val="21"/>
                          </w:rPr>
                          <w:t> </w:t>
                        </w:r>
                      </w:p>
                    </w:tc>
                    <w:tc>
                      <w:tcPr>
                        <w:tcW w:w="2147" w:type="dxa"/>
                      </w:tcPr>
                      <w:p>
                        <w:pPr>
                          <w:pStyle w:val="TableParagraph"/>
                          <w:spacing w:line="236" w:lineRule="exact"/>
                          <w:ind w:left="325"/>
                          <w:rPr>
                            <w:rFonts w:ascii="Microsoft JhengHei" w:eastAsia="Microsoft JhengHei" w:hint="eastAsia"/>
                            <w:b/>
                            <w:sz w:val="21"/>
                          </w:rPr>
                        </w:pPr>
                        <w:r>
                          <w:rPr>
                            <w:rFonts w:ascii="Microsoft JhengHei" w:eastAsia="Microsoft JhengHei" w:hint="eastAsia"/>
                            <w:b/>
                            <w:sz w:val="21"/>
                          </w:rPr>
                          <w:t>成人阶段重大疾病</w:t>
                        </w:r>
                      </w:p>
                    </w:tc>
                    <w:tc>
                      <w:tcPr>
                        <w:tcW w:w="7497" w:type="dxa"/>
                      </w:tcPr>
                      <w:p>
                        <w:pPr>
                          <w:pStyle w:val="TableParagraph"/>
                          <w:spacing w:line="231" w:lineRule="exact"/>
                          <w:ind w:left="136"/>
                          <w:rPr>
                            <w:sz w:val="21"/>
                          </w:rPr>
                        </w:pPr>
                        <w:r>
                          <w:rPr>
                            <w:spacing w:val="-22"/>
                            <w:sz w:val="21"/>
                          </w:rPr>
                          <w:t>“1</w:t>
                        </w:r>
                        <w:r>
                          <w:rPr>
                            <w:spacing w:val="-35"/>
                            <w:sz w:val="21"/>
                          </w:rPr>
                          <w:t>”至“</w:t>
                        </w:r>
                        <w:r>
                          <w:rPr>
                            <w:spacing w:val="-17"/>
                            <w:sz w:val="21"/>
                          </w:rPr>
                          <w:t>25</w:t>
                        </w:r>
                        <w:r>
                          <w:rPr>
                            <w:spacing w:val="-8"/>
                            <w:sz w:val="21"/>
                          </w:rPr>
                          <w:t>”项所列重大疾病名称及疾病定义由中国保险行业协会统一制定</w:t>
                        </w:r>
                        <w:r>
                          <w:rPr>
                            <w:spacing w:val="-3"/>
                            <w:sz w:val="21"/>
                          </w:rPr>
                          <w:t>（见</w:t>
                        </w:r>
                      </w:p>
                    </w:tc>
                  </w:tr>
                  <w:tr>
                    <w:trPr>
                      <w:trHeight w:val="271" w:hRule="atLeast"/>
                    </w:trPr>
                    <w:tc>
                      <w:tcPr>
                        <w:tcW w:w="2628" w:type="dxa"/>
                        <w:gridSpan w:val="2"/>
                        <w:vMerge w:val="restart"/>
                      </w:tcPr>
                      <w:p>
                        <w:pPr>
                          <w:pStyle w:val="TableParagraph"/>
                          <w:rPr>
                            <w:rFonts w:ascii="Times New Roman"/>
                            <w:sz w:val="20"/>
                          </w:rPr>
                        </w:pPr>
                      </w:p>
                    </w:tc>
                    <w:tc>
                      <w:tcPr>
                        <w:tcW w:w="7497" w:type="dxa"/>
                      </w:tcPr>
                      <w:p>
                        <w:pPr>
                          <w:pStyle w:val="TableParagraph"/>
                          <w:spacing w:line="241" w:lineRule="exact"/>
                          <w:ind w:left="136"/>
                          <w:rPr>
                            <w:sz w:val="21"/>
                          </w:rPr>
                        </w:pPr>
                        <w:r>
                          <w:rPr>
                            <w:spacing w:val="-10"/>
                            <w:w w:val="100"/>
                            <w:sz w:val="21"/>
                          </w:rPr>
                          <w:t>《重大疾病保险的疾病定义使用规范》</w:t>
                        </w:r>
                        <w:r>
                          <w:rPr>
                            <w:spacing w:val="-108"/>
                            <w:w w:val="100"/>
                            <w:sz w:val="21"/>
                          </w:rPr>
                          <w:t>）</w:t>
                        </w:r>
                        <w:r>
                          <w:rPr>
                            <w:spacing w:val="-10"/>
                            <w:w w:val="100"/>
                            <w:sz w:val="21"/>
                          </w:rPr>
                          <w:t>。为扩大本附加险合同的保障范围</w:t>
                        </w:r>
                        <w:r>
                          <w:rPr>
                            <w:spacing w:val="-92"/>
                            <w:w w:val="100"/>
                            <w:sz w:val="21"/>
                          </w:rPr>
                          <w:t>，“</w:t>
                        </w:r>
                        <w:r>
                          <w:rPr>
                            <w:w w:val="100"/>
                            <w:sz w:val="21"/>
                          </w:rPr>
                          <w:t>26”</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至“38”项重大疾病名称及疾病定义由我们自行制定使用。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1、恶性肿瘤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指恶性细胞不受控制的进行性增长和扩散，浸润和破坏周围正常组织，可以经</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血管、淋巴管和体腔扩散转移到身体其它部位的疾病。经病理学检查结果明确</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诊断，临床诊断属于世界卫生组织《疾病和有关健康问题的国际统计分类》</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（ICD-10）的恶性肿瘤范畴。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下列疾病不在保障范围内：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（1）原位癌；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（2）相当于Binet分期方案A期程度的慢性淋巴细胞白血病；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（3）相当于Ann Arbor分期方案I期程度的何杰金氏病；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r>
                    <w:trPr>
                      <w:trHeight w:val="271"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（5）TNM分期为T1N0M0期或更轻分期的前列腺癌；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（6）感染艾滋病病毒或患艾滋病期间所患恶性肿瘤。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2、急性心肌梗塞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指因冠状动脉阻塞导致的相应区域供血不足造成部分心肌坏死。须满足下列至</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少三项条件：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（1）典型临床表现，例如急性胸痛等；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（2）新近的心电图改变提示急性心肌梗塞；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（3）心肌酶或肌钙蛋白有诊断意义的升高，或呈符合急性心肌梗塞的动态性变</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化；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（4）发病90天后，经检查证实左心室功能降低，如左心室射血分数低于50%。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3、脑中风后遗症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指因脑血管的突发病变引起脑血管出血、栓塞或梗塞，并导致神经系统永久性</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的功能障碍。神经系统永久性的功能障碍，指疾病确诊180天后，仍遗留下列一</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种或一种以上障碍：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（1）一肢或一肢以上肢体机能完全丧失；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（2）语言能力或咀嚼吞咽能力完全丧失；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（3）自主生活能力完全丧失，无法独立完成六项基本日常生活活动中的三项或</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三项以上。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4、重大器官移植术或造血干细胞移植术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重大器官移植术，指因相应器官功能衰竭，已经实施了肾脏、肝脏、心脏或肺</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脏的异体移植手术。  </w:t>
                        </w:r>
                      </w:p>
                    </w:tc>
                  </w:tr>
                  <w:tr>
                    <w:trPr>
                      <w:trHeight w:val="271"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造血干细胞移植术，指因造血功能损害或造血系统恶性肿瘤，已经实施了造血</w:t>
                        </w:r>
                      </w:p>
                    </w:tc>
                  </w:tr>
                  <w:tr>
                    <w:trPr>
                      <w:trHeight w:val="241" w:hRule="atLeast"/>
                    </w:trPr>
                    <w:tc>
                      <w:tcPr>
                        <w:tcW w:w="2628" w:type="dxa"/>
                        <w:gridSpan w:val="2"/>
                        <w:vMerge/>
                        <w:tcBorders>
                          <w:top w:val="nil"/>
                        </w:tcBorders>
                      </w:tcPr>
                      <w:p>
                        <w:pPr>
                          <w:rPr>
                            <w:sz w:val="2"/>
                            <w:szCs w:val="2"/>
                          </w:rPr>
                        </w:pPr>
                      </w:p>
                    </w:tc>
                    <w:tc>
                      <w:tcPr>
                        <w:tcW w:w="7497" w:type="dxa"/>
                      </w:tcPr>
                      <w:p>
                        <w:pPr>
                          <w:pStyle w:val="TableParagraph"/>
                          <w:spacing w:line="221" w:lineRule="exact"/>
                          <w:ind w:left="136"/>
                          <w:rPr>
                            <w:sz w:val="21"/>
                          </w:rPr>
                        </w:pPr>
                        <w:r>
                          <w:rPr>
                            <w:sz w:val="21"/>
                          </w:rPr>
                          <w:t>干细胞（包括骨髓造血干细胞、外周血造血干细胞和脐血造血干细胞）的异体</w:t>
                        </w:r>
                      </w:p>
                    </w:tc>
                  </w:tr>
                </w:tbl>
                <w:p>
                  <w:pPr>
                    <w:pStyle w:val="BodyText"/>
                    <w:spacing w:line="240" w:lineRule="auto"/>
                    <w:ind w:left="0"/>
                  </w:pPr>
                </w:p>
              </w:txbxContent>
            </v:textbox>
            <w10:wrap type="none"/>
          </v:shape>
        </w:pict>
      </w:r>
      <w:r>
        <w:rPr/>
        <w:t>不能进行任何活动，休息时仍有心悸、呼吸困难等心力衰竭表现。 </w:t>
      </w:r>
    </w:p>
    <w:p>
      <w:pPr>
        <w:spacing w:after="0" w:line="266" w:lineRule="exact"/>
        <w:sectPr>
          <w:pgSz w:w="11900" w:h="16840"/>
          <w:pgMar w:header="0" w:footer="457" w:top="1280" w:bottom="640" w:left="1140" w:right="420"/>
        </w:sectPr>
      </w:pPr>
    </w:p>
    <w:p>
      <w:pPr>
        <w:pStyle w:val="BodyText"/>
        <w:spacing w:line="273" w:lineRule="exact" w:before="7"/>
      </w:pPr>
      <w:r>
        <w:rPr/>
        <w:t>移植手术。  </w:t>
      </w:r>
    </w:p>
    <w:p>
      <w:pPr>
        <w:pStyle w:val="BodyText"/>
      </w:pPr>
      <w:r>
        <w:rPr/>
        <w:t>5、冠状动脉搭桥术（或称冠状动脉旁路移植术）  </w:t>
      </w:r>
    </w:p>
    <w:p>
      <w:pPr>
        <w:pStyle w:val="BodyText"/>
        <w:spacing w:line="237" w:lineRule="auto" w:before="2"/>
        <w:ind w:right="114"/>
      </w:pPr>
      <w:r>
        <w:rPr>
          <w:spacing w:val="-11"/>
        </w:rPr>
        <w:t>指为治疗严重的冠心病，实际实施了开胸进行的冠状动脉血管旁路移植的手术。</w:t>
      </w:r>
      <w:r>
        <w:rPr/>
        <w:t>冠状动脉支架植入术、心导管球囊扩张术、激光射频技术及其它非开胸的介入</w:t>
      </w:r>
      <w:r>
        <w:rPr>
          <w:spacing w:val="-3"/>
        </w:rPr>
        <w:t>手术、腔镜手术不在保障范围内。  </w:t>
      </w:r>
    </w:p>
    <w:p>
      <w:pPr>
        <w:pStyle w:val="BodyText"/>
        <w:spacing w:line="271" w:lineRule="exact"/>
      </w:pPr>
      <w:r>
        <w:rPr/>
        <w:t>6、终末期肾病（或称慢性肾功能衰竭尿毒症期）  </w:t>
      </w:r>
    </w:p>
    <w:p>
      <w:pPr>
        <w:pStyle w:val="BodyText"/>
        <w:spacing w:line="237" w:lineRule="auto" w:before="3"/>
        <w:ind w:right="219"/>
      </w:pPr>
      <w:r>
        <w:rPr/>
        <w:t>指双肾功能慢性不可逆性衰竭，达到尿毒症期，经诊断后已经进行了至少90天的规律性透析治疗或实施了肾脏移植手术。  </w:t>
      </w:r>
    </w:p>
    <w:p>
      <w:pPr>
        <w:pStyle w:val="BodyText"/>
      </w:pPr>
      <w:r>
        <w:rPr/>
        <w:t>7、多个肢体缺失  </w:t>
      </w:r>
    </w:p>
    <w:p>
      <w:pPr>
        <w:pStyle w:val="BodyText"/>
        <w:spacing w:line="240" w:lineRule="auto"/>
        <w:ind w:right="219"/>
      </w:pPr>
      <w:r>
        <w:rPr/>
        <w:t>指因疾病或意外伤害导致两个或两个以上肢体自腕关节或踝关节近端（靠近躯干端）以上完全性断离。  </w:t>
      </w:r>
    </w:p>
    <w:p>
      <w:pPr>
        <w:pStyle w:val="BodyText"/>
        <w:spacing w:line="271" w:lineRule="exact" w:before="2"/>
      </w:pPr>
      <w:r>
        <w:rPr/>
        <w:t>8、急性或亚急性重症肝炎  </w:t>
      </w:r>
    </w:p>
    <w:p>
      <w:pPr>
        <w:pStyle w:val="BodyText"/>
      </w:pPr>
      <w:r>
        <w:rPr/>
        <w:t>指因肝炎病毒感染引起肝脏组织弥漫性坏死，导致急性肝功能衰竭，且经血清</w:t>
      </w:r>
    </w:p>
    <w:p>
      <w:pPr>
        <w:pStyle w:val="BodyText"/>
      </w:pPr>
      <w:r>
        <w:rPr/>
        <w:t>学或病毒学检查证实，并须满足下列全部条件：  </w:t>
      </w:r>
    </w:p>
    <w:p>
      <w:pPr>
        <w:pStyle w:val="BodyText"/>
      </w:pPr>
      <w:r>
        <w:rPr/>
        <w:t>（1）重度黄疸或黄疸迅速加重；  </w:t>
      </w:r>
    </w:p>
    <w:p>
      <w:pPr>
        <w:pStyle w:val="BodyText"/>
      </w:pPr>
      <w:r>
        <w:rPr/>
        <w:t>（2）肝性脑病；  </w:t>
      </w:r>
    </w:p>
    <w:p>
      <w:pPr>
        <w:pStyle w:val="BodyText"/>
      </w:pPr>
      <w:r>
        <w:rPr/>
        <w:t>（3）B超或其它影像学检查显示肝脏体积急速萎缩；  </w:t>
      </w:r>
    </w:p>
    <w:p>
      <w:pPr>
        <w:pStyle w:val="BodyText"/>
      </w:pPr>
      <w:r>
        <w:rPr/>
        <w:t>（4）肝功能指标进行性恶化。  </w:t>
      </w:r>
    </w:p>
    <w:p>
      <w:pPr>
        <w:pStyle w:val="BodyText"/>
      </w:pPr>
      <w:r>
        <w:rPr/>
        <w:t>9、良性脑肿瘤  </w:t>
      </w:r>
    </w:p>
    <w:p>
      <w:pPr>
        <w:pStyle w:val="BodyText"/>
        <w:spacing w:line="237" w:lineRule="auto" w:before="1"/>
        <w:ind w:right="219"/>
        <w:jc w:val="both"/>
      </w:pPr>
      <w:r>
        <w:rPr/>
        <w:t>指脑的良性肿瘤，已经引起颅内压增高，临床表现为视神经乳头水肿、精神症</w:t>
      </w:r>
      <w:r>
        <w:rPr>
          <w:spacing w:val="-7"/>
          <w:w w:val="100"/>
        </w:rPr>
        <w:t>状、癫痫及运动感觉障碍等，并危及生命。须由头颅断层扫描</w:t>
      </w:r>
      <w:r>
        <w:rPr>
          <w:w w:val="100"/>
        </w:rPr>
        <w:t>（CT</w:t>
      </w:r>
      <w:r>
        <w:rPr>
          <w:spacing w:val="-108"/>
          <w:w w:val="100"/>
        </w:rPr>
        <w:t>）</w:t>
      </w:r>
      <w:r>
        <w:rPr>
          <w:spacing w:val="-4"/>
          <w:w w:val="100"/>
        </w:rPr>
        <w:t>、核磁共振</w:t>
      </w:r>
      <w:r>
        <w:rPr>
          <w:spacing w:val="-4"/>
        </w:rPr>
        <w:t>检查（MRI）或正电子发射断层扫描（PET）等影像学检查证实，并须满足下列</w:t>
      </w:r>
      <w:r>
        <w:rPr>
          <w:spacing w:val="-3"/>
        </w:rPr>
        <w:t>至少一项条件：  </w:t>
      </w:r>
    </w:p>
    <w:p>
      <w:pPr>
        <w:pStyle w:val="BodyText"/>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pStyle w:val="BodyText"/>
      </w:pPr>
      <w:r>
        <w:rPr/>
        <w:t>10、慢性肝功能衰竭失代偿期  </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pPr>
      <w:r>
        <w:rPr/>
        <w:t>（4）充血性脾肿大伴脾功能亢进或食管胃底静脉曲张。  </w:t>
      </w:r>
    </w:p>
    <w:p>
      <w:pPr>
        <w:pStyle w:val="BodyText"/>
      </w:pPr>
      <w:r>
        <w:rPr/>
        <w:t>因酗酒或药物滥用导致的肝功能衰竭不在保障范围内。  </w:t>
      </w:r>
    </w:p>
    <w:p>
      <w:pPr>
        <w:pStyle w:val="BodyText"/>
      </w:pPr>
      <w:r>
        <w:rPr/>
        <w:t>11、脑炎后遗症或脑膜炎后遗症  </w:t>
      </w:r>
    </w:p>
    <w:p>
      <w:pPr>
        <w:pStyle w:val="BodyText"/>
      </w:pPr>
      <w:r>
        <w:rPr/>
        <w:t>指因患脑炎或脑膜炎导致的神经系统永久性的功能障碍。神经系统永久性的功</w:t>
      </w:r>
    </w:p>
    <w:p>
      <w:pPr>
        <w:pStyle w:val="BodyText"/>
      </w:pPr>
      <w:r>
        <w:rPr/>
        <w:t>能障碍，指疾病确诊180天后，仍遗留下列一种或一种以上障碍：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w:t>
      </w:r>
    </w:p>
    <w:p>
      <w:pPr>
        <w:pStyle w:val="BodyText"/>
      </w:pPr>
      <w:r>
        <w:rPr/>
        <w:t>三项以上。  </w:t>
      </w:r>
    </w:p>
    <w:p>
      <w:pPr>
        <w:pStyle w:val="BodyText"/>
      </w:pPr>
      <w:r>
        <w:rPr/>
        <w:t>12、深度昏迷  </w:t>
      </w:r>
    </w:p>
    <w:p>
      <w:pPr>
        <w:pStyle w:val="BodyText"/>
        <w:spacing w:line="237" w:lineRule="auto" w:before="2"/>
        <w:ind w:right="279"/>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pPr>
      <w:r>
        <w:rPr/>
        <w:t>因酗酒或药物滥用导致的深度昏迷不在保障范围内。  </w:t>
      </w:r>
    </w:p>
    <w:p>
      <w:pPr>
        <w:pStyle w:val="BodyText"/>
      </w:pPr>
      <w:r>
        <w:rPr/>
        <w:t>13、双耳失聪  </w:t>
      </w:r>
    </w:p>
    <w:p>
      <w:pPr>
        <w:pStyle w:val="BodyText"/>
      </w:pPr>
      <w:r>
        <w:rPr/>
        <w:t>指因疾病或意外伤害导致双耳听力永久不可逆性丧失，在500赫兹、1000赫兹和</w:t>
      </w:r>
    </w:p>
    <w:p>
      <w:pPr>
        <w:pStyle w:val="BodyText"/>
      </w:pPr>
      <w:r>
        <w:rPr/>
        <w:t>2000赫兹语音频率下，平均听阈大于90分贝，且经纯音听力测试、声导抗检测</w:t>
      </w:r>
    </w:p>
    <w:p>
      <w:pPr>
        <w:pStyle w:val="BodyText"/>
      </w:pPr>
      <w:r>
        <w:rPr/>
        <w:t>或听觉诱发电位检测等证实。  </w:t>
      </w:r>
    </w:p>
    <w:p>
      <w:pPr>
        <w:pStyle w:val="BodyText"/>
      </w:pPr>
      <w:r>
        <w:rPr/>
        <w:t>14、双目失明  </w:t>
      </w:r>
    </w:p>
    <w:p>
      <w:pPr>
        <w:pStyle w:val="BodyText"/>
        <w:spacing w:line="274" w:lineRule="exact"/>
      </w:pPr>
      <w:r>
        <w:rPr/>
        <w:t>指因疾病或意外伤害导致双眼视力永久不可逆性丧失，双眼中较好眼须满足下</w:t>
      </w:r>
    </w:p>
    <w:p>
      <w:pPr>
        <w:spacing w:after="0" w:line="274" w:lineRule="exact"/>
        <w:sectPr>
          <w:footerReference w:type="default" r:id="rId9"/>
          <w:pgSz w:w="11900" w:h="16840"/>
          <w:pgMar w:footer="457" w:header="0" w:top="1280" w:bottom="640" w:left="1680" w:right="460"/>
          <w:pgNumType w:start="10"/>
        </w:sectPr>
      </w:pPr>
    </w:p>
    <w:p>
      <w:pPr>
        <w:pStyle w:val="BodyText"/>
        <w:spacing w:line="273" w:lineRule="exact" w:before="7"/>
      </w:pPr>
      <w:r>
        <w:rPr/>
        <w:t>列至少一项条件：  </w:t>
      </w:r>
    </w:p>
    <w:p>
      <w:pPr>
        <w:pStyle w:val="BodyText"/>
      </w:pPr>
      <w:r>
        <w:rPr/>
        <w:t>（1）眼球缺失或摘除；  </w:t>
      </w:r>
    </w:p>
    <w:p>
      <w:pPr>
        <w:pStyle w:val="BodyText"/>
        <w:spacing w:line="237" w:lineRule="auto" w:before="2"/>
        <w:ind w:right="219"/>
      </w:pPr>
      <w:r>
        <w:rPr>
          <w:spacing w:val="-6"/>
        </w:rPr>
        <w:t>（2）</w:t>
      </w:r>
      <w:r>
        <w:rPr>
          <w:spacing w:val="-3"/>
        </w:rPr>
        <w:t>矫正视力低于</w:t>
      </w:r>
      <w:r>
        <w:rPr>
          <w:spacing w:val="-4"/>
        </w:rPr>
        <w:t>0.02（</w:t>
      </w:r>
      <w:r>
        <w:rPr>
          <w:spacing w:val="-5"/>
        </w:rPr>
        <w:t>采用国际标准视力表，如果使用其它视力表应进行换</w:t>
      </w:r>
      <w:r>
        <w:rPr>
          <w:spacing w:val="-5"/>
          <w:w w:val="100"/>
        </w:rPr>
        <w:t>算</w:t>
      </w:r>
      <w:r>
        <w:rPr>
          <w:spacing w:val="-106"/>
          <w:w w:val="100"/>
        </w:rPr>
        <w:t>）</w:t>
      </w:r>
      <w:r>
        <w:rPr>
          <w:w w:val="100"/>
        </w:rPr>
        <w:t>；</w:t>
      </w:r>
      <w:r>
        <w:rPr>
          <w:spacing w:val="-3"/>
          <w:w w:val="100"/>
        </w:rPr>
        <w:t>  </w:t>
      </w:r>
    </w:p>
    <w:p>
      <w:pPr>
        <w:pStyle w:val="BodyText"/>
      </w:pPr>
      <w:r>
        <w:rPr/>
        <w:t>（3）视野半径小于5度。  </w:t>
      </w:r>
    </w:p>
    <w:p>
      <w:pPr>
        <w:pStyle w:val="BodyText"/>
      </w:pPr>
      <w:r>
        <w:rPr/>
        <w:t>15、瘫痪  </w:t>
      </w:r>
    </w:p>
    <w:p>
      <w:pPr>
        <w:pStyle w:val="BodyText"/>
        <w:spacing w:line="237" w:lineRule="auto" w:before="1"/>
        <w:ind w:right="275"/>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1" w:lineRule="exact"/>
      </w:pPr>
      <w:r>
        <w:rPr/>
        <w:t>16、心脏瓣膜手术  </w:t>
      </w:r>
    </w:p>
    <w:p>
      <w:pPr>
        <w:pStyle w:val="BodyText"/>
      </w:pPr>
      <w:r>
        <w:rPr/>
        <w:t>指为治疗心脏瓣膜疾病，实际实施了开胸进行的心脏瓣膜置换或修复的手术。 </w:t>
      </w:r>
    </w:p>
    <w:p>
      <w:pPr>
        <w:pStyle w:val="BodyText"/>
      </w:pPr>
      <w:r>
        <w:rPr/>
        <w:t>17、严重阿尔茨海默病  </w:t>
      </w:r>
    </w:p>
    <w:p>
      <w:pPr>
        <w:pStyle w:val="BodyText"/>
        <w:spacing w:line="237" w:lineRule="auto" w:before="2"/>
        <w:ind w:right="112"/>
      </w:pPr>
      <w:r>
        <w:rPr/>
        <w:t>指因大脑进行性、不可逆性改变导致智能严重衰退或丧失，临床表现为明显的</w:t>
      </w:r>
      <w:r>
        <w:rPr>
          <w:spacing w:val="-7"/>
        </w:rPr>
        <w:t>认知能力障碍、行为异常和社交能力减退，其日常生活必须持续受到他人监护。</w:t>
      </w:r>
      <w:r>
        <w:rPr>
          <w:spacing w:val="-5"/>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t>等影像学检查证实，且自主生活能力完全丧失，无法独立完成六项基本日常生</w:t>
      </w:r>
      <w:r>
        <w:rPr>
          <w:spacing w:val="-3"/>
        </w:rPr>
        <w:t>活活动中的三项或三项以上。  </w:t>
      </w:r>
    </w:p>
    <w:p>
      <w:pPr>
        <w:pStyle w:val="BodyText"/>
        <w:spacing w:line="271" w:lineRule="exact"/>
      </w:pPr>
      <w:r>
        <w:rPr/>
        <w:t>神经官能症和精神疾病不在保障范围内。   </w:t>
      </w:r>
    </w:p>
    <w:p>
      <w:pPr>
        <w:pStyle w:val="BodyText"/>
      </w:pPr>
      <w:r>
        <w:rPr/>
        <w:t>18、严重脑损伤  </w:t>
      </w:r>
    </w:p>
    <w:p>
      <w:pPr>
        <w:pStyle w:val="BodyText"/>
      </w:pPr>
      <w:r>
        <w:rPr/>
        <w:t>指因头部遭受机械性外力，引起脑重要部位损伤，导致神经系统永久性的功能</w:t>
      </w:r>
    </w:p>
    <w:p>
      <w:pPr>
        <w:pStyle w:val="BodyText"/>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line="271" w:lineRule="exact"/>
      </w:pPr>
      <w:r>
        <w:rPr/>
        <w:t>（PET）等影像学检查证实。神经系统永久性的功能障碍，指脑损伤180天后，</w:t>
      </w:r>
    </w:p>
    <w:p>
      <w:pPr>
        <w:pStyle w:val="BodyText"/>
      </w:pPr>
      <w:r>
        <w:rPr/>
        <w:t>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w:t>
      </w:r>
    </w:p>
    <w:p>
      <w:pPr>
        <w:pStyle w:val="BodyText"/>
      </w:pPr>
      <w:r>
        <w:rPr/>
        <w:t>三项以上。  </w:t>
      </w:r>
    </w:p>
    <w:p>
      <w:pPr>
        <w:pStyle w:val="BodyText"/>
      </w:pPr>
      <w:r>
        <w:rPr/>
        <w:t>19、严重帕金森病  </w:t>
      </w:r>
    </w:p>
    <w:p>
      <w:pPr>
        <w:pStyle w:val="BodyText"/>
      </w:pPr>
      <w:r>
        <w:rPr/>
        <w:t>是一种中枢神经系统的退行性疾病，临床表现为震颤麻痹、共济失调等。须满</w:t>
      </w:r>
    </w:p>
    <w:p>
      <w:pPr>
        <w:pStyle w:val="BodyText"/>
      </w:pPr>
      <w:r>
        <w:rPr/>
        <w:t>足下列全部条件：  </w:t>
      </w:r>
    </w:p>
    <w:p>
      <w:pPr>
        <w:pStyle w:val="BodyText"/>
      </w:pPr>
      <w:r>
        <w:rPr/>
        <w:t>（1）药物治疗无法控制病情；  </w:t>
      </w:r>
    </w:p>
    <w:p>
      <w:pPr>
        <w:pStyle w:val="BodyText"/>
      </w:pPr>
      <w:r>
        <w:rPr/>
        <w:t>（2）自主生活能力完全丧失，无法独立完成六项基本日常生活活动中的三项或</w:t>
      </w:r>
    </w:p>
    <w:p>
      <w:pPr>
        <w:pStyle w:val="BodyText"/>
      </w:pPr>
      <w:r>
        <w:rPr/>
        <w:t>三项以上。  </w:t>
      </w:r>
    </w:p>
    <w:p>
      <w:pPr>
        <w:pStyle w:val="BodyText"/>
      </w:pPr>
      <w:r>
        <w:rPr/>
        <w:t>继发性帕金森综合征不在保障范围内。  </w:t>
      </w:r>
    </w:p>
    <w:p>
      <w:pPr>
        <w:pStyle w:val="BodyText"/>
      </w:pPr>
      <w:r>
        <w:rPr/>
        <w:t>20、严重Ⅲ度烧伤  </w:t>
      </w:r>
    </w:p>
    <w:p>
      <w:pPr>
        <w:pStyle w:val="BodyText"/>
      </w:pPr>
      <w:r>
        <w:rPr/>
        <w:t>指烧伤程度为Ⅲ度，且Ⅲ度烧伤的面积达到全身体表面积的20％或20％以上。</w:t>
      </w:r>
    </w:p>
    <w:p>
      <w:pPr>
        <w:pStyle w:val="BodyText"/>
      </w:pPr>
      <w:r>
        <w:rPr/>
        <w:t>体表面积根据《中国新九分法》计算。  </w:t>
      </w:r>
    </w:p>
    <w:p>
      <w:pPr>
        <w:pStyle w:val="BodyText"/>
      </w:pPr>
      <w:r>
        <w:rPr/>
        <w:t>21、严重原发性肺动脉高压  </w:t>
      </w:r>
    </w:p>
    <w:p>
      <w:pPr>
        <w:pStyle w:val="BodyText"/>
        <w:spacing w:line="237" w:lineRule="auto" w:before="1"/>
        <w:ind w:right="275"/>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pPr>
      <w:r>
        <w:rPr/>
        <w:t>22、严重运动神经元病  </w:t>
      </w:r>
    </w:p>
    <w:p>
      <w:pPr>
        <w:pStyle w:val="BodyText"/>
        <w:spacing w:line="237" w:lineRule="auto" w:before="1"/>
        <w:ind w:right="21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pPr>
      <w:r>
        <w:rPr/>
        <w:t>23、语言能力丧失  </w:t>
      </w:r>
    </w:p>
    <w:p>
      <w:pPr>
        <w:pStyle w:val="BodyText"/>
      </w:pPr>
      <w:r>
        <w:rPr/>
        <w:t>指因疾病或意外伤害导致完全丧失语言能力，经过积极治疗至少12个月（声带</w:t>
      </w:r>
    </w:p>
    <w:p>
      <w:pPr>
        <w:pStyle w:val="BodyText"/>
      </w:pPr>
      <w:r>
        <w:rPr>
          <w:spacing w:val="-3"/>
          <w:w w:val="100"/>
        </w:rPr>
        <w:t>完全切除不受此时间限制</w:t>
      </w:r>
      <w:r>
        <w:rPr>
          <w:spacing w:val="-108"/>
          <w:w w:val="100"/>
        </w:rPr>
        <w:t>）</w:t>
      </w:r>
      <w:r>
        <w:rPr>
          <w:spacing w:val="-3"/>
          <w:w w:val="100"/>
        </w:rPr>
        <w:t>，仍无法通过现有医疗手段恢复。  </w:t>
      </w:r>
    </w:p>
    <w:p>
      <w:pPr>
        <w:pStyle w:val="BodyText"/>
      </w:pPr>
      <w:r>
        <w:rPr/>
        <w:t>精神心理因素所致的语言能力丧失不在保障范围内。  </w:t>
      </w:r>
    </w:p>
    <w:p>
      <w:pPr>
        <w:pStyle w:val="BodyText"/>
        <w:spacing w:line="274" w:lineRule="exact"/>
      </w:pPr>
      <w:r>
        <w:rPr/>
        <w:t>24、重型再生障碍性贫血  </w:t>
      </w:r>
    </w:p>
    <w:p>
      <w:pPr>
        <w:spacing w:after="0" w:line="274" w:lineRule="exact"/>
        <w:sectPr>
          <w:pgSz w:w="11900" w:h="16840"/>
          <w:pgMar w:header="0" w:footer="457" w:top="1280" w:bottom="640" w:left="1680" w:right="460"/>
        </w:sectPr>
      </w:pPr>
    </w:p>
    <w:p>
      <w:pPr>
        <w:pStyle w:val="BodyText"/>
        <w:spacing w:line="273" w:lineRule="exact" w:before="7"/>
      </w:pPr>
      <w:r>
        <w:rPr/>
        <w:t>指因骨髓造血功能慢性持续性衰竭导致的贫血、中性粒细胞减少及血小板减少。</w:t>
      </w:r>
    </w:p>
    <w:p>
      <w:pPr>
        <w:pStyle w:val="BodyText"/>
      </w:pPr>
      <w:r>
        <w:rPr/>
        <w:t>须满足下列全部条件：  </w:t>
      </w:r>
    </w:p>
    <w:p>
      <w:pPr>
        <w:pStyle w:val="BodyText"/>
      </w:pPr>
      <w:r>
        <w:rPr/>
        <w:t>（1）骨髓穿刺检查或骨髓活检结果支持诊断；  </w:t>
      </w:r>
    </w:p>
    <w:p>
      <w:pPr>
        <w:pStyle w:val="BodyText"/>
      </w:pPr>
      <w:r>
        <w:rPr/>
        <w:t>（2）外周血象须具备以下三项条件：  </w:t>
      </w:r>
    </w:p>
    <w:p>
      <w:pPr>
        <w:pStyle w:val="BodyText"/>
        <w:ind w:left="2896"/>
      </w:pPr>
      <w:r>
        <w:rPr/>
        <w:t>① 中性粒细胞绝对值≤0.5×10</w:t>
      </w:r>
      <w:r>
        <w:rPr>
          <w:position w:val="11"/>
          <w:sz w:val="11"/>
        </w:rPr>
        <w:t>9</w:t>
      </w:r>
      <w:r>
        <w:rPr/>
        <w:t>/L ；  </w:t>
      </w:r>
    </w:p>
    <w:p>
      <w:pPr>
        <w:pStyle w:val="BodyText"/>
        <w:ind w:left="2896"/>
      </w:pPr>
      <w:r>
        <w:rPr/>
        <w:t>② 网织红细胞＜1%；  </w:t>
      </w:r>
    </w:p>
    <w:p>
      <w:pPr>
        <w:pStyle w:val="BodyText"/>
        <w:ind w:left="2896"/>
      </w:pPr>
      <w:r>
        <w:rPr/>
        <w:t>③ 血小板绝对值≤20×10</w:t>
      </w:r>
      <w:r>
        <w:rPr>
          <w:position w:val="11"/>
          <w:sz w:val="11"/>
        </w:rPr>
        <w:t>9</w:t>
      </w:r>
      <w:r>
        <w:rPr/>
        <w:t>/L。  </w:t>
      </w:r>
    </w:p>
    <w:p>
      <w:pPr>
        <w:pStyle w:val="BodyText"/>
      </w:pPr>
      <w:r>
        <w:rPr/>
        <w:t>25、主动脉手术  </w:t>
      </w:r>
    </w:p>
    <w:p>
      <w:pPr>
        <w:pStyle w:val="BodyText"/>
        <w:spacing w:line="237" w:lineRule="auto" w:before="2"/>
        <w:ind w:right="219"/>
        <w:jc w:val="both"/>
      </w:pPr>
      <w:r>
        <w:rPr/>
        <w:t>指为治疗主动脉疾病，实际实施了开胸或开腹进行的切除、置换、修补病损主动脉血管的手术。主动脉指胸主动脉和腹主动脉，不包括胸主动脉和腹主动脉的分支血管。  </w:t>
      </w:r>
    </w:p>
    <w:p>
      <w:pPr>
        <w:pStyle w:val="BodyText"/>
        <w:spacing w:line="271" w:lineRule="exact"/>
      </w:pPr>
      <w:r>
        <w:rPr/>
        <w:t>动脉内血管成形术不在保障范围内。  </w:t>
      </w:r>
    </w:p>
    <w:p>
      <w:pPr>
        <w:pStyle w:val="BodyText"/>
      </w:pPr>
      <w:r>
        <w:rPr/>
        <w:t>26、严重多发性硬化症 </w:t>
      </w:r>
    </w:p>
    <w:p>
      <w:pPr>
        <w:pStyle w:val="BodyText"/>
        <w:spacing w:line="237" w:lineRule="auto"/>
        <w:ind w:right="275"/>
        <w:jc w:val="both"/>
      </w:pPr>
      <w:r>
        <w:rPr/>
        <w:t>多发性硬化症为中枢神经系统白质多灶性脱髓鞘病变，病变有时累及灰质。多发性硬化症诊断必须明确无疑。本附加险合同仅对多发性硬化症造成神经系统功能损害并且被保险人永久不可逆性的丧失自主生活能力，无法独立完成六项基本日常生活活动中的三项或三项以上的情况予以理赔。</w:t>
      </w:r>
    </w:p>
    <w:p>
      <w:pPr>
        <w:pStyle w:val="BodyText"/>
        <w:spacing w:line="271" w:lineRule="exact"/>
        <w:rPr>
          <w:sz w:val="16"/>
        </w:rPr>
      </w:pPr>
      <w:r>
        <w:rPr/>
        <w:t>27、严重慢性呼吸功能衰竭</w:t>
      </w:r>
      <w:r>
        <w:rPr>
          <w:w w:val="100"/>
          <w:sz w:val="16"/>
        </w:rPr>
        <w:t> </w:t>
      </w:r>
    </w:p>
    <w:p>
      <w:pPr>
        <w:pStyle w:val="BodyText"/>
        <w:spacing w:line="237" w:lineRule="auto" w:before="2"/>
        <w:ind w:right="219"/>
      </w:pPr>
      <w:r>
        <w:rPr/>
        <w:t>被保险人患有慢性呼吸系统疾病或其它导致呼吸功能障碍的慢性疾病而出现永久不可逆性的慢性呼吸衰竭，由专科医生确认并符合以下各项： </w:t>
      </w:r>
    </w:p>
    <w:p>
      <w:pPr>
        <w:pStyle w:val="BodyText"/>
      </w:pPr>
      <w:r>
        <w:rPr/>
        <w:t>（1）休息时出现呼吸困难； </w:t>
      </w:r>
    </w:p>
    <w:p>
      <w:pPr>
        <w:pStyle w:val="BodyText"/>
        <w:spacing w:line="271" w:lineRule="exact"/>
      </w:pPr>
      <w:r>
        <w:rPr>
          <w:position w:val="1"/>
        </w:rPr>
        <w:t>（2）动脉氧分压 （PaO</w:t>
      </w:r>
      <w:r>
        <w:rPr>
          <w:sz w:val="11"/>
        </w:rPr>
        <w:t>2</w:t>
      </w:r>
      <w:r>
        <w:rPr>
          <w:position w:val="1"/>
        </w:rPr>
        <w:t>）&lt; 50mmHg； </w:t>
      </w:r>
    </w:p>
    <w:p>
      <w:pPr>
        <w:pStyle w:val="BodyText"/>
        <w:spacing w:line="273" w:lineRule="exact"/>
      </w:pPr>
      <w:r>
        <w:rPr>
          <w:position w:val="1"/>
        </w:rPr>
        <w:t>（3）动脉血氧饱和度 （SaO</w:t>
      </w:r>
      <w:r>
        <w:rPr>
          <w:sz w:val="11"/>
        </w:rPr>
        <w:t>2</w:t>
      </w:r>
      <w:r>
        <w:rPr>
          <w:position w:val="1"/>
        </w:rPr>
        <w:t>）&lt; 80％； </w:t>
      </w:r>
    </w:p>
    <w:p>
      <w:pPr>
        <w:pStyle w:val="BodyText"/>
        <w:spacing w:line="281" w:lineRule="exact"/>
      </w:pPr>
      <w:r>
        <w:rPr/>
        <w:t>（</w:t>
      </w:r>
      <w:r>
        <w:rPr>
          <w:rFonts w:ascii="Times New Roman" w:eastAsia="Times New Roman"/>
        </w:rPr>
        <w:t>4</w:t>
      </w:r>
      <w:r>
        <w:rPr/>
        <w:t>）因缺氧必须接受持续的输氧治疗。 </w:t>
      </w:r>
    </w:p>
    <w:p>
      <w:pPr>
        <w:pStyle w:val="BodyText"/>
        <w:spacing w:line="264" w:lineRule="exact"/>
      </w:pPr>
      <w:r>
        <w:rPr/>
        <w:t>28、严重类风湿关节炎 </w:t>
      </w:r>
    </w:p>
    <w:p>
      <w:pPr>
        <w:pStyle w:val="BodyText"/>
        <w:spacing w:line="235" w:lineRule="auto" w:before="5"/>
        <w:ind w:right="72"/>
      </w:pPr>
      <w:r>
        <w:rPr>
          <w:spacing w:val="-5"/>
        </w:rPr>
        <w:t>严重类风湿关节炎为广泛分布的慢性进行性多关节病变，表现为关节严重变形， 侵犯至少三个主要关节或关节组（如：双手（多手指）关节、双足（多足趾） </w:t>
      </w:r>
      <w:r>
        <w:rPr>
          <w:spacing w:val="-8"/>
        </w:rPr>
        <w:t>关节、双腕关节、双膝关节和双髋关节</w:t>
      </w:r>
      <w:r>
        <w:rPr>
          <w:spacing w:val="-106"/>
        </w:rPr>
        <w:t>）</w:t>
      </w:r>
      <w:r>
        <w:rPr>
          <w:spacing w:val="-6"/>
        </w:rPr>
        <w:t>。诊断必须由专科医生确认，被保险人</w:t>
      </w:r>
      <w:r>
        <w:rPr>
          <w:spacing w:val="-2"/>
        </w:rPr>
        <w:t>所患的严重类风湿关节炎必须已经达到类风湿关节炎功能分级</w:t>
      </w:r>
      <w:r>
        <w:rPr>
          <w:rFonts w:ascii="Times New Roman" w:eastAsia="Times New Roman"/>
        </w:rPr>
        <w:t>III </w:t>
      </w:r>
      <w:r>
        <w:rPr>
          <w:spacing w:val="-2"/>
        </w:rPr>
        <w:t>级以上的功能</w:t>
      </w:r>
      <w:r>
        <w:rPr>
          <w:spacing w:val="-10"/>
        </w:rPr>
        <w:t>障碍</w:t>
      </w:r>
      <w:r>
        <w:rPr/>
        <w:t>（</w:t>
      </w:r>
      <w:r>
        <w:rPr>
          <w:spacing w:val="-5"/>
        </w:rPr>
        <w:t>严重限制，不能完成大部分的日常工作和活动</w:t>
      </w:r>
      <w:r>
        <w:rPr>
          <w:spacing w:val="-17"/>
        </w:rPr>
        <w:t>）</w:t>
      </w:r>
      <w:r>
        <w:rPr>
          <w:spacing w:val="-3"/>
        </w:rPr>
        <w:t>并且符合下列所有条件：</w:t>
      </w:r>
    </w:p>
    <w:p>
      <w:pPr>
        <w:pStyle w:val="BodyText"/>
        <w:spacing w:line="279" w:lineRule="exact"/>
      </w:pPr>
      <w:r>
        <w:rPr/>
        <w:t>（</w:t>
      </w:r>
      <w:r>
        <w:rPr>
          <w:rFonts w:ascii="Times New Roman" w:eastAsia="Times New Roman"/>
        </w:rPr>
        <w:t>1</w:t>
      </w:r>
      <w:r>
        <w:rPr/>
        <w:t>）晨僵；</w:t>
      </w:r>
    </w:p>
    <w:p>
      <w:pPr>
        <w:pStyle w:val="BodyText"/>
      </w:pPr>
      <w:r>
        <w:rPr/>
        <w:t>（</w:t>
      </w:r>
      <w:r>
        <w:rPr>
          <w:rFonts w:ascii="Times New Roman" w:eastAsia="Times New Roman"/>
        </w:rPr>
        <w:t>2</w:t>
      </w:r>
      <w:r>
        <w:rPr/>
        <w:t>）对称性关节炎；</w:t>
      </w:r>
    </w:p>
    <w:p>
      <w:pPr>
        <w:pStyle w:val="BodyText"/>
      </w:pPr>
      <w:r>
        <w:rPr/>
        <w:t>（</w:t>
      </w:r>
      <w:r>
        <w:rPr>
          <w:rFonts w:ascii="Times New Roman" w:eastAsia="Times New Roman"/>
        </w:rPr>
        <w:t>3</w:t>
      </w:r>
      <w:r>
        <w:rPr/>
        <w:t>）类风湿性皮下结节；</w:t>
      </w:r>
    </w:p>
    <w:p>
      <w:pPr>
        <w:pStyle w:val="BodyText"/>
      </w:pPr>
      <w:r>
        <w:rPr/>
        <w:t>（</w:t>
      </w:r>
      <w:r>
        <w:rPr>
          <w:rFonts w:ascii="Times New Roman" w:eastAsia="Times New Roman"/>
        </w:rPr>
        <w:t>4</w:t>
      </w:r>
      <w:r>
        <w:rPr/>
        <w:t>）类风湿因子滴度升高；</w:t>
      </w:r>
    </w:p>
    <w:p>
      <w:pPr>
        <w:pStyle w:val="BodyText"/>
        <w:spacing w:line="264" w:lineRule="exact"/>
      </w:pPr>
      <w:r>
        <w:rPr/>
        <w:t>（5）X 线显示严重的关节（软骨和骨）破坏和关节畸形。</w:t>
      </w:r>
    </w:p>
    <w:p>
      <w:pPr>
        <w:pStyle w:val="BodyText"/>
      </w:pPr>
      <w:r>
        <w:rPr/>
        <w:t>29、严重系统性红斑狼疮 </w:t>
      </w:r>
    </w:p>
    <w:p>
      <w:pPr>
        <w:pStyle w:val="BodyText"/>
        <w:spacing w:line="240" w:lineRule="auto"/>
        <w:ind w:left="2246" w:right="215" w:firstLine="422"/>
        <w:jc w:val="both"/>
      </w:pPr>
      <w:r>
        <w:rPr>
          <w:spacing w:val="-6"/>
        </w:rPr>
        <w:t>系统性红斑狼疮是由多种因素引起，累及多系统的自身免疫性疾病。其特点</w:t>
      </w:r>
      <w:r>
        <w:rPr>
          <w:spacing w:val="-4"/>
        </w:rPr>
        <w:t>是生成自身抗体对抗多种自身抗原。多见于育龄妇女。</w:t>
      </w:r>
      <w:r>
        <w:rPr/>
        <w:t> </w:t>
      </w:r>
    </w:p>
    <w:p>
      <w:pPr>
        <w:pStyle w:val="BodyText"/>
        <w:spacing w:line="237" w:lineRule="auto" w:before="1"/>
        <w:ind w:left="2246" w:right="153" w:firstLine="422"/>
        <w:jc w:val="both"/>
      </w:pPr>
      <w:r>
        <w:rPr>
          <w:spacing w:val="-3"/>
        </w:rPr>
        <w:t>本附加险合同所指的系统性红斑狼疮仅限于累及肾脏</w:t>
      </w:r>
      <w:r>
        <w:rPr/>
        <w:t>（</w:t>
      </w:r>
      <w:r>
        <w:rPr>
          <w:spacing w:val="-3"/>
        </w:rPr>
        <w:t>经肾脏活检确认的， </w:t>
      </w:r>
      <w:r>
        <w:rPr>
          <w:spacing w:val="-19"/>
        </w:rPr>
        <w:t>符合 </w:t>
      </w:r>
      <w:r>
        <w:rPr/>
        <w:t>WHO</w:t>
      </w:r>
      <w:r>
        <w:rPr>
          <w:spacing w:val="-15"/>
        </w:rPr>
        <w:t> 诊断标准定义 </w:t>
      </w:r>
      <w:r>
        <w:rPr/>
        <w:t>III</w:t>
      </w:r>
      <w:r>
        <w:rPr>
          <w:spacing w:val="-26"/>
        </w:rPr>
        <w:t> 型至 </w:t>
      </w:r>
      <w:r>
        <w:rPr/>
        <w:t>V</w:t>
      </w:r>
      <w:r>
        <w:rPr>
          <w:spacing w:val="-10"/>
        </w:rPr>
        <w:t> 型狼疮性肾炎</w:t>
      </w:r>
      <w:r>
        <w:rPr>
          <w:spacing w:val="-32"/>
        </w:rPr>
        <w:t>）</w:t>
      </w:r>
      <w:r>
        <w:rPr>
          <w:spacing w:val="-7"/>
        </w:rPr>
        <w:t>的系统性红斑狼疮。其他类型</w:t>
      </w:r>
      <w:r>
        <w:rPr>
          <w:spacing w:val="-5"/>
        </w:rPr>
        <w:t>的红斑性狼疮，如盘状狼疮、仅累及血液及关节的狼疮不在保障范围内。</w:t>
      </w:r>
      <w:r>
        <w:rPr/>
        <w:t> </w:t>
      </w:r>
    </w:p>
    <w:p>
      <w:pPr>
        <w:pStyle w:val="BodyText"/>
        <w:spacing w:line="274" w:lineRule="exact" w:after="31"/>
      </w:pPr>
      <w:r>
        <w:rPr/>
        <w:t>世界卫生组织（WHO）狼疮性肾炎分型：</w:t>
      </w:r>
    </w:p>
    <w:tbl>
      <w:tblPr>
        <w:tblW w:w="0" w:type="auto"/>
        <w:jc w:val="left"/>
        <w:tblInd w:w="2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1"/>
        <w:gridCol w:w="4359"/>
      </w:tblGrid>
      <w:tr>
        <w:trPr>
          <w:trHeight w:val="273" w:hRule="atLeast"/>
        </w:trPr>
        <w:tc>
          <w:tcPr>
            <w:tcW w:w="2861" w:type="dxa"/>
          </w:tcPr>
          <w:p>
            <w:pPr>
              <w:pStyle w:val="TableParagraph"/>
              <w:spacing w:line="241" w:lineRule="exact"/>
              <w:ind w:left="107"/>
              <w:rPr>
                <w:sz w:val="21"/>
              </w:rPr>
            </w:pPr>
            <w:r>
              <w:rPr>
                <w:sz w:val="21"/>
              </w:rPr>
              <w:t>I 型（微小病变型）</w:t>
            </w:r>
          </w:p>
        </w:tc>
        <w:tc>
          <w:tcPr>
            <w:tcW w:w="4359" w:type="dxa"/>
          </w:tcPr>
          <w:p>
            <w:pPr>
              <w:pStyle w:val="TableParagraph"/>
              <w:spacing w:line="241" w:lineRule="exact"/>
              <w:ind w:left="107"/>
              <w:rPr>
                <w:sz w:val="21"/>
              </w:rPr>
            </w:pPr>
            <w:r>
              <w:rPr>
                <w:sz w:val="21"/>
              </w:rPr>
              <w:t>镜下阴性，尿液正常 </w:t>
            </w:r>
          </w:p>
        </w:tc>
      </w:tr>
      <w:tr>
        <w:trPr>
          <w:trHeight w:val="270" w:hRule="atLeast"/>
        </w:trPr>
        <w:tc>
          <w:tcPr>
            <w:tcW w:w="2861" w:type="dxa"/>
          </w:tcPr>
          <w:p>
            <w:pPr>
              <w:pStyle w:val="TableParagraph"/>
              <w:spacing w:line="241" w:lineRule="exact"/>
              <w:ind w:left="107"/>
              <w:rPr>
                <w:sz w:val="21"/>
              </w:rPr>
            </w:pPr>
            <w:r>
              <w:rPr>
                <w:sz w:val="21"/>
              </w:rPr>
              <w:t>II 型（系膜病变型） </w:t>
            </w:r>
          </w:p>
        </w:tc>
        <w:tc>
          <w:tcPr>
            <w:tcW w:w="4359" w:type="dxa"/>
          </w:tcPr>
          <w:p>
            <w:pPr>
              <w:pStyle w:val="TableParagraph"/>
              <w:spacing w:line="241" w:lineRule="exact"/>
              <w:ind w:left="107"/>
              <w:rPr>
                <w:sz w:val="21"/>
              </w:rPr>
            </w:pPr>
            <w:r>
              <w:rPr>
                <w:sz w:val="21"/>
              </w:rPr>
              <w:t>中度蛋白尿，偶有尿沉渣改变 </w:t>
            </w:r>
          </w:p>
        </w:tc>
      </w:tr>
      <w:tr>
        <w:trPr>
          <w:trHeight w:val="273" w:hRule="atLeast"/>
        </w:trPr>
        <w:tc>
          <w:tcPr>
            <w:tcW w:w="2861" w:type="dxa"/>
          </w:tcPr>
          <w:p>
            <w:pPr>
              <w:pStyle w:val="TableParagraph"/>
              <w:spacing w:line="241" w:lineRule="exact"/>
              <w:ind w:left="107" w:right="-44"/>
              <w:rPr>
                <w:sz w:val="21"/>
              </w:rPr>
            </w:pPr>
            <w:r>
              <w:rPr>
                <w:sz w:val="21"/>
              </w:rPr>
              <w:t>III</w:t>
            </w:r>
            <w:r>
              <w:rPr>
                <w:spacing w:val="-21"/>
                <w:sz w:val="21"/>
              </w:rPr>
              <w:t> 型</w:t>
            </w:r>
            <w:r>
              <w:rPr>
                <w:sz w:val="21"/>
              </w:rPr>
              <w:t>（</w:t>
            </w:r>
            <w:r>
              <w:rPr>
                <w:spacing w:val="-3"/>
                <w:sz w:val="21"/>
              </w:rPr>
              <w:t>局灶及节段增生型）</w:t>
            </w:r>
            <w:r>
              <w:rPr>
                <w:sz w:val="21"/>
              </w:rPr>
              <w:t> </w:t>
            </w:r>
          </w:p>
        </w:tc>
        <w:tc>
          <w:tcPr>
            <w:tcW w:w="4359" w:type="dxa"/>
          </w:tcPr>
          <w:p>
            <w:pPr>
              <w:pStyle w:val="TableParagraph"/>
              <w:spacing w:line="241" w:lineRule="exact"/>
              <w:ind w:left="107"/>
              <w:rPr>
                <w:sz w:val="21"/>
              </w:rPr>
            </w:pPr>
            <w:r>
              <w:rPr>
                <w:sz w:val="21"/>
              </w:rPr>
              <w:t>蛋白尿，尿沉渣改变 </w:t>
            </w:r>
          </w:p>
        </w:tc>
      </w:tr>
      <w:tr>
        <w:trPr>
          <w:trHeight w:val="273" w:hRule="atLeast"/>
        </w:trPr>
        <w:tc>
          <w:tcPr>
            <w:tcW w:w="2861" w:type="dxa"/>
          </w:tcPr>
          <w:p>
            <w:pPr>
              <w:pStyle w:val="TableParagraph"/>
              <w:spacing w:line="241" w:lineRule="exact"/>
              <w:ind w:left="107"/>
              <w:rPr>
                <w:sz w:val="21"/>
              </w:rPr>
            </w:pPr>
            <w:r>
              <w:rPr>
                <w:sz w:val="21"/>
              </w:rPr>
              <w:t>IV 型（弥漫增生型） </w:t>
            </w:r>
          </w:p>
        </w:tc>
        <w:tc>
          <w:tcPr>
            <w:tcW w:w="4359" w:type="dxa"/>
          </w:tcPr>
          <w:p>
            <w:pPr>
              <w:pStyle w:val="TableParagraph"/>
              <w:spacing w:line="241" w:lineRule="exact"/>
              <w:ind w:left="107"/>
              <w:rPr>
                <w:sz w:val="21"/>
              </w:rPr>
            </w:pPr>
            <w:r>
              <w:rPr>
                <w:sz w:val="21"/>
              </w:rPr>
              <w:t>急性肾炎伴有尿沉渣改变及／或肾病综合征 </w:t>
            </w:r>
          </w:p>
        </w:tc>
      </w:tr>
      <w:tr>
        <w:trPr>
          <w:trHeight w:val="270" w:hRule="atLeast"/>
        </w:trPr>
        <w:tc>
          <w:tcPr>
            <w:tcW w:w="2861" w:type="dxa"/>
          </w:tcPr>
          <w:p>
            <w:pPr>
              <w:pStyle w:val="TableParagraph"/>
              <w:spacing w:line="241" w:lineRule="exact"/>
              <w:ind w:left="107"/>
              <w:rPr>
                <w:sz w:val="21"/>
              </w:rPr>
            </w:pPr>
            <w:r>
              <w:rPr>
                <w:sz w:val="21"/>
              </w:rPr>
              <w:t>V 型（膜型） </w:t>
            </w:r>
          </w:p>
        </w:tc>
        <w:tc>
          <w:tcPr>
            <w:tcW w:w="4359" w:type="dxa"/>
          </w:tcPr>
          <w:p>
            <w:pPr>
              <w:pStyle w:val="TableParagraph"/>
              <w:spacing w:line="241" w:lineRule="exact"/>
              <w:ind w:left="105"/>
              <w:rPr>
                <w:sz w:val="21"/>
              </w:rPr>
            </w:pPr>
            <w:r>
              <w:rPr>
                <w:sz w:val="21"/>
              </w:rPr>
              <w:t>肾病综合征或重度蛋白尿 </w:t>
            </w:r>
          </w:p>
        </w:tc>
      </w:tr>
    </w:tbl>
    <w:p>
      <w:pPr>
        <w:pStyle w:val="BodyText"/>
        <w:spacing w:line="239" w:lineRule="exact"/>
      </w:pPr>
      <w:r>
        <w:rPr/>
        <w:t>30、经输血导致的人类免疫缺陷病毒感染  </w:t>
      </w:r>
    </w:p>
    <w:p>
      <w:pPr>
        <w:pStyle w:val="BodyText"/>
      </w:pPr>
      <w:r>
        <w:rPr/>
        <w:t>被保险人感染上人类免疫缺陷病毒（HIV）并且符合下列所有条件： </w:t>
      </w:r>
    </w:p>
    <w:p>
      <w:pPr>
        <w:pStyle w:val="BodyText"/>
      </w:pPr>
      <w:r>
        <w:rPr/>
        <w:t>（1）本附加险合同生效日或最后复效日后，被保险人因输血而感染 HIV； </w:t>
      </w:r>
    </w:p>
    <w:p>
      <w:pPr>
        <w:pStyle w:val="BodyText"/>
        <w:spacing w:line="274" w:lineRule="exact"/>
      </w:pPr>
      <w:r>
        <w:rPr/>
        <w:t>（2）提供输血治疗的输血中心或医疗机构出具该项输血感染属医疗责任事故的</w:t>
      </w:r>
    </w:p>
    <w:p>
      <w:pPr>
        <w:spacing w:after="0" w:line="274" w:lineRule="exact"/>
        <w:sectPr>
          <w:pgSz w:w="11900" w:h="16840"/>
          <w:pgMar w:header="0" w:footer="457" w:top="1280" w:bottom="640" w:left="1680" w:right="460"/>
        </w:sectPr>
      </w:pPr>
    </w:p>
    <w:p>
      <w:pPr>
        <w:pStyle w:val="BodyText"/>
        <w:spacing w:line="273" w:lineRule="exact" w:before="7"/>
        <w:jc w:val="both"/>
      </w:pPr>
      <w:r>
        <w:rPr/>
        <w:t>报告，或者法院终审裁定为医疗责任； </w:t>
      </w:r>
    </w:p>
    <w:p>
      <w:pPr>
        <w:pStyle w:val="BodyText"/>
        <w:jc w:val="both"/>
      </w:pPr>
      <w:r>
        <w:rPr/>
        <w:t>（3）受感染的被保险人不是血友病患者。 </w:t>
      </w:r>
    </w:p>
    <w:p>
      <w:pPr>
        <w:pStyle w:val="BodyText"/>
        <w:jc w:val="both"/>
      </w:pPr>
      <w:r>
        <w:rPr/>
        <w:t>在任何治愈艾滋病（AIDS）或阻止 HIV 病毒作用的疗法被发现以后，或能防止</w:t>
      </w:r>
    </w:p>
    <w:p>
      <w:pPr>
        <w:pStyle w:val="BodyText"/>
        <w:jc w:val="both"/>
      </w:pPr>
      <w:r>
        <w:rPr/>
        <w:t>AIDS 发生的医疗方法被研究出来以后，本附加险合同将不再予以赔付。 </w:t>
      </w:r>
    </w:p>
    <w:p>
      <w:pPr>
        <w:pStyle w:val="BodyText"/>
        <w:jc w:val="both"/>
      </w:pPr>
      <w:r>
        <w:rPr/>
        <w:t>任何因其他传播方式（包括：性传播或静脉注射毒品）导致的 HIV 感染不在保</w:t>
      </w:r>
    </w:p>
    <w:p>
      <w:pPr>
        <w:pStyle w:val="BodyText"/>
        <w:jc w:val="both"/>
      </w:pPr>
      <w:r>
        <w:rPr/>
        <w:t>障范围内。 </w:t>
      </w:r>
    </w:p>
    <w:p>
      <w:pPr>
        <w:pStyle w:val="BodyText"/>
        <w:jc w:val="both"/>
      </w:pPr>
      <w:r>
        <w:rPr/>
        <w:t>31、克隆病 </w:t>
      </w:r>
    </w:p>
    <w:p>
      <w:pPr>
        <w:pStyle w:val="BodyText"/>
        <w:spacing w:line="237" w:lineRule="auto"/>
        <w:ind w:right="275"/>
        <w:jc w:val="both"/>
      </w:pPr>
      <w:r>
        <w:rPr/>
        <w:t>克隆病是一种慢性肉芽肿性肠炎。被保险人所患的克隆病必须已经造成瘘管形成并伴有肠梗阻或肠穿孔。诊断必须由病理检查结果证实存在特征性的克隆病病理组织学变化。 </w:t>
      </w:r>
    </w:p>
    <w:p>
      <w:pPr>
        <w:pStyle w:val="BodyText"/>
      </w:pPr>
      <w:r>
        <w:rPr/>
        <w:t>32、植物人状态 </w:t>
      </w:r>
    </w:p>
    <w:p>
      <w:pPr>
        <w:pStyle w:val="BodyText"/>
        <w:spacing w:line="237" w:lineRule="auto" w:before="1"/>
        <w:ind w:right="219"/>
        <w:jc w:val="both"/>
      </w:pPr>
      <w:r>
        <w:rPr/>
        <w:t>本附加险合同所指的植物人状态是指由于严重脑创伤造成的对自身和环境的意识的完全丧失状态。植物人状态必须由医疗机构的专科医生明确诊断，并且确认被保险人在头部创伤60天后的头部创伤昏迷评分小于6分。 </w:t>
      </w:r>
    </w:p>
    <w:p>
      <w:pPr>
        <w:pStyle w:val="BodyText"/>
        <w:spacing w:line="274" w:lineRule="exact" w:after="31"/>
      </w:pPr>
      <w:r>
        <w:rPr/>
        <w:t>Glasgow头部创伤昏迷评分表： </w:t>
      </w:r>
    </w:p>
    <w:tbl>
      <w:tblPr>
        <w:tblW w:w="0" w:type="auto"/>
        <w:jc w:val="left"/>
        <w:tblInd w:w="2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453"/>
        <w:gridCol w:w="1972"/>
        <w:gridCol w:w="539"/>
        <w:gridCol w:w="1389"/>
        <w:gridCol w:w="539"/>
      </w:tblGrid>
      <w:tr>
        <w:trPr>
          <w:trHeight w:val="285" w:hRule="atLeast"/>
        </w:trPr>
        <w:tc>
          <w:tcPr>
            <w:tcW w:w="1955" w:type="dxa"/>
            <w:gridSpan w:val="2"/>
          </w:tcPr>
          <w:p>
            <w:pPr>
              <w:pStyle w:val="TableParagraph"/>
              <w:spacing w:line="241" w:lineRule="exact"/>
              <w:ind w:left="319"/>
              <w:rPr>
                <w:sz w:val="21"/>
              </w:rPr>
            </w:pPr>
            <w:r>
              <w:rPr>
                <w:sz w:val="21"/>
              </w:rPr>
              <w:t>睁眼活动（E） </w:t>
            </w:r>
          </w:p>
        </w:tc>
        <w:tc>
          <w:tcPr>
            <w:tcW w:w="2511" w:type="dxa"/>
            <w:gridSpan w:val="2"/>
          </w:tcPr>
          <w:p>
            <w:pPr>
              <w:pStyle w:val="TableParagraph"/>
              <w:spacing w:line="241" w:lineRule="exact"/>
              <w:ind w:left="596"/>
              <w:rPr>
                <w:sz w:val="21"/>
              </w:rPr>
            </w:pPr>
            <w:r>
              <w:rPr>
                <w:sz w:val="21"/>
              </w:rPr>
              <w:t>运动功能（M） </w:t>
            </w:r>
          </w:p>
        </w:tc>
        <w:tc>
          <w:tcPr>
            <w:tcW w:w="1928" w:type="dxa"/>
            <w:gridSpan w:val="2"/>
          </w:tcPr>
          <w:p>
            <w:pPr>
              <w:pStyle w:val="TableParagraph"/>
              <w:spacing w:line="241" w:lineRule="exact"/>
              <w:ind w:left="307"/>
              <w:rPr>
                <w:sz w:val="21"/>
              </w:rPr>
            </w:pPr>
            <w:r>
              <w:rPr>
                <w:sz w:val="21"/>
              </w:rPr>
              <w:t>语言功能（V） </w:t>
            </w:r>
          </w:p>
        </w:tc>
      </w:tr>
      <w:tr>
        <w:trPr>
          <w:trHeight w:val="270" w:hRule="atLeast"/>
        </w:trPr>
        <w:tc>
          <w:tcPr>
            <w:tcW w:w="1502" w:type="dxa"/>
            <w:tcBorders>
              <w:bottom w:val="nil"/>
            </w:tcBorders>
          </w:tcPr>
          <w:p>
            <w:pPr>
              <w:pStyle w:val="TableParagraph"/>
              <w:spacing w:line="241" w:lineRule="exact"/>
              <w:ind w:left="107"/>
              <w:rPr>
                <w:sz w:val="21"/>
              </w:rPr>
            </w:pPr>
            <w:r>
              <w:rPr>
                <w:sz w:val="21"/>
              </w:rPr>
              <w:t>自动睁眼 </w:t>
            </w:r>
          </w:p>
        </w:tc>
        <w:tc>
          <w:tcPr>
            <w:tcW w:w="453" w:type="dxa"/>
            <w:tcBorders>
              <w:bottom w:val="nil"/>
            </w:tcBorders>
          </w:tcPr>
          <w:p>
            <w:pPr>
              <w:pStyle w:val="TableParagraph"/>
              <w:spacing w:line="241" w:lineRule="exact"/>
              <w:ind w:left="142" w:right="155"/>
              <w:jc w:val="center"/>
              <w:rPr>
                <w:sz w:val="21"/>
              </w:rPr>
            </w:pPr>
            <w:r>
              <w:rPr>
                <w:sz w:val="21"/>
              </w:rPr>
              <w:t>4 </w:t>
            </w:r>
          </w:p>
        </w:tc>
        <w:tc>
          <w:tcPr>
            <w:tcW w:w="1972" w:type="dxa"/>
            <w:tcBorders>
              <w:bottom w:val="nil"/>
            </w:tcBorders>
          </w:tcPr>
          <w:p>
            <w:pPr>
              <w:pStyle w:val="TableParagraph"/>
              <w:spacing w:line="241" w:lineRule="exact"/>
              <w:ind w:left="106"/>
              <w:rPr>
                <w:sz w:val="21"/>
              </w:rPr>
            </w:pPr>
            <w:r>
              <w:rPr>
                <w:sz w:val="21"/>
              </w:rPr>
              <w:t>能听从指令活动 </w:t>
            </w:r>
          </w:p>
        </w:tc>
        <w:tc>
          <w:tcPr>
            <w:tcW w:w="539" w:type="dxa"/>
            <w:tcBorders>
              <w:bottom w:val="nil"/>
            </w:tcBorders>
          </w:tcPr>
          <w:p>
            <w:pPr>
              <w:pStyle w:val="TableParagraph"/>
              <w:spacing w:line="241" w:lineRule="exact"/>
              <w:ind w:left="109"/>
              <w:rPr>
                <w:sz w:val="21"/>
              </w:rPr>
            </w:pPr>
            <w:r>
              <w:rPr>
                <w:sz w:val="21"/>
              </w:rPr>
              <w:t>6 </w:t>
            </w:r>
          </w:p>
        </w:tc>
        <w:tc>
          <w:tcPr>
            <w:tcW w:w="1389" w:type="dxa"/>
            <w:tcBorders>
              <w:bottom w:val="nil"/>
            </w:tcBorders>
          </w:tcPr>
          <w:p>
            <w:pPr>
              <w:pStyle w:val="TableParagraph"/>
              <w:spacing w:line="241" w:lineRule="exact"/>
              <w:ind w:left="110"/>
              <w:rPr>
                <w:sz w:val="21"/>
              </w:rPr>
            </w:pPr>
            <w:r>
              <w:rPr>
                <w:sz w:val="21"/>
              </w:rPr>
              <w:t>语言切题 </w:t>
            </w:r>
          </w:p>
        </w:tc>
        <w:tc>
          <w:tcPr>
            <w:tcW w:w="539" w:type="dxa"/>
            <w:tcBorders>
              <w:bottom w:val="nil"/>
            </w:tcBorders>
          </w:tcPr>
          <w:p>
            <w:pPr>
              <w:pStyle w:val="TableParagraph"/>
              <w:spacing w:line="241" w:lineRule="exact"/>
              <w:ind w:left="111"/>
              <w:rPr>
                <w:sz w:val="21"/>
              </w:rPr>
            </w:pPr>
            <w:r>
              <w:rPr>
                <w:sz w:val="21"/>
              </w:rPr>
              <w:t>5 </w:t>
            </w:r>
          </w:p>
        </w:tc>
      </w:tr>
      <w:tr>
        <w:trPr>
          <w:trHeight w:val="272" w:hRule="atLeast"/>
        </w:trPr>
        <w:tc>
          <w:tcPr>
            <w:tcW w:w="1502" w:type="dxa"/>
            <w:tcBorders>
              <w:top w:val="nil"/>
              <w:bottom w:val="nil"/>
            </w:tcBorders>
          </w:tcPr>
          <w:p>
            <w:pPr>
              <w:pStyle w:val="TableParagraph"/>
              <w:spacing w:line="241" w:lineRule="exact"/>
              <w:ind w:left="107"/>
              <w:rPr>
                <w:sz w:val="21"/>
              </w:rPr>
            </w:pPr>
            <w:r>
              <w:rPr>
                <w:sz w:val="21"/>
              </w:rPr>
              <w:t>闻声后睁眼 </w:t>
            </w:r>
          </w:p>
        </w:tc>
        <w:tc>
          <w:tcPr>
            <w:tcW w:w="453" w:type="dxa"/>
            <w:tcBorders>
              <w:top w:val="nil"/>
              <w:bottom w:val="nil"/>
            </w:tcBorders>
          </w:tcPr>
          <w:p>
            <w:pPr>
              <w:pStyle w:val="TableParagraph"/>
              <w:spacing w:line="241" w:lineRule="exact"/>
              <w:ind w:left="142" w:right="155"/>
              <w:jc w:val="center"/>
              <w:rPr>
                <w:sz w:val="21"/>
              </w:rPr>
            </w:pPr>
            <w:r>
              <w:rPr>
                <w:sz w:val="21"/>
              </w:rPr>
              <w:t>3 </w:t>
            </w:r>
          </w:p>
        </w:tc>
        <w:tc>
          <w:tcPr>
            <w:tcW w:w="1972" w:type="dxa"/>
            <w:tcBorders>
              <w:top w:val="nil"/>
              <w:bottom w:val="nil"/>
            </w:tcBorders>
          </w:tcPr>
          <w:p>
            <w:pPr>
              <w:pStyle w:val="TableParagraph"/>
              <w:spacing w:line="241" w:lineRule="exact"/>
              <w:ind w:left="106"/>
              <w:rPr>
                <w:sz w:val="21"/>
              </w:rPr>
            </w:pPr>
            <w:r>
              <w:rPr>
                <w:sz w:val="21"/>
              </w:rPr>
              <w:t>局部痛刺激有反应 </w:t>
            </w:r>
          </w:p>
        </w:tc>
        <w:tc>
          <w:tcPr>
            <w:tcW w:w="539" w:type="dxa"/>
            <w:tcBorders>
              <w:top w:val="nil"/>
              <w:bottom w:val="nil"/>
            </w:tcBorders>
          </w:tcPr>
          <w:p>
            <w:pPr>
              <w:pStyle w:val="TableParagraph"/>
              <w:spacing w:line="241" w:lineRule="exact"/>
              <w:ind w:left="109"/>
              <w:rPr>
                <w:sz w:val="21"/>
              </w:rPr>
            </w:pPr>
            <w:r>
              <w:rPr>
                <w:sz w:val="21"/>
              </w:rPr>
              <w:t>5 </w:t>
            </w:r>
          </w:p>
        </w:tc>
        <w:tc>
          <w:tcPr>
            <w:tcW w:w="1389" w:type="dxa"/>
            <w:tcBorders>
              <w:top w:val="nil"/>
              <w:bottom w:val="nil"/>
            </w:tcBorders>
          </w:tcPr>
          <w:p>
            <w:pPr>
              <w:pStyle w:val="TableParagraph"/>
              <w:spacing w:line="241" w:lineRule="exact"/>
              <w:ind w:left="110"/>
              <w:rPr>
                <w:sz w:val="21"/>
              </w:rPr>
            </w:pPr>
            <w:r>
              <w:rPr>
                <w:sz w:val="21"/>
              </w:rPr>
              <w:t>语不达意 </w:t>
            </w:r>
          </w:p>
        </w:tc>
        <w:tc>
          <w:tcPr>
            <w:tcW w:w="539" w:type="dxa"/>
            <w:tcBorders>
              <w:top w:val="nil"/>
              <w:bottom w:val="nil"/>
            </w:tcBorders>
          </w:tcPr>
          <w:p>
            <w:pPr>
              <w:pStyle w:val="TableParagraph"/>
              <w:spacing w:line="241" w:lineRule="exact"/>
              <w:ind w:left="111"/>
              <w:rPr>
                <w:sz w:val="21"/>
              </w:rPr>
            </w:pPr>
            <w:r>
              <w:rPr>
                <w:sz w:val="21"/>
              </w:rPr>
              <w:t>4 </w:t>
            </w:r>
          </w:p>
        </w:tc>
      </w:tr>
      <w:tr>
        <w:trPr>
          <w:trHeight w:val="272" w:hRule="atLeast"/>
        </w:trPr>
        <w:tc>
          <w:tcPr>
            <w:tcW w:w="1502" w:type="dxa"/>
            <w:tcBorders>
              <w:top w:val="nil"/>
              <w:bottom w:val="nil"/>
            </w:tcBorders>
          </w:tcPr>
          <w:p>
            <w:pPr>
              <w:pStyle w:val="TableParagraph"/>
              <w:spacing w:line="242" w:lineRule="exact"/>
              <w:ind w:left="107"/>
              <w:rPr>
                <w:sz w:val="21"/>
              </w:rPr>
            </w:pPr>
            <w:r>
              <w:rPr>
                <w:sz w:val="21"/>
              </w:rPr>
              <w:t>痛刺激后睁眼 </w:t>
            </w:r>
          </w:p>
        </w:tc>
        <w:tc>
          <w:tcPr>
            <w:tcW w:w="453" w:type="dxa"/>
            <w:tcBorders>
              <w:top w:val="nil"/>
              <w:bottom w:val="nil"/>
            </w:tcBorders>
          </w:tcPr>
          <w:p>
            <w:pPr>
              <w:pStyle w:val="TableParagraph"/>
              <w:spacing w:line="242" w:lineRule="exact"/>
              <w:ind w:left="142" w:right="155"/>
              <w:jc w:val="center"/>
              <w:rPr>
                <w:sz w:val="21"/>
              </w:rPr>
            </w:pPr>
            <w:r>
              <w:rPr>
                <w:sz w:val="21"/>
              </w:rPr>
              <w:t>2 </w:t>
            </w:r>
          </w:p>
        </w:tc>
        <w:tc>
          <w:tcPr>
            <w:tcW w:w="1972" w:type="dxa"/>
            <w:tcBorders>
              <w:top w:val="nil"/>
              <w:bottom w:val="nil"/>
            </w:tcBorders>
          </w:tcPr>
          <w:p>
            <w:pPr>
              <w:pStyle w:val="TableParagraph"/>
              <w:spacing w:line="242" w:lineRule="exact"/>
              <w:ind w:left="106"/>
              <w:rPr>
                <w:sz w:val="21"/>
              </w:rPr>
            </w:pPr>
            <w:r>
              <w:rPr>
                <w:sz w:val="21"/>
              </w:rPr>
              <w:t>正常回缩反应 </w:t>
            </w:r>
          </w:p>
        </w:tc>
        <w:tc>
          <w:tcPr>
            <w:tcW w:w="539" w:type="dxa"/>
            <w:tcBorders>
              <w:top w:val="nil"/>
              <w:bottom w:val="nil"/>
            </w:tcBorders>
          </w:tcPr>
          <w:p>
            <w:pPr>
              <w:pStyle w:val="TableParagraph"/>
              <w:spacing w:line="242" w:lineRule="exact"/>
              <w:ind w:left="109"/>
              <w:rPr>
                <w:sz w:val="21"/>
              </w:rPr>
            </w:pPr>
            <w:r>
              <w:rPr>
                <w:sz w:val="21"/>
              </w:rPr>
              <w:t>4 </w:t>
            </w:r>
          </w:p>
        </w:tc>
        <w:tc>
          <w:tcPr>
            <w:tcW w:w="1389" w:type="dxa"/>
            <w:tcBorders>
              <w:top w:val="nil"/>
              <w:bottom w:val="nil"/>
            </w:tcBorders>
          </w:tcPr>
          <w:p>
            <w:pPr>
              <w:pStyle w:val="TableParagraph"/>
              <w:spacing w:line="242" w:lineRule="exact"/>
              <w:ind w:left="110"/>
              <w:rPr>
                <w:sz w:val="21"/>
              </w:rPr>
            </w:pPr>
            <w:r>
              <w:rPr>
                <w:sz w:val="21"/>
              </w:rPr>
              <w:t>语言错乱 </w:t>
            </w:r>
          </w:p>
        </w:tc>
        <w:tc>
          <w:tcPr>
            <w:tcW w:w="539" w:type="dxa"/>
            <w:tcBorders>
              <w:top w:val="nil"/>
              <w:bottom w:val="nil"/>
            </w:tcBorders>
          </w:tcPr>
          <w:p>
            <w:pPr>
              <w:pStyle w:val="TableParagraph"/>
              <w:spacing w:line="242" w:lineRule="exact"/>
              <w:ind w:left="111"/>
              <w:rPr>
                <w:sz w:val="21"/>
              </w:rPr>
            </w:pPr>
            <w:r>
              <w:rPr>
                <w:sz w:val="21"/>
              </w:rPr>
              <w:t>3 </w:t>
            </w:r>
          </w:p>
        </w:tc>
      </w:tr>
      <w:tr>
        <w:trPr>
          <w:trHeight w:val="272" w:hRule="atLeast"/>
        </w:trPr>
        <w:tc>
          <w:tcPr>
            <w:tcW w:w="1502" w:type="dxa"/>
            <w:tcBorders>
              <w:top w:val="nil"/>
              <w:bottom w:val="nil"/>
            </w:tcBorders>
          </w:tcPr>
          <w:p>
            <w:pPr>
              <w:pStyle w:val="TableParagraph"/>
              <w:spacing w:line="241" w:lineRule="exact"/>
              <w:ind w:left="107"/>
              <w:rPr>
                <w:sz w:val="21"/>
              </w:rPr>
            </w:pPr>
            <w:r>
              <w:rPr>
                <w:sz w:val="21"/>
              </w:rPr>
              <w:t>从不睁眼 </w:t>
            </w:r>
          </w:p>
        </w:tc>
        <w:tc>
          <w:tcPr>
            <w:tcW w:w="453" w:type="dxa"/>
            <w:tcBorders>
              <w:top w:val="nil"/>
              <w:bottom w:val="nil"/>
            </w:tcBorders>
          </w:tcPr>
          <w:p>
            <w:pPr>
              <w:pStyle w:val="TableParagraph"/>
              <w:spacing w:line="241" w:lineRule="exact"/>
              <w:ind w:left="142" w:right="155"/>
              <w:jc w:val="center"/>
              <w:rPr>
                <w:sz w:val="21"/>
              </w:rPr>
            </w:pPr>
            <w:r>
              <w:rPr>
                <w:sz w:val="21"/>
              </w:rPr>
              <w:t>1 </w:t>
            </w:r>
          </w:p>
        </w:tc>
        <w:tc>
          <w:tcPr>
            <w:tcW w:w="1972" w:type="dxa"/>
            <w:tcBorders>
              <w:top w:val="nil"/>
              <w:bottom w:val="nil"/>
            </w:tcBorders>
          </w:tcPr>
          <w:p>
            <w:pPr>
              <w:pStyle w:val="TableParagraph"/>
              <w:spacing w:line="241" w:lineRule="exact"/>
              <w:ind w:left="106"/>
              <w:rPr>
                <w:sz w:val="21"/>
              </w:rPr>
            </w:pPr>
            <w:r>
              <w:rPr>
                <w:sz w:val="21"/>
              </w:rPr>
              <w:t>屈曲性姿势 </w:t>
            </w:r>
          </w:p>
        </w:tc>
        <w:tc>
          <w:tcPr>
            <w:tcW w:w="539" w:type="dxa"/>
            <w:tcBorders>
              <w:top w:val="nil"/>
              <w:bottom w:val="nil"/>
            </w:tcBorders>
          </w:tcPr>
          <w:p>
            <w:pPr>
              <w:pStyle w:val="TableParagraph"/>
              <w:spacing w:line="241" w:lineRule="exact"/>
              <w:ind w:left="109"/>
              <w:rPr>
                <w:sz w:val="21"/>
              </w:rPr>
            </w:pPr>
            <w:r>
              <w:rPr>
                <w:sz w:val="21"/>
              </w:rPr>
              <w:t>3 </w:t>
            </w:r>
          </w:p>
        </w:tc>
        <w:tc>
          <w:tcPr>
            <w:tcW w:w="1389" w:type="dxa"/>
            <w:tcBorders>
              <w:top w:val="nil"/>
              <w:bottom w:val="nil"/>
            </w:tcBorders>
          </w:tcPr>
          <w:p>
            <w:pPr>
              <w:pStyle w:val="TableParagraph"/>
              <w:spacing w:line="241" w:lineRule="exact"/>
              <w:ind w:left="110"/>
              <w:rPr>
                <w:sz w:val="21"/>
              </w:rPr>
            </w:pPr>
            <w:r>
              <w:rPr>
                <w:sz w:val="21"/>
              </w:rPr>
              <w:t>糊涂发音 </w:t>
            </w:r>
          </w:p>
        </w:tc>
        <w:tc>
          <w:tcPr>
            <w:tcW w:w="539" w:type="dxa"/>
            <w:tcBorders>
              <w:top w:val="nil"/>
              <w:bottom w:val="nil"/>
            </w:tcBorders>
          </w:tcPr>
          <w:p>
            <w:pPr>
              <w:pStyle w:val="TableParagraph"/>
              <w:spacing w:line="241" w:lineRule="exact"/>
              <w:ind w:left="111"/>
              <w:rPr>
                <w:sz w:val="21"/>
              </w:rPr>
            </w:pPr>
            <w:r>
              <w:rPr>
                <w:sz w:val="21"/>
              </w:rPr>
              <w:t>2 </w:t>
            </w:r>
          </w:p>
        </w:tc>
      </w:tr>
      <w:tr>
        <w:trPr>
          <w:trHeight w:val="272" w:hRule="atLeast"/>
        </w:trPr>
        <w:tc>
          <w:tcPr>
            <w:tcW w:w="1502" w:type="dxa"/>
            <w:tcBorders>
              <w:top w:val="nil"/>
              <w:bottom w:val="nil"/>
            </w:tcBorders>
          </w:tcPr>
          <w:p>
            <w:pPr>
              <w:pStyle w:val="TableParagraph"/>
              <w:rPr>
                <w:rFonts w:ascii="Times New Roman"/>
                <w:sz w:val="20"/>
              </w:rPr>
            </w:pPr>
          </w:p>
        </w:tc>
        <w:tc>
          <w:tcPr>
            <w:tcW w:w="453" w:type="dxa"/>
            <w:tcBorders>
              <w:top w:val="nil"/>
              <w:bottom w:val="nil"/>
            </w:tcBorders>
          </w:tcPr>
          <w:p>
            <w:pPr>
              <w:pStyle w:val="TableParagraph"/>
              <w:rPr>
                <w:rFonts w:ascii="Times New Roman"/>
                <w:sz w:val="20"/>
              </w:rPr>
            </w:pPr>
          </w:p>
        </w:tc>
        <w:tc>
          <w:tcPr>
            <w:tcW w:w="1972" w:type="dxa"/>
            <w:tcBorders>
              <w:top w:val="nil"/>
              <w:bottom w:val="nil"/>
            </w:tcBorders>
          </w:tcPr>
          <w:p>
            <w:pPr>
              <w:pStyle w:val="TableParagraph"/>
              <w:spacing w:line="242" w:lineRule="exact"/>
              <w:ind w:left="106"/>
              <w:rPr>
                <w:sz w:val="21"/>
              </w:rPr>
            </w:pPr>
            <w:r>
              <w:rPr>
                <w:sz w:val="21"/>
              </w:rPr>
              <w:t>伸直性姿势 </w:t>
            </w:r>
          </w:p>
        </w:tc>
        <w:tc>
          <w:tcPr>
            <w:tcW w:w="539" w:type="dxa"/>
            <w:tcBorders>
              <w:top w:val="nil"/>
              <w:bottom w:val="nil"/>
            </w:tcBorders>
          </w:tcPr>
          <w:p>
            <w:pPr>
              <w:pStyle w:val="TableParagraph"/>
              <w:spacing w:line="242" w:lineRule="exact"/>
              <w:ind w:left="109"/>
              <w:rPr>
                <w:sz w:val="21"/>
              </w:rPr>
            </w:pPr>
            <w:r>
              <w:rPr>
                <w:sz w:val="21"/>
              </w:rPr>
              <w:t>2 </w:t>
            </w:r>
          </w:p>
        </w:tc>
        <w:tc>
          <w:tcPr>
            <w:tcW w:w="1389" w:type="dxa"/>
            <w:tcBorders>
              <w:top w:val="nil"/>
              <w:bottom w:val="nil"/>
            </w:tcBorders>
          </w:tcPr>
          <w:p>
            <w:pPr>
              <w:pStyle w:val="TableParagraph"/>
              <w:spacing w:line="242" w:lineRule="exact"/>
              <w:ind w:left="110"/>
              <w:rPr>
                <w:sz w:val="21"/>
              </w:rPr>
            </w:pPr>
            <w:r>
              <w:rPr>
                <w:sz w:val="21"/>
              </w:rPr>
              <w:t>无语言 </w:t>
            </w:r>
          </w:p>
        </w:tc>
        <w:tc>
          <w:tcPr>
            <w:tcW w:w="539" w:type="dxa"/>
            <w:tcBorders>
              <w:top w:val="nil"/>
              <w:bottom w:val="nil"/>
            </w:tcBorders>
          </w:tcPr>
          <w:p>
            <w:pPr>
              <w:pStyle w:val="TableParagraph"/>
              <w:spacing w:line="242" w:lineRule="exact"/>
              <w:ind w:left="111"/>
              <w:rPr>
                <w:sz w:val="21"/>
              </w:rPr>
            </w:pPr>
            <w:r>
              <w:rPr>
                <w:sz w:val="21"/>
              </w:rPr>
              <w:t>1 </w:t>
            </w:r>
          </w:p>
        </w:tc>
      </w:tr>
      <w:tr>
        <w:trPr>
          <w:trHeight w:val="554" w:hRule="atLeast"/>
        </w:trPr>
        <w:tc>
          <w:tcPr>
            <w:tcW w:w="1502" w:type="dxa"/>
            <w:tcBorders>
              <w:top w:val="nil"/>
            </w:tcBorders>
          </w:tcPr>
          <w:p>
            <w:pPr>
              <w:pStyle w:val="TableParagraph"/>
              <w:rPr>
                <w:rFonts w:ascii="Times New Roman"/>
                <w:sz w:val="20"/>
              </w:rPr>
            </w:pPr>
          </w:p>
        </w:tc>
        <w:tc>
          <w:tcPr>
            <w:tcW w:w="453" w:type="dxa"/>
            <w:tcBorders>
              <w:top w:val="nil"/>
            </w:tcBorders>
          </w:tcPr>
          <w:p>
            <w:pPr>
              <w:pStyle w:val="TableParagraph"/>
              <w:rPr>
                <w:rFonts w:ascii="Times New Roman"/>
                <w:sz w:val="20"/>
              </w:rPr>
            </w:pPr>
          </w:p>
        </w:tc>
        <w:tc>
          <w:tcPr>
            <w:tcW w:w="1972" w:type="dxa"/>
            <w:tcBorders>
              <w:top w:val="nil"/>
            </w:tcBorders>
          </w:tcPr>
          <w:p>
            <w:pPr>
              <w:pStyle w:val="TableParagraph"/>
              <w:spacing w:line="241" w:lineRule="exact"/>
              <w:ind w:left="106"/>
              <w:rPr>
                <w:sz w:val="21"/>
              </w:rPr>
            </w:pPr>
            <w:r>
              <w:rPr>
                <w:sz w:val="21"/>
              </w:rPr>
              <w:t>无运动反应 </w:t>
            </w:r>
          </w:p>
        </w:tc>
        <w:tc>
          <w:tcPr>
            <w:tcW w:w="539" w:type="dxa"/>
            <w:tcBorders>
              <w:top w:val="nil"/>
            </w:tcBorders>
          </w:tcPr>
          <w:p>
            <w:pPr>
              <w:pStyle w:val="TableParagraph"/>
              <w:spacing w:line="241" w:lineRule="exact"/>
              <w:ind w:left="109"/>
              <w:rPr>
                <w:sz w:val="21"/>
              </w:rPr>
            </w:pPr>
            <w:r>
              <w:rPr>
                <w:sz w:val="21"/>
              </w:rPr>
              <w:t>1 </w:t>
            </w:r>
          </w:p>
        </w:tc>
        <w:tc>
          <w:tcPr>
            <w:tcW w:w="1389" w:type="dxa"/>
            <w:tcBorders>
              <w:top w:val="nil"/>
            </w:tcBorders>
          </w:tcPr>
          <w:p>
            <w:pPr>
              <w:pStyle w:val="TableParagraph"/>
              <w:rPr>
                <w:rFonts w:ascii="Times New Roman"/>
                <w:sz w:val="20"/>
              </w:rPr>
            </w:pPr>
          </w:p>
        </w:tc>
        <w:tc>
          <w:tcPr>
            <w:tcW w:w="539" w:type="dxa"/>
            <w:tcBorders>
              <w:top w:val="nil"/>
            </w:tcBorders>
          </w:tcPr>
          <w:p>
            <w:pPr>
              <w:pStyle w:val="TableParagraph"/>
              <w:spacing w:line="241" w:lineRule="exact"/>
              <w:ind w:left="111"/>
              <w:rPr>
                <w:sz w:val="21"/>
              </w:rPr>
            </w:pPr>
            <w:r>
              <w:rPr>
                <w:w w:val="100"/>
                <w:sz w:val="21"/>
              </w:rPr>
              <w:t> </w:t>
            </w:r>
          </w:p>
        </w:tc>
      </w:tr>
    </w:tbl>
    <w:p>
      <w:pPr>
        <w:pStyle w:val="BodyText"/>
        <w:spacing w:line="238" w:lineRule="exact"/>
        <w:ind w:left="2412"/>
      </w:pPr>
      <w:r>
        <w:rPr/>
        <w:t>评分＝E＋M＋V </w:t>
      </w:r>
    </w:p>
    <w:p>
      <w:pPr>
        <w:pStyle w:val="BodyText"/>
      </w:pPr>
      <w:r>
        <w:rPr/>
        <w:t>33、严重全身型重症肌无力 </w:t>
      </w:r>
    </w:p>
    <w:p>
      <w:pPr>
        <w:pStyle w:val="BodyText"/>
        <w:spacing w:line="237" w:lineRule="auto" w:before="2"/>
        <w:ind w:right="219"/>
        <w:jc w:val="both"/>
      </w:pPr>
      <w:r>
        <w:rPr/>
        <w:t>重症肌无力是一种神经肌肉接头传递障碍所致的疾病，表现为局部或全身骨骼肌（特别是眼外肌）极易疲劳。疾病可以累及呼吸肌、上肢或下肢的近端肌群或全身肌肉。重症肌无力必须经药物治疗和胸腺切除治疗一年以上仍无法控制病情，且日常生活活动评估证实被保险人无能力独立完成六项基本日常生活活动中的三项或三项以上。 </w:t>
      </w:r>
    </w:p>
    <w:p>
      <w:pPr>
        <w:pStyle w:val="BodyText"/>
        <w:spacing w:line="271" w:lineRule="exact"/>
        <w:jc w:val="both"/>
      </w:pPr>
      <w:r>
        <w:rPr/>
        <w:t>眼肌型重症肌无力不在保障范围内。 </w:t>
      </w:r>
    </w:p>
    <w:p>
      <w:pPr>
        <w:pStyle w:val="BodyText"/>
        <w:spacing w:line="280" w:lineRule="exact"/>
        <w:jc w:val="both"/>
      </w:pPr>
      <w:r>
        <w:rPr/>
        <w:t>34、</w:t>
      </w:r>
      <w:r>
        <w:rPr>
          <w:rFonts w:ascii="Times New Roman" w:eastAsia="Times New Roman"/>
        </w:rPr>
        <w:t>II  </w:t>
      </w:r>
      <w:r>
        <w:rPr/>
        <w:t>级重症急性坏死性胰腺炎</w:t>
      </w:r>
    </w:p>
    <w:p>
      <w:pPr>
        <w:pStyle w:val="BodyText"/>
        <w:spacing w:line="264" w:lineRule="exact"/>
        <w:jc w:val="both"/>
      </w:pPr>
      <w:r>
        <w:rPr/>
        <w:t>Ⅱ级重症急性胰腺炎是指急性胰腺炎伴有脏器功能障碍。被保险人所患的Ⅱ级</w:t>
      </w:r>
    </w:p>
    <w:p>
      <w:pPr>
        <w:pStyle w:val="BodyText"/>
        <w:spacing w:line="280" w:lineRule="exact"/>
        <w:jc w:val="both"/>
      </w:pPr>
      <w:r>
        <w:rPr/>
        <w:t>重症急性胰腺炎必须明确诊断，按 </w:t>
      </w:r>
      <w:r>
        <w:rPr>
          <w:rFonts w:ascii="Times New Roman" w:hAnsi="Times New Roman" w:eastAsia="Times New Roman"/>
        </w:rPr>
        <w:t>APACHE</w:t>
      </w:r>
      <w:r>
        <w:rPr/>
        <w:t>Ⅱ评分达到 </w:t>
      </w:r>
      <w:r>
        <w:rPr>
          <w:rFonts w:ascii="Times New Roman" w:hAnsi="Times New Roman" w:eastAsia="Times New Roman"/>
        </w:rPr>
        <w:t>8  </w:t>
      </w:r>
      <w:r>
        <w:rPr/>
        <w:t>分或 </w:t>
      </w:r>
      <w:r>
        <w:rPr>
          <w:rFonts w:ascii="Times New Roman" w:hAnsi="Times New Roman" w:eastAsia="Times New Roman"/>
        </w:rPr>
        <w:t>8  </w:t>
      </w:r>
      <w:r>
        <w:rPr/>
        <w:t>分以上和</w:t>
      </w:r>
    </w:p>
    <w:p>
      <w:pPr>
        <w:pStyle w:val="BodyText"/>
        <w:jc w:val="both"/>
      </w:pPr>
      <w:r>
        <w:rPr>
          <w:rFonts w:ascii="Times New Roman" w:hAnsi="Times New Roman" w:eastAsia="Times New Roman"/>
        </w:rPr>
        <w:t>Balthazar  </w:t>
      </w:r>
      <w:r>
        <w:rPr/>
        <w:t>分级系统达到Ⅱ级或Ⅱ级以上，并且接受了外科剖腹手术治疗，以进</w:t>
      </w:r>
    </w:p>
    <w:p>
      <w:pPr>
        <w:pStyle w:val="BodyText"/>
        <w:spacing w:line="264" w:lineRule="exact"/>
        <w:jc w:val="both"/>
      </w:pPr>
      <w:r>
        <w:rPr/>
        <w:t>行坏死组织清除、坏死病灶切除或胰腺切除。</w:t>
      </w:r>
    </w:p>
    <w:p>
      <w:pPr>
        <w:pStyle w:val="BodyText"/>
        <w:jc w:val="both"/>
      </w:pPr>
      <w:r>
        <w:rPr/>
        <w:t>因酗酒或饮酒过量所致的急性坏死性胰腺炎以及腹腔镜手术不在保障范围内。</w:t>
      </w:r>
    </w:p>
    <w:p>
      <w:pPr>
        <w:pStyle w:val="BodyText"/>
        <w:jc w:val="both"/>
      </w:pPr>
      <w:r>
        <w:rPr/>
        <w:t>35、原发性心肌病 </w:t>
      </w:r>
    </w:p>
    <w:p>
      <w:pPr>
        <w:pStyle w:val="BodyText"/>
        <w:spacing w:line="230" w:lineRule="auto" w:before="9"/>
        <w:ind w:right="219"/>
        <w:jc w:val="both"/>
      </w:pPr>
      <w:r>
        <w:rPr/>
        <w:t>原发性心肌病是指不明原因引起的一类心肌病变，包括原发性扩张型心肌病、原发性肥厚型心肌病及原发性限制型心肌病三种，病变必须已造成事实上心室功能障碍而出现明显的心功能衰竭</w:t>
      </w:r>
      <w:r>
        <w:rPr>
          <w:rFonts w:ascii="Times New Roman" w:eastAsia="Times New Roman"/>
        </w:rPr>
        <w:t>(</w:t>
      </w:r>
      <w:r>
        <w:rPr/>
        <w:t>美国纽约心脏协会心功能分类标准心功能四级</w:t>
      </w:r>
      <w:r>
        <w:rPr>
          <w:rFonts w:ascii="Times New Roman" w:eastAsia="Times New Roman"/>
        </w:rPr>
        <w:t>*)</w:t>
      </w:r>
      <w:r>
        <w:rPr/>
        <w:t>，且有相关住院医疗记录显示四级心功能衰竭状态持续至少 </w:t>
      </w:r>
      <w:r>
        <w:rPr>
          <w:rFonts w:ascii="Times New Roman" w:eastAsia="Times New Roman"/>
        </w:rPr>
        <w:t>180 </w:t>
      </w:r>
      <w:r>
        <w:rPr/>
        <w:t>天。该疾病索赔时须要经专科医生做出明确诊断。</w:t>
      </w:r>
    </w:p>
    <w:p>
      <w:pPr>
        <w:pStyle w:val="BodyText"/>
        <w:spacing w:line="271" w:lineRule="exact"/>
        <w:jc w:val="both"/>
      </w:pPr>
      <w:r>
        <w:rPr/>
        <w:t>继发于全身性疾病或其它器官系统疾病不在保障范围内。</w:t>
      </w:r>
    </w:p>
    <w:p>
      <w:pPr>
        <w:pStyle w:val="BodyText"/>
        <w:spacing w:line="280" w:lineRule="exact"/>
        <w:jc w:val="both"/>
      </w:pPr>
      <w:r>
        <w:rPr>
          <w:rFonts w:ascii="Times New Roman" w:eastAsia="Times New Roman"/>
        </w:rPr>
        <w:t>*</w:t>
      </w:r>
      <w:r>
        <w:rPr/>
        <w:t>美国纽约心脏协会分类标准心功能四级是指有医疗机构的医疗记录显示病人</w:t>
      </w:r>
    </w:p>
    <w:p>
      <w:pPr>
        <w:pStyle w:val="BodyText"/>
        <w:spacing w:line="264" w:lineRule="exact"/>
        <w:jc w:val="both"/>
      </w:pPr>
      <w:r>
        <w:rPr/>
        <w:t>不能进行任何活动，休息时仍有心悸、呼吸困难等心力衰竭表现。</w:t>
      </w:r>
    </w:p>
    <w:p>
      <w:pPr>
        <w:pStyle w:val="BodyText"/>
        <w:jc w:val="both"/>
      </w:pPr>
      <w:r>
        <w:rPr/>
        <w:t>36、坏死性筋膜炎 </w:t>
      </w:r>
    </w:p>
    <w:p>
      <w:pPr>
        <w:pStyle w:val="BodyText"/>
        <w:jc w:val="both"/>
      </w:pPr>
      <w:r>
        <w:rPr/>
        <w:t>坏死性筋膜炎的诊断须同时符合下列要求：</w:t>
      </w:r>
    </w:p>
    <w:p>
      <w:pPr>
        <w:pStyle w:val="BodyText"/>
        <w:spacing w:line="280" w:lineRule="exact"/>
        <w:jc w:val="both"/>
      </w:pPr>
      <w:r>
        <w:rPr/>
        <w:t>（</w:t>
      </w:r>
      <w:r>
        <w:rPr>
          <w:rFonts w:ascii="Times New Roman" w:eastAsia="Times New Roman"/>
        </w:rPr>
        <w:t>1</w:t>
      </w:r>
      <w:r>
        <w:rPr/>
        <w:t>）符合坏死性筋膜炎的一般临床表现；</w:t>
      </w:r>
    </w:p>
    <w:p>
      <w:pPr>
        <w:pStyle w:val="BodyText"/>
        <w:jc w:val="both"/>
      </w:pPr>
      <w:r>
        <w:rPr/>
        <w:t>（</w:t>
      </w:r>
      <w:r>
        <w:rPr>
          <w:rFonts w:ascii="Times New Roman" w:eastAsia="Times New Roman"/>
        </w:rPr>
        <w:t>2</w:t>
      </w:r>
      <w:r>
        <w:rPr/>
        <w:t>）细菌培养检出致病菌；</w:t>
      </w:r>
    </w:p>
    <w:p>
      <w:pPr>
        <w:pStyle w:val="BodyText"/>
        <w:spacing w:line="282" w:lineRule="exact"/>
        <w:jc w:val="both"/>
      </w:pPr>
      <w:r>
        <w:rPr>
          <w:spacing w:val="-26"/>
        </w:rPr>
        <w:t>（</w:t>
      </w:r>
      <w:r>
        <w:rPr>
          <w:rFonts w:ascii="Times New Roman" w:eastAsia="Times New Roman"/>
          <w:spacing w:val="-26"/>
        </w:rPr>
        <w:t>3</w:t>
      </w:r>
      <w:r>
        <w:rPr>
          <w:spacing w:val="-26"/>
        </w:rPr>
        <w:t>）</w:t>
      </w:r>
      <w:r>
        <w:rPr>
          <w:spacing w:val="-9"/>
        </w:rPr>
        <w:t>出现广泛性肌肉及软组织坏死，并导致身体受影响部位永久完全失去功能。</w:t>
      </w:r>
    </w:p>
    <w:p>
      <w:pPr>
        <w:spacing w:after="0" w:line="282" w:lineRule="exact"/>
        <w:jc w:val="both"/>
        <w:sectPr>
          <w:pgSz w:w="11900" w:h="16840"/>
          <w:pgMar w:header="0" w:footer="457" w:top="1280" w:bottom="640" w:left="1680" w:right="460"/>
        </w:sectPr>
      </w:pPr>
    </w:p>
    <w:p>
      <w:pPr>
        <w:pStyle w:val="BodyText"/>
        <w:spacing w:line="273" w:lineRule="exact" w:before="7"/>
        <w:ind w:left="2877"/>
      </w:pPr>
      <w:r>
        <w:rPr/>
        <w:t>所谓永久完全失去功能是指受影响部位的功能丧失超过六个月者。</w:t>
      </w:r>
    </w:p>
    <w:p>
      <w:pPr>
        <w:pStyle w:val="BodyText"/>
        <w:ind w:left="2877"/>
      </w:pPr>
      <w:r>
        <w:rPr/>
        <w:t>37、系统性硬皮病 </w:t>
      </w:r>
    </w:p>
    <w:p>
      <w:pPr>
        <w:pStyle w:val="BodyText"/>
        <w:spacing w:line="237" w:lineRule="auto" w:before="2"/>
        <w:ind w:left="2877" w:right="112"/>
        <w:jc w:val="both"/>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w:t>
      </w:r>
      <w:r>
        <w:rPr>
          <w:spacing w:val="-8"/>
        </w:rPr>
        <w:t>血管、内脏器官异常纤维化为特征的结缔组织病。本病须经专科医生明确诊断， </w:t>
      </w:r>
      <w:r>
        <w:rPr>
          <w:spacing w:val="-5"/>
        </w:rPr>
        <w:t>并须满足下列至少一项条件：</w:t>
      </w:r>
    </w:p>
    <w:p>
      <w:pPr>
        <w:pStyle w:val="BodyText"/>
        <w:spacing w:line="279" w:lineRule="exact"/>
        <w:ind w:left="2877"/>
        <w:jc w:val="both"/>
      </w:pPr>
      <w:r>
        <w:rPr/>
        <w:t>（</w:t>
      </w:r>
      <w:r>
        <w:rPr>
          <w:rFonts w:ascii="Times New Roman" w:eastAsia="Times New Roman"/>
        </w:rPr>
        <w:t>1</w:t>
      </w:r>
      <w:r>
        <w:rPr/>
        <w:t>）肺脏：肺部病变进而发展为肺间质纤维化和肺动脉高压；</w:t>
      </w:r>
    </w:p>
    <w:p>
      <w:pPr>
        <w:pStyle w:val="BodyText"/>
        <w:ind w:left="2877"/>
        <w:jc w:val="both"/>
      </w:pPr>
      <w:r>
        <w:rPr/>
        <w:t>（</w:t>
      </w:r>
      <w:r>
        <w:rPr>
          <w:rFonts w:ascii="Times New Roman" w:eastAsia="Times New Roman"/>
        </w:rPr>
        <w:t>2</w:t>
      </w:r>
      <w:r>
        <w:rPr/>
        <w:t>）心脏：心功能受损达到美国纽约心脏病学会心功能状态分级 </w:t>
      </w:r>
      <w:r>
        <w:rPr>
          <w:rFonts w:ascii="Times New Roman" w:eastAsia="Times New Roman"/>
        </w:rPr>
        <w:t>IV </w:t>
      </w:r>
      <w:r>
        <w:rPr/>
        <w:t>级；</w:t>
      </w:r>
    </w:p>
    <w:p>
      <w:pPr>
        <w:pStyle w:val="BodyText"/>
        <w:ind w:left="2877"/>
        <w:jc w:val="both"/>
      </w:pPr>
      <w:r>
        <w:rPr/>
        <w:t>（</w:t>
      </w:r>
      <w:r>
        <w:rPr>
          <w:rFonts w:ascii="Times New Roman" w:eastAsia="Times New Roman"/>
        </w:rPr>
        <w:t>3</w:t>
      </w:r>
      <w:r>
        <w:rPr/>
        <w:t>）肾脏：肾脏受损导致双肾功能慢性不可逆衰竭，达到尿毒症期。</w:t>
      </w:r>
    </w:p>
    <w:p>
      <w:pPr>
        <w:pStyle w:val="BodyText"/>
        <w:spacing w:line="264" w:lineRule="exact"/>
        <w:ind w:left="2877"/>
        <w:jc w:val="both"/>
      </w:pPr>
      <w:r>
        <w:rPr/>
        <w:t>38、严重冠心病 </w:t>
      </w:r>
    </w:p>
    <w:p>
      <w:pPr>
        <w:pStyle w:val="BodyText"/>
        <w:spacing w:line="230" w:lineRule="auto" w:before="8"/>
        <w:ind w:left="2877" w:right="219"/>
        <w:jc w:val="both"/>
      </w:pPr>
      <w:r>
        <w:rPr/>
        <w:pict>
          <v:shape style="position:absolute;margin-left:62.66pt;margin-top:39.75909pt;width:503.85pt;height:539.9pt;mso-position-horizontal-relative:page;mso-position-vertical-relative:paragraph;z-index:15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987" w:hRule="atLeast"/>
                    </w:trPr>
                    <w:tc>
                      <w:tcPr>
                        <w:tcW w:w="682" w:type="dxa"/>
                      </w:tcPr>
                      <w:p>
                        <w:pPr>
                          <w:pStyle w:val="TableParagraph"/>
                          <w:spacing w:line="161" w:lineRule="exact"/>
                          <w:ind w:left="50"/>
                          <w:rPr>
                            <w:sz w:val="21"/>
                          </w:rPr>
                        </w:pPr>
                        <w:r>
                          <w:rPr>
                            <w:w w:val="100"/>
                            <w:sz w:val="21"/>
                          </w:rPr>
                          <w:t> </w:t>
                        </w:r>
                      </w:p>
                      <w:p>
                        <w:pPr>
                          <w:pStyle w:val="TableParagraph"/>
                          <w:spacing w:line="316" w:lineRule="exact"/>
                          <w:ind w:left="50"/>
                          <w:rPr>
                            <w:rFonts w:ascii="Microsoft JhengHei"/>
                            <w:b/>
                            <w:sz w:val="21"/>
                          </w:rPr>
                        </w:pPr>
                        <w:r>
                          <w:rPr>
                            <w:rFonts w:ascii="Microsoft JhengHei"/>
                            <w:b/>
                            <w:w w:val="90"/>
                            <w:sz w:val="21"/>
                          </w:rPr>
                          <w:t>10. 6</w:t>
                        </w:r>
                      </w:p>
                    </w:tc>
                    <w:tc>
                      <w:tcPr>
                        <w:tcW w:w="1948" w:type="dxa"/>
                      </w:tcPr>
                      <w:p>
                        <w:pPr>
                          <w:pStyle w:val="TableParagraph"/>
                          <w:spacing w:line="161" w:lineRule="exact"/>
                          <w:ind w:left="124"/>
                          <w:rPr>
                            <w:sz w:val="21"/>
                          </w:rPr>
                        </w:pPr>
                        <w:r>
                          <w:rPr>
                            <w:w w:val="100"/>
                            <w:sz w:val="21"/>
                          </w:rPr>
                          <w:t> </w:t>
                        </w:r>
                      </w:p>
                      <w:p>
                        <w:pPr>
                          <w:pStyle w:val="TableParagraph"/>
                          <w:spacing w:line="316" w:lineRule="exact"/>
                          <w:ind w:left="124"/>
                          <w:rPr>
                            <w:rFonts w:ascii="Microsoft JhengHei" w:eastAsia="Microsoft JhengHei" w:hint="eastAsia"/>
                            <w:b/>
                            <w:sz w:val="21"/>
                          </w:rPr>
                        </w:pPr>
                        <w:r>
                          <w:rPr>
                            <w:rFonts w:ascii="Microsoft JhengHei" w:eastAsia="Microsoft JhengHei" w:hint="eastAsia"/>
                            <w:b/>
                            <w:sz w:val="21"/>
                          </w:rPr>
                          <w:t>毒品</w:t>
                        </w:r>
                      </w:p>
                    </w:tc>
                    <w:tc>
                      <w:tcPr>
                        <w:tcW w:w="7447" w:type="dxa"/>
                      </w:tcPr>
                      <w:p>
                        <w:pPr>
                          <w:pStyle w:val="TableParagraph"/>
                          <w:spacing w:line="195" w:lineRule="exact"/>
                          <w:ind w:left="134"/>
                          <w:rPr>
                            <w:sz w:val="21"/>
                          </w:rPr>
                        </w:pPr>
                        <w:r>
                          <w:rPr>
                            <w:w w:val="100"/>
                            <w:sz w:val="21"/>
                          </w:rPr>
                          <w:t> </w:t>
                        </w:r>
                      </w:p>
                      <w:p>
                        <w:pPr>
                          <w:pStyle w:val="TableParagraph"/>
                          <w:spacing w:line="258" w:lineRule="exact"/>
                          <w:ind w:left="134"/>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p>
                        <w:pPr>
                          <w:pStyle w:val="TableParagraph"/>
                          <w:spacing w:line="272" w:lineRule="exact" w:before="27"/>
                          <w:ind w:left="134" w:right="165"/>
                          <w:rPr>
                            <w:sz w:val="21"/>
                          </w:rPr>
                        </w:pPr>
                        <w:r>
                          <w:rPr>
                            <w:sz w:val="21"/>
                          </w:rPr>
                          <w:t>可卡因以及国家规定管制的其他能够使人形成瘾癖的麻醉药品和精神药品，但不包括由医生开具并遵医嘱使用的用于治疗疾病但含有毒品成分的处方药品。</w:t>
                        </w:r>
                      </w:p>
                    </w:tc>
                  </w:tr>
                  <w:tr>
                    <w:trPr>
                      <w:trHeight w:val="175" w:hRule="atLeast"/>
                    </w:trPr>
                    <w:tc>
                      <w:tcPr>
                        <w:tcW w:w="682" w:type="dxa"/>
                      </w:tcPr>
                      <w:p>
                        <w:pPr>
                          <w:pStyle w:val="TableParagraph"/>
                          <w:rPr>
                            <w:rFonts w:ascii="Times New Roman"/>
                            <w:sz w:val="10"/>
                          </w:rPr>
                        </w:pPr>
                      </w:p>
                    </w:tc>
                    <w:tc>
                      <w:tcPr>
                        <w:tcW w:w="1948" w:type="dxa"/>
                      </w:tcPr>
                      <w:p>
                        <w:pPr>
                          <w:pStyle w:val="TableParagraph"/>
                          <w:rPr>
                            <w:rFonts w:ascii="Times New Roman"/>
                            <w:sz w:val="10"/>
                          </w:rPr>
                        </w:pPr>
                      </w:p>
                    </w:tc>
                    <w:tc>
                      <w:tcPr>
                        <w:tcW w:w="7447" w:type="dxa"/>
                      </w:tcPr>
                      <w:p>
                        <w:pPr>
                          <w:pStyle w:val="TableParagraph"/>
                          <w:spacing w:line="156"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10. 7</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酒后驾驶</w:t>
                        </w:r>
                      </w:p>
                    </w:tc>
                    <w:tc>
                      <w:tcPr>
                        <w:tcW w:w="7447" w:type="dxa"/>
                      </w:tcPr>
                      <w:p>
                        <w:pPr>
                          <w:pStyle w:val="TableParagraph"/>
                          <w:spacing w:line="231" w:lineRule="exact"/>
                          <w:ind w:left="134"/>
                          <w:rPr>
                            <w:sz w:val="21"/>
                          </w:rPr>
                        </w:pPr>
                        <w:r>
                          <w:rPr>
                            <w:sz w:val="21"/>
                          </w:rPr>
                          <w:t>指经检测或鉴定，发生事故时车辆驾驶人员每百毫升血液中的酒精含量达到或</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5" w:lineRule="exact"/>
                          <w:ind w:left="134"/>
                          <w:rPr>
                            <w:sz w:val="21"/>
                          </w:rPr>
                        </w:pPr>
                        <w:r>
                          <w:rPr>
                            <w:sz w:val="21"/>
                          </w:rPr>
                          <w:t>超过一定的标准，公安机关交通管理部门依据《道路交通安全法》的规定认定</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为饮酒后驾驶或醉酒后驾驶。</w:t>
                        </w:r>
                      </w:p>
                    </w:tc>
                  </w:tr>
                  <w:tr>
                    <w:trPr>
                      <w:trHeight w:val="21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2" w:lineRule="exact"/>
                          <w:ind w:left="134"/>
                          <w:rPr>
                            <w:sz w:val="21"/>
                          </w:rPr>
                        </w:pPr>
                        <w:r>
                          <w:rPr>
                            <w:w w:val="100"/>
                            <w:sz w:val="21"/>
                          </w:rPr>
                          <w:t> </w:t>
                        </w:r>
                      </w:p>
                    </w:tc>
                  </w:tr>
                  <w:tr>
                    <w:trPr>
                      <w:trHeight w:val="267" w:hRule="atLeast"/>
                    </w:trPr>
                    <w:tc>
                      <w:tcPr>
                        <w:tcW w:w="682" w:type="dxa"/>
                      </w:tcPr>
                      <w:p>
                        <w:pPr>
                          <w:pStyle w:val="TableParagraph"/>
                          <w:spacing w:line="247" w:lineRule="exact"/>
                          <w:ind w:left="50"/>
                          <w:rPr>
                            <w:rFonts w:ascii="Microsoft JhengHei"/>
                            <w:b/>
                            <w:sz w:val="21"/>
                          </w:rPr>
                        </w:pPr>
                        <w:r>
                          <w:rPr>
                            <w:rFonts w:ascii="Microsoft JhengHei"/>
                            <w:b/>
                            <w:w w:val="90"/>
                            <w:sz w:val="21"/>
                          </w:rPr>
                          <w:t>10. 8</w:t>
                        </w:r>
                      </w:p>
                    </w:tc>
                    <w:tc>
                      <w:tcPr>
                        <w:tcW w:w="1948" w:type="dxa"/>
                      </w:tcPr>
                      <w:p>
                        <w:pPr>
                          <w:pStyle w:val="TableParagraph"/>
                          <w:spacing w:line="247" w:lineRule="exact"/>
                          <w:ind w:left="12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33" w:lineRule="exact"/>
                          <w:ind w:left="134"/>
                          <w:rPr>
                            <w:sz w:val="21"/>
                          </w:rPr>
                        </w:pPr>
                        <w:r>
                          <w:rPr>
                            <w:sz w:val="21"/>
                          </w:rPr>
                          <w:t>指下列情形之一：</w:t>
                        </w:r>
                      </w:p>
                    </w:tc>
                  </w:tr>
                  <w:tr>
                    <w:trPr>
                      <w:trHeight w:val="272" w:hRule="atLeast"/>
                    </w:trPr>
                    <w:tc>
                      <w:tcPr>
                        <w:tcW w:w="682" w:type="dxa"/>
                      </w:tcPr>
                      <w:p>
                        <w:pPr>
                          <w:pStyle w:val="TableParagraph"/>
                          <w:rPr>
                            <w:rFonts w:ascii="Times New Roman"/>
                            <w:sz w:val="20"/>
                          </w:rPr>
                        </w:pPr>
                      </w:p>
                    </w:tc>
                    <w:tc>
                      <w:tcPr>
                        <w:tcW w:w="1948" w:type="dxa"/>
                      </w:tcPr>
                      <w:p>
                        <w:pPr>
                          <w:pStyle w:val="TableParagraph"/>
                          <w:spacing w:line="253" w:lineRule="exact"/>
                          <w:ind w:left="124"/>
                          <w:rPr>
                            <w:rFonts w:ascii="Microsoft JhengHei" w:eastAsia="Microsoft JhengHei" w:hint="eastAsia"/>
                            <w:b/>
                            <w:sz w:val="21"/>
                          </w:rPr>
                        </w:pPr>
                        <w:r>
                          <w:rPr>
                            <w:rFonts w:ascii="Microsoft JhengHei" w:eastAsia="Microsoft JhengHei" w:hint="eastAsia"/>
                            <w:b/>
                            <w:sz w:val="21"/>
                          </w:rPr>
                          <w:t>驾驶</w:t>
                        </w:r>
                      </w:p>
                    </w:tc>
                    <w:tc>
                      <w:tcPr>
                        <w:tcW w:w="7447" w:type="dxa"/>
                      </w:tcPr>
                      <w:p>
                        <w:pPr>
                          <w:pStyle w:val="TableParagraph"/>
                          <w:spacing w:line="253" w:lineRule="exact"/>
                          <w:ind w:left="134"/>
                          <w:rPr>
                            <w:sz w:val="21"/>
                          </w:rPr>
                        </w:pPr>
                        <w:r>
                          <w:rPr>
                            <w:sz w:val="21"/>
                          </w:rPr>
                          <w:t>（</w:t>
                        </w:r>
                        <w:r>
                          <w:rPr>
                            <w:rFonts w:ascii="Times New Roman" w:eastAsia="Times New Roman"/>
                            <w:sz w:val="21"/>
                          </w:rPr>
                          <w:t>1</w:t>
                        </w:r>
                        <w:r>
                          <w:rPr>
                            <w:sz w:val="21"/>
                          </w:rPr>
                          <w:t>）没有取得驾驶资格；</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2" w:lineRule="exact"/>
                          <w:ind w:left="134"/>
                          <w:rPr>
                            <w:sz w:val="21"/>
                          </w:rPr>
                        </w:pPr>
                        <w:r>
                          <w:rPr>
                            <w:sz w:val="21"/>
                          </w:rPr>
                          <w:t>（</w:t>
                        </w:r>
                        <w:r>
                          <w:rPr>
                            <w:rFonts w:ascii="Times New Roman" w:eastAsia="Times New Roman"/>
                            <w:sz w:val="21"/>
                          </w:rPr>
                          <w:t>2</w:t>
                        </w:r>
                        <w:r>
                          <w:rPr>
                            <w:sz w:val="21"/>
                          </w:rPr>
                          <w:t>）驾驶与驾驶证准驾车型不相符合的车辆；</w:t>
                        </w:r>
                      </w:p>
                    </w:tc>
                  </w:tr>
                  <w:tr>
                    <w:trPr>
                      <w:trHeight w:val="27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1" w:lineRule="exact"/>
                          <w:ind w:left="134"/>
                          <w:rPr>
                            <w:sz w:val="21"/>
                          </w:rPr>
                        </w:pPr>
                        <w:r>
                          <w:rPr>
                            <w:sz w:val="21"/>
                          </w:rPr>
                          <w:t>（</w:t>
                        </w:r>
                        <w:r>
                          <w:rPr>
                            <w:rFonts w:ascii="Times New Roman" w:eastAsia="Times New Roman"/>
                            <w:sz w:val="21"/>
                          </w:rPr>
                          <w:t>3</w:t>
                        </w:r>
                        <w:r>
                          <w:rPr>
                            <w:sz w:val="21"/>
                          </w:rPr>
                          <w:t>）持审验不合格的驾驶证驾驶；</w:t>
                        </w:r>
                      </w:p>
                    </w:tc>
                  </w:tr>
                  <w:tr>
                    <w:trPr>
                      <w:trHeight w:val="252"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3" w:lineRule="exact"/>
                          <w:ind w:left="134"/>
                          <w:rPr>
                            <w:sz w:val="21"/>
                          </w:rPr>
                        </w:pPr>
                        <w:r>
                          <w:rPr>
                            <w:sz w:val="21"/>
                          </w:rPr>
                          <w:t>（</w:t>
                        </w:r>
                        <w:r>
                          <w:rPr>
                            <w:rFonts w:ascii="Times New Roman" w:eastAsia="Times New Roman"/>
                            <w:sz w:val="21"/>
                          </w:rPr>
                          <w:t>4</w:t>
                        </w:r>
                        <w:r>
                          <w:rPr>
                            <w:sz w:val="21"/>
                          </w:rPr>
                          <w:t>）持学习驾驶证学习驾车时，无教练员随车指导，或不按指定时间、路线学</w:t>
                        </w:r>
                      </w:p>
                    </w:tc>
                  </w:tr>
                  <w:tr>
                    <w:trPr>
                      <w:trHeight w:val="45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4" w:lineRule="exact"/>
                          <w:ind w:left="659"/>
                          <w:rPr>
                            <w:sz w:val="21"/>
                          </w:rPr>
                        </w:pPr>
                        <w:r>
                          <w:rPr>
                            <w:sz w:val="21"/>
                          </w:rPr>
                          <w:t>习驾车。 </w:t>
                        </w:r>
                      </w:p>
                      <w:p>
                        <w:pPr>
                          <w:pStyle w:val="TableParagraph"/>
                          <w:spacing w:line="223" w:lineRule="exact"/>
                          <w:ind w:left="134"/>
                          <w:rPr>
                            <w:sz w:val="21"/>
                          </w:rPr>
                        </w:pPr>
                        <w:r>
                          <w:rPr>
                            <w:w w:val="100"/>
                            <w:sz w:val="21"/>
                          </w:rPr>
                          <w:t> </w:t>
                        </w:r>
                      </w:p>
                    </w:tc>
                  </w:tr>
                  <w:tr>
                    <w:trPr>
                      <w:trHeight w:val="271" w:hRule="atLeast"/>
                    </w:trPr>
                    <w:tc>
                      <w:tcPr>
                        <w:tcW w:w="682" w:type="dxa"/>
                      </w:tcPr>
                      <w:p>
                        <w:pPr>
                          <w:pStyle w:val="TableParagraph"/>
                          <w:spacing w:line="252" w:lineRule="exact"/>
                          <w:ind w:left="50"/>
                          <w:rPr>
                            <w:rFonts w:ascii="Microsoft JhengHei"/>
                            <w:b/>
                            <w:sz w:val="21"/>
                          </w:rPr>
                        </w:pPr>
                        <w:r>
                          <w:rPr>
                            <w:rFonts w:ascii="Microsoft JhengHei"/>
                            <w:b/>
                            <w:w w:val="90"/>
                            <w:sz w:val="21"/>
                          </w:rPr>
                          <w:t>10. 9</w:t>
                        </w:r>
                      </w:p>
                    </w:tc>
                    <w:tc>
                      <w:tcPr>
                        <w:tcW w:w="1948" w:type="dxa"/>
                      </w:tcPr>
                      <w:p>
                        <w:pPr>
                          <w:pStyle w:val="TableParagraph"/>
                          <w:spacing w:line="252" w:lineRule="exact"/>
                          <w:ind w:left="124"/>
                          <w:rPr>
                            <w:rFonts w:ascii="Microsoft JhengHei" w:eastAsia="Microsoft JhengHei" w:hint="eastAsia"/>
                            <w:b/>
                            <w:sz w:val="21"/>
                          </w:rPr>
                        </w:pPr>
                        <w:r>
                          <w:rPr>
                            <w:rFonts w:ascii="Microsoft JhengHei" w:eastAsia="Microsoft JhengHei" w:hint="eastAsia"/>
                            <w:b/>
                            <w:sz w:val="21"/>
                          </w:rPr>
                          <w:t>无有效行驶证</w:t>
                        </w:r>
                      </w:p>
                    </w:tc>
                    <w:tc>
                      <w:tcPr>
                        <w:tcW w:w="7447" w:type="dxa"/>
                      </w:tcPr>
                      <w:p>
                        <w:pPr>
                          <w:pStyle w:val="TableParagraph"/>
                          <w:spacing w:line="233"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5" w:lineRule="exact"/>
                          <w:ind w:left="134"/>
                          <w:rPr>
                            <w:sz w:val="21"/>
                          </w:rPr>
                        </w:pPr>
                        <w:r>
                          <w:rPr>
                            <w:sz w:val="21"/>
                          </w:rPr>
                          <w:t>（1）机动车被依法注销登记的；  </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（2）未依法按时进行或通过机动车安全技术检验。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10. 10</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7" w:type="dxa"/>
                      </w:tcPr>
                      <w:p>
                        <w:pPr>
                          <w:pStyle w:val="TableParagraph"/>
                          <w:spacing w:line="231" w:lineRule="exact"/>
                          <w:ind w:left="134"/>
                          <w:rPr>
                            <w:sz w:val="21"/>
                          </w:rPr>
                        </w:pPr>
                        <w:r>
                          <w:rPr>
                            <w:sz w:val="21"/>
                          </w:rPr>
                          <w:t>指以动力装置驱动或者牵引，上道路行驶的供人员乘用或者用于运送物品以及</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进行工程专项作业的轮式车辆。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67" w:hRule="atLeast"/>
                    </w:trPr>
                    <w:tc>
                      <w:tcPr>
                        <w:tcW w:w="682" w:type="dxa"/>
                      </w:tcPr>
                      <w:p>
                        <w:pPr>
                          <w:pStyle w:val="TableParagraph"/>
                          <w:spacing w:line="247" w:lineRule="exact"/>
                          <w:ind w:left="50"/>
                          <w:rPr>
                            <w:rFonts w:ascii="Microsoft JhengHei"/>
                            <w:b/>
                            <w:sz w:val="21"/>
                          </w:rPr>
                        </w:pPr>
                        <w:r>
                          <w:rPr>
                            <w:rFonts w:ascii="Microsoft JhengHei"/>
                            <w:b/>
                            <w:w w:val="90"/>
                            <w:sz w:val="21"/>
                          </w:rPr>
                          <w:t>10. 11</w:t>
                        </w:r>
                      </w:p>
                    </w:tc>
                    <w:tc>
                      <w:tcPr>
                        <w:tcW w:w="1948" w:type="dxa"/>
                      </w:tcPr>
                      <w:p>
                        <w:pPr>
                          <w:pStyle w:val="TableParagraph"/>
                          <w:spacing w:line="247" w:lineRule="exact"/>
                          <w:ind w:left="124"/>
                          <w:rPr>
                            <w:rFonts w:ascii="Microsoft JhengHei" w:eastAsia="Microsoft JhengHei" w:hint="eastAsia"/>
                            <w:b/>
                            <w:sz w:val="21"/>
                          </w:rPr>
                        </w:pPr>
                        <w:r>
                          <w:rPr>
                            <w:rFonts w:ascii="Microsoft JhengHei" w:eastAsia="Microsoft JhengHei" w:hint="eastAsia"/>
                            <w:b/>
                            <w:sz w:val="21"/>
                          </w:rPr>
                          <w:t>先天性畸形、变形</w:t>
                        </w:r>
                      </w:p>
                    </w:tc>
                    <w:tc>
                      <w:tcPr>
                        <w:tcW w:w="7447" w:type="dxa"/>
                      </w:tcPr>
                      <w:p>
                        <w:pPr>
                          <w:pStyle w:val="TableParagraph"/>
                          <w:spacing w:line="233" w:lineRule="exact"/>
                          <w:ind w:left="134"/>
                          <w:rPr>
                            <w:sz w:val="21"/>
                          </w:rPr>
                        </w:pPr>
                        <w:r>
                          <w:rPr>
                            <w:sz w:val="21"/>
                          </w:rPr>
                          <w:t>指被保险人出生时就具有的畸形、变形或染色体异常。先天性畸形、变形和染</w:t>
                        </w:r>
                      </w:p>
                    </w:tc>
                  </w:tr>
                  <w:tr>
                    <w:trPr>
                      <w:trHeight w:val="253" w:hRule="atLeast"/>
                    </w:trPr>
                    <w:tc>
                      <w:tcPr>
                        <w:tcW w:w="682" w:type="dxa"/>
                      </w:tcPr>
                      <w:p>
                        <w:pPr>
                          <w:pStyle w:val="TableParagraph"/>
                          <w:rPr>
                            <w:rFonts w:ascii="Times New Roman"/>
                            <w:sz w:val="18"/>
                          </w:rPr>
                        </w:pPr>
                      </w:p>
                    </w:tc>
                    <w:tc>
                      <w:tcPr>
                        <w:tcW w:w="1948" w:type="dxa"/>
                      </w:tcPr>
                      <w:p>
                        <w:pPr>
                          <w:pStyle w:val="TableParagraph"/>
                          <w:spacing w:line="233"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233" w:lineRule="exact"/>
                          <w:ind w:left="134"/>
                          <w:rPr>
                            <w:sz w:val="21"/>
                          </w:rPr>
                        </w:pP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456" w:hRule="atLeast"/>
                    </w:trPr>
                    <w:tc>
                      <w:tcPr>
                        <w:tcW w:w="682" w:type="dxa"/>
                      </w:tcPr>
                      <w:p>
                        <w:pPr>
                          <w:pStyle w:val="TableParagraph"/>
                          <w:rPr>
                            <w:rFonts w:ascii="Times New Roman"/>
                            <w:sz w:val="20"/>
                          </w:rPr>
                        </w:pPr>
                      </w:p>
                    </w:tc>
                    <w:tc>
                      <w:tcPr>
                        <w:tcW w:w="1948" w:type="dxa"/>
                      </w:tcPr>
                      <w:p>
                        <w:pPr>
                          <w:pStyle w:val="TableParagraph"/>
                          <w:spacing w:line="267" w:lineRule="exact" w:before="170"/>
                          <w:ind w:left="124"/>
                          <w:rPr>
                            <w:sz w:val="21"/>
                          </w:rPr>
                        </w:pPr>
                        <w:r>
                          <w:rPr>
                            <w:w w:val="100"/>
                            <w:sz w:val="21"/>
                          </w:rPr>
                          <w:t> </w:t>
                        </w:r>
                      </w:p>
                    </w:tc>
                    <w:tc>
                      <w:tcPr>
                        <w:tcW w:w="7447" w:type="dxa"/>
                      </w:tcPr>
                      <w:p>
                        <w:pPr>
                          <w:pStyle w:val="TableParagraph"/>
                          <w:spacing w:line="214" w:lineRule="exact"/>
                          <w:ind w:left="134"/>
                          <w:rPr>
                            <w:sz w:val="21"/>
                          </w:rPr>
                        </w:pPr>
                        <w:r>
                          <w:rPr>
                            <w:sz w:val="21"/>
                          </w:rPr>
                          <w:t>确定。 </w:t>
                        </w:r>
                      </w:p>
                      <w:p>
                        <w:pPr>
                          <w:pStyle w:val="TableParagraph"/>
                          <w:spacing w:line="223"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10. 12</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line="233" w:lineRule="exact"/>
                          <w:ind w:left="134"/>
                          <w:rPr>
                            <w:sz w:val="21"/>
                          </w:rPr>
                        </w:pPr>
                        <w:r>
                          <w:rPr>
                            <w:sz w:val="21"/>
                          </w:rPr>
                          <w:t>指生殖细胞或受精卵的遗传物质（染色体和基因）发生突变或畸变所引起的疾</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病，通常具有由亲代传至后代的垂直传递的特征。 </w:t>
                        </w:r>
                      </w:p>
                    </w:tc>
                  </w:tr>
                  <w:tr>
                    <w:trPr>
                      <w:trHeight w:val="21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2"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10. 13</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line="233" w:lineRule="exact"/>
                          <w:ind w:left="134"/>
                          <w:rPr>
                            <w:sz w:val="21"/>
                          </w:rPr>
                        </w:pPr>
                        <w:r>
                          <w:rPr>
                            <w:sz w:val="21"/>
                          </w:rPr>
                          <w:t>专科医生应当同时满足以下四项资格条件：①具有有效的中华人民共和国《医</w:t>
                        </w:r>
                      </w:p>
                    </w:tc>
                  </w:tr>
                  <w:tr>
                    <w:trPr>
                      <w:trHeight w:val="263"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4" w:lineRule="exact"/>
                          <w:ind w:left="134"/>
                          <w:rPr>
                            <w:sz w:val="21"/>
                          </w:rPr>
                        </w:pPr>
                        <w:r>
                          <w:rPr>
                            <w:spacing w:val="-16"/>
                            <w:sz w:val="21"/>
                          </w:rPr>
                          <w:t>师资格证书》；②具有有效的中华人民共和国《医师执业证书》，并按期到相关</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部门登记注册；③具有有效的中华人民共和国主治医师或主治医师以上职称的</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《医师职称证书》；④在二级或二级以上医院的相应科室从事临床工作三年以</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上。 </w:t>
                        </w:r>
                      </w:p>
                    </w:tc>
                  </w:tr>
                  <w:tr>
                    <w:trPr>
                      <w:trHeight w:val="21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2"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10. 14</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line="233" w:lineRule="exact"/>
                          <w:ind w:left="134"/>
                          <w:rPr>
                            <w:sz w:val="21"/>
                          </w:rPr>
                        </w:pPr>
                        <w:r>
                          <w:rPr>
                            <w:sz w:val="21"/>
                          </w:rPr>
                          <w:t>指肢体的三大关节中的两大关节僵硬，或不能随意识活动。肢体是指包括肩关</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节的整个上肢或包括髋关节的整个下肢。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10. 15</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语言能力或咀嚼吞</w:t>
                        </w:r>
                      </w:p>
                    </w:tc>
                    <w:tc>
                      <w:tcPr>
                        <w:tcW w:w="7447" w:type="dxa"/>
                      </w:tcPr>
                      <w:p>
                        <w:pPr>
                          <w:pStyle w:val="TableParagraph"/>
                          <w:spacing w:line="231" w:lineRule="exact"/>
                          <w:ind w:left="134"/>
                          <w:rPr>
                            <w:sz w:val="21"/>
                          </w:rPr>
                        </w:pPr>
                        <w:r>
                          <w:rPr>
                            <w:sz w:val="21"/>
                          </w:rPr>
                          <w:t>语言能力完全丧失，指无法发出四种语音（包括口唇音、齿舌音、口盖音和喉</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咽能力完全丧失</w:t>
                        </w:r>
                      </w:p>
                    </w:tc>
                    <w:tc>
                      <w:tcPr>
                        <w:tcW w:w="7447" w:type="dxa"/>
                      </w:tcPr>
                      <w:p>
                        <w:pPr>
                          <w:pStyle w:val="TableParagraph"/>
                          <w:spacing w:line="235" w:lineRule="exact"/>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咀嚼吞咽能力完全丧失，指因牙齿以外的原因导致器质障碍或机能障碍，以致</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不能作咀嚼吞咽运动，除流质食物外不能摄取或吞咽的状态。 </w:t>
                        </w:r>
                      </w:p>
                    </w:tc>
                  </w:tr>
                  <w:tr>
                    <w:trPr>
                      <w:trHeight w:val="199" w:hRule="atLeast"/>
                    </w:trPr>
                    <w:tc>
                      <w:tcPr>
                        <w:tcW w:w="682" w:type="dxa"/>
                      </w:tcPr>
                      <w:p>
                        <w:pPr>
                          <w:pStyle w:val="TableParagraph"/>
                          <w:rPr>
                            <w:rFonts w:ascii="Times New Roman"/>
                            <w:sz w:val="12"/>
                          </w:rPr>
                        </w:pPr>
                      </w:p>
                    </w:tc>
                    <w:tc>
                      <w:tcPr>
                        <w:tcW w:w="1948" w:type="dxa"/>
                      </w:tcPr>
                      <w:p>
                        <w:pPr>
                          <w:pStyle w:val="TableParagraph"/>
                          <w:rPr>
                            <w:rFonts w:ascii="Times New Roman"/>
                            <w:sz w:val="12"/>
                          </w:rPr>
                        </w:pPr>
                      </w:p>
                    </w:tc>
                    <w:tc>
                      <w:tcPr>
                        <w:tcW w:w="7447" w:type="dxa"/>
                      </w:tcPr>
                      <w:p>
                        <w:pPr>
                          <w:pStyle w:val="TableParagraph"/>
                          <w:spacing w:line="179" w:lineRule="exact"/>
                          <w:ind w:left="134"/>
                          <w:rPr>
                            <w:sz w:val="21"/>
                          </w:rPr>
                        </w:pPr>
                        <w:r>
                          <w:rPr>
                            <w:w w:val="100"/>
                            <w:sz w:val="21"/>
                          </w:rPr>
                          <w:t> </w:t>
                        </w:r>
                      </w:p>
                    </w:tc>
                  </w:tr>
                </w:tbl>
                <w:p>
                  <w:pPr>
                    <w:pStyle w:val="BodyText"/>
                    <w:spacing w:line="240" w:lineRule="auto"/>
                    <w:ind w:left="0"/>
                  </w:pPr>
                </w:p>
              </w:txbxContent>
            </v:textbox>
            <w10:wrap type="none"/>
          </v:shape>
        </w:pict>
      </w:r>
      <w:r>
        <w:rPr/>
        <w:t>指经根据冠状动脉造影检查结果明确诊断为三支主要血管严重狭窄性病变（至</w:t>
      </w:r>
      <w:r>
        <w:rPr>
          <w:spacing w:val="-4"/>
        </w:rPr>
        <w:t>少一支血管管腔直径减少 </w:t>
      </w:r>
      <w:r>
        <w:rPr>
          <w:rFonts w:ascii="Times New Roman" w:eastAsia="Times New Roman"/>
        </w:rPr>
        <w:t>75</w:t>
      </w:r>
      <w:r>
        <w:rPr>
          <w:spacing w:val="-4"/>
        </w:rPr>
        <w:t>％以上和其他两支血管管腔直径减少 </w:t>
      </w:r>
      <w:r>
        <w:rPr>
          <w:rFonts w:ascii="Times New Roman" w:eastAsia="Times New Roman"/>
        </w:rPr>
        <w:t>60</w:t>
      </w:r>
      <w:r>
        <w:rPr>
          <w:spacing w:val="-2"/>
        </w:rPr>
        <w:t>％以上</w:t>
      </w:r>
      <w:r>
        <w:rPr>
          <w:spacing w:val="-108"/>
        </w:rPr>
        <w:t>）</w:t>
      </w:r>
      <w:r>
        <w:rPr/>
        <w:t>。</w:t>
      </w:r>
      <w:r>
        <w:rPr>
          <w:spacing w:val="-3"/>
        </w:rPr>
        <w:t>前降支、左旋支及右冠状动脉的分支血管的狭窄不在保障范围内。</w:t>
      </w:r>
      <w:r>
        <w:rPr/>
        <w:t> </w:t>
      </w:r>
    </w:p>
    <w:p>
      <w:pPr>
        <w:spacing w:after="0" w:line="230" w:lineRule="auto"/>
        <w:jc w:val="both"/>
        <w:sectPr>
          <w:pgSz w:w="11900" w:h="16840"/>
          <w:pgMar w:header="0" w:footer="457" w:top="1280" w:bottom="640" w:left="1140" w:right="460"/>
        </w:sectPr>
      </w:pPr>
    </w:p>
    <w:p>
      <w:pPr>
        <w:pStyle w:val="Heading3"/>
        <w:numPr>
          <w:ilvl w:val="1"/>
          <w:numId w:val="9"/>
        </w:numPr>
        <w:tabs>
          <w:tab w:pos="859" w:val="left" w:leader="none"/>
          <w:tab w:pos="860" w:val="left" w:leader="none"/>
        </w:tabs>
        <w:spacing w:line="279" w:lineRule="exact" w:before="0" w:after="0"/>
        <w:ind w:left="859" w:right="0" w:hanging="756"/>
        <w:jc w:val="left"/>
      </w:pPr>
      <w:r>
        <w:rPr/>
        <w:t>六项基本日常生活</w:t>
      </w:r>
    </w:p>
    <w:p>
      <w:pPr>
        <w:spacing w:line="318" w:lineRule="exact" w:before="0"/>
        <w:ind w:left="841" w:right="1247" w:firstLine="0"/>
        <w:jc w:val="center"/>
        <w:rPr>
          <w:rFonts w:ascii="Microsoft JhengHei" w:eastAsia="Microsoft JhengHei" w:hint="eastAsia"/>
          <w:b/>
          <w:sz w:val="21"/>
        </w:rPr>
      </w:pPr>
      <w:r>
        <w:rPr>
          <w:rFonts w:ascii="Microsoft JhengHei" w:eastAsia="Microsoft JhengHei" w:hint="eastAsia"/>
          <w:b/>
          <w:sz w:val="21"/>
        </w:rPr>
        <w:t>活动</w:t>
      </w:r>
    </w:p>
    <w:p>
      <w:pPr>
        <w:pStyle w:val="BodyText"/>
        <w:spacing w:line="237" w:lineRule="auto" w:before="30"/>
        <w:ind w:left="103" w:right="115"/>
        <w:jc w:val="both"/>
      </w:pPr>
      <w:r>
        <w:rPr/>
        <w:br w:type="column"/>
      </w:r>
      <w:r>
        <w:rPr/>
        <w:t>六项基本日常生活活动是指：①穿衣：自己能够穿衣及脱衣；②移动：自己从一个房间到另一个房间；③行动：自己上下床或上下轮椅；④如厕：自己控制进行大小便；⑤进食：自己从已准备好的碗或碟中取食物放入口中；⑥洗澡： 自己进行淋浴或盆浴。 </w:t>
      </w:r>
    </w:p>
    <w:p>
      <w:pPr>
        <w:pStyle w:val="BodyText"/>
        <w:spacing w:line="190" w:lineRule="exact"/>
        <w:ind w:left="103"/>
        <w:jc w:val="both"/>
      </w:pPr>
      <w:r>
        <w:rPr>
          <w:w w:val="100"/>
        </w:rPr>
        <w:t> </w:t>
      </w:r>
    </w:p>
    <w:p>
      <w:pPr>
        <w:spacing w:after="0" w:line="190" w:lineRule="exact"/>
        <w:jc w:val="both"/>
        <w:sectPr>
          <w:pgSz w:w="11900" w:h="16840"/>
          <w:pgMar w:header="0" w:footer="457" w:top="1260" w:bottom="640" w:left="1200" w:right="620"/>
          <w:cols w:num="2" w:equalWidth="0">
            <w:col w:w="2549" w:space="165"/>
            <w:col w:w="7366"/>
          </w:cols>
        </w:sectPr>
      </w:pPr>
    </w:p>
    <w:p>
      <w:pPr>
        <w:pStyle w:val="ListParagraph"/>
        <w:numPr>
          <w:ilvl w:val="1"/>
          <w:numId w:val="9"/>
        </w:numPr>
        <w:tabs>
          <w:tab w:pos="859" w:val="left" w:leader="none"/>
          <w:tab w:pos="860" w:val="left" w:leader="none"/>
          <w:tab w:pos="2817" w:val="left" w:leader="none"/>
        </w:tabs>
        <w:spacing w:line="255" w:lineRule="exact" w:before="0" w:after="0"/>
        <w:ind w:left="859" w:right="0" w:hanging="756"/>
        <w:jc w:val="left"/>
        <w:rPr>
          <w:sz w:val="21"/>
        </w:rPr>
      </w:pPr>
      <w:r>
        <w:rPr>
          <w:rFonts w:ascii="Microsoft JhengHei" w:eastAsia="Microsoft JhengHei" w:hint="eastAsia"/>
          <w:b/>
          <w:sz w:val="21"/>
        </w:rPr>
        <w:t>永久不可逆</w:t>
        <w:tab/>
      </w:r>
      <w:r>
        <w:rPr>
          <w:sz w:val="21"/>
        </w:rPr>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w:t>
      </w:r>
      <w:r>
        <w:rPr>
          <w:spacing w:val="-3"/>
          <w:sz w:val="21"/>
        </w:rPr>
        <w:t>治</w:t>
      </w:r>
      <w:r>
        <w:rPr>
          <w:sz w:val="21"/>
        </w:rPr>
        <w:t>疗</w:t>
      </w:r>
      <w:r>
        <w:rPr>
          <w:spacing w:val="-33"/>
          <w:sz w:val="21"/>
        </w:rPr>
        <w:t> </w:t>
      </w:r>
      <w:r>
        <w:rPr>
          <w:rFonts w:ascii="Times New Roman" w:eastAsia="Times New Roman"/>
          <w:sz w:val="21"/>
        </w:rPr>
        <w:t>180</w:t>
      </w:r>
      <w:r>
        <w:rPr>
          <w:rFonts w:ascii="Times New Roman" w:eastAsia="Times New Roman"/>
          <w:spacing w:val="15"/>
          <w:sz w:val="21"/>
        </w:rPr>
        <w:t> </w:t>
      </w:r>
      <w:r>
        <w:rPr>
          <w:sz w:val="21"/>
        </w:rPr>
        <w:t>天</w:t>
      </w:r>
      <w:r>
        <w:rPr>
          <w:spacing w:val="-3"/>
          <w:sz w:val="21"/>
        </w:rPr>
        <w:t>后</w:t>
      </w:r>
      <w:r>
        <w:rPr>
          <w:sz w:val="21"/>
        </w:rPr>
        <w:t>，</w:t>
      </w:r>
      <w:r>
        <w:rPr>
          <w:spacing w:val="-3"/>
          <w:sz w:val="21"/>
        </w:rPr>
        <w:t>仍</w:t>
      </w:r>
      <w:r>
        <w:rPr>
          <w:sz w:val="21"/>
        </w:rPr>
        <w:t>无</w:t>
      </w:r>
      <w:r>
        <w:rPr>
          <w:spacing w:val="-3"/>
          <w:sz w:val="21"/>
        </w:rPr>
        <w:t>法</w:t>
      </w:r>
      <w:r>
        <w:rPr>
          <w:sz w:val="21"/>
        </w:rPr>
        <w:t>通</w:t>
      </w:r>
      <w:r>
        <w:rPr>
          <w:spacing w:val="-3"/>
          <w:sz w:val="21"/>
        </w:rPr>
        <w:t>过</w:t>
      </w:r>
      <w:r>
        <w:rPr>
          <w:sz w:val="21"/>
        </w:rPr>
        <w:t>现</w:t>
      </w:r>
    </w:p>
    <w:p>
      <w:pPr>
        <w:pStyle w:val="BodyText"/>
        <w:spacing w:line="261" w:lineRule="exact"/>
        <w:ind w:left="2817"/>
      </w:pPr>
      <w:r>
        <w:rPr/>
        <w:t>有医疗手段恢复。 </w:t>
      </w:r>
    </w:p>
    <w:p>
      <w:pPr>
        <w:spacing w:before="6"/>
        <w:ind w:left="218" w:right="0" w:firstLine="0"/>
        <w:jc w:val="left"/>
        <w:rPr>
          <w:sz w:val="16"/>
        </w:rPr>
      </w:pPr>
      <w:r>
        <w:rPr>
          <w:w w:val="100"/>
          <w:sz w:val="16"/>
        </w:rPr>
        <w:t> </w:t>
      </w:r>
    </w:p>
    <w:p>
      <w:pPr>
        <w:spacing w:after="0"/>
        <w:jc w:val="left"/>
        <w:rPr>
          <w:sz w:val="16"/>
        </w:rPr>
        <w:sectPr>
          <w:type w:val="continuous"/>
          <w:pgSz w:w="11900" w:h="16840"/>
          <w:pgMar w:top="400" w:bottom="280" w:left="1200" w:right="620"/>
        </w:sectPr>
      </w:pPr>
    </w:p>
    <w:p>
      <w:pPr>
        <w:pStyle w:val="Heading3"/>
        <w:spacing w:line="315" w:lineRule="exact"/>
        <w:ind w:left="118"/>
        <w:jc w:val="left"/>
      </w:pPr>
      <w:r>
        <w:rPr/>
        <w:t>附表：保险费率表</w:t>
      </w:r>
    </w:p>
    <w:p>
      <w:pPr>
        <w:pStyle w:val="BodyText"/>
        <w:spacing w:line="240" w:lineRule="auto" w:before="13"/>
        <w:ind w:left="0"/>
        <w:rPr>
          <w:rFonts w:ascii="Microsoft JhengHei"/>
          <w:b/>
          <w:sz w:val="17"/>
        </w:rPr>
      </w:pPr>
      <w:r>
        <w:rPr/>
        <w:br w:type="column"/>
      </w:r>
      <w:r>
        <w:rPr>
          <w:rFonts w:ascii="Microsoft JhengHei"/>
          <w:b/>
          <w:sz w:val="17"/>
        </w:rPr>
      </w:r>
    </w:p>
    <w:p>
      <w:pPr>
        <w:spacing w:before="0"/>
        <w:ind w:left="125" w:right="0" w:firstLine="0"/>
        <w:jc w:val="center"/>
        <w:rPr>
          <w:rFonts w:ascii="Microsoft JhengHei" w:eastAsia="Microsoft JhengHei" w:hint="eastAsia"/>
          <w:b/>
          <w:sz w:val="21"/>
        </w:rPr>
      </w:pPr>
      <w:r>
        <w:rPr>
          <w:rFonts w:ascii="Microsoft JhengHei" w:eastAsia="Microsoft JhengHei" w:hint="eastAsia"/>
          <w:b/>
          <w:sz w:val="21"/>
        </w:rPr>
        <w:t>保险费率表</w:t>
      </w:r>
    </w:p>
    <w:p>
      <w:pPr>
        <w:pStyle w:val="BodyText"/>
        <w:spacing w:line="240" w:lineRule="auto" w:before="9"/>
        <w:ind w:left="0"/>
        <w:rPr>
          <w:rFonts w:ascii="Microsoft JhengHei"/>
          <w:b/>
          <w:sz w:val="17"/>
        </w:rPr>
      </w:pPr>
    </w:p>
    <w:p>
      <w:pPr>
        <w:pStyle w:val="BodyText"/>
        <w:spacing w:line="240" w:lineRule="auto"/>
        <w:ind w:left="118"/>
        <w:jc w:val="center"/>
      </w:pPr>
      <w:r>
        <w:rPr/>
        <w:t>（</w:t>
      </w:r>
      <w:r>
        <w:rPr>
          <w:spacing w:val="-24"/>
        </w:rPr>
        <w:t>每 </w:t>
      </w:r>
      <w:r>
        <w:rPr>
          <w:rFonts w:ascii="Times New Roman" w:eastAsia="Times New Roman"/>
        </w:rPr>
        <w:t>1000 </w:t>
      </w:r>
      <w:r>
        <w:rPr>
          <w:spacing w:val="-3"/>
        </w:rPr>
        <w:t>元基本保险金额）</w:t>
      </w:r>
    </w:p>
    <w:p>
      <w:pPr>
        <w:pStyle w:val="BodyText"/>
        <w:spacing w:line="240" w:lineRule="auto"/>
        <w:ind w:left="0"/>
        <w:rPr>
          <w:sz w:val="20"/>
        </w:rPr>
      </w:pPr>
      <w:r>
        <w:rPr/>
        <w:br w:type="column"/>
      </w:r>
      <w:r>
        <w:rPr>
          <w:sz w:val="20"/>
        </w:rPr>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8"/>
        <w:ind w:left="0"/>
        <w:rPr>
          <w:sz w:val="24"/>
        </w:rPr>
      </w:pPr>
    </w:p>
    <w:p>
      <w:pPr>
        <w:pStyle w:val="BodyText"/>
        <w:spacing w:line="240" w:lineRule="auto" w:before="1"/>
        <w:ind w:left="118"/>
      </w:pPr>
      <w:r>
        <w:rPr/>
        <w:t>单位：元</w:t>
      </w:r>
    </w:p>
    <w:p>
      <w:pPr>
        <w:spacing w:after="0" w:line="240" w:lineRule="auto"/>
        <w:sectPr>
          <w:pgSz w:w="11900" w:h="16840"/>
          <w:pgMar w:header="0" w:footer="457" w:top="1360" w:bottom="640" w:left="1300" w:right="1120"/>
          <w:cols w:num="3" w:equalWidth="0">
            <w:col w:w="1809" w:space="1695"/>
            <w:col w:w="2742" w:space="2048"/>
            <w:col w:w="1186"/>
          </w:cols>
        </w:sectPr>
      </w:pPr>
    </w:p>
    <w:p>
      <w:pPr>
        <w:pStyle w:val="BodyText"/>
        <w:spacing w:line="240" w:lineRule="auto" w:before="11"/>
        <w:ind w:left="0"/>
        <w:rPr>
          <w:sz w:val="9"/>
        </w:rPr>
      </w:pPr>
    </w:p>
    <w:tbl>
      <w:tblPr>
        <w:tblW w:w="0" w:type="auto"/>
        <w:jc w:val="left"/>
        <w:tblInd w:w="5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2"/>
        <w:gridCol w:w="978"/>
        <w:gridCol w:w="985"/>
        <w:gridCol w:w="981"/>
        <w:gridCol w:w="976"/>
        <w:gridCol w:w="986"/>
        <w:gridCol w:w="981"/>
        <w:gridCol w:w="979"/>
        <w:gridCol w:w="984"/>
      </w:tblGrid>
      <w:tr>
        <w:trPr>
          <w:trHeight w:val="359" w:hRule="atLeast"/>
        </w:trPr>
        <w:tc>
          <w:tcPr>
            <w:tcW w:w="98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0" w:lineRule="exact"/>
              <w:ind w:left="259" w:right="253"/>
              <w:jc w:val="center"/>
              <w:rPr>
                <w:rFonts w:ascii="Microsoft JhengHei" w:eastAsia="Microsoft JhengHei" w:hint="eastAsia"/>
                <w:b/>
                <w:sz w:val="21"/>
              </w:rPr>
            </w:pPr>
            <w:r>
              <w:rPr>
                <w:rFonts w:ascii="Microsoft JhengHei" w:eastAsia="Microsoft JhengHei" w:hint="eastAsia"/>
                <w:b/>
                <w:sz w:val="21"/>
              </w:rPr>
              <w:t>年龄</w:t>
            </w:r>
          </w:p>
        </w:tc>
        <w:tc>
          <w:tcPr>
            <w:tcW w:w="978" w:type="dxa"/>
            <w:tcBorders>
              <w:top w:val="single" w:sz="4" w:space="0" w:color="000000"/>
              <w:left w:val="single" w:sz="4" w:space="0" w:color="000000"/>
              <w:bottom w:val="single" w:sz="4" w:space="0" w:color="000000"/>
            </w:tcBorders>
            <w:shd w:val="clear" w:color="auto" w:fill="BFBFBF"/>
          </w:tcPr>
          <w:p>
            <w:pPr>
              <w:pStyle w:val="TableParagraph"/>
              <w:spacing w:line="310" w:lineRule="exact"/>
              <w:jc w:val="center"/>
              <w:rPr>
                <w:rFonts w:ascii="Microsoft JhengHei" w:eastAsia="Microsoft JhengHei" w:hint="eastAsia"/>
                <w:b/>
                <w:sz w:val="21"/>
              </w:rPr>
            </w:pPr>
            <w:r>
              <w:rPr>
                <w:rFonts w:ascii="Microsoft JhengHei" w:eastAsia="Microsoft JhengHei" w:hint="eastAsia"/>
                <w:b/>
                <w:w w:val="100"/>
                <w:sz w:val="21"/>
              </w:rPr>
              <w:t>男</w:t>
            </w:r>
          </w:p>
        </w:tc>
        <w:tc>
          <w:tcPr>
            <w:tcW w:w="985" w:type="dxa"/>
            <w:tcBorders>
              <w:top w:val="single" w:sz="4" w:space="0" w:color="000000"/>
              <w:bottom w:val="single" w:sz="4" w:space="0" w:color="000000"/>
              <w:right w:val="single" w:sz="4" w:space="0" w:color="000000"/>
            </w:tcBorders>
            <w:shd w:val="clear" w:color="auto" w:fill="BFBFBF"/>
          </w:tcPr>
          <w:p>
            <w:pPr>
              <w:pStyle w:val="TableParagraph"/>
              <w:spacing w:line="310" w:lineRule="exact"/>
              <w:ind w:left="10"/>
              <w:jc w:val="center"/>
              <w:rPr>
                <w:rFonts w:ascii="Microsoft JhengHei" w:eastAsia="Microsoft JhengHei" w:hint="eastAsia"/>
                <w:b/>
                <w:sz w:val="21"/>
              </w:rPr>
            </w:pPr>
            <w:r>
              <w:rPr>
                <w:rFonts w:ascii="Microsoft JhengHei" w:eastAsia="Microsoft JhengHei" w:hint="eastAsia"/>
                <w:b/>
                <w:w w:val="100"/>
                <w:sz w:val="21"/>
              </w:rPr>
              <w:t>女</w:t>
            </w:r>
          </w:p>
        </w:tc>
        <w:tc>
          <w:tcPr>
            <w:tcW w:w="98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0" w:lineRule="exact"/>
              <w:ind w:left="226" w:right="226"/>
              <w:jc w:val="center"/>
              <w:rPr>
                <w:rFonts w:ascii="Microsoft JhengHei" w:eastAsia="Microsoft JhengHei" w:hint="eastAsia"/>
                <w:b/>
                <w:sz w:val="21"/>
              </w:rPr>
            </w:pPr>
            <w:r>
              <w:rPr>
                <w:rFonts w:ascii="Microsoft JhengHei" w:eastAsia="Microsoft JhengHei" w:hint="eastAsia"/>
                <w:b/>
                <w:sz w:val="21"/>
              </w:rPr>
              <w:t>年龄</w:t>
            </w:r>
          </w:p>
        </w:tc>
        <w:tc>
          <w:tcPr>
            <w:tcW w:w="976" w:type="dxa"/>
            <w:tcBorders>
              <w:top w:val="single" w:sz="4" w:space="0" w:color="000000"/>
              <w:left w:val="single" w:sz="4" w:space="0" w:color="000000"/>
              <w:bottom w:val="single" w:sz="4" w:space="0" w:color="000000"/>
            </w:tcBorders>
            <w:shd w:val="clear" w:color="auto" w:fill="BFBFBF"/>
          </w:tcPr>
          <w:p>
            <w:pPr>
              <w:pStyle w:val="TableParagraph"/>
              <w:spacing w:line="310" w:lineRule="exact"/>
              <w:ind w:left="3"/>
              <w:jc w:val="center"/>
              <w:rPr>
                <w:rFonts w:ascii="Microsoft JhengHei" w:eastAsia="Microsoft JhengHei" w:hint="eastAsia"/>
                <w:b/>
                <w:sz w:val="21"/>
              </w:rPr>
            </w:pPr>
            <w:r>
              <w:rPr>
                <w:rFonts w:ascii="Microsoft JhengHei" w:eastAsia="Microsoft JhengHei" w:hint="eastAsia"/>
                <w:b/>
                <w:w w:val="100"/>
                <w:sz w:val="21"/>
              </w:rPr>
              <w:t>男</w:t>
            </w:r>
          </w:p>
        </w:tc>
        <w:tc>
          <w:tcPr>
            <w:tcW w:w="986" w:type="dxa"/>
            <w:tcBorders>
              <w:top w:val="single" w:sz="4" w:space="0" w:color="000000"/>
              <w:bottom w:val="single" w:sz="4" w:space="0" w:color="000000"/>
              <w:right w:val="single" w:sz="4" w:space="0" w:color="000000"/>
            </w:tcBorders>
            <w:shd w:val="clear" w:color="auto" w:fill="BFBFBF"/>
          </w:tcPr>
          <w:p>
            <w:pPr>
              <w:pStyle w:val="TableParagraph"/>
              <w:spacing w:line="310" w:lineRule="exact"/>
              <w:ind w:left="10"/>
              <w:jc w:val="center"/>
              <w:rPr>
                <w:rFonts w:ascii="Microsoft JhengHei" w:eastAsia="Microsoft JhengHei" w:hint="eastAsia"/>
                <w:b/>
                <w:sz w:val="21"/>
              </w:rPr>
            </w:pPr>
            <w:r>
              <w:rPr>
                <w:rFonts w:ascii="Microsoft JhengHei" w:eastAsia="Microsoft JhengHei" w:hint="eastAsia"/>
                <w:b/>
                <w:w w:val="100"/>
                <w:sz w:val="21"/>
              </w:rPr>
              <w:t>女</w:t>
            </w:r>
          </w:p>
        </w:tc>
        <w:tc>
          <w:tcPr>
            <w:tcW w:w="98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0" w:lineRule="exact"/>
              <w:ind w:left="227" w:right="226"/>
              <w:jc w:val="center"/>
              <w:rPr>
                <w:rFonts w:ascii="Microsoft JhengHei" w:eastAsia="Microsoft JhengHei" w:hint="eastAsia"/>
                <w:b/>
                <w:sz w:val="21"/>
              </w:rPr>
            </w:pPr>
            <w:r>
              <w:rPr>
                <w:rFonts w:ascii="Microsoft JhengHei" w:eastAsia="Microsoft JhengHei" w:hint="eastAsia"/>
                <w:b/>
                <w:sz w:val="21"/>
              </w:rPr>
              <w:t>年龄</w:t>
            </w:r>
          </w:p>
        </w:tc>
        <w:tc>
          <w:tcPr>
            <w:tcW w:w="979" w:type="dxa"/>
            <w:tcBorders>
              <w:top w:val="single" w:sz="4" w:space="0" w:color="000000"/>
              <w:left w:val="single" w:sz="4" w:space="0" w:color="000000"/>
              <w:bottom w:val="single" w:sz="4" w:space="0" w:color="000000"/>
            </w:tcBorders>
            <w:shd w:val="clear" w:color="auto" w:fill="BFBFBF"/>
          </w:tcPr>
          <w:p>
            <w:pPr>
              <w:pStyle w:val="TableParagraph"/>
              <w:spacing w:line="310" w:lineRule="exact"/>
              <w:jc w:val="center"/>
              <w:rPr>
                <w:rFonts w:ascii="Microsoft JhengHei" w:eastAsia="Microsoft JhengHei" w:hint="eastAsia"/>
                <w:b/>
                <w:sz w:val="21"/>
              </w:rPr>
            </w:pPr>
            <w:r>
              <w:rPr>
                <w:rFonts w:ascii="Microsoft JhengHei" w:eastAsia="Microsoft JhengHei" w:hint="eastAsia"/>
                <w:b/>
                <w:w w:val="100"/>
                <w:sz w:val="21"/>
              </w:rPr>
              <w:t>男</w:t>
            </w:r>
          </w:p>
        </w:tc>
        <w:tc>
          <w:tcPr>
            <w:tcW w:w="984" w:type="dxa"/>
            <w:tcBorders>
              <w:top w:val="single" w:sz="4" w:space="0" w:color="000000"/>
              <w:bottom w:val="single" w:sz="4" w:space="0" w:color="000000"/>
              <w:right w:val="single" w:sz="4" w:space="0" w:color="000000"/>
            </w:tcBorders>
            <w:shd w:val="clear" w:color="auto" w:fill="BFBFBF"/>
          </w:tcPr>
          <w:p>
            <w:pPr>
              <w:pStyle w:val="TableParagraph"/>
              <w:spacing w:line="310" w:lineRule="exact"/>
              <w:ind w:left="14"/>
              <w:jc w:val="center"/>
              <w:rPr>
                <w:rFonts w:ascii="Microsoft JhengHei" w:eastAsia="Microsoft JhengHei" w:hint="eastAsia"/>
                <w:b/>
                <w:sz w:val="21"/>
              </w:rPr>
            </w:pPr>
            <w:r>
              <w:rPr>
                <w:rFonts w:ascii="Microsoft JhengHei" w:eastAsia="Microsoft JhengHei" w:hint="eastAsia"/>
                <w:b/>
                <w:w w:val="100"/>
                <w:sz w:val="21"/>
              </w:rPr>
              <w:t>女</w:t>
            </w:r>
          </w:p>
        </w:tc>
      </w:tr>
      <w:tr>
        <w:trPr>
          <w:trHeight w:val="323" w:hRule="atLeast"/>
        </w:trPr>
        <w:tc>
          <w:tcPr>
            <w:tcW w:w="982" w:type="dxa"/>
            <w:tcBorders>
              <w:top w:val="single" w:sz="4" w:space="0" w:color="000000"/>
              <w:left w:val="single" w:sz="4" w:space="0" w:color="000000"/>
              <w:right w:val="single" w:sz="4" w:space="0" w:color="000000"/>
            </w:tcBorders>
          </w:tcPr>
          <w:p>
            <w:pPr>
              <w:pStyle w:val="TableParagraph"/>
              <w:spacing w:before="51"/>
              <w:ind w:left="6"/>
              <w:jc w:val="center"/>
              <w:rPr>
                <w:rFonts w:ascii="Times New Roman"/>
                <w:sz w:val="21"/>
              </w:rPr>
            </w:pPr>
            <w:r>
              <w:rPr>
                <w:rFonts w:ascii="Times New Roman"/>
                <w:w w:val="100"/>
                <w:sz w:val="21"/>
              </w:rPr>
              <w:t>0</w:t>
            </w:r>
          </w:p>
        </w:tc>
        <w:tc>
          <w:tcPr>
            <w:tcW w:w="978" w:type="dxa"/>
            <w:tcBorders>
              <w:top w:val="single" w:sz="4" w:space="0" w:color="000000"/>
              <w:left w:val="single" w:sz="4" w:space="0" w:color="000000"/>
            </w:tcBorders>
          </w:tcPr>
          <w:p>
            <w:pPr>
              <w:pStyle w:val="TableParagraph"/>
              <w:spacing w:before="34"/>
              <w:ind w:left="282" w:right="282"/>
              <w:jc w:val="center"/>
              <w:rPr>
                <w:rFonts w:ascii="Times New Roman"/>
                <w:sz w:val="21"/>
              </w:rPr>
            </w:pPr>
            <w:r>
              <w:rPr>
                <w:rFonts w:ascii="Times New Roman"/>
                <w:sz w:val="21"/>
              </w:rPr>
              <w:t>1.86</w:t>
            </w:r>
          </w:p>
        </w:tc>
        <w:tc>
          <w:tcPr>
            <w:tcW w:w="985" w:type="dxa"/>
            <w:tcBorders>
              <w:top w:val="single" w:sz="4" w:space="0" w:color="000000"/>
              <w:right w:val="single" w:sz="4" w:space="0" w:color="000000"/>
            </w:tcBorders>
          </w:tcPr>
          <w:p>
            <w:pPr>
              <w:pStyle w:val="TableParagraph"/>
              <w:spacing w:before="34"/>
              <w:ind w:left="291" w:right="281"/>
              <w:jc w:val="center"/>
              <w:rPr>
                <w:rFonts w:ascii="Times New Roman"/>
                <w:sz w:val="21"/>
              </w:rPr>
            </w:pPr>
            <w:r>
              <w:rPr>
                <w:rFonts w:ascii="Times New Roman"/>
                <w:sz w:val="21"/>
              </w:rPr>
              <w:t>1.70</w:t>
            </w:r>
          </w:p>
        </w:tc>
        <w:tc>
          <w:tcPr>
            <w:tcW w:w="981" w:type="dxa"/>
            <w:tcBorders>
              <w:top w:val="single" w:sz="4" w:space="0" w:color="000000"/>
              <w:left w:val="single" w:sz="4" w:space="0" w:color="000000"/>
              <w:right w:val="single" w:sz="4" w:space="0" w:color="000000"/>
            </w:tcBorders>
          </w:tcPr>
          <w:p>
            <w:pPr>
              <w:pStyle w:val="TableParagraph"/>
              <w:spacing w:before="51"/>
              <w:ind w:left="226" w:right="226"/>
              <w:jc w:val="center"/>
              <w:rPr>
                <w:rFonts w:ascii="Times New Roman"/>
                <w:sz w:val="21"/>
              </w:rPr>
            </w:pPr>
            <w:r>
              <w:rPr>
                <w:rFonts w:ascii="Times New Roman"/>
                <w:sz w:val="21"/>
              </w:rPr>
              <w:t>30</w:t>
            </w:r>
          </w:p>
        </w:tc>
        <w:tc>
          <w:tcPr>
            <w:tcW w:w="976" w:type="dxa"/>
            <w:tcBorders>
              <w:top w:val="single" w:sz="4" w:space="0" w:color="000000"/>
              <w:left w:val="single" w:sz="4" w:space="0" w:color="000000"/>
            </w:tcBorders>
          </w:tcPr>
          <w:p>
            <w:pPr>
              <w:pStyle w:val="TableParagraph"/>
              <w:spacing w:before="34"/>
              <w:ind w:left="229" w:right="226"/>
              <w:jc w:val="center"/>
              <w:rPr>
                <w:rFonts w:ascii="Times New Roman"/>
                <w:sz w:val="21"/>
              </w:rPr>
            </w:pPr>
            <w:r>
              <w:rPr>
                <w:rFonts w:ascii="Times New Roman"/>
                <w:sz w:val="21"/>
              </w:rPr>
              <w:t>1.82</w:t>
            </w:r>
          </w:p>
        </w:tc>
        <w:tc>
          <w:tcPr>
            <w:tcW w:w="986" w:type="dxa"/>
            <w:tcBorders>
              <w:top w:val="single" w:sz="4" w:space="0" w:color="000000"/>
              <w:right w:val="single" w:sz="4" w:space="0" w:color="000000"/>
            </w:tcBorders>
          </w:tcPr>
          <w:p>
            <w:pPr>
              <w:pStyle w:val="TableParagraph"/>
              <w:spacing w:before="34"/>
              <w:ind w:left="238" w:right="228"/>
              <w:jc w:val="center"/>
              <w:rPr>
                <w:rFonts w:ascii="Times New Roman"/>
                <w:sz w:val="21"/>
              </w:rPr>
            </w:pPr>
            <w:r>
              <w:rPr>
                <w:rFonts w:ascii="Times New Roman"/>
                <w:sz w:val="21"/>
              </w:rPr>
              <w:t>1.72</w:t>
            </w:r>
          </w:p>
        </w:tc>
        <w:tc>
          <w:tcPr>
            <w:tcW w:w="981" w:type="dxa"/>
            <w:tcBorders>
              <w:top w:val="single" w:sz="4" w:space="0" w:color="000000"/>
              <w:left w:val="single" w:sz="4" w:space="0" w:color="000000"/>
              <w:right w:val="single" w:sz="4" w:space="0" w:color="000000"/>
            </w:tcBorders>
          </w:tcPr>
          <w:p>
            <w:pPr>
              <w:pStyle w:val="TableParagraph"/>
              <w:spacing w:before="51"/>
              <w:ind w:left="227" w:right="226"/>
              <w:jc w:val="center"/>
              <w:rPr>
                <w:rFonts w:ascii="Times New Roman"/>
                <w:sz w:val="21"/>
              </w:rPr>
            </w:pPr>
            <w:r>
              <w:rPr>
                <w:rFonts w:ascii="Times New Roman"/>
                <w:sz w:val="21"/>
              </w:rPr>
              <w:t>60</w:t>
            </w:r>
          </w:p>
        </w:tc>
        <w:tc>
          <w:tcPr>
            <w:tcW w:w="979" w:type="dxa"/>
            <w:tcBorders>
              <w:top w:val="single" w:sz="4" w:space="0" w:color="000000"/>
              <w:left w:val="single" w:sz="4" w:space="0" w:color="000000"/>
            </w:tcBorders>
          </w:tcPr>
          <w:p>
            <w:pPr>
              <w:pStyle w:val="TableParagraph"/>
              <w:spacing w:before="34"/>
              <w:ind w:left="176" w:right="176"/>
              <w:jc w:val="center"/>
              <w:rPr>
                <w:rFonts w:ascii="Times New Roman"/>
                <w:sz w:val="21"/>
              </w:rPr>
            </w:pPr>
            <w:r>
              <w:rPr>
                <w:rFonts w:ascii="Times New Roman"/>
                <w:sz w:val="21"/>
              </w:rPr>
              <w:t>24.98</w:t>
            </w:r>
          </w:p>
        </w:tc>
        <w:tc>
          <w:tcPr>
            <w:tcW w:w="984" w:type="dxa"/>
            <w:tcBorders>
              <w:top w:val="single" w:sz="4" w:space="0" w:color="000000"/>
              <w:right w:val="single" w:sz="4" w:space="0" w:color="000000"/>
            </w:tcBorders>
          </w:tcPr>
          <w:p>
            <w:pPr>
              <w:pStyle w:val="TableParagraph"/>
              <w:spacing w:before="34"/>
              <w:ind w:left="185" w:right="171"/>
              <w:jc w:val="center"/>
              <w:rPr>
                <w:rFonts w:ascii="Times New Roman"/>
                <w:sz w:val="21"/>
              </w:rPr>
            </w:pPr>
            <w:r>
              <w:rPr>
                <w:rFonts w:ascii="Times New Roman"/>
                <w:sz w:val="21"/>
              </w:rPr>
              <w:t>18.08</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1</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1.02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1.02</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31</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1.90</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1.86</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61</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27.28</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19.52</w:t>
            </w:r>
          </w:p>
        </w:tc>
      </w:tr>
      <w:tr>
        <w:trPr>
          <w:trHeight w:val="311"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2</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1.00</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32</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1.98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2.00</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62</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28.76</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20.34</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3</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0.98</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33</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2.08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2.16</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63</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29.98</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20.88</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4</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0.96</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34</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2.24</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2.34</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64</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31.80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21.86</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5</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0.90</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0.94</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35</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2.34</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2.50</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65</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33.62</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23.06</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6</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0.92</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36</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2.48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2.70</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66</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36.60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25.14</w:t>
            </w:r>
          </w:p>
        </w:tc>
      </w:tr>
      <w:tr>
        <w:trPr>
          <w:trHeight w:val="311"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7</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0.90</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37</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2.70</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2.96</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67</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40.44</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28.18</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8</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0.90</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38</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2.94</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3.22</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68</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41.22</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29.46</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9</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0.88</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39</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3.16</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3.48</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69</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44.76</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32.96</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10</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0.88</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40</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3.46</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3.80</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70</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48.20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34.18</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0"/>
              <w:jc w:val="center"/>
              <w:rPr>
                <w:rFonts w:ascii="Times New Roman"/>
                <w:sz w:val="21"/>
              </w:rPr>
            </w:pPr>
            <w:r>
              <w:rPr>
                <w:rFonts w:ascii="Times New Roman"/>
                <w:sz w:val="21"/>
              </w:rPr>
              <w:t>11</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0.90</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41</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3.78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4.14</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71</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50.86</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36.70</w:t>
            </w:r>
          </w:p>
        </w:tc>
      </w:tr>
      <w:tr>
        <w:trPr>
          <w:trHeight w:val="311"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12</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0.90</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42</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4.18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4.50</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72</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55.96</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40.98</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13</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0.92</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43</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4.64</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4.94</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73</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60.52</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44.80</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14</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0.94</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44</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5.18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5.38</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74</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65.06</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48.64</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15</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0.96</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45</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5.78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5.88</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75</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69.70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52.70</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16</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1.00</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46</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6.42</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6.40</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76</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74.80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57.12</w:t>
            </w:r>
          </w:p>
        </w:tc>
      </w:tr>
      <w:tr>
        <w:trPr>
          <w:trHeight w:val="311"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17</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1.02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1.02</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47</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7.12</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6.94</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77</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80.48</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62.14</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18</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1.06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1.06</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48</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7.96</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7.56</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78</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86.88</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68.28</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19</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1.12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1.10</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49</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8.78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8.14</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79</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95.62</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76.26</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20</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1.18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1.14</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50</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9.82</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8.84</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80</w:t>
            </w:r>
          </w:p>
        </w:tc>
        <w:tc>
          <w:tcPr>
            <w:tcW w:w="979" w:type="dxa"/>
            <w:tcBorders>
              <w:left w:val="single" w:sz="4" w:space="0" w:color="000000"/>
            </w:tcBorders>
          </w:tcPr>
          <w:p>
            <w:pPr>
              <w:pStyle w:val="TableParagraph"/>
              <w:spacing w:before="23"/>
              <w:ind w:left="178" w:right="174"/>
              <w:jc w:val="center"/>
              <w:rPr>
                <w:rFonts w:ascii="Times New Roman"/>
                <w:sz w:val="21"/>
              </w:rPr>
            </w:pPr>
            <w:r>
              <w:rPr>
                <w:rFonts w:ascii="Times New Roman"/>
                <w:sz w:val="21"/>
              </w:rPr>
              <w:t>105.06</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84.96</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21</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1.20</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1.18</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51</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10.76</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9.46</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81</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114.24</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93.50</w:t>
            </w:r>
          </w:p>
        </w:tc>
      </w:tr>
      <w:tr>
        <w:trPr>
          <w:trHeight w:val="311"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22</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1.26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1.18</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52</w:t>
            </w:r>
          </w:p>
        </w:tc>
        <w:tc>
          <w:tcPr>
            <w:tcW w:w="976" w:type="dxa"/>
            <w:tcBorders>
              <w:left w:val="single" w:sz="4" w:space="0" w:color="000000"/>
            </w:tcBorders>
          </w:tcPr>
          <w:p>
            <w:pPr>
              <w:pStyle w:val="TableParagraph"/>
              <w:spacing w:before="23"/>
              <w:ind w:left="230" w:right="224"/>
              <w:jc w:val="center"/>
              <w:rPr>
                <w:rFonts w:ascii="Times New Roman"/>
                <w:sz w:val="21"/>
              </w:rPr>
            </w:pPr>
            <w:r>
              <w:rPr>
                <w:rFonts w:ascii="Times New Roman"/>
                <w:sz w:val="21"/>
              </w:rPr>
              <w:t>11.90</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10.16</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82</w:t>
            </w:r>
          </w:p>
        </w:tc>
        <w:tc>
          <w:tcPr>
            <w:tcW w:w="979" w:type="dxa"/>
            <w:tcBorders>
              <w:left w:val="single" w:sz="4" w:space="0" w:color="000000"/>
            </w:tcBorders>
          </w:tcPr>
          <w:p>
            <w:pPr>
              <w:pStyle w:val="TableParagraph"/>
              <w:spacing w:before="23"/>
              <w:ind w:left="178" w:right="174"/>
              <w:jc w:val="center"/>
              <w:rPr>
                <w:rFonts w:ascii="Times New Roman"/>
                <w:sz w:val="21"/>
              </w:rPr>
            </w:pPr>
            <w:r>
              <w:rPr>
                <w:rFonts w:ascii="Times New Roman"/>
                <w:sz w:val="21"/>
              </w:rPr>
              <w:t>122.24</w:t>
            </w:r>
          </w:p>
        </w:tc>
        <w:tc>
          <w:tcPr>
            <w:tcW w:w="984" w:type="dxa"/>
            <w:tcBorders>
              <w:right w:val="single" w:sz="4" w:space="0" w:color="000000"/>
            </w:tcBorders>
          </w:tcPr>
          <w:p>
            <w:pPr>
              <w:pStyle w:val="TableParagraph"/>
              <w:spacing w:before="23"/>
              <w:ind w:left="187" w:right="168"/>
              <w:jc w:val="center"/>
              <w:rPr>
                <w:rFonts w:ascii="Times New Roman"/>
                <w:sz w:val="21"/>
              </w:rPr>
            </w:pPr>
            <w:r>
              <w:rPr>
                <w:rFonts w:ascii="Times New Roman"/>
                <w:sz w:val="21"/>
              </w:rPr>
              <w:t>101.02</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23</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1.32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1.22</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53</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13.00</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10.80</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83</w:t>
            </w:r>
          </w:p>
        </w:tc>
        <w:tc>
          <w:tcPr>
            <w:tcW w:w="979" w:type="dxa"/>
            <w:tcBorders>
              <w:left w:val="single" w:sz="4" w:space="0" w:color="000000"/>
            </w:tcBorders>
          </w:tcPr>
          <w:p>
            <w:pPr>
              <w:pStyle w:val="TableParagraph"/>
              <w:spacing w:before="23"/>
              <w:ind w:left="178" w:right="174"/>
              <w:jc w:val="center"/>
              <w:rPr>
                <w:rFonts w:ascii="Times New Roman"/>
                <w:sz w:val="21"/>
              </w:rPr>
            </w:pPr>
            <w:r>
              <w:rPr>
                <w:rFonts w:ascii="Times New Roman"/>
                <w:sz w:val="21"/>
              </w:rPr>
              <w:t>127.78</w:t>
            </w:r>
          </w:p>
        </w:tc>
        <w:tc>
          <w:tcPr>
            <w:tcW w:w="984" w:type="dxa"/>
            <w:tcBorders>
              <w:right w:val="single" w:sz="4" w:space="0" w:color="000000"/>
            </w:tcBorders>
          </w:tcPr>
          <w:p>
            <w:pPr>
              <w:pStyle w:val="TableParagraph"/>
              <w:spacing w:before="23"/>
              <w:ind w:left="187" w:right="168"/>
              <w:jc w:val="center"/>
              <w:rPr>
                <w:rFonts w:ascii="Times New Roman"/>
                <w:sz w:val="21"/>
              </w:rPr>
            </w:pPr>
            <w:r>
              <w:rPr>
                <w:rFonts w:ascii="Times New Roman"/>
                <w:sz w:val="21"/>
              </w:rPr>
              <w:t>106.32</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24</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1.36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1.26</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54</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14.38</w:t>
            </w:r>
          </w:p>
        </w:tc>
        <w:tc>
          <w:tcPr>
            <w:tcW w:w="986" w:type="dxa"/>
            <w:tcBorders>
              <w:right w:val="single" w:sz="4" w:space="0" w:color="000000"/>
            </w:tcBorders>
          </w:tcPr>
          <w:p>
            <w:pPr>
              <w:pStyle w:val="TableParagraph"/>
              <w:spacing w:before="23"/>
              <w:ind w:left="239" w:right="227"/>
              <w:jc w:val="center"/>
              <w:rPr>
                <w:rFonts w:ascii="Times New Roman"/>
                <w:sz w:val="21"/>
              </w:rPr>
            </w:pPr>
            <w:r>
              <w:rPr>
                <w:rFonts w:ascii="Times New Roman"/>
                <w:sz w:val="21"/>
              </w:rPr>
              <w:t>11.62</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84</w:t>
            </w:r>
          </w:p>
        </w:tc>
        <w:tc>
          <w:tcPr>
            <w:tcW w:w="979" w:type="dxa"/>
            <w:tcBorders>
              <w:left w:val="single" w:sz="4" w:space="0" w:color="000000"/>
            </w:tcBorders>
          </w:tcPr>
          <w:p>
            <w:pPr>
              <w:pStyle w:val="TableParagraph"/>
              <w:spacing w:before="23"/>
              <w:ind w:left="178" w:right="174"/>
              <w:jc w:val="center"/>
              <w:rPr>
                <w:rFonts w:ascii="Times New Roman"/>
                <w:sz w:val="21"/>
              </w:rPr>
            </w:pPr>
            <w:r>
              <w:rPr>
                <w:rFonts w:ascii="Times New Roman"/>
                <w:sz w:val="21"/>
              </w:rPr>
              <w:t>133.24</w:t>
            </w:r>
          </w:p>
        </w:tc>
        <w:tc>
          <w:tcPr>
            <w:tcW w:w="984" w:type="dxa"/>
            <w:tcBorders>
              <w:right w:val="single" w:sz="4" w:space="0" w:color="000000"/>
            </w:tcBorders>
          </w:tcPr>
          <w:p>
            <w:pPr>
              <w:pStyle w:val="TableParagraph"/>
              <w:spacing w:before="23"/>
              <w:ind w:left="187" w:right="170"/>
              <w:jc w:val="center"/>
              <w:rPr>
                <w:rFonts w:ascii="Times New Roman"/>
                <w:sz w:val="21"/>
              </w:rPr>
            </w:pPr>
            <w:r>
              <w:rPr>
                <w:rFonts w:ascii="Times New Roman"/>
                <w:sz w:val="21"/>
              </w:rPr>
              <w:t>111.60</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25</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1.44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1.32</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55</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15.70</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12.38</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85</w:t>
            </w:r>
          </w:p>
        </w:tc>
        <w:tc>
          <w:tcPr>
            <w:tcW w:w="979" w:type="dxa"/>
            <w:tcBorders>
              <w:left w:val="single" w:sz="4" w:space="0" w:color="000000"/>
            </w:tcBorders>
          </w:tcPr>
          <w:p>
            <w:pPr>
              <w:pStyle w:val="TableParagraph"/>
              <w:spacing w:before="23"/>
              <w:ind w:left="178" w:right="174"/>
              <w:jc w:val="center"/>
              <w:rPr>
                <w:rFonts w:ascii="Times New Roman"/>
                <w:sz w:val="21"/>
              </w:rPr>
            </w:pPr>
            <w:r>
              <w:rPr>
                <w:rFonts w:ascii="Times New Roman"/>
                <w:sz w:val="21"/>
              </w:rPr>
              <w:t>138.60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116.82</w:t>
            </w:r>
          </w:p>
        </w:tc>
      </w:tr>
      <w:tr>
        <w:trPr>
          <w:trHeight w:val="311"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26</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1.52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1.36</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56</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17.26</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13.26</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86</w:t>
            </w:r>
          </w:p>
        </w:tc>
        <w:tc>
          <w:tcPr>
            <w:tcW w:w="979" w:type="dxa"/>
            <w:tcBorders>
              <w:left w:val="single" w:sz="4" w:space="0" w:color="000000"/>
            </w:tcBorders>
          </w:tcPr>
          <w:p>
            <w:pPr>
              <w:pStyle w:val="TableParagraph"/>
              <w:spacing w:before="23"/>
              <w:ind w:left="178" w:right="174"/>
              <w:jc w:val="center"/>
              <w:rPr>
                <w:rFonts w:ascii="Times New Roman"/>
                <w:sz w:val="21"/>
              </w:rPr>
            </w:pPr>
            <w:r>
              <w:rPr>
                <w:rFonts w:ascii="Times New Roman"/>
                <w:sz w:val="21"/>
              </w:rPr>
              <w:t>138.60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116.82</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27</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1.58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1.42</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57</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18.68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14.02</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87</w:t>
            </w:r>
          </w:p>
        </w:tc>
        <w:tc>
          <w:tcPr>
            <w:tcW w:w="979" w:type="dxa"/>
            <w:tcBorders>
              <w:left w:val="single" w:sz="4" w:space="0" w:color="000000"/>
            </w:tcBorders>
          </w:tcPr>
          <w:p>
            <w:pPr>
              <w:pStyle w:val="TableParagraph"/>
              <w:spacing w:before="23"/>
              <w:ind w:left="178" w:right="174"/>
              <w:jc w:val="center"/>
              <w:rPr>
                <w:rFonts w:ascii="Times New Roman"/>
                <w:sz w:val="21"/>
              </w:rPr>
            </w:pPr>
            <w:r>
              <w:rPr>
                <w:rFonts w:ascii="Times New Roman"/>
                <w:sz w:val="21"/>
              </w:rPr>
              <w:t>138.60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116.82</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28</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1.64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1.52</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58</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20.42</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15.04</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88</w:t>
            </w:r>
          </w:p>
        </w:tc>
        <w:tc>
          <w:tcPr>
            <w:tcW w:w="979" w:type="dxa"/>
            <w:tcBorders>
              <w:left w:val="single" w:sz="4" w:space="0" w:color="000000"/>
            </w:tcBorders>
          </w:tcPr>
          <w:p>
            <w:pPr>
              <w:pStyle w:val="TableParagraph"/>
              <w:spacing w:before="23"/>
              <w:ind w:left="178" w:right="174"/>
              <w:jc w:val="center"/>
              <w:rPr>
                <w:rFonts w:ascii="Times New Roman"/>
                <w:sz w:val="21"/>
              </w:rPr>
            </w:pPr>
            <w:r>
              <w:rPr>
                <w:rFonts w:ascii="Times New Roman"/>
                <w:sz w:val="21"/>
              </w:rPr>
              <w:t>138.60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116.82</w:t>
            </w:r>
          </w:p>
        </w:tc>
      </w:tr>
      <w:tr>
        <w:trPr>
          <w:trHeight w:val="300" w:hRule="atLeast"/>
        </w:trPr>
        <w:tc>
          <w:tcPr>
            <w:tcW w:w="982" w:type="dxa"/>
            <w:tcBorders>
              <w:left w:val="single" w:sz="4" w:space="0" w:color="000000"/>
              <w:bottom w:val="single" w:sz="4" w:space="0" w:color="000000"/>
              <w:right w:val="single" w:sz="4" w:space="0" w:color="000000"/>
            </w:tcBorders>
          </w:tcPr>
          <w:p>
            <w:pPr>
              <w:pStyle w:val="TableParagraph"/>
              <w:spacing w:line="241" w:lineRule="exact" w:before="39"/>
              <w:ind w:left="259" w:right="253"/>
              <w:jc w:val="center"/>
              <w:rPr>
                <w:rFonts w:ascii="Times New Roman"/>
                <w:sz w:val="21"/>
              </w:rPr>
            </w:pPr>
            <w:r>
              <w:rPr>
                <w:rFonts w:ascii="Times New Roman"/>
                <w:sz w:val="21"/>
              </w:rPr>
              <w:t>29</w:t>
            </w:r>
          </w:p>
        </w:tc>
        <w:tc>
          <w:tcPr>
            <w:tcW w:w="978" w:type="dxa"/>
            <w:tcBorders>
              <w:left w:val="single" w:sz="4" w:space="0" w:color="000000"/>
              <w:bottom w:val="single" w:sz="4" w:space="0" w:color="000000"/>
            </w:tcBorders>
          </w:tcPr>
          <w:p>
            <w:pPr>
              <w:pStyle w:val="TableParagraph"/>
              <w:spacing w:before="23"/>
              <w:ind w:left="282" w:right="282"/>
              <w:jc w:val="center"/>
              <w:rPr>
                <w:rFonts w:ascii="Times New Roman"/>
                <w:sz w:val="21"/>
              </w:rPr>
            </w:pPr>
            <w:r>
              <w:rPr>
                <w:rFonts w:ascii="Times New Roman"/>
                <w:sz w:val="21"/>
              </w:rPr>
              <w:t>1.72</w:t>
            </w:r>
          </w:p>
        </w:tc>
        <w:tc>
          <w:tcPr>
            <w:tcW w:w="985" w:type="dxa"/>
            <w:tcBorders>
              <w:bottom w:val="single" w:sz="4" w:space="0" w:color="000000"/>
              <w:right w:val="single" w:sz="4" w:space="0" w:color="000000"/>
            </w:tcBorders>
          </w:tcPr>
          <w:p>
            <w:pPr>
              <w:pStyle w:val="TableParagraph"/>
              <w:spacing w:before="23"/>
              <w:ind w:left="291" w:right="281"/>
              <w:jc w:val="center"/>
              <w:rPr>
                <w:rFonts w:ascii="Times New Roman"/>
                <w:sz w:val="21"/>
              </w:rPr>
            </w:pPr>
            <w:r>
              <w:rPr>
                <w:rFonts w:ascii="Times New Roman"/>
                <w:sz w:val="21"/>
              </w:rPr>
              <w:t>1.60</w:t>
            </w:r>
          </w:p>
        </w:tc>
        <w:tc>
          <w:tcPr>
            <w:tcW w:w="981" w:type="dxa"/>
            <w:tcBorders>
              <w:left w:val="single" w:sz="4" w:space="0" w:color="000000"/>
              <w:bottom w:val="single" w:sz="4" w:space="0" w:color="000000"/>
              <w:right w:val="single" w:sz="4" w:space="0" w:color="000000"/>
            </w:tcBorders>
          </w:tcPr>
          <w:p>
            <w:pPr>
              <w:pStyle w:val="TableParagraph"/>
              <w:spacing w:line="241" w:lineRule="exact" w:before="39"/>
              <w:ind w:left="226" w:right="226"/>
              <w:jc w:val="center"/>
              <w:rPr>
                <w:rFonts w:ascii="Times New Roman"/>
                <w:sz w:val="21"/>
              </w:rPr>
            </w:pPr>
            <w:r>
              <w:rPr>
                <w:rFonts w:ascii="Times New Roman"/>
                <w:sz w:val="21"/>
              </w:rPr>
              <w:t>59</w:t>
            </w:r>
          </w:p>
        </w:tc>
        <w:tc>
          <w:tcPr>
            <w:tcW w:w="976" w:type="dxa"/>
            <w:tcBorders>
              <w:left w:val="single" w:sz="4" w:space="0" w:color="000000"/>
              <w:bottom w:val="single" w:sz="4" w:space="0" w:color="000000"/>
            </w:tcBorders>
          </w:tcPr>
          <w:p>
            <w:pPr>
              <w:pStyle w:val="TableParagraph"/>
              <w:spacing w:before="23"/>
              <w:ind w:left="229" w:right="226"/>
              <w:jc w:val="center"/>
              <w:rPr>
                <w:rFonts w:ascii="Times New Roman"/>
                <w:sz w:val="21"/>
              </w:rPr>
            </w:pPr>
            <w:r>
              <w:rPr>
                <w:rFonts w:ascii="Times New Roman"/>
                <w:sz w:val="21"/>
              </w:rPr>
              <w:t>22.60</w:t>
            </w:r>
          </w:p>
        </w:tc>
        <w:tc>
          <w:tcPr>
            <w:tcW w:w="986" w:type="dxa"/>
            <w:tcBorders>
              <w:bottom w:val="single" w:sz="4" w:space="0" w:color="000000"/>
              <w:right w:val="single" w:sz="4" w:space="0" w:color="000000"/>
            </w:tcBorders>
          </w:tcPr>
          <w:p>
            <w:pPr>
              <w:pStyle w:val="TableParagraph"/>
              <w:spacing w:before="23"/>
              <w:ind w:left="238" w:right="228"/>
              <w:jc w:val="center"/>
              <w:rPr>
                <w:rFonts w:ascii="Times New Roman"/>
                <w:sz w:val="21"/>
              </w:rPr>
            </w:pPr>
            <w:r>
              <w:rPr>
                <w:rFonts w:ascii="Times New Roman"/>
                <w:sz w:val="21"/>
              </w:rPr>
              <w:t>16.48</w:t>
            </w:r>
          </w:p>
        </w:tc>
        <w:tc>
          <w:tcPr>
            <w:tcW w:w="981" w:type="dxa"/>
            <w:tcBorders>
              <w:left w:val="single" w:sz="4" w:space="0" w:color="000000"/>
              <w:bottom w:val="single" w:sz="4" w:space="0" w:color="000000"/>
              <w:right w:val="single" w:sz="4" w:space="0" w:color="000000"/>
            </w:tcBorders>
          </w:tcPr>
          <w:p>
            <w:pPr>
              <w:pStyle w:val="TableParagraph"/>
              <w:rPr>
                <w:rFonts w:ascii="Times New Roman"/>
                <w:sz w:val="20"/>
              </w:rPr>
            </w:pPr>
          </w:p>
        </w:tc>
        <w:tc>
          <w:tcPr>
            <w:tcW w:w="979" w:type="dxa"/>
            <w:tcBorders>
              <w:left w:val="single" w:sz="4" w:space="0" w:color="000000"/>
              <w:bottom w:val="single" w:sz="4" w:space="0" w:color="000000"/>
            </w:tcBorders>
          </w:tcPr>
          <w:p>
            <w:pPr>
              <w:pStyle w:val="TableParagraph"/>
              <w:rPr>
                <w:rFonts w:ascii="Times New Roman"/>
                <w:sz w:val="20"/>
              </w:rPr>
            </w:pPr>
          </w:p>
        </w:tc>
        <w:tc>
          <w:tcPr>
            <w:tcW w:w="984" w:type="dxa"/>
            <w:tcBorders>
              <w:bottom w:val="single" w:sz="4" w:space="0" w:color="000000"/>
              <w:right w:val="single" w:sz="4" w:space="0" w:color="000000"/>
            </w:tcBorders>
          </w:tcPr>
          <w:p>
            <w:pPr>
              <w:pStyle w:val="TableParagraph"/>
              <w:rPr>
                <w:rFonts w:ascii="Times New Roman"/>
                <w:sz w:val="20"/>
              </w:rPr>
            </w:pPr>
          </w:p>
        </w:tc>
      </w:tr>
    </w:tbl>
    <w:sectPr>
      <w:type w:val="continuous"/>
      <w:pgSz w:w="11900" w:h="16840"/>
      <w:pgMar w:top="400" w:bottom="280" w:left="130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微软雅黑">
    <w:altName w:val="微软雅黑"/>
    <w:charset w:val="86"/>
    <w:family w:val="swiss"/>
    <w:pitch w:val="variable"/>
  </w:font>
  <w:font w:name="Microsoft JhengHei">
    <w:altName w:val="Microsoft JhengHei"/>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3.320007pt;margin-top:808.139954pt;width:17.150pt;height:12pt;mso-position-horizontal-relative:page;mso-position-vertical-relative:page;z-index:-8552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040009pt;margin-top:808.139954pt;width:21.6pt;height:12pt;mso-position-horizontal-relative:page;mso-position-vertical-relative:page;z-index:-8550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771" w:hanging="423"/>
      </w:pPr>
      <w:rPr>
        <w:rFonts w:hint="default" w:ascii="Wingdings" w:hAnsi="Wingdings" w:eastAsia="Wingdings" w:cs="Wingdings"/>
        <w:w w:val="100"/>
        <w:sz w:val="21"/>
        <w:szCs w:val="21"/>
      </w:rPr>
    </w:lvl>
    <w:lvl w:ilvl="1">
      <w:start w:val="0"/>
      <w:numFmt w:val="bullet"/>
      <w:lvlText w:val="•"/>
      <w:lvlJc w:val="left"/>
      <w:pPr>
        <w:ind w:left="2656" w:hanging="423"/>
      </w:pPr>
      <w:rPr>
        <w:rFonts w:hint="default"/>
      </w:rPr>
    </w:lvl>
    <w:lvl w:ilvl="2">
      <w:start w:val="0"/>
      <w:numFmt w:val="bullet"/>
      <w:lvlText w:val="•"/>
      <w:lvlJc w:val="left"/>
      <w:pPr>
        <w:ind w:left="3532" w:hanging="423"/>
      </w:pPr>
      <w:rPr>
        <w:rFonts w:hint="default"/>
      </w:rPr>
    </w:lvl>
    <w:lvl w:ilvl="3">
      <w:start w:val="0"/>
      <w:numFmt w:val="bullet"/>
      <w:lvlText w:val="•"/>
      <w:lvlJc w:val="left"/>
      <w:pPr>
        <w:ind w:left="4408" w:hanging="423"/>
      </w:pPr>
      <w:rPr>
        <w:rFonts w:hint="default"/>
      </w:rPr>
    </w:lvl>
    <w:lvl w:ilvl="4">
      <w:start w:val="0"/>
      <w:numFmt w:val="bullet"/>
      <w:lvlText w:val="•"/>
      <w:lvlJc w:val="left"/>
      <w:pPr>
        <w:ind w:left="5284" w:hanging="423"/>
      </w:pPr>
      <w:rPr>
        <w:rFonts w:hint="default"/>
      </w:rPr>
    </w:lvl>
    <w:lvl w:ilvl="5">
      <w:start w:val="0"/>
      <w:numFmt w:val="bullet"/>
      <w:lvlText w:val="•"/>
      <w:lvlJc w:val="left"/>
      <w:pPr>
        <w:ind w:left="6160" w:hanging="423"/>
      </w:pPr>
      <w:rPr>
        <w:rFonts w:hint="default"/>
      </w:rPr>
    </w:lvl>
    <w:lvl w:ilvl="6">
      <w:start w:val="0"/>
      <w:numFmt w:val="bullet"/>
      <w:lvlText w:val="•"/>
      <w:lvlJc w:val="left"/>
      <w:pPr>
        <w:ind w:left="7036" w:hanging="423"/>
      </w:pPr>
      <w:rPr>
        <w:rFonts w:hint="default"/>
      </w:rPr>
    </w:lvl>
    <w:lvl w:ilvl="7">
      <w:start w:val="0"/>
      <w:numFmt w:val="bullet"/>
      <w:lvlText w:val="•"/>
      <w:lvlJc w:val="left"/>
      <w:pPr>
        <w:ind w:left="7912" w:hanging="423"/>
      </w:pPr>
      <w:rPr>
        <w:rFonts w:hint="default"/>
      </w:rPr>
    </w:lvl>
    <w:lvl w:ilvl="8">
      <w:start w:val="0"/>
      <w:numFmt w:val="bullet"/>
      <w:lvlText w:val="•"/>
      <w:lvlJc w:val="left"/>
      <w:pPr>
        <w:ind w:left="8788" w:hanging="423"/>
      </w:pPr>
      <w:rPr>
        <w:rFonts w:hint="default"/>
      </w:rPr>
    </w:lvl>
  </w:abstractNum>
  <w:abstractNum w:abstractNumId="0">
    <w:multiLevelType w:val="hybridMultilevel"/>
    <w:lvl w:ilvl="0">
      <w:start w:val="0"/>
      <w:numFmt w:val="bullet"/>
      <w:lvlText w:val=""/>
      <w:lvlJc w:val="left"/>
      <w:pPr>
        <w:ind w:left="1771" w:hanging="423"/>
      </w:pPr>
      <w:rPr>
        <w:rFonts w:hint="default" w:ascii="Wingdings" w:hAnsi="Wingdings" w:eastAsia="Wingdings" w:cs="Wingdings"/>
        <w:w w:val="100"/>
        <w:sz w:val="21"/>
        <w:szCs w:val="21"/>
      </w:rPr>
    </w:lvl>
    <w:lvl w:ilvl="1">
      <w:start w:val="0"/>
      <w:numFmt w:val="bullet"/>
      <w:lvlText w:val="•"/>
      <w:lvlJc w:val="left"/>
      <w:pPr>
        <w:ind w:left="2656" w:hanging="423"/>
      </w:pPr>
      <w:rPr>
        <w:rFonts w:hint="default"/>
      </w:rPr>
    </w:lvl>
    <w:lvl w:ilvl="2">
      <w:start w:val="0"/>
      <w:numFmt w:val="bullet"/>
      <w:lvlText w:val="•"/>
      <w:lvlJc w:val="left"/>
      <w:pPr>
        <w:ind w:left="3532" w:hanging="423"/>
      </w:pPr>
      <w:rPr>
        <w:rFonts w:hint="default"/>
      </w:rPr>
    </w:lvl>
    <w:lvl w:ilvl="3">
      <w:start w:val="0"/>
      <w:numFmt w:val="bullet"/>
      <w:lvlText w:val="•"/>
      <w:lvlJc w:val="left"/>
      <w:pPr>
        <w:ind w:left="4408" w:hanging="423"/>
      </w:pPr>
      <w:rPr>
        <w:rFonts w:hint="default"/>
      </w:rPr>
    </w:lvl>
    <w:lvl w:ilvl="4">
      <w:start w:val="0"/>
      <w:numFmt w:val="bullet"/>
      <w:lvlText w:val="•"/>
      <w:lvlJc w:val="left"/>
      <w:pPr>
        <w:ind w:left="5284" w:hanging="423"/>
      </w:pPr>
      <w:rPr>
        <w:rFonts w:hint="default"/>
      </w:rPr>
    </w:lvl>
    <w:lvl w:ilvl="5">
      <w:start w:val="0"/>
      <w:numFmt w:val="bullet"/>
      <w:lvlText w:val="•"/>
      <w:lvlJc w:val="left"/>
      <w:pPr>
        <w:ind w:left="6160" w:hanging="423"/>
      </w:pPr>
      <w:rPr>
        <w:rFonts w:hint="default"/>
      </w:rPr>
    </w:lvl>
    <w:lvl w:ilvl="6">
      <w:start w:val="0"/>
      <w:numFmt w:val="bullet"/>
      <w:lvlText w:val="•"/>
      <w:lvlJc w:val="left"/>
      <w:pPr>
        <w:ind w:left="7036" w:hanging="423"/>
      </w:pPr>
      <w:rPr>
        <w:rFonts w:hint="default"/>
      </w:rPr>
    </w:lvl>
    <w:lvl w:ilvl="7">
      <w:start w:val="0"/>
      <w:numFmt w:val="bullet"/>
      <w:lvlText w:val="•"/>
      <w:lvlJc w:val="left"/>
      <w:pPr>
        <w:ind w:left="7912" w:hanging="423"/>
      </w:pPr>
      <w:rPr>
        <w:rFonts w:hint="default"/>
      </w:rPr>
    </w:lvl>
    <w:lvl w:ilvl="8">
      <w:start w:val="0"/>
      <w:numFmt w:val="bullet"/>
      <w:lvlText w:val="•"/>
      <w:lvlJc w:val="left"/>
      <w:pPr>
        <w:ind w:left="8788" w:hanging="423"/>
      </w:pPr>
      <w:rPr>
        <w:rFonts w:hint="default"/>
      </w:rPr>
    </w:lvl>
  </w:abstractNum>
  <w:abstractNum w:abstractNumId="8">
    <w:multiLevelType w:val="hybridMultilevel"/>
    <w:lvl w:ilvl="0">
      <w:start w:val="10"/>
      <w:numFmt w:val="decimal"/>
      <w:lvlText w:val="%1"/>
      <w:lvlJc w:val="left"/>
      <w:pPr>
        <w:ind w:left="859" w:hanging="756"/>
        <w:jc w:val="left"/>
      </w:pPr>
      <w:rPr>
        <w:rFonts w:hint="default"/>
      </w:rPr>
    </w:lvl>
    <w:lvl w:ilvl="1">
      <w:start w:val="16"/>
      <w:numFmt w:val="decimal"/>
      <w:lvlText w:val="%1.%2"/>
      <w:lvlJc w:val="left"/>
      <w:pPr>
        <w:ind w:left="85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1197" w:hanging="756"/>
      </w:pPr>
      <w:rPr>
        <w:rFonts w:hint="default"/>
      </w:rPr>
    </w:lvl>
    <w:lvl w:ilvl="3">
      <w:start w:val="0"/>
      <w:numFmt w:val="bullet"/>
      <w:lvlText w:val="•"/>
      <w:lvlJc w:val="left"/>
      <w:pPr>
        <w:ind w:left="1366" w:hanging="756"/>
      </w:pPr>
      <w:rPr>
        <w:rFonts w:hint="default"/>
      </w:rPr>
    </w:lvl>
    <w:lvl w:ilvl="4">
      <w:start w:val="0"/>
      <w:numFmt w:val="bullet"/>
      <w:lvlText w:val="•"/>
      <w:lvlJc w:val="left"/>
      <w:pPr>
        <w:ind w:left="1535" w:hanging="756"/>
      </w:pPr>
      <w:rPr>
        <w:rFonts w:hint="default"/>
      </w:rPr>
    </w:lvl>
    <w:lvl w:ilvl="5">
      <w:start w:val="0"/>
      <w:numFmt w:val="bullet"/>
      <w:lvlText w:val="•"/>
      <w:lvlJc w:val="left"/>
      <w:pPr>
        <w:ind w:left="1704" w:hanging="756"/>
      </w:pPr>
      <w:rPr>
        <w:rFonts w:hint="default"/>
      </w:rPr>
    </w:lvl>
    <w:lvl w:ilvl="6">
      <w:start w:val="0"/>
      <w:numFmt w:val="bullet"/>
      <w:lvlText w:val="•"/>
      <w:lvlJc w:val="left"/>
      <w:pPr>
        <w:ind w:left="1873" w:hanging="756"/>
      </w:pPr>
      <w:rPr>
        <w:rFonts w:hint="default"/>
      </w:rPr>
    </w:lvl>
    <w:lvl w:ilvl="7">
      <w:start w:val="0"/>
      <w:numFmt w:val="bullet"/>
      <w:lvlText w:val="•"/>
      <w:lvlJc w:val="left"/>
      <w:pPr>
        <w:ind w:left="2042" w:hanging="756"/>
      </w:pPr>
      <w:rPr>
        <w:rFonts w:hint="default"/>
      </w:rPr>
    </w:lvl>
    <w:lvl w:ilvl="8">
      <w:start w:val="0"/>
      <w:numFmt w:val="bullet"/>
      <w:lvlText w:val="•"/>
      <w:lvlJc w:val="left"/>
      <w:pPr>
        <w:ind w:left="2211" w:hanging="756"/>
      </w:pPr>
      <w:rPr>
        <w:rFonts w:hint="default"/>
      </w:rPr>
    </w:lvl>
  </w:abstractNum>
  <w:abstractNum w:abstractNumId="7">
    <w:multiLevelType w:val="hybridMultilevel"/>
    <w:lvl w:ilvl="0">
      <w:start w:val="8"/>
      <w:numFmt w:val="decimal"/>
      <w:lvlText w:val="%1"/>
      <w:lvlJc w:val="left"/>
      <w:pPr>
        <w:ind w:left="979" w:hanging="756"/>
        <w:jc w:val="left"/>
      </w:pPr>
      <w:rPr>
        <w:rFonts w:hint="default"/>
      </w:rPr>
    </w:lvl>
    <w:lvl w:ilvl="1">
      <w:start w:val="1"/>
      <w:numFmt w:val="decimal"/>
      <w:lvlText w:val="%1.%2"/>
      <w:lvlJc w:val="left"/>
      <w:pPr>
        <w:ind w:left="97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1317" w:hanging="756"/>
      </w:pPr>
      <w:rPr>
        <w:rFonts w:hint="default"/>
      </w:rPr>
    </w:lvl>
    <w:lvl w:ilvl="3">
      <w:start w:val="0"/>
      <w:numFmt w:val="bullet"/>
      <w:lvlText w:val="•"/>
      <w:lvlJc w:val="left"/>
      <w:pPr>
        <w:ind w:left="1486" w:hanging="756"/>
      </w:pPr>
      <w:rPr>
        <w:rFonts w:hint="default"/>
      </w:rPr>
    </w:lvl>
    <w:lvl w:ilvl="4">
      <w:start w:val="0"/>
      <w:numFmt w:val="bullet"/>
      <w:lvlText w:val="•"/>
      <w:lvlJc w:val="left"/>
      <w:pPr>
        <w:ind w:left="1655" w:hanging="756"/>
      </w:pPr>
      <w:rPr>
        <w:rFonts w:hint="default"/>
      </w:rPr>
    </w:lvl>
    <w:lvl w:ilvl="5">
      <w:start w:val="0"/>
      <w:numFmt w:val="bullet"/>
      <w:lvlText w:val="•"/>
      <w:lvlJc w:val="left"/>
      <w:pPr>
        <w:ind w:left="1824" w:hanging="756"/>
      </w:pPr>
      <w:rPr>
        <w:rFonts w:hint="default"/>
      </w:rPr>
    </w:lvl>
    <w:lvl w:ilvl="6">
      <w:start w:val="0"/>
      <w:numFmt w:val="bullet"/>
      <w:lvlText w:val="•"/>
      <w:lvlJc w:val="left"/>
      <w:pPr>
        <w:ind w:left="1993" w:hanging="756"/>
      </w:pPr>
      <w:rPr>
        <w:rFonts w:hint="default"/>
      </w:rPr>
    </w:lvl>
    <w:lvl w:ilvl="7">
      <w:start w:val="0"/>
      <w:numFmt w:val="bullet"/>
      <w:lvlText w:val="•"/>
      <w:lvlJc w:val="left"/>
      <w:pPr>
        <w:ind w:left="2162" w:hanging="756"/>
      </w:pPr>
      <w:rPr>
        <w:rFonts w:hint="default"/>
      </w:rPr>
    </w:lvl>
    <w:lvl w:ilvl="8">
      <w:start w:val="0"/>
      <w:numFmt w:val="bullet"/>
      <w:lvlText w:val="•"/>
      <w:lvlJc w:val="left"/>
      <w:pPr>
        <w:ind w:left="2331" w:hanging="756"/>
      </w:pPr>
      <w:rPr>
        <w:rFonts w:hint="default"/>
      </w:rPr>
    </w:lvl>
  </w:abstractNum>
  <w:abstractNum w:abstractNumId="6">
    <w:multiLevelType w:val="hybridMultilevel"/>
    <w:lvl w:ilvl="0">
      <w:start w:val="25"/>
      <w:numFmt w:val="lowerLetter"/>
      <w:lvlText w:val="%1"/>
      <w:lvlJc w:val="left"/>
      <w:pPr>
        <w:ind w:left="979" w:hanging="753"/>
        <w:jc w:val="left"/>
      </w:pPr>
      <w:rPr>
        <w:rFonts w:hint="default" w:ascii="Times New Roman" w:hAnsi="Times New Roman" w:eastAsia="Times New Roman" w:cs="Times New Roman"/>
        <w:b/>
        <w:bCs/>
        <w:w w:val="100"/>
        <w:position w:val="-3"/>
        <w:sz w:val="40"/>
        <w:szCs w:val="40"/>
      </w:rPr>
    </w:lvl>
    <w:lvl w:ilvl="1">
      <w:start w:val="0"/>
      <w:numFmt w:val="bullet"/>
      <w:lvlText w:val="•"/>
      <w:lvlJc w:val="left"/>
      <w:pPr>
        <w:ind w:left="1912" w:hanging="753"/>
      </w:pPr>
      <w:rPr>
        <w:rFonts w:hint="default"/>
      </w:rPr>
    </w:lvl>
    <w:lvl w:ilvl="2">
      <w:start w:val="0"/>
      <w:numFmt w:val="bullet"/>
      <w:lvlText w:val="•"/>
      <w:lvlJc w:val="left"/>
      <w:pPr>
        <w:ind w:left="2844" w:hanging="753"/>
      </w:pPr>
      <w:rPr>
        <w:rFonts w:hint="default"/>
      </w:rPr>
    </w:lvl>
    <w:lvl w:ilvl="3">
      <w:start w:val="0"/>
      <w:numFmt w:val="bullet"/>
      <w:lvlText w:val="•"/>
      <w:lvlJc w:val="left"/>
      <w:pPr>
        <w:ind w:left="3776" w:hanging="753"/>
      </w:pPr>
      <w:rPr>
        <w:rFonts w:hint="default"/>
      </w:rPr>
    </w:lvl>
    <w:lvl w:ilvl="4">
      <w:start w:val="0"/>
      <w:numFmt w:val="bullet"/>
      <w:lvlText w:val="•"/>
      <w:lvlJc w:val="left"/>
      <w:pPr>
        <w:ind w:left="4708" w:hanging="753"/>
      </w:pPr>
      <w:rPr>
        <w:rFonts w:hint="default"/>
      </w:rPr>
    </w:lvl>
    <w:lvl w:ilvl="5">
      <w:start w:val="0"/>
      <w:numFmt w:val="bullet"/>
      <w:lvlText w:val="•"/>
      <w:lvlJc w:val="left"/>
      <w:pPr>
        <w:ind w:left="5640" w:hanging="753"/>
      </w:pPr>
      <w:rPr>
        <w:rFonts w:hint="default"/>
      </w:rPr>
    </w:lvl>
    <w:lvl w:ilvl="6">
      <w:start w:val="0"/>
      <w:numFmt w:val="bullet"/>
      <w:lvlText w:val="•"/>
      <w:lvlJc w:val="left"/>
      <w:pPr>
        <w:ind w:left="6572" w:hanging="753"/>
      </w:pPr>
      <w:rPr>
        <w:rFonts w:hint="default"/>
      </w:rPr>
    </w:lvl>
    <w:lvl w:ilvl="7">
      <w:start w:val="0"/>
      <w:numFmt w:val="bullet"/>
      <w:lvlText w:val="•"/>
      <w:lvlJc w:val="left"/>
      <w:pPr>
        <w:ind w:left="7504" w:hanging="753"/>
      </w:pPr>
      <w:rPr>
        <w:rFonts w:hint="default"/>
      </w:rPr>
    </w:lvl>
    <w:lvl w:ilvl="8">
      <w:start w:val="0"/>
      <w:numFmt w:val="bullet"/>
      <w:lvlText w:val="•"/>
      <w:lvlJc w:val="left"/>
      <w:pPr>
        <w:ind w:left="8436" w:hanging="753"/>
      </w:pPr>
      <w:rPr>
        <w:rFonts w:hint="default"/>
      </w:rPr>
    </w:lvl>
  </w:abstractNum>
  <w:abstractNum w:abstractNumId="5">
    <w:multiLevelType w:val="hybridMultilevel"/>
    <w:lvl w:ilvl="0">
      <w:start w:val="4"/>
      <w:numFmt w:val="decimal"/>
      <w:lvlText w:val="%1"/>
      <w:lvlJc w:val="left"/>
      <w:pPr>
        <w:ind w:left="979" w:hanging="756"/>
        <w:jc w:val="left"/>
      </w:pPr>
      <w:rPr>
        <w:rFonts w:hint="default"/>
      </w:rPr>
    </w:lvl>
    <w:lvl w:ilvl="1">
      <w:start w:val="1"/>
      <w:numFmt w:val="decimal"/>
      <w:lvlText w:val="%1.%2"/>
      <w:lvlJc w:val="left"/>
      <w:pPr>
        <w:ind w:left="97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44" w:hanging="756"/>
      </w:pPr>
      <w:rPr>
        <w:rFonts w:hint="default"/>
      </w:rPr>
    </w:lvl>
    <w:lvl w:ilvl="3">
      <w:start w:val="0"/>
      <w:numFmt w:val="bullet"/>
      <w:lvlText w:val="•"/>
      <w:lvlJc w:val="left"/>
      <w:pPr>
        <w:ind w:left="3776" w:hanging="756"/>
      </w:pPr>
      <w:rPr>
        <w:rFonts w:hint="default"/>
      </w:rPr>
    </w:lvl>
    <w:lvl w:ilvl="4">
      <w:start w:val="0"/>
      <w:numFmt w:val="bullet"/>
      <w:lvlText w:val="•"/>
      <w:lvlJc w:val="left"/>
      <w:pPr>
        <w:ind w:left="4708" w:hanging="756"/>
      </w:pPr>
      <w:rPr>
        <w:rFonts w:hint="default"/>
      </w:rPr>
    </w:lvl>
    <w:lvl w:ilvl="5">
      <w:start w:val="0"/>
      <w:numFmt w:val="bullet"/>
      <w:lvlText w:val="•"/>
      <w:lvlJc w:val="left"/>
      <w:pPr>
        <w:ind w:left="5640" w:hanging="756"/>
      </w:pPr>
      <w:rPr>
        <w:rFonts w:hint="default"/>
      </w:rPr>
    </w:lvl>
    <w:lvl w:ilvl="6">
      <w:start w:val="0"/>
      <w:numFmt w:val="bullet"/>
      <w:lvlText w:val="•"/>
      <w:lvlJc w:val="left"/>
      <w:pPr>
        <w:ind w:left="6572" w:hanging="756"/>
      </w:pPr>
      <w:rPr>
        <w:rFonts w:hint="default"/>
      </w:rPr>
    </w:lvl>
    <w:lvl w:ilvl="7">
      <w:start w:val="0"/>
      <w:numFmt w:val="bullet"/>
      <w:lvlText w:val="•"/>
      <w:lvlJc w:val="left"/>
      <w:pPr>
        <w:ind w:left="7504" w:hanging="756"/>
      </w:pPr>
      <w:rPr>
        <w:rFonts w:hint="default"/>
      </w:rPr>
    </w:lvl>
    <w:lvl w:ilvl="8">
      <w:start w:val="0"/>
      <w:numFmt w:val="bullet"/>
      <w:lvlText w:val="•"/>
      <w:lvlJc w:val="left"/>
      <w:pPr>
        <w:ind w:left="8436" w:hanging="756"/>
      </w:pPr>
      <w:rPr>
        <w:rFonts w:hint="default"/>
      </w:rPr>
    </w:lvl>
  </w:abstractNum>
  <w:abstractNum w:abstractNumId="4">
    <w:multiLevelType w:val="hybridMultilevel"/>
    <w:lvl w:ilvl="0">
      <w:start w:val="3"/>
      <w:numFmt w:val="decimal"/>
      <w:lvlText w:val="%1"/>
      <w:lvlJc w:val="left"/>
      <w:pPr>
        <w:ind w:left="979" w:hanging="756"/>
        <w:jc w:val="left"/>
      </w:pPr>
      <w:rPr>
        <w:rFonts w:hint="default"/>
      </w:rPr>
    </w:lvl>
    <w:lvl w:ilvl="1">
      <w:start w:val="4"/>
      <w:numFmt w:val="decimal"/>
      <w:lvlText w:val="%1.%2"/>
      <w:lvlJc w:val="left"/>
      <w:pPr>
        <w:ind w:left="97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44" w:hanging="756"/>
      </w:pPr>
      <w:rPr>
        <w:rFonts w:hint="default"/>
      </w:rPr>
    </w:lvl>
    <w:lvl w:ilvl="3">
      <w:start w:val="0"/>
      <w:numFmt w:val="bullet"/>
      <w:lvlText w:val="•"/>
      <w:lvlJc w:val="left"/>
      <w:pPr>
        <w:ind w:left="3776" w:hanging="756"/>
      </w:pPr>
      <w:rPr>
        <w:rFonts w:hint="default"/>
      </w:rPr>
    </w:lvl>
    <w:lvl w:ilvl="4">
      <w:start w:val="0"/>
      <w:numFmt w:val="bullet"/>
      <w:lvlText w:val="•"/>
      <w:lvlJc w:val="left"/>
      <w:pPr>
        <w:ind w:left="4708" w:hanging="756"/>
      </w:pPr>
      <w:rPr>
        <w:rFonts w:hint="default"/>
      </w:rPr>
    </w:lvl>
    <w:lvl w:ilvl="5">
      <w:start w:val="0"/>
      <w:numFmt w:val="bullet"/>
      <w:lvlText w:val="•"/>
      <w:lvlJc w:val="left"/>
      <w:pPr>
        <w:ind w:left="5640" w:hanging="756"/>
      </w:pPr>
      <w:rPr>
        <w:rFonts w:hint="default"/>
      </w:rPr>
    </w:lvl>
    <w:lvl w:ilvl="6">
      <w:start w:val="0"/>
      <w:numFmt w:val="bullet"/>
      <w:lvlText w:val="•"/>
      <w:lvlJc w:val="left"/>
      <w:pPr>
        <w:ind w:left="6572" w:hanging="756"/>
      </w:pPr>
      <w:rPr>
        <w:rFonts w:hint="default"/>
      </w:rPr>
    </w:lvl>
    <w:lvl w:ilvl="7">
      <w:start w:val="0"/>
      <w:numFmt w:val="bullet"/>
      <w:lvlText w:val="•"/>
      <w:lvlJc w:val="left"/>
      <w:pPr>
        <w:ind w:left="7504" w:hanging="756"/>
      </w:pPr>
      <w:rPr>
        <w:rFonts w:hint="default"/>
      </w:rPr>
    </w:lvl>
    <w:lvl w:ilvl="8">
      <w:start w:val="0"/>
      <w:numFmt w:val="bullet"/>
      <w:lvlText w:val="•"/>
      <w:lvlJc w:val="left"/>
      <w:pPr>
        <w:ind w:left="8436" w:hanging="756"/>
      </w:pPr>
      <w:rPr>
        <w:rFonts w:hint="default"/>
      </w:rPr>
    </w:lvl>
  </w:abstractNum>
  <w:abstractNum w:abstractNumId="3">
    <w:multiLevelType w:val="hybridMultilevel"/>
    <w:lvl w:ilvl="0">
      <w:start w:val="21"/>
      <w:numFmt w:val="lowerLetter"/>
      <w:lvlText w:val="%1"/>
      <w:lvlJc w:val="left"/>
      <w:pPr>
        <w:ind w:left="979" w:hanging="753"/>
        <w:jc w:val="left"/>
      </w:pPr>
      <w:rPr>
        <w:rFonts w:hint="default" w:ascii="Times New Roman" w:hAnsi="Times New Roman" w:eastAsia="Times New Roman" w:cs="Times New Roman"/>
        <w:b/>
        <w:bCs/>
        <w:w w:val="100"/>
        <w:position w:val="-3"/>
        <w:sz w:val="40"/>
        <w:szCs w:val="40"/>
      </w:rPr>
    </w:lvl>
    <w:lvl w:ilvl="1">
      <w:start w:val="0"/>
      <w:numFmt w:val="bullet"/>
      <w:lvlText w:val="•"/>
      <w:lvlJc w:val="left"/>
      <w:pPr>
        <w:ind w:left="1912" w:hanging="753"/>
      </w:pPr>
      <w:rPr>
        <w:rFonts w:hint="default"/>
      </w:rPr>
    </w:lvl>
    <w:lvl w:ilvl="2">
      <w:start w:val="0"/>
      <w:numFmt w:val="bullet"/>
      <w:lvlText w:val="•"/>
      <w:lvlJc w:val="left"/>
      <w:pPr>
        <w:ind w:left="2844" w:hanging="753"/>
      </w:pPr>
      <w:rPr>
        <w:rFonts w:hint="default"/>
      </w:rPr>
    </w:lvl>
    <w:lvl w:ilvl="3">
      <w:start w:val="0"/>
      <w:numFmt w:val="bullet"/>
      <w:lvlText w:val="•"/>
      <w:lvlJc w:val="left"/>
      <w:pPr>
        <w:ind w:left="3776" w:hanging="753"/>
      </w:pPr>
      <w:rPr>
        <w:rFonts w:hint="default"/>
      </w:rPr>
    </w:lvl>
    <w:lvl w:ilvl="4">
      <w:start w:val="0"/>
      <w:numFmt w:val="bullet"/>
      <w:lvlText w:val="•"/>
      <w:lvlJc w:val="left"/>
      <w:pPr>
        <w:ind w:left="4708" w:hanging="753"/>
      </w:pPr>
      <w:rPr>
        <w:rFonts w:hint="default"/>
      </w:rPr>
    </w:lvl>
    <w:lvl w:ilvl="5">
      <w:start w:val="0"/>
      <w:numFmt w:val="bullet"/>
      <w:lvlText w:val="•"/>
      <w:lvlJc w:val="left"/>
      <w:pPr>
        <w:ind w:left="5640" w:hanging="753"/>
      </w:pPr>
      <w:rPr>
        <w:rFonts w:hint="default"/>
      </w:rPr>
    </w:lvl>
    <w:lvl w:ilvl="6">
      <w:start w:val="0"/>
      <w:numFmt w:val="bullet"/>
      <w:lvlText w:val="•"/>
      <w:lvlJc w:val="left"/>
      <w:pPr>
        <w:ind w:left="6572" w:hanging="753"/>
      </w:pPr>
      <w:rPr>
        <w:rFonts w:hint="default"/>
      </w:rPr>
    </w:lvl>
    <w:lvl w:ilvl="7">
      <w:start w:val="0"/>
      <w:numFmt w:val="bullet"/>
      <w:lvlText w:val="•"/>
      <w:lvlJc w:val="left"/>
      <w:pPr>
        <w:ind w:left="7504" w:hanging="753"/>
      </w:pPr>
      <w:rPr>
        <w:rFonts w:hint="default"/>
      </w:rPr>
    </w:lvl>
    <w:lvl w:ilvl="8">
      <w:start w:val="0"/>
      <w:numFmt w:val="bullet"/>
      <w:lvlText w:val="•"/>
      <w:lvlJc w:val="left"/>
      <w:pPr>
        <w:ind w:left="8436" w:hanging="753"/>
      </w:pPr>
      <w:rPr>
        <w:rFonts w:hint="default"/>
      </w:rPr>
    </w:lvl>
  </w:abstractNum>
  <w:abstractNum w:abstractNumId="2">
    <w:multiLevelType w:val="hybridMultilevel"/>
    <w:lvl w:ilvl="0">
      <w:start w:val="4"/>
      <w:numFmt w:val="decimal"/>
      <w:lvlText w:val="%1"/>
      <w:lvlJc w:val="left"/>
      <w:pPr>
        <w:ind w:left="743" w:hanging="423"/>
        <w:jc w:val="left"/>
      </w:pPr>
      <w:rPr>
        <w:rFonts w:hint="default"/>
      </w:rPr>
    </w:lvl>
    <w:lvl w:ilvl="1">
      <w:start w:val="1"/>
      <w:numFmt w:val="decimal"/>
      <w:lvlText w:val="%1.%2"/>
      <w:lvlJc w:val="left"/>
      <w:pPr>
        <w:ind w:left="743" w:hanging="423"/>
        <w:jc w:val="left"/>
      </w:pPr>
      <w:rPr>
        <w:rFonts w:hint="default" w:ascii="仿宋" w:hAnsi="仿宋" w:eastAsia="仿宋" w:cs="仿宋"/>
        <w:w w:val="100"/>
        <w:sz w:val="21"/>
        <w:szCs w:val="21"/>
      </w:rPr>
    </w:lvl>
    <w:lvl w:ilvl="2">
      <w:start w:val="0"/>
      <w:numFmt w:val="bullet"/>
      <w:lvlText w:val="•"/>
      <w:lvlJc w:val="left"/>
      <w:pPr>
        <w:ind w:left="2401" w:hanging="423"/>
      </w:pPr>
      <w:rPr>
        <w:rFonts w:hint="default"/>
      </w:rPr>
    </w:lvl>
    <w:lvl w:ilvl="3">
      <w:start w:val="0"/>
      <w:numFmt w:val="bullet"/>
      <w:lvlText w:val="•"/>
      <w:lvlJc w:val="left"/>
      <w:pPr>
        <w:ind w:left="3231" w:hanging="423"/>
      </w:pPr>
      <w:rPr>
        <w:rFonts w:hint="default"/>
      </w:rPr>
    </w:lvl>
    <w:lvl w:ilvl="4">
      <w:start w:val="0"/>
      <w:numFmt w:val="bullet"/>
      <w:lvlText w:val="•"/>
      <w:lvlJc w:val="left"/>
      <w:pPr>
        <w:ind w:left="4062" w:hanging="423"/>
      </w:pPr>
      <w:rPr>
        <w:rFonts w:hint="default"/>
      </w:rPr>
    </w:lvl>
    <w:lvl w:ilvl="5">
      <w:start w:val="0"/>
      <w:numFmt w:val="bullet"/>
      <w:lvlText w:val="•"/>
      <w:lvlJc w:val="left"/>
      <w:pPr>
        <w:ind w:left="4892" w:hanging="423"/>
      </w:pPr>
      <w:rPr>
        <w:rFonts w:hint="default"/>
      </w:rPr>
    </w:lvl>
    <w:lvl w:ilvl="6">
      <w:start w:val="0"/>
      <w:numFmt w:val="bullet"/>
      <w:lvlText w:val="•"/>
      <w:lvlJc w:val="left"/>
      <w:pPr>
        <w:ind w:left="5723" w:hanging="423"/>
      </w:pPr>
      <w:rPr>
        <w:rFonts w:hint="default"/>
      </w:rPr>
    </w:lvl>
    <w:lvl w:ilvl="7">
      <w:start w:val="0"/>
      <w:numFmt w:val="bullet"/>
      <w:lvlText w:val="•"/>
      <w:lvlJc w:val="left"/>
      <w:pPr>
        <w:ind w:left="6553" w:hanging="423"/>
      </w:pPr>
      <w:rPr>
        <w:rFonts w:hint="default"/>
      </w:rPr>
    </w:lvl>
    <w:lvl w:ilvl="8">
      <w:start w:val="0"/>
      <w:numFmt w:val="bullet"/>
      <w:lvlText w:val="•"/>
      <w:lvlJc w:val="left"/>
      <w:pPr>
        <w:ind w:left="7384" w:hanging="423"/>
      </w:pPr>
      <w:rPr>
        <w:rFonts w:hint="default"/>
      </w:rPr>
    </w:lvl>
  </w:abstractNum>
  <w:num w:numId="2">
    <w:abstractNumId w:val="1"/>
  </w:num>
  <w:num w:numId="1">
    <w:abstractNumId w:val="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2337"/>
    </w:pPr>
    <w:rPr>
      <w:rFonts w:ascii="宋体" w:hAnsi="宋体" w:eastAsia="宋体" w:cs="宋体"/>
      <w:sz w:val="21"/>
      <w:szCs w:val="21"/>
    </w:rPr>
  </w:style>
  <w:style w:styleId="Heading1" w:type="paragraph">
    <w:name w:val="Heading 1"/>
    <w:basedOn w:val="Normal"/>
    <w:uiPriority w:val="1"/>
    <w:qFormat/>
    <w:pPr>
      <w:ind w:left="1916"/>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405" w:lineRule="exact"/>
      <w:ind w:left="979" w:hanging="752"/>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line="272" w:lineRule="exact"/>
      <w:ind w:left="2937"/>
      <w:jc w:val="both"/>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80" w:lineRule="exact"/>
      <w:ind w:left="979" w:hanging="42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嘉禾发[2009]338号-7 嘉禾附加万事兴重大疾病保险条款</dc:title>
  <dcterms:created xsi:type="dcterms:W3CDTF">2018-10-19T22:57:33Z</dcterms:created>
  <dcterms:modified xsi:type="dcterms:W3CDTF">2018-10-19T22:57:33Z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