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046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868" w:top="280" w:bottom="2060" w:left="1560" w:right="720"/>
          <w:pgNumType w:start="1"/>
        </w:sectPr>
      </w:pPr>
    </w:p>
    <w:p>
      <w:pPr>
        <w:spacing w:line="312" w:lineRule="exact" w:before="26"/>
        <w:ind w:left="2084" w:right="94" w:firstLine="0"/>
        <w:jc w:val="center"/>
        <w:rPr>
          <w:b/>
          <w:sz w:val="24"/>
        </w:rPr>
      </w:pPr>
      <w:r>
        <w:rPr/>
        <w:pict>
          <v:group style="position:absolute;margin-left:83.580002pt;margin-top:-49.784286pt;width:428.5pt;height:57pt;mso-position-horizontal-relative:page;mso-position-vertical-relative:paragraph;z-index:-13336"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11" w:lineRule="exact" w:before="0"/>
        <w:ind w:left="2084" w:right="94" w:firstLine="0"/>
        <w:jc w:val="center"/>
        <w:rPr>
          <w:b/>
          <w:sz w:val="24"/>
        </w:rPr>
      </w:pPr>
      <w:r>
        <w:rPr>
          <w:b/>
          <w:w w:val="95"/>
          <w:sz w:val="24"/>
        </w:rPr>
        <w:t>海尔纽约人寿附加福康逸生重大疾病保险条款</w:t>
      </w:r>
    </w:p>
    <w:p>
      <w:pPr>
        <w:spacing w:line="331" w:lineRule="exact" w:before="0"/>
        <w:ind w:left="2084" w:right="93"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11 </w:t>
      </w:r>
      <w:r>
        <w:rPr>
          <w:b/>
          <w:sz w:val="24"/>
        </w:rPr>
        <w:t>月）</w:t>
      </w:r>
    </w:p>
    <w:p>
      <w:pPr>
        <w:pStyle w:val="BodyText"/>
        <w:ind w:left="0"/>
        <w:rPr>
          <w:b/>
          <w:sz w:val="26"/>
        </w:rPr>
      </w:pPr>
    </w:p>
    <w:p>
      <w:pPr>
        <w:spacing w:before="183"/>
        <w:ind w:left="2084" w:right="94" w:firstLine="0"/>
        <w:jc w:val="center"/>
        <w:rPr>
          <w:sz w:val="21"/>
        </w:rPr>
      </w:pPr>
      <w:r>
        <w:rPr>
          <w:sz w:val="21"/>
        </w:rPr>
        <w:t>目录</w:t>
      </w:r>
    </w:p>
    <w:p>
      <w:pPr>
        <w:pStyle w:val="BodyText"/>
        <w:spacing w:before="5"/>
        <w:ind w:left="0"/>
        <w:rPr>
          <w:sz w:val="13"/>
        </w:rPr>
      </w:pPr>
      <w:r>
        <w:rPr/>
        <w:br w:type="column"/>
      </w:r>
      <w:r>
        <w:rPr>
          <w:sz w:val="13"/>
        </w:rPr>
      </w:r>
    </w:p>
    <w:p>
      <w:pPr>
        <w:spacing w:before="0"/>
        <w:ind w:left="337" w:right="0" w:firstLine="0"/>
        <w:jc w:val="left"/>
        <w:rPr>
          <w:sz w:val="18"/>
        </w:rPr>
      </w:pPr>
      <w:r>
        <w:rPr>
          <w:sz w:val="18"/>
        </w:rPr>
        <w:t>请扫描以查询验证条款</w:t>
      </w:r>
    </w:p>
    <w:p>
      <w:pPr>
        <w:spacing w:after="0"/>
        <w:jc w:val="left"/>
        <w:rPr>
          <w:sz w:val="18"/>
        </w:rPr>
        <w:sectPr>
          <w:type w:val="continuous"/>
          <w:pgSz w:w="11910" w:h="16840"/>
          <w:pgMar w:top="280" w:bottom="2060" w:left="1560" w:right="720"/>
          <w:cols w:num="2" w:equalWidth="0">
            <w:col w:w="6796" w:space="40"/>
            <w:col w:w="2794"/>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1"/>
            <w:rPr>
              <w:rFonts w:ascii="Times New Roman" w:hAnsi="Times New Roman" w:eastAsia="Times New Roman"/>
            </w:rPr>
          </w:pPr>
          <w:hyperlink w:history="true" w:anchor="_TOC_250022">
            <w:r>
              <w:rPr/>
              <w:t>第一部</w:t>
            </w:r>
            <w:r>
              <w:rPr>
                <w:spacing w:val="10"/>
              </w:rPr>
              <w:t>分</w:t>
            </w:r>
            <w:r>
              <w:rPr>
                <w:rFonts w:ascii="Times New Roman" w:hAnsi="Times New Roman" w:eastAsia="Times New Roman"/>
              </w:rPr>
              <w:t>······</w:t>
            </w:r>
            <w:r>
              <w:rPr>
                <w:rFonts w:ascii="Times New Roman" w:hAnsi="Times New Roman" w:eastAsia="Times New Roman"/>
                <w:spacing w:val="-9"/>
              </w:rPr>
              <w:t> </w:t>
            </w:r>
            <w:r>
              <w:rPr/>
              <w:t>您（投保人）与我们（海尔纽约人寿保险有限公司）的合同</w:t>
              <w:tab/>
            </w:r>
            <w:r>
              <w:rPr>
                <w:rFonts w:ascii="Times New Roman" w:hAnsi="Times New Roman" w:eastAsia="Times New Roman"/>
              </w:rPr>
              <w:t>2</w:t>
            </w:r>
          </w:hyperlink>
        </w:p>
        <w:p>
          <w:pPr>
            <w:pStyle w:val="TOC2"/>
            <w:tabs>
              <w:tab w:pos="1401" w:val="left" w:leader="none"/>
              <w:tab w:pos="8634" w:val="right" w:leader="middleDot"/>
            </w:tabs>
            <w:spacing w:before="189"/>
            <w:rPr>
              <w:rFonts w:ascii="Times New Roman" w:eastAsia="Times New Roman"/>
              <w:sz w:val="21"/>
            </w:rPr>
          </w:pPr>
          <w:hyperlink w:history="true" w:anchor="_TOC_250021">
            <w:r>
              <w:rPr/>
              <w:t>第一条</w:t>
              <w:tab/>
              <w:t>合同的构成</w:t>
              <w:tab/>
            </w:r>
            <w:r>
              <w:rPr>
                <w:rFonts w:ascii="Times New Roman" w:eastAsia="Times New Roman"/>
                <w:sz w:val="21"/>
              </w:rPr>
              <w:t>2</w:t>
            </w:r>
          </w:hyperlink>
        </w:p>
        <w:p>
          <w:pPr>
            <w:pStyle w:val="TOC2"/>
            <w:tabs>
              <w:tab w:pos="1401" w:val="left" w:leader="none"/>
              <w:tab w:pos="8634" w:val="right" w:leader="middleDot"/>
            </w:tabs>
            <w:rPr>
              <w:rFonts w:ascii="Times New Roman" w:eastAsia="Times New Roman"/>
              <w:sz w:val="21"/>
            </w:rPr>
          </w:pPr>
          <w:r>
            <w:rPr/>
            <w:t>第二条</w:t>
            <w:tab/>
            <w:t>投保范围</w:t>
            <w:tab/>
          </w:r>
          <w:r>
            <w:rPr>
              <w:rFonts w:ascii="Times New Roman" w:eastAsia="Times New Roman"/>
              <w:sz w:val="21"/>
            </w:rPr>
            <w:t>2</w:t>
          </w:r>
        </w:p>
        <w:p>
          <w:pPr>
            <w:pStyle w:val="TOC2"/>
            <w:tabs>
              <w:tab w:pos="1401" w:val="left" w:leader="none"/>
              <w:tab w:pos="8634" w:val="right" w:leader="middleDot"/>
            </w:tabs>
            <w:rPr>
              <w:rFonts w:ascii="Times New Roman" w:eastAsia="Times New Roman"/>
              <w:sz w:val="21"/>
            </w:rPr>
          </w:pPr>
          <w:hyperlink w:history="true" w:anchor="_TOC_250020">
            <w:r>
              <w:rPr/>
              <w:t>第三条</w:t>
              <w:tab/>
              <w:t>保险期间</w:t>
              <w:tab/>
            </w:r>
            <w:r>
              <w:rPr>
                <w:rFonts w:ascii="Times New Roman" w:eastAsia="Times New Roman"/>
                <w:sz w:val="21"/>
              </w:rPr>
              <w:t>2</w:t>
            </w:r>
          </w:hyperlink>
        </w:p>
        <w:p>
          <w:pPr>
            <w:pStyle w:val="TOC2"/>
            <w:tabs>
              <w:tab w:pos="1401" w:val="left" w:leader="none"/>
              <w:tab w:pos="8634" w:val="right" w:leader="middleDot"/>
            </w:tabs>
            <w:rPr>
              <w:rFonts w:ascii="Times New Roman" w:eastAsia="Times New Roman"/>
              <w:sz w:val="21"/>
            </w:rPr>
          </w:pPr>
          <w:r>
            <w:rPr/>
            <w:t>第四条</w:t>
            <w:tab/>
            <w:t>保险责任的开始</w:t>
            <w:tab/>
          </w:r>
          <w:r>
            <w:rPr>
              <w:rFonts w:ascii="Times New Roman" w:eastAsia="Times New Roman"/>
              <w:sz w:val="21"/>
            </w:rPr>
            <w:t>2</w:t>
          </w:r>
        </w:p>
        <w:p>
          <w:pPr>
            <w:pStyle w:val="TOC2"/>
            <w:tabs>
              <w:tab w:pos="1401" w:val="left" w:leader="none"/>
              <w:tab w:pos="8634" w:val="right" w:leader="middleDot"/>
            </w:tabs>
            <w:rPr>
              <w:rFonts w:ascii="Times New Roman" w:eastAsia="Times New Roman"/>
              <w:sz w:val="21"/>
            </w:rPr>
          </w:pPr>
          <w:hyperlink w:history="true" w:anchor="_TOC_250019">
            <w:r>
              <w:rPr/>
              <w:t>第五条</w:t>
              <w:tab/>
              <w:t>犹豫期</w:t>
              <w:tab/>
            </w:r>
            <w:r>
              <w:rPr>
                <w:rFonts w:ascii="Times New Roman" w:eastAsia="Times New Roman"/>
                <w:sz w:val="21"/>
              </w:rPr>
              <w:t>2</w:t>
            </w:r>
          </w:hyperlink>
        </w:p>
        <w:p>
          <w:pPr>
            <w:pStyle w:val="TOC1"/>
            <w:tabs>
              <w:tab w:pos="8635" w:val="right" w:leader="middleDot"/>
            </w:tabs>
            <w:rPr>
              <w:rFonts w:ascii="Times New Roman" w:hAnsi="Times New Roman" w:eastAsia="Times New Roman"/>
            </w:rPr>
          </w:pPr>
          <w:hyperlink w:history="true" w:anchor="_TOC_250018">
            <w:r>
              <w:rPr/>
              <w:t>第二部</w:t>
            </w:r>
            <w:r>
              <w:rPr>
                <w:spacing w:val="10"/>
              </w:rPr>
              <w:t>分</w:t>
            </w:r>
            <w:r>
              <w:rPr>
                <w:rFonts w:ascii="Times New Roman" w:hAnsi="Times New Roman" w:eastAsia="Times New Roman"/>
              </w:rPr>
              <w:t>······</w:t>
            </w:r>
            <w:r>
              <w:rPr>
                <w:rFonts w:ascii="Times New Roman" w:hAnsi="Times New Roman" w:eastAsia="Times New Roman"/>
                <w:spacing w:val="-8"/>
              </w:rPr>
              <w:t> </w:t>
            </w:r>
            <w:r>
              <w:rPr/>
              <w:t>我们提供的保障</w:t>
              <w:tab/>
            </w:r>
            <w:r>
              <w:rPr>
                <w:rFonts w:ascii="Times New Roman" w:hAnsi="Times New Roman" w:eastAsia="Times New Roman"/>
              </w:rPr>
              <w:t>2</w:t>
            </w:r>
          </w:hyperlink>
        </w:p>
        <w:p>
          <w:pPr>
            <w:pStyle w:val="TOC2"/>
            <w:tabs>
              <w:tab w:pos="1401" w:val="left" w:leader="none"/>
              <w:tab w:pos="8634" w:val="right" w:leader="middleDot"/>
            </w:tabs>
            <w:spacing w:before="188"/>
            <w:rPr>
              <w:rFonts w:ascii="Times New Roman" w:eastAsia="Times New Roman"/>
              <w:sz w:val="21"/>
            </w:rPr>
          </w:pPr>
          <w:hyperlink w:history="true" w:anchor="_TOC_250017">
            <w:r>
              <w:rPr/>
              <w:t>第六条</w:t>
              <w:tab/>
              <w:t>基本保险金额</w:t>
              <w:tab/>
            </w:r>
            <w:r>
              <w:rPr>
                <w:rFonts w:ascii="Times New Roman" w:eastAsia="Times New Roman"/>
                <w:sz w:val="21"/>
              </w:rPr>
              <w:t>2</w:t>
            </w:r>
          </w:hyperlink>
        </w:p>
        <w:p>
          <w:pPr>
            <w:pStyle w:val="TOC2"/>
            <w:tabs>
              <w:tab w:pos="1401" w:val="left" w:leader="none"/>
              <w:tab w:pos="8634" w:val="right" w:leader="middleDot"/>
            </w:tabs>
            <w:rPr>
              <w:rFonts w:ascii="Times New Roman" w:eastAsia="Times New Roman"/>
              <w:sz w:val="21"/>
            </w:rPr>
          </w:pPr>
          <w:hyperlink w:history="true" w:anchor="_TOC_250016">
            <w:r>
              <w:rPr/>
              <w:t>第七条</w:t>
              <w:tab/>
              <w:t>保险责任</w:t>
              <w:tab/>
            </w:r>
            <w:r>
              <w:rPr>
                <w:rFonts w:ascii="Times New Roman" w:eastAsia="Times New Roman"/>
                <w:sz w:val="21"/>
              </w:rPr>
              <w:t>2</w:t>
            </w:r>
          </w:hyperlink>
        </w:p>
        <w:p>
          <w:pPr>
            <w:pStyle w:val="TOC2"/>
            <w:tabs>
              <w:tab w:pos="1401" w:val="left" w:leader="none"/>
              <w:tab w:pos="8634" w:val="right" w:leader="middleDot"/>
            </w:tabs>
            <w:rPr>
              <w:rFonts w:ascii="Times New Roman" w:eastAsia="Times New Roman"/>
              <w:sz w:val="21"/>
            </w:rPr>
          </w:pPr>
          <w:hyperlink w:history="true" w:anchor="_TOC_250015">
            <w:r>
              <w:rPr/>
              <w:t>第八条</w:t>
              <w:tab/>
              <w:t>责任免除</w:t>
              <w:tab/>
            </w:r>
            <w:r>
              <w:rPr>
                <w:rFonts w:ascii="Times New Roman" w:eastAsia="Times New Roman"/>
                <w:sz w:val="21"/>
              </w:rPr>
              <w:t>3</w:t>
            </w:r>
          </w:hyperlink>
        </w:p>
        <w:p>
          <w:pPr>
            <w:pStyle w:val="TOC1"/>
            <w:tabs>
              <w:tab w:pos="8635" w:val="right" w:leader="middleDot"/>
            </w:tabs>
            <w:rPr>
              <w:rFonts w:ascii="Times New Roman" w:hAnsi="Times New Roman" w:eastAsia="Times New Roman"/>
            </w:rPr>
          </w:pPr>
          <w:hyperlink w:history="true" w:anchor="_TOC_250014">
            <w:r>
              <w:rPr/>
              <w:t>第三部</w:t>
            </w:r>
            <w:r>
              <w:rPr>
                <w:spacing w:val="10"/>
              </w:rPr>
              <w:t>分</w:t>
            </w:r>
            <w:r>
              <w:rPr>
                <w:rFonts w:ascii="Times New Roman" w:hAnsi="Times New Roman" w:eastAsia="Times New Roman"/>
              </w:rPr>
              <w:t>······</w:t>
            </w:r>
            <w:r>
              <w:rPr>
                <w:rFonts w:ascii="Times New Roman" w:hAnsi="Times New Roman" w:eastAsia="Times New Roman"/>
                <w:spacing w:val="-8"/>
              </w:rPr>
              <w:t> </w:t>
            </w:r>
            <w:r>
              <w:rPr/>
              <w:t>如何申请领取保险金</w:t>
              <w:tab/>
            </w:r>
            <w:r>
              <w:rPr>
                <w:rFonts w:ascii="Times New Roman" w:hAnsi="Times New Roman" w:eastAsia="Times New Roman"/>
              </w:rPr>
              <w:t>3</w:t>
            </w:r>
          </w:hyperlink>
        </w:p>
        <w:p>
          <w:pPr>
            <w:pStyle w:val="TOC2"/>
            <w:tabs>
              <w:tab w:pos="1401" w:val="left" w:leader="none"/>
              <w:tab w:pos="8634" w:val="right" w:leader="middleDot"/>
            </w:tabs>
            <w:spacing w:before="189"/>
            <w:rPr>
              <w:rFonts w:ascii="Times New Roman" w:eastAsia="Times New Roman"/>
              <w:sz w:val="21"/>
            </w:rPr>
          </w:pPr>
          <w:hyperlink w:history="true" w:anchor="_TOC_250013">
            <w:r>
              <w:rPr/>
              <w:t>第九条</w:t>
              <w:tab/>
              <w:t>受益人的指定和变更</w:t>
              <w:tab/>
            </w:r>
            <w:r>
              <w:rPr>
                <w:rFonts w:ascii="Times New Roman" w:eastAsia="Times New Roman"/>
                <w:sz w:val="21"/>
              </w:rPr>
              <w:t>3</w:t>
            </w:r>
          </w:hyperlink>
        </w:p>
        <w:p>
          <w:pPr>
            <w:pStyle w:val="TOC2"/>
            <w:tabs>
              <w:tab w:pos="1401" w:val="left" w:leader="none"/>
              <w:tab w:pos="8634" w:val="right" w:leader="middleDot"/>
            </w:tabs>
            <w:rPr>
              <w:rFonts w:ascii="Times New Roman" w:eastAsia="Times New Roman"/>
              <w:sz w:val="21"/>
            </w:rPr>
          </w:pPr>
          <w:r>
            <w:rPr/>
            <w:t>第十条</w:t>
            <w:tab/>
            <w:t>申请资料</w:t>
            <w:tab/>
          </w:r>
          <w:r>
            <w:rPr>
              <w:rFonts w:ascii="Times New Roman" w:eastAsia="Times New Roman"/>
              <w:sz w:val="21"/>
            </w:rPr>
            <w:t>3</w:t>
          </w:r>
        </w:p>
        <w:p>
          <w:pPr>
            <w:pStyle w:val="TOC2"/>
            <w:tabs>
              <w:tab w:pos="1401" w:val="left" w:leader="none"/>
              <w:tab w:pos="8634" w:val="right" w:leader="middleDot"/>
            </w:tabs>
            <w:rPr>
              <w:rFonts w:ascii="Times New Roman" w:eastAsia="Times New Roman"/>
              <w:sz w:val="21"/>
            </w:rPr>
          </w:pPr>
          <w:r>
            <w:rPr/>
            <w:t>第十一条</w:t>
            <w:tab/>
            <w:t>保险金的申请时效</w:t>
            <w:tab/>
          </w:r>
          <w:r>
            <w:rPr>
              <w:rFonts w:ascii="Times New Roman" w:eastAsia="Times New Roman"/>
              <w:sz w:val="21"/>
            </w:rPr>
            <w:t>4</w:t>
          </w:r>
        </w:p>
        <w:p>
          <w:pPr>
            <w:pStyle w:val="TOC1"/>
            <w:tabs>
              <w:tab w:pos="8635" w:val="right" w:leader="middleDot"/>
            </w:tabs>
            <w:rPr>
              <w:rFonts w:ascii="Times New Roman" w:hAnsi="Times New Roman" w:eastAsia="Times New Roman"/>
            </w:rPr>
          </w:pPr>
          <w:hyperlink w:history="true" w:anchor="_TOC_250012">
            <w:r>
              <w:rPr/>
              <w:t>第四部</w:t>
            </w:r>
            <w:r>
              <w:rPr>
                <w:spacing w:val="10"/>
              </w:rPr>
              <w:t>分</w:t>
            </w:r>
            <w:r>
              <w:rPr>
                <w:rFonts w:ascii="Times New Roman" w:hAnsi="Times New Roman" w:eastAsia="Times New Roman"/>
              </w:rPr>
              <w:t>······</w:t>
            </w:r>
            <w:r>
              <w:rPr>
                <w:rFonts w:ascii="Times New Roman" w:hAnsi="Times New Roman" w:eastAsia="Times New Roman"/>
                <w:spacing w:val="-8"/>
              </w:rPr>
              <w:t> </w:t>
            </w:r>
            <w:r>
              <w:rPr/>
              <w:t>如何交纳保险费</w:t>
              <w:tab/>
            </w:r>
            <w:r>
              <w:rPr>
                <w:rFonts w:ascii="Times New Roman" w:hAnsi="Times New Roman" w:eastAsia="Times New Roman"/>
              </w:rPr>
              <w:t>4</w:t>
            </w:r>
          </w:hyperlink>
        </w:p>
        <w:p>
          <w:pPr>
            <w:pStyle w:val="TOC2"/>
            <w:tabs>
              <w:tab w:pos="1401" w:val="left" w:leader="none"/>
              <w:tab w:pos="8634" w:val="right" w:leader="middleDot"/>
            </w:tabs>
            <w:spacing w:before="188"/>
            <w:rPr>
              <w:rFonts w:ascii="Times New Roman" w:eastAsia="Times New Roman"/>
              <w:sz w:val="21"/>
            </w:rPr>
          </w:pPr>
          <w:hyperlink w:history="true" w:anchor="_TOC_250011">
            <w:r>
              <w:rPr/>
              <w:t>第十二条</w:t>
              <w:tab/>
              <w:t>保险费的交纳</w:t>
              <w:tab/>
            </w:r>
            <w:r>
              <w:rPr>
                <w:rFonts w:ascii="Times New Roman" w:eastAsia="Times New Roman"/>
                <w:sz w:val="21"/>
              </w:rPr>
              <w:t>4</w:t>
            </w:r>
          </w:hyperlink>
        </w:p>
        <w:p>
          <w:pPr>
            <w:pStyle w:val="TOC2"/>
            <w:tabs>
              <w:tab w:pos="1401" w:val="left" w:leader="none"/>
              <w:tab w:pos="8634" w:val="right" w:leader="middleDot"/>
            </w:tabs>
            <w:rPr>
              <w:rFonts w:ascii="Times New Roman" w:eastAsia="Times New Roman"/>
              <w:sz w:val="21"/>
            </w:rPr>
          </w:pPr>
          <w:hyperlink w:history="true" w:anchor="_TOC_250010">
            <w:r>
              <w:rPr/>
              <w:t>第十三条</w:t>
              <w:tab/>
              <w:t>保险费率的调整</w:t>
              <w:tab/>
            </w:r>
            <w:r>
              <w:rPr>
                <w:rFonts w:ascii="Times New Roman" w:eastAsia="Times New Roman"/>
                <w:sz w:val="21"/>
              </w:rPr>
              <w:t>4</w:t>
            </w:r>
          </w:hyperlink>
        </w:p>
        <w:p>
          <w:pPr>
            <w:pStyle w:val="TOC1"/>
            <w:tabs>
              <w:tab w:pos="8635" w:val="right" w:leader="middleDot"/>
            </w:tabs>
            <w:rPr>
              <w:rFonts w:ascii="Times New Roman" w:hAnsi="Times New Roman" w:eastAsia="Times New Roman"/>
            </w:rPr>
          </w:pPr>
          <w:hyperlink w:history="true" w:anchor="_TOC_250009">
            <w:r>
              <w:rPr/>
              <w:t>第五部</w:t>
            </w:r>
            <w:r>
              <w:rPr>
                <w:spacing w:val="10"/>
              </w:rPr>
              <w:t>分</w:t>
            </w:r>
            <w:r>
              <w:rPr>
                <w:rFonts w:ascii="Times New Roman" w:hAnsi="Times New Roman" w:eastAsia="Times New Roman"/>
              </w:rPr>
              <w:t>······</w:t>
            </w:r>
            <w:r>
              <w:rPr>
                <w:rFonts w:ascii="Times New Roman" w:hAnsi="Times New Roman" w:eastAsia="Times New Roman"/>
                <w:spacing w:val="-8"/>
              </w:rPr>
              <w:t> </w:t>
            </w:r>
            <w:r>
              <w:rPr/>
              <w:t>现金价值权益</w:t>
              <w:tab/>
            </w:r>
            <w:r>
              <w:rPr>
                <w:rFonts w:ascii="Times New Roman" w:hAnsi="Times New Roman" w:eastAsia="Times New Roman"/>
              </w:rPr>
              <w:t>4</w:t>
            </w:r>
          </w:hyperlink>
        </w:p>
        <w:p>
          <w:pPr>
            <w:pStyle w:val="TOC2"/>
            <w:tabs>
              <w:tab w:pos="1401" w:val="left" w:leader="none"/>
              <w:tab w:pos="8634" w:val="right" w:leader="middleDot"/>
            </w:tabs>
            <w:spacing w:before="188"/>
            <w:rPr>
              <w:rFonts w:ascii="Times New Roman" w:eastAsia="Times New Roman"/>
              <w:sz w:val="21"/>
            </w:rPr>
          </w:pPr>
          <w:hyperlink w:history="true" w:anchor="_TOC_250008">
            <w:r>
              <w:rPr/>
              <w:t>第十四条</w:t>
              <w:tab/>
              <w:t>现金价值</w:t>
              <w:tab/>
            </w:r>
            <w:r>
              <w:rPr>
                <w:rFonts w:ascii="Times New Roman" w:eastAsia="Times New Roman"/>
                <w:sz w:val="21"/>
              </w:rPr>
              <w:t>4</w:t>
            </w:r>
          </w:hyperlink>
        </w:p>
        <w:p>
          <w:pPr>
            <w:pStyle w:val="TOC2"/>
            <w:tabs>
              <w:tab w:pos="1401" w:val="left" w:leader="none"/>
              <w:tab w:pos="8634" w:val="right" w:leader="middleDot"/>
            </w:tabs>
            <w:rPr>
              <w:rFonts w:ascii="Times New Roman" w:eastAsia="Times New Roman"/>
              <w:sz w:val="21"/>
            </w:rPr>
          </w:pPr>
          <w:r>
            <w:rPr/>
            <w:t>第十五条</w:t>
            <w:tab/>
            <w:t>减额交清</w:t>
            <w:tab/>
          </w:r>
          <w:r>
            <w:rPr>
              <w:rFonts w:ascii="Times New Roman" w:eastAsia="Times New Roman"/>
              <w:sz w:val="21"/>
            </w:rPr>
            <w:t>4</w:t>
          </w:r>
        </w:p>
        <w:p>
          <w:pPr>
            <w:pStyle w:val="TOC1"/>
            <w:tabs>
              <w:tab w:pos="8635" w:val="right" w:leader="middleDot"/>
            </w:tabs>
            <w:rPr>
              <w:rFonts w:ascii="Times New Roman" w:hAnsi="Times New Roman" w:eastAsia="Times New Roman"/>
            </w:rPr>
          </w:pPr>
          <w:hyperlink w:history="true" w:anchor="_TOC_250007">
            <w:r>
              <w:rPr/>
              <w:t>第六部</w:t>
            </w:r>
            <w:r>
              <w:rPr>
                <w:spacing w:val="10"/>
              </w:rPr>
              <w:t>分</w:t>
            </w:r>
            <w:r>
              <w:rPr>
                <w:rFonts w:ascii="Times New Roman" w:hAnsi="Times New Roman" w:eastAsia="Times New Roman"/>
              </w:rPr>
              <w:t>······</w:t>
            </w:r>
            <w:r>
              <w:rPr>
                <w:rFonts w:ascii="Times New Roman" w:hAnsi="Times New Roman" w:eastAsia="Times New Roman"/>
                <w:spacing w:val="-8"/>
              </w:rPr>
              <w:t> </w:t>
            </w:r>
            <w:r>
              <w:rPr/>
              <w:t>合同效力的终止</w:t>
              <w:tab/>
            </w:r>
            <w:r>
              <w:rPr>
                <w:rFonts w:ascii="Times New Roman" w:hAnsi="Times New Roman" w:eastAsia="Times New Roman"/>
              </w:rPr>
              <w:t>4</w:t>
            </w:r>
          </w:hyperlink>
        </w:p>
        <w:p>
          <w:pPr>
            <w:pStyle w:val="TOC2"/>
            <w:tabs>
              <w:tab w:pos="1401" w:val="left" w:leader="none"/>
              <w:tab w:pos="8634" w:val="right" w:leader="middleDot"/>
            </w:tabs>
            <w:spacing w:before="188"/>
            <w:rPr>
              <w:rFonts w:ascii="Times New Roman" w:eastAsia="Times New Roman"/>
              <w:sz w:val="21"/>
            </w:rPr>
          </w:pPr>
          <w:hyperlink w:history="true" w:anchor="_TOC_250006">
            <w:r>
              <w:rPr/>
              <w:t>第十六条</w:t>
              <w:tab/>
              <w:t>您主动解除合同的权利</w:t>
              <w:tab/>
            </w:r>
            <w:r>
              <w:rPr>
                <w:rFonts w:ascii="Times New Roman" w:eastAsia="Times New Roman"/>
                <w:sz w:val="21"/>
              </w:rPr>
              <w:t>4</w:t>
            </w:r>
          </w:hyperlink>
        </w:p>
        <w:p>
          <w:pPr>
            <w:pStyle w:val="TOC2"/>
            <w:tabs>
              <w:tab w:pos="1401" w:val="left" w:leader="none"/>
              <w:tab w:pos="8634" w:val="right" w:leader="middleDot"/>
            </w:tabs>
            <w:rPr>
              <w:rFonts w:ascii="Times New Roman" w:eastAsia="Times New Roman"/>
              <w:sz w:val="21"/>
            </w:rPr>
          </w:pPr>
          <w:hyperlink w:history="true" w:anchor="_TOC_250005">
            <w:r>
              <w:rPr/>
              <w:t>第十七条</w:t>
              <w:tab/>
              <w:t>合同效力的终止</w:t>
              <w:tab/>
            </w:r>
            <w:r>
              <w:rPr>
                <w:rFonts w:ascii="Times New Roman" w:eastAsia="Times New Roman"/>
                <w:sz w:val="21"/>
              </w:rPr>
              <w:t>5</w:t>
            </w:r>
          </w:hyperlink>
        </w:p>
        <w:p>
          <w:pPr>
            <w:pStyle w:val="TOC1"/>
            <w:tabs>
              <w:tab w:pos="8635" w:val="right" w:leader="middleDot"/>
            </w:tabs>
            <w:rPr>
              <w:rFonts w:ascii="Times New Roman" w:hAnsi="Times New Roman" w:eastAsia="Times New Roman"/>
            </w:rPr>
          </w:pPr>
          <w:hyperlink w:history="true" w:anchor="_TOC_250004">
            <w:r>
              <w:rPr/>
              <w:t>第七部</w:t>
            </w:r>
            <w:r>
              <w:rPr>
                <w:spacing w:val="10"/>
              </w:rPr>
              <w:t>分</w:t>
            </w:r>
            <w:r>
              <w:rPr>
                <w:rFonts w:ascii="Times New Roman" w:hAnsi="Times New Roman" w:eastAsia="Times New Roman"/>
              </w:rPr>
              <w:t>······</w:t>
            </w:r>
            <w:r>
              <w:rPr>
                <w:rFonts w:ascii="Times New Roman" w:hAnsi="Times New Roman" w:eastAsia="Times New Roman"/>
                <w:spacing w:val="-8"/>
              </w:rPr>
              <w:t> </w:t>
            </w:r>
            <w:r>
              <w:rPr/>
              <w:t>您必须了解的其他事项</w:t>
              <w:tab/>
            </w:r>
            <w:r>
              <w:rPr>
                <w:rFonts w:ascii="Times New Roman" w:hAnsi="Times New Roman" w:eastAsia="Times New Roman"/>
              </w:rPr>
              <w:t>5</w:t>
            </w:r>
          </w:hyperlink>
        </w:p>
        <w:p>
          <w:pPr>
            <w:pStyle w:val="TOC2"/>
            <w:tabs>
              <w:tab w:pos="1401" w:val="left" w:leader="none"/>
              <w:tab w:pos="8634" w:val="right" w:leader="middleDot"/>
            </w:tabs>
            <w:spacing w:before="188"/>
            <w:rPr>
              <w:rFonts w:ascii="Times New Roman" w:eastAsia="Times New Roman"/>
              <w:sz w:val="21"/>
            </w:rPr>
          </w:pPr>
          <w:hyperlink w:history="true" w:anchor="_TOC_250003">
            <w:r>
              <w:rPr/>
              <w:t>第十八条</w:t>
              <w:tab/>
              <w:t>明确说明与如实告知</w:t>
              <w:tab/>
            </w:r>
            <w:r>
              <w:rPr>
                <w:rFonts w:ascii="Times New Roman" w:eastAsia="Times New Roman"/>
                <w:sz w:val="21"/>
              </w:rPr>
              <w:t>5</w:t>
            </w:r>
          </w:hyperlink>
        </w:p>
        <w:p>
          <w:pPr>
            <w:pStyle w:val="TOC2"/>
            <w:tabs>
              <w:tab w:pos="1401" w:val="left" w:leader="none"/>
              <w:tab w:pos="8634" w:val="right" w:leader="middleDot"/>
            </w:tabs>
            <w:rPr>
              <w:rFonts w:ascii="Times New Roman" w:eastAsia="Times New Roman"/>
              <w:sz w:val="21"/>
            </w:rPr>
          </w:pPr>
          <w:hyperlink w:history="true" w:anchor="_TOC_250002">
            <w:r>
              <w:rPr/>
              <w:t>第十九条</w:t>
              <w:tab/>
              <w:t>本公司合同解除权的限制</w:t>
              <w:tab/>
            </w:r>
            <w:r>
              <w:rPr>
                <w:rFonts w:ascii="Times New Roman" w:eastAsia="Times New Roman"/>
                <w:sz w:val="21"/>
              </w:rPr>
              <w:t>5</w:t>
            </w:r>
          </w:hyperlink>
        </w:p>
        <w:p>
          <w:pPr>
            <w:pStyle w:val="TOC2"/>
            <w:tabs>
              <w:tab w:pos="1401" w:val="left" w:leader="none"/>
              <w:tab w:pos="8634" w:val="right" w:leader="middleDot"/>
            </w:tabs>
            <w:rPr>
              <w:rFonts w:ascii="Times New Roman" w:eastAsia="Times New Roman"/>
              <w:sz w:val="21"/>
            </w:rPr>
          </w:pPr>
          <w:hyperlink w:history="true" w:anchor="_TOC_250001">
            <w:r>
              <w:rPr/>
              <w:t>第二十条</w:t>
              <w:tab/>
              <w:t>未还款项</w:t>
              <w:tab/>
            </w:r>
            <w:r>
              <w:rPr>
                <w:rFonts w:ascii="Times New Roman" w:eastAsia="Times New Roman"/>
                <w:sz w:val="21"/>
              </w:rPr>
              <w:t>5</w:t>
            </w:r>
          </w:hyperlink>
        </w:p>
        <w:p>
          <w:pPr>
            <w:pStyle w:val="TOC1"/>
            <w:tabs>
              <w:tab w:pos="8635" w:val="right" w:leader="middleDot"/>
            </w:tabs>
            <w:rPr>
              <w:rFonts w:ascii="Times New Roman" w:hAnsi="Times New Roman" w:eastAsia="Times New Roman"/>
            </w:rPr>
          </w:pPr>
          <w:hyperlink w:history="true" w:anchor="_TOC_250000">
            <w:r>
              <w:rPr/>
              <w:t>第八部</w:t>
            </w:r>
            <w:r>
              <w:rPr>
                <w:spacing w:val="10"/>
              </w:rPr>
              <w:t>分</w:t>
            </w:r>
            <w:r>
              <w:rPr>
                <w:rFonts w:ascii="Times New Roman" w:hAnsi="Times New Roman" w:eastAsia="Times New Roman"/>
              </w:rPr>
              <w:t>······</w:t>
            </w:r>
            <w:r>
              <w:rPr>
                <w:rFonts w:ascii="Times New Roman" w:hAnsi="Times New Roman" w:eastAsia="Times New Roman"/>
                <w:spacing w:val="-8"/>
              </w:rPr>
              <w:t> </w:t>
            </w:r>
            <w:r>
              <w:rPr/>
              <w:t>释义</w:t>
              <w:tab/>
            </w:r>
            <w:r>
              <w:rPr>
                <w:rFonts w:ascii="Times New Roman" w:hAnsi="Times New Roman" w:eastAsia="Times New Roman"/>
              </w:rPr>
              <w:t>5</w:t>
            </w:r>
          </w:hyperlink>
        </w:p>
      </w:sdtContent>
    </w:sdt>
    <w:p>
      <w:pPr>
        <w:spacing w:after="0"/>
        <w:rPr>
          <w:rFonts w:ascii="Times New Roman" w:hAnsi="Times New Roman" w:eastAsia="Times New Roman"/>
        </w:rPr>
        <w:sectPr>
          <w:type w:val="continuous"/>
          <w:pgSz w:w="11910" w:h="16840"/>
          <w:pgMar w:top="280" w:bottom="2060" w:left="1560" w:right="720"/>
        </w:sectPr>
      </w:pPr>
    </w:p>
    <w:p>
      <w:pPr>
        <w:pStyle w:val="BodyText"/>
        <w:ind w:left="0"/>
        <w:rPr>
          <w:rFonts w:ascii="Times New Roman"/>
          <w:sz w:val="20"/>
        </w:rPr>
      </w:pPr>
    </w:p>
    <w:p>
      <w:pPr>
        <w:pStyle w:val="BodyText"/>
        <w:ind w:left="0"/>
        <w:rPr>
          <w:rFonts w:ascii="Times New Roman"/>
          <w:sz w:val="20"/>
        </w:rPr>
      </w:pPr>
    </w:p>
    <w:p>
      <w:pPr>
        <w:pStyle w:val="BodyText"/>
        <w:spacing w:before="5"/>
        <w:ind w:left="0"/>
        <w:rPr>
          <w:rFonts w:ascii="Times New Roman"/>
          <w:sz w:val="25"/>
        </w:rPr>
      </w:pPr>
    </w:p>
    <w:p>
      <w:pPr>
        <w:pStyle w:val="Heading1"/>
        <w:tabs>
          <w:tab w:pos="2950" w:val="left" w:leader="none"/>
        </w:tabs>
        <w:spacing w:before="45"/>
        <w:ind w:left="1150"/>
      </w:pPr>
      <w:bookmarkStart w:name="_TOC_250022" w:id="1"/>
      <w:r>
        <w:rPr/>
        <w:t>第一部分</w:t>
        <w:tab/>
      </w:r>
      <w:bookmarkEnd w:id="1"/>
      <w:r>
        <w:rPr>
          <w:w w:val="95"/>
        </w:rPr>
        <w:t>您（投保人）与我们（海尔纽约人寿保险有限公司）的合同</w:t>
      </w:r>
    </w:p>
    <w:p>
      <w:pPr>
        <w:pStyle w:val="BodyText"/>
        <w:ind w:left="0"/>
        <w:rPr>
          <w:b/>
          <w:sz w:val="18"/>
        </w:rPr>
      </w:pPr>
    </w:p>
    <w:p>
      <w:pPr>
        <w:pStyle w:val="BodyText"/>
        <w:spacing w:before="3"/>
        <w:ind w:left="0"/>
        <w:rPr>
          <w:b/>
          <w:sz w:val="15"/>
        </w:rPr>
      </w:pPr>
    </w:p>
    <w:p>
      <w:pPr>
        <w:pStyle w:val="Heading1"/>
        <w:tabs>
          <w:tab w:pos="1401" w:val="left" w:leader="none"/>
        </w:tabs>
      </w:pPr>
      <w:bookmarkStart w:name="_TOC_250021" w:id="2"/>
      <w:r>
        <w:rPr/>
        <w:t>第一条</w:t>
        <w:tab/>
      </w:r>
      <w:bookmarkEnd w:id="2"/>
      <w:r>
        <w:rPr>
          <w:w w:val="95"/>
        </w:rPr>
        <w:t>合同的构成</w:t>
      </w:r>
    </w:p>
    <w:p>
      <w:pPr>
        <w:pStyle w:val="BodyText"/>
        <w:ind w:left="0"/>
        <w:rPr>
          <w:b/>
          <w:sz w:val="15"/>
        </w:rPr>
      </w:pPr>
    </w:p>
    <w:p>
      <w:pPr>
        <w:spacing w:before="0"/>
        <w:ind w:left="14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41" w:right="192" w:firstLine="0"/>
        <w:jc w:val="both"/>
        <w:rPr>
          <w:sz w:val="18"/>
        </w:rPr>
      </w:pPr>
      <w:r>
        <w:rPr>
          <w:sz w:val="18"/>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6125" w:firstLine="0"/>
        <w:jc w:val="left"/>
        <w:rPr>
          <w:b/>
          <w:sz w:val="18"/>
        </w:rPr>
      </w:pPr>
      <w:r>
        <w:rPr>
          <w:sz w:val="18"/>
        </w:rPr>
        <w:t>本附加合同的英文简称为</w:t>
      </w:r>
      <w:r>
        <w:rPr>
          <w:spacing w:val="-47"/>
          <w:sz w:val="18"/>
        </w:rPr>
        <w:t> </w:t>
      </w:r>
      <w:r>
        <w:rPr>
          <w:rFonts w:ascii="Times New Roman" w:eastAsia="Times New Roman"/>
          <w:sz w:val="18"/>
        </w:rPr>
        <w:t>ARR</w:t>
      </w:r>
      <w:r>
        <w:rPr>
          <w:sz w:val="18"/>
        </w:rPr>
        <w:t>。</w:t>
      </w:r>
      <w:r>
        <w:rPr>
          <w:b/>
          <w:sz w:val="18"/>
        </w:rPr>
        <w:t>第二条</w:t>
        <w:tab/>
      </w:r>
      <w:r>
        <w:rPr>
          <w:b/>
          <w:w w:val="95"/>
          <w:sz w:val="18"/>
        </w:rPr>
        <w:t>投保范围</w:t>
      </w:r>
    </w:p>
    <w:p>
      <w:pPr>
        <w:spacing w:line="103" w:lineRule="exact" w:before="35"/>
        <w:ind w:left="4101" w:right="0" w:firstLine="0"/>
        <w:jc w:val="left"/>
        <w:rPr>
          <w:b/>
          <w:sz w:val="12"/>
        </w:rPr>
      </w:pPr>
      <w:r>
        <w:rPr>
          <w:b/>
          <w:sz w:val="12"/>
        </w:rPr>
        <w:t>释义 1</w:t>
      </w:r>
    </w:p>
    <w:p>
      <w:pPr>
        <w:tabs>
          <w:tab w:pos="4462" w:val="left" w:leader="none"/>
        </w:tabs>
        <w:spacing w:line="182" w:lineRule="exact" w:before="0"/>
        <w:ind w:left="141" w:right="0" w:firstLine="0"/>
        <w:jc w:val="left"/>
        <w:rPr>
          <w:sz w:val="18"/>
        </w:rPr>
      </w:pPr>
      <w:r>
        <w:rPr>
          <w:sz w:val="18"/>
        </w:rPr>
        <w:t>本附加合同接受的被保险人的投保年龄为十八</w:t>
      </w:r>
      <w:r>
        <w:rPr>
          <w:b/>
          <w:sz w:val="18"/>
        </w:rPr>
        <w:t>周岁</w:t>
        <w:tab/>
      </w:r>
      <w:r>
        <w:rPr>
          <w:sz w:val="18"/>
        </w:rPr>
        <w:t>至五十五周岁。</w:t>
      </w:r>
    </w:p>
    <w:p>
      <w:pPr>
        <w:pStyle w:val="BodyText"/>
        <w:spacing w:before="6"/>
        <w:ind w:left="0"/>
        <w:rPr>
          <w:sz w:val="13"/>
        </w:rPr>
      </w:pPr>
    </w:p>
    <w:p>
      <w:pPr>
        <w:pStyle w:val="Heading1"/>
        <w:tabs>
          <w:tab w:pos="1401" w:val="left" w:leader="none"/>
        </w:tabs>
      </w:pPr>
      <w:bookmarkStart w:name="_TOC_250020" w:id="3"/>
      <w:r>
        <w:rPr/>
        <w:t>第三条</w:t>
        <w:tab/>
      </w:r>
      <w:bookmarkEnd w:id="3"/>
      <w:r>
        <w:rPr>
          <w:w w:val="95"/>
        </w:rPr>
        <w:t>保险期间</w:t>
      </w:r>
    </w:p>
    <w:p>
      <w:pPr>
        <w:pStyle w:val="BodyText"/>
        <w:ind w:left="0"/>
        <w:rPr>
          <w:b/>
          <w:sz w:val="15"/>
        </w:rPr>
      </w:pPr>
    </w:p>
    <w:p>
      <w:pPr>
        <w:tabs>
          <w:tab w:pos="1401" w:val="left" w:leader="none"/>
        </w:tabs>
        <w:spacing w:line="439" w:lineRule="auto" w:before="0"/>
        <w:ind w:left="14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7"/>
        <w:ind w:left="141" w:right="0" w:firstLine="0"/>
        <w:jc w:val="both"/>
        <w:rPr>
          <w:sz w:val="18"/>
        </w:rPr>
      </w:pPr>
      <w:r>
        <w:rPr>
          <w:sz w:val="18"/>
        </w:rPr>
        <w:t>我们收到您交付的首期保险费并经核保同意承保后，我们将签发正式保险合同作为承保凭证。我们所承担的</w:t>
      </w:r>
    </w:p>
    <w:p>
      <w:pPr>
        <w:spacing w:line="103" w:lineRule="exact" w:before="47"/>
        <w:ind w:left="2482" w:right="0" w:firstLine="0"/>
        <w:jc w:val="left"/>
        <w:rPr>
          <w:b/>
          <w:sz w:val="12"/>
        </w:rPr>
      </w:pPr>
      <w:r>
        <w:rPr>
          <w:b/>
          <w:sz w:val="12"/>
        </w:rPr>
        <w:t>释义 2</w:t>
      </w:r>
    </w:p>
    <w:p>
      <w:pPr>
        <w:spacing w:line="182" w:lineRule="exact" w:before="0"/>
        <w:ind w:left="141" w:right="0" w:firstLine="0"/>
        <w:jc w:val="both"/>
        <w:rPr>
          <w:sz w:val="18"/>
        </w:rPr>
      </w:pPr>
      <w:r>
        <w:rPr>
          <w:sz w:val="18"/>
        </w:rPr>
        <w:t>保险责任自</w:t>
      </w:r>
      <w:r>
        <w:rPr>
          <w:b/>
          <w:sz w:val="18"/>
        </w:rPr>
        <w:t>本附加合同生效日   </w:t>
      </w:r>
      <w:r>
        <w:rPr>
          <w:sz w:val="18"/>
        </w:rPr>
        <w:t>的次日零时开始，至本附加合同约定情形发生时终止。</w:t>
      </w:r>
    </w:p>
    <w:p>
      <w:pPr>
        <w:pStyle w:val="BodyText"/>
        <w:spacing w:before="5"/>
        <w:ind w:left="0"/>
        <w:rPr>
          <w:sz w:val="13"/>
        </w:rPr>
      </w:pPr>
    </w:p>
    <w:p>
      <w:pPr>
        <w:pStyle w:val="Heading1"/>
        <w:spacing w:before="1"/>
        <w:jc w:val="both"/>
      </w:pPr>
      <w:bookmarkStart w:name="_TOC_250019" w:id="4"/>
      <w:bookmarkEnd w:id="4"/>
      <w:r>
        <w:rPr/>
        <w:t>第 五 条   犹 豫 期</w:t>
      </w:r>
    </w:p>
    <w:p>
      <w:pPr>
        <w:pStyle w:val="BodyText"/>
        <w:ind w:left="0"/>
        <w:rPr>
          <w:b/>
          <w:sz w:val="15"/>
        </w:rPr>
      </w:pPr>
    </w:p>
    <w:p>
      <w:pPr>
        <w:spacing w:before="0"/>
        <w:ind w:left="141" w:right="0" w:firstLine="0"/>
        <w:jc w:val="both"/>
        <w:rPr>
          <w:sz w:val="18"/>
        </w:rPr>
      </w:pPr>
      <w:r>
        <w:rPr>
          <w:sz w:val="18"/>
        </w:rPr>
        <w:t>您收到本附加合同并书面签收之日起，我们给予您十日的犹豫期，以便您在此期间浏览本附加合同。</w:t>
      </w:r>
    </w:p>
    <w:p>
      <w:pPr>
        <w:spacing w:line="316" w:lineRule="auto" w:before="76"/>
        <w:ind w:left="14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192"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54"/>
        <w:jc w:val="center"/>
      </w:pPr>
      <w:bookmarkStart w:name="_TOC_250018" w:id="5"/>
      <w:r>
        <w:rPr/>
        <w:t>第二部分</w:t>
        <w:tab/>
      </w:r>
      <w:bookmarkEnd w:id="5"/>
      <w:r>
        <w:rPr>
          <w:w w:val="95"/>
        </w:rPr>
        <w:t>我们提供的保障</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7" w:id="6"/>
      <w:r>
        <w:rPr/>
        <w:t>第六条</w:t>
        <w:tab/>
      </w:r>
      <w:bookmarkEnd w:id="6"/>
      <w:r>
        <w:rPr>
          <w:w w:val="95"/>
        </w:rPr>
        <w:t>基本保险金额</w:t>
      </w:r>
    </w:p>
    <w:p>
      <w:pPr>
        <w:pStyle w:val="BodyText"/>
        <w:ind w:left="0"/>
        <w:rPr>
          <w:b/>
          <w:sz w:val="15"/>
        </w:rPr>
      </w:pPr>
    </w:p>
    <w:p>
      <w:pPr>
        <w:spacing w:line="316" w:lineRule="auto" w:before="0"/>
        <w:ind w:left="141" w:right="192" w:firstLine="0"/>
        <w:jc w:val="both"/>
        <w:rPr>
          <w:sz w:val="18"/>
        </w:rPr>
      </w:pPr>
      <w:r>
        <w:rPr>
          <w:sz w:val="18"/>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在发生本附加合同规定的保险事故后，我们将不受理任何关于变更本附加合同及其主合同基本保险金额的要求。</w:t>
      </w:r>
    </w:p>
    <w:p>
      <w:pPr>
        <w:pStyle w:val="Heading1"/>
        <w:tabs>
          <w:tab w:pos="1401" w:val="left" w:leader="none"/>
        </w:tabs>
        <w:spacing w:before="138"/>
      </w:pPr>
      <w:bookmarkStart w:name="_TOC_250016" w:id="7"/>
      <w:r>
        <w:rPr/>
        <w:t>第七条</w:t>
        <w:tab/>
      </w:r>
      <w:bookmarkEnd w:id="7"/>
      <w:r>
        <w:rPr>
          <w:w w:val="95"/>
        </w:rPr>
        <w:t>保险责任</w:t>
      </w:r>
    </w:p>
    <w:p>
      <w:pPr>
        <w:pStyle w:val="BodyText"/>
        <w:spacing w:before="12"/>
        <w:ind w:left="0"/>
        <w:rPr>
          <w:b/>
          <w:sz w:val="14"/>
        </w:rPr>
      </w:pPr>
    </w:p>
    <w:p>
      <w:pPr>
        <w:spacing w:line="316" w:lineRule="auto" w:before="0"/>
        <w:ind w:left="141" w:right="3840" w:firstLine="0"/>
        <w:jc w:val="left"/>
        <w:rPr>
          <w:sz w:val="18"/>
        </w:rPr>
      </w:pPr>
      <w:r>
        <w:rPr>
          <w:sz w:val="18"/>
        </w:rPr>
        <w:t>在本附加合同的有效保险期间内，我们将承担下列保险责任： 一、重大疾病保险金</w:t>
      </w:r>
    </w:p>
    <w:p>
      <w:pPr>
        <w:spacing w:line="295" w:lineRule="auto" w:before="0"/>
        <w:ind w:left="141" w:right="195" w:hanging="1"/>
        <w:jc w:val="both"/>
        <w:rPr>
          <w:sz w:val="18"/>
        </w:rPr>
      </w:pPr>
      <w:r>
        <w:rPr>
          <w:spacing w:val="-1"/>
          <w:sz w:val="18"/>
        </w:rPr>
        <w:t>如果被保险人在本附加合同生效日或最后复效日</w:t>
      </w:r>
      <w:r>
        <w:rPr>
          <w:sz w:val="18"/>
        </w:rPr>
        <w:t>（以较迟者为准</w:t>
      </w:r>
      <w:r>
        <w:rPr>
          <w:spacing w:val="-6"/>
          <w:sz w:val="18"/>
        </w:rPr>
        <w:t>）</w:t>
      </w:r>
      <w:r>
        <w:rPr>
          <w:spacing w:val="-1"/>
          <w:sz w:val="18"/>
        </w:rPr>
        <w:t>起九十天后，首次</w:t>
      </w:r>
      <w:r>
        <w:rPr>
          <w:b/>
          <w:sz w:val="18"/>
        </w:rPr>
        <w:t>发病</w:t>
      </w:r>
      <w:r>
        <w:rPr>
          <w:b/>
          <w:position w:val="12"/>
          <w:sz w:val="12"/>
        </w:rPr>
        <w:t>释义3</w:t>
      </w:r>
      <w:r>
        <w:rPr>
          <w:sz w:val="18"/>
        </w:rPr>
        <w:t>并经</w:t>
      </w:r>
      <w:r>
        <w:rPr>
          <w:b/>
          <w:sz w:val="18"/>
        </w:rPr>
        <w:t>医生</w:t>
      </w:r>
      <w:r>
        <w:rPr>
          <w:b/>
          <w:position w:val="12"/>
          <w:sz w:val="12"/>
        </w:rPr>
        <w:t>释义4</w:t>
      </w:r>
      <w:r>
        <w:rPr>
          <w:sz w:val="18"/>
        </w:rPr>
        <w:t>确诊初次患有本附加合同内所界定的重大疾病中的任何一种疾病，我们将按重大疾病保险金给付时本附加合同及其主合同所有已交的</w:t>
      </w:r>
      <w:r>
        <w:rPr>
          <w:b/>
          <w:sz w:val="18"/>
        </w:rPr>
        <w:t>标准体</w:t>
      </w:r>
      <w:r>
        <w:rPr>
          <w:b/>
          <w:position w:val="12"/>
          <w:sz w:val="12"/>
        </w:rPr>
        <w:t>释义5</w:t>
      </w:r>
      <w:r>
        <w:rPr>
          <w:spacing w:val="-4"/>
          <w:sz w:val="18"/>
        </w:rPr>
        <w:t>保险费与基本保险金额中的较大者给付重大疾病保险金，同时本附加合同及其主合同终止。</w:t>
      </w:r>
    </w:p>
    <w:p>
      <w:pPr>
        <w:spacing w:after="0" w:line="295" w:lineRule="auto"/>
        <w:jc w:val="both"/>
        <w:rPr>
          <w:sz w:val="18"/>
        </w:rPr>
        <w:sectPr>
          <w:headerReference w:type="default" r:id="rId7"/>
          <w:pgSz w:w="11910" w:h="16840"/>
          <w:pgMar w:header="883" w:footer="1868" w:top="1140" w:bottom="2060" w:left="1560" w:right="1500"/>
        </w:sectPr>
      </w:pPr>
    </w:p>
    <w:p>
      <w:pPr>
        <w:pStyle w:val="BodyText"/>
        <w:ind w:left="0"/>
        <w:rPr>
          <w:sz w:val="20"/>
        </w:rPr>
      </w:pPr>
    </w:p>
    <w:p>
      <w:pPr>
        <w:pStyle w:val="BodyText"/>
        <w:spacing w:before="2"/>
        <w:ind w:left="0"/>
        <w:rPr>
          <w:sz w:val="19"/>
        </w:rPr>
      </w:pPr>
    </w:p>
    <w:p>
      <w:pPr>
        <w:spacing w:before="45"/>
        <w:ind w:left="141" w:right="0" w:firstLine="0"/>
        <w:jc w:val="left"/>
        <w:rPr>
          <w:sz w:val="18"/>
        </w:rPr>
      </w:pPr>
      <w:r>
        <w:rPr>
          <w:sz w:val="18"/>
        </w:rPr>
        <w:t>上述标准体保险费以重大疾病保险金给付时本附加合同的基本保险金额为基础计算。</w:t>
      </w:r>
    </w:p>
    <w:p>
      <w:pPr>
        <w:spacing w:line="103" w:lineRule="exact" w:before="45"/>
        <w:ind w:left="0" w:right="306" w:firstLine="0"/>
        <w:jc w:val="center"/>
        <w:rPr>
          <w:b/>
          <w:sz w:val="12"/>
        </w:rPr>
      </w:pPr>
      <w:r>
        <w:rPr>
          <w:b/>
          <w:sz w:val="12"/>
        </w:rPr>
        <w:t>释义 6</w:t>
      </w:r>
    </w:p>
    <w:p>
      <w:pPr>
        <w:tabs>
          <w:tab w:pos="4462" w:val="left" w:leader="none"/>
        </w:tabs>
        <w:spacing w:line="182" w:lineRule="exact" w:before="0"/>
        <w:ind w:left="141" w:right="0" w:firstLine="0"/>
        <w:jc w:val="left"/>
        <w:rPr>
          <w:sz w:val="18"/>
        </w:rPr>
      </w:pPr>
      <w:r>
        <w:rPr>
          <w:sz w:val="18"/>
        </w:rPr>
        <w:t>如果该重大疾病是由于被保险人遭受</w:t>
      </w:r>
      <w:r>
        <w:rPr>
          <w:b/>
          <w:sz w:val="18"/>
        </w:rPr>
        <w:t>意外伤害事故</w:t>
        <w:tab/>
      </w:r>
      <w:r>
        <w:rPr>
          <w:sz w:val="18"/>
        </w:rPr>
        <w:t>引起的，则无须受上述九十天的限制。</w:t>
      </w:r>
    </w:p>
    <w:p>
      <w:pPr>
        <w:spacing w:before="56"/>
        <w:ind w:left="141" w:right="0" w:firstLine="0"/>
        <w:jc w:val="left"/>
        <w:rPr>
          <w:sz w:val="18"/>
        </w:rPr>
      </w:pPr>
      <w:r>
        <w:rPr>
          <w:sz w:val="18"/>
        </w:rPr>
        <w:t>二、额外性别专属重大疾病保险金</w:t>
      </w:r>
    </w:p>
    <w:p>
      <w:pPr>
        <w:spacing w:line="316" w:lineRule="auto" w:before="76"/>
        <w:ind w:left="141" w:right="240" w:firstLine="0"/>
        <w:jc w:val="left"/>
        <w:rPr>
          <w:sz w:val="18"/>
        </w:rPr>
      </w:pPr>
      <w:r>
        <w:rPr>
          <w:sz w:val="18"/>
        </w:rPr>
        <w:t>如果被保险人在本附加合同生效日或最后复效日（以较迟者为准）起九十天后，首次发病并经医生确诊初次患有本附加合同内所界定的女性乳腺原位癌或男性早期前列腺癌，我们将按</w:t>
      </w:r>
      <w:r>
        <w:rPr>
          <w:rFonts w:ascii="Times New Roman" w:eastAsia="Times New Roman"/>
          <w:sz w:val="18"/>
        </w:rPr>
        <w:t>10%</w:t>
      </w:r>
      <w:r>
        <w:rPr>
          <w:sz w:val="18"/>
        </w:rPr>
        <w:t>的本附加合同基本保险金额</w:t>
      </w:r>
    </w:p>
    <w:p>
      <w:pPr>
        <w:spacing w:line="73" w:lineRule="exact" w:before="0"/>
        <w:ind w:left="4566" w:right="0" w:firstLine="0"/>
        <w:jc w:val="left"/>
        <w:rPr>
          <w:b/>
          <w:sz w:val="12"/>
        </w:rPr>
      </w:pPr>
      <w:r>
        <w:rPr>
          <w:b/>
          <w:w w:val="95"/>
          <w:sz w:val="12"/>
        </w:rPr>
        <w:t>释义7</w:t>
      </w:r>
    </w:p>
    <w:p>
      <w:pPr>
        <w:tabs>
          <w:tab w:pos="4867" w:val="left" w:leader="none"/>
        </w:tabs>
        <w:spacing w:line="182" w:lineRule="exact" w:before="0"/>
        <w:ind w:left="141" w:right="0" w:firstLine="0"/>
        <w:jc w:val="left"/>
        <w:rPr>
          <w:sz w:val="18"/>
        </w:rPr>
      </w:pPr>
      <w:r>
        <w:rPr>
          <w:sz w:val="18"/>
        </w:rPr>
        <w:t>给付额外性别专属重大疾病保险金</w:t>
      </w:r>
      <w:r>
        <w:rPr>
          <w:spacing w:val="-77"/>
          <w:sz w:val="18"/>
        </w:rPr>
        <w:t>，</w:t>
      </w:r>
      <w:r>
        <w:rPr>
          <w:sz w:val="18"/>
        </w:rPr>
        <w:t>但您通过在</w:t>
      </w:r>
      <w:r>
        <w:rPr>
          <w:b/>
          <w:sz w:val="18"/>
        </w:rPr>
        <w:t>我们公司</w:t>
        <w:tab/>
      </w:r>
      <w:r>
        <w:rPr>
          <w:spacing w:val="-1"/>
          <w:sz w:val="18"/>
        </w:rPr>
        <w:t>购买</w:t>
      </w:r>
      <w:r>
        <w:rPr>
          <w:sz w:val="18"/>
        </w:rPr>
        <w:t>各类产品因患女性乳腺原位癌或男性早期前</w:t>
      </w:r>
    </w:p>
    <w:p>
      <w:pPr>
        <w:spacing w:line="316" w:lineRule="auto" w:before="56"/>
        <w:ind w:left="141" w:right="240" w:firstLine="0"/>
        <w:jc w:val="left"/>
        <w:rPr>
          <w:sz w:val="18"/>
        </w:rPr>
      </w:pPr>
      <w:r>
        <w:rPr>
          <w:sz w:val="18"/>
        </w:rPr>
        <w:t>列腺癌而获得的所有保险金之和以三万元人民币为限。在我们给付额外性别专属重大疾病保险金后，本项保险责任终止。</w:t>
      </w:r>
    </w:p>
    <w:p>
      <w:pPr>
        <w:pStyle w:val="Heading1"/>
        <w:tabs>
          <w:tab w:pos="1401" w:val="left" w:leader="none"/>
        </w:tabs>
        <w:spacing w:before="139"/>
      </w:pPr>
      <w:bookmarkStart w:name="_TOC_250015" w:id="8"/>
      <w:r>
        <w:rPr/>
        <w:t>第八条</w:t>
        <w:tab/>
      </w:r>
      <w:bookmarkEnd w:id="8"/>
      <w:r>
        <w:rPr>
          <w:w w:val="95"/>
        </w:rPr>
        <w:t>责任免除</w:t>
      </w:r>
    </w:p>
    <w:p>
      <w:pPr>
        <w:pStyle w:val="BodyText"/>
        <w:ind w:left="0"/>
        <w:rPr>
          <w:b/>
          <w:sz w:val="15"/>
        </w:rPr>
      </w:pPr>
    </w:p>
    <w:p>
      <w:pPr>
        <w:spacing w:before="0"/>
        <w:ind w:left="141" w:right="0" w:firstLine="0"/>
        <w:jc w:val="left"/>
        <w:rPr>
          <w:b/>
          <w:sz w:val="18"/>
        </w:rPr>
      </w:pPr>
      <w:r>
        <w:rPr>
          <w:b/>
          <w:w w:val="95"/>
          <w:sz w:val="18"/>
        </w:rPr>
        <w:t>请您注意，下列情形的发生将导致我们重大疾病保险金、额外性别专属重大疾病保险金责任的免除：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2"/>
        <w:ind w:left="0" w:right="1563" w:firstLine="0"/>
        <w:jc w:val="center"/>
        <w:rPr>
          <w:b/>
          <w:sz w:val="12"/>
        </w:rPr>
      </w:pPr>
      <w:r>
        <w:rPr>
          <w:b/>
          <w:sz w:val="12"/>
        </w:rPr>
        <w:t>释义 8</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12" w:val="left" w:leader="none"/>
          <w:tab w:pos="4354" w:val="left" w:leader="none"/>
        </w:tabs>
        <w:spacing w:line="103" w:lineRule="exact" w:before="13"/>
        <w:ind w:left="0" w:right="29" w:firstLine="0"/>
        <w:jc w:val="center"/>
        <w:rPr>
          <w:b/>
          <w:sz w:val="12"/>
        </w:rPr>
      </w:pPr>
      <w:r>
        <w:rPr>
          <w:b/>
          <w:sz w:val="12"/>
        </w:rPr>
        <w:t>释义</w:t>
      </w:r>
      <w:r>
        <w:rPr>
          <w:b/>
          <w:spacing w:val="-32"/>
          <w:sz w:val="12"/>
        </w:rPr>
        <w:t> </w:t>
      </w:r>
      <w:r>
        <w:rPr>
          <w:b/>
          <w:sz w:val="12"/>
        </w:rPr>
        <w:t>9</w:t>
        <w:tab/>
        <w:t>释义</w:t>
      </w:r>
      <w:r>
        <w:rPr>
          <w:b/>
          <w:spacing w:val="-32"/>
          <w:sz w:val="12"/>
        </w:rPr>
        <w:t> </w:t>
      </w:r>
      <w:r>
        <w:rPr>
          <w:b/>
          <w:sz w:val="12"/>
        </w:rPr>
        <w:t>10</w:t>
        <w:tab/>
        <w:t>释义</w:t>
      </w:r>
      <w:r>
        <w:rPr>
          <w:b/>
          <w:spacing w:val="-33"/>
          <w:sz w:val="12"/>
        </w:rPr>
        <w:t> </w:t>
      </w:r>
      <w:r>
        <w:rPr>
          <w:b/>
          <w:sz w:val="12"/>
        </w:rPr>
        <w:t>11</w:t>
      </w:r>
    </w:p>
    <w:p>
      <w:pPr>
        <w:pStyle w:val="Heading1"/>
        <w:tabs>
          <w:tab w:pos="2363" w:val="left" w:leader="none"/>
          <w:tab w:pos="4766" w:val="left" w:leader="none"/>
          <w:tab w:pos="6808" w:val="left" w:leader="none"/>
        </w:tabs>
        <w:spacing w:line="196" w:lineRule="exact"/>
      </w:pPr>
      <w:r>
        <w:rPr/>
        <w:t>（</w:t>
      </w:r>
      <w:r>
        <w:rPr>
          <w:rFonts w:ascii="Times New Roman" w:eastAsia="Times New Roman"/>
        </w:rPr>
        <w:t>4</w:t>
      </w:r>
      <w:r>
        <w:rPr/>
        <w:t>）被保险人酒后驾驶</w:t>
        <w:tab/>
        <w:t>、无合法有效驾驶证驾驶</w:t>
        <w:tab/>
        <w:t>或驾驶无有效行驶证</w:t>
        <w:tab/>
      </w:r>
      <w:r>
        <w:rPr>
          <w:w w:val="95"/>
        </w:rPr>
        <w:t>的机动交通工具；</w:t>
      </w:r>
    </w:p>
    <w:p>
      <w:pPr>
        <w:tabs>
          <w:tab w:pos="4655" w:val="left" w:leader="none"/>
        </w:tabs>
        <w:spacing w:line="103" w:lineRule="exact" w:before="13"/>
        <w:ind w:left="2033" w:right="0" w:firstLine="0"/>
        <w:jc w:val="left"/>
        <w:rPr>
          <w:b/>
          <w:sz w:val="12"/>
        </w:rPr>
      </w:pPr>
      <w:r>
        <w:rPr>
          <w:b/>
          <w:sz w:val="12"/>
        </w:rPr>
        <w:t>释义</w:t>
      </w:r>
      <w:r>
        <w:rPr>
          <w:b/>
          <w:spacing w:val="-32"/>
          <w:sz w:val="12"/>
        </w:rPr>
        <w:t> </w:t>
      </w:r>
      <w:r>
        <w:rPr>
          <w:b/>
          <w:sz w:val="12"/>
        </w:rPr>
        <w:t>12</w:t>
        <w:tab/>
        <w:t>释义</w:t>
      </w:r>
      <w:r>
        <w:rPr>
          <w:b/>
          <w:spacing w:val="-33"/>
          <w:sz w:val="12"/>
        </w:rPr>
        <w:t> </w:t>
      </w:r>
      <w:r>
        <w:rPr>
          <w:b/>
          <w:sz w:val="12"/>
        </w:rPr>
        <w:t>13</w:t>
      </w:r>
    </w:p>
    <w:p>
      <w:pPr>
        <w:pStyle w:val="Heading1"/>
        <w:tabs>
          <w:tab w:pos="2423" w:val="left" w:leader="none"/>
          <w:tab w:pos="5045" w:val="left" w:leader="none"/>
        </w:tabs>
        <w:spacing w:line="196" w:lineRule="exact"/>
      </w:pPr>
      <w:r>
        <w:rPr>
          <w:spacing w:val="0"/>
          <w:w w:val="99"/>
        </w:rPr>
        <w:t>（</w:t>
      </w:r>
      <w:r>
        <w:rPr>
          <w:rFonts w:ascii="Times New Roman" w:eastAsia="Times New Roman"/>
          <w:spacing w:val="-2"/>
        </w:rPr>
        <w:t>5</w:t>
      </w:r>
      <w:r>
        <w:rPr>
          <w:w w:val="99"/>
        </w:rPr>
        <w:t>）</w:t>
      </w:r>
      <w:r>
        <w:rPr>
          <w:spacing w:val="0"/>
          <w:w w:val="99"/>
        </w:rPr>
        <w:t>被</w:t>
      </w:r>
      <w:r>
        <w:rPr>
          <w:w w:val="99"/>
        </w:rPr>
        <w:t>保险人患艾</w:t>
      </w:r>
      <w:r>
        <w:rPr>
          <w:spacing w:val="0"/>
          <w:w w:val="99"/>
        </w:rPr>
        <w:t>滋</w:t>
      </w:r>
      <w:r>
        <w:rPr>
          <w:w w:val="99"/>
        </w:rPr>
        <w:t>病</w:t>
      </w:r>
      <w:r>
        <w:rPr/>
        <w:tab/>
      </w:r>
      <w:r>
        <w:rPr>
          <w:spacing w:val="0"/>
          <w:w w:val="99"/>
        </w:rPr>
        <w:t>（</w:t>
      </w:r>
      <w:r>
        <w:rPr>
          <w:rFonts w:ascii="Times New Roman" w:eastAsia="Times New Roman"/>
          <w:spacing w:val="-1"/>
          <w:w w:val="99"/>
        </w:rPr>
        <w:t>AIDS</w:t>
      </w:r>
      <w:r>
        <w:rPr>
          <w:spacing w:val="0"/>
          <w:w w:val="99"/>
        </w:rPr>
        <w:t>）</w:t>
      </w:r>
      <w:r>
        <w:rPr>
          <w:w w:val="99"/>
        </w:rPr>
        <w:t>或感染艾</w:t>
      </w:r>
      <w:r>
        <w:rPr>
          <w:spacing w:val="0"/>
          <w:w w:val="99"/>
        </w:rPr>
        <w:t>滋</w:t>
      </w:r>
      <w:r>
        <w:rPr>
          <w:w w:val="99"/>
        </w:rPr>
        <w:t>病病毒</w:t>
      </w:r>
      <w:r>
        <w:rPr/>
        <w:tab/>
      </w:r>
      <w:r>
        <w:rPr>
          <w:spacing w:val="0"/>
          <w:w w:val="99"/>
        </w:rPr>
        <w:t>（</w:t>
      </w:r>
      <w:r>
        <w:rPr>
          <w:rFonts w:ascii="Times New Roman" w:eastAsia="Times New Roman"/>
          <w:spacing w:val="-1"/>
          <w:w w:val="99"/>
        </w:rPr>
        <w:t>HI</w:t>
      </w:r>
      <w:r>
        <w:rPr>
          <w:rFonts w:ascii="Times New Roman" w:eastAsia="Times New Roman"/>
          <w:w w:val="99"/>
        </w:rPr>
        <w:t>V</w:t>
      </w:r>
      <w:r>
        <w:rPr>
          <w:rFonts w:ascii="Times New Roman" w:eastAsia="Times New Roman"/>
          <w:spacing w:val="-1"/>
        </w:rPr>
        <w:t> </w:t>
      </w:r>
      <w:r>
        <w:rPr>
          <w:spacing w:val="0"/>
          <w:w w:val="99"/>
        </w:rPr>
        <w:t>呈</w:t>
      </w:r>
      <w:r>
        <w:rPr>
          <w:w w:val="99"/>
        </w:rPr>
        <w:t>阳性</w:t>
      </w:r>
      <w:r>
        <w:rPr>
          <w:spacing w:val="-90"/>
          <w:w w:val="99"/>
        </w:rPr>
        <w:t>）</w:t>
      </w:r>
      <w:r>
        <w:rPr>
          <w:w w:val="99"/>
        </w:rPr>
        <w:t>；</w:t>
      </w:r>
    </w:p>
    <w:p>
      <w:pPr>
        <w:spacing w:before="43"/>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3"/>
        <w:ind w:left="0" w:right="2373" w:firstLine="0"/>
        <w:jc w:val="center"/>
        <w:rPr>
          <w:b/>
          <w:sz w:val="12"/>
        </w:rPr>
      </w:pPr>
      <w:r>
        <w:rPr>
          <w:b/>
          <w:sz w:val="12"/>
        </w:rPr>
        <w:t>释义</w:t>
      </w:r>
      <w:r>
        <w:rPr>
          <w:b/>
          <w:spacing w:val="-32"/>
          <w:sz w:val="12"/>
        </w:rPr>
        <w:t> </w:t>
      </w:r>
      <w:r>
        <w:rPr>
          <w:b/>
          <w:sz w:val="12"/>
        </w:rPr>
        <w:t>14</w:t>
        <w:tab/>
        <w:t>释义</w:t>
      </w:r>
      <w:r>
        <w:rPr>
          <w:b/>
          <w:spacing w:val="-33"/>
          <w:sz w:val="12"/>
        </w:rPr>
        <w:t> </w:t>
      </w:r>
      <w:r>
        <w:rPr>
          <w:b/>
          <w:sz w:val="12"/>
        </w:rPr>
        <w:t>15</w:t>
      </w:r>
    </w:p>
    <w:p>
      <w:pPr>
        <w:pStyle w:val="Heading1"/>
        <w:tabs>
          <w:tab w:pos="1883" w:val="left" w:leader="none"/>
          <w:tab w:pos="4976" w:val="left" w:leader="none"/>
        </w:tabs>
        <w:spacing w:line="196" w:lineRule="exact"/>
      </w:pPr>
      <w:r>
        <w:rPr/>
        <w:t>（</w:t>
      </w:r>
      <w:r>
        <w:rPr>
          <w:rFonts w:ascii="Times New Roman" w:eastAsia="Times New Roman"/>
        </w:rPr>
        <w:t>8</w:t>
      </w:r>
      <w:r>
        <w:rPr/>
        <w:t>）遗传性疾病</w:t>
        <w:tab/>
        <w:t>，先天性畸形、变形或染色体异常</w:t>
        <w:tab/>
        <w:t>。</w:t>
      </w:r>
    </w:p>
    <w:p>
      <w:pPr>
        <w:spacing w:line="307" w:lineRule="auto" w:before="43"/>
        <w:ind w:left="141" w:right="192" w:firstLine="0"/>
        <w:jc w:val="both"/>
        <w:rPr>
          <w:sz w:val="18"/>
        </w:rPr>
      </w:pPr>
      <w:r>
        <w:rPr>
          <w:sz w:val="18"/>
        </w:rPr>
        <w:t>发生上述（</w:t>
      </w:r>
      <w:r>
        <w:rPr>
          <w:rFonts w:ascii="Times New Roman" w:hAnsi="Times New Roman" w:eastAsia="Times New Roman"/>
          <w:sz w:val="18"/>
        </w:rPr>
        <w:t>1</w:t>
      </w:r>
      <w:r>
        <w:rPr>
          <w:sz w:val="18"/>
        </w:rPr>
        <w:t>）至（</w:t>
      </w:r>
      <w:r>
        <w:rPr>
          <w:rFonts w:ascii="Times New Roman" w:hAnsi="Times New Roman" w:eastAsia="Times New Roman"/>
          <w:sz w:val="18"/>
        </w:rPr>
        <w:t>8</w:t>
      </w:r>
      <w:r>
        <w:rPr>
          <w:sz w:val="18"/>
        </w:rPr>
        <w:t>）情形之一，导致被保险人初次患有本附加合同内所界定的重大疾病、额外性别专属重大疾病中的任何一种疾病的，我们不承担任何保险金给付责任。但符合本附加合同内重大疾病释义中所界定</w:t>
      </w:r>
      <w:r>
        <w:rPr>
          <w:spacing w:val="-5"/>
          <w:sz w:val="18"/>
        </w:rPr>
        <w:t>的“经输血导致的艾滋病病毒感染”不受上述情形</w:t>
      </w:r>
      <w:r>
        <w:rPr>
          <w:spacing w:val="-4"/>
          <w:sz w:val="18"/>
        </w:rPr>
        <w:t>（</w:t>
      </w:r>
      <w:r>
        <w:rPr>
          <w:rFonts w:ascii="Times New Roman" w:hAnsi="Times New Roman" w:eastAsia="Times New Roman"/>
          <w:spacing w:val="-4"/>
          <w:sz w:val="18"/>
        </w:rPr>
        <w:t>5</w:t>
      </w:r>
      <w:r>
        <w:rPr>
          <w:spacing w:val="-4"/>
          <w:sz w:val="18"/>
        </w:rPr>
        <w:t>）</w:t>
      </w:r>
      <w:r>
        <w:rPr>
          <w:spacing w:val="-3"/>
          <w:sz w:val="18"/>
        </w:rPr>
        <w:t>的限制；符合本附加合同内重大疾病释义中所界定的“肌营养不良症”不受上述情形（</w:t>
      </w:r>
      <w:r>
        <w:rPr>
          <w:rFonts w:ascii="Times New Roman" w:hAnsi="Times New Roman" w:eastAsia="Times New Roman"/>
          <w:spacing w:val="-3"/>
          <w:sz w:val="18"/>
        </w:rPr>
        <w:t>8</w:t>
      </w:r>
      <w:r>
        <w:rPr>
          <w:spacing w:val="-3"/>
          <w:sz w:val="18"/>
        </w:rPr>
        <w:t>）的限制。</w:t>
      </w:r>
    </w:p>
    <w:p>
      <w:pPr>
        <w:pStyle w:val="BodyText"/>
        <w:spacing w:before="11"/>
        <w:ind w:left="0"/>
        <w:rPr>
          <w:sz w:val="18"/>
        </w:rPr>
      </w:pPr>
    </w:p>
    <w:p>
      <w:pPr>
        <w:pStyle w:val="Heading1"/>
        <w:tabs>
          <w:tab w:pos="1799" w:val="left" w:leader="none"/>
        </w:tabs>
        <w:ind w:left="0" w:right="54"/>
        <w:jc w:val="center"/>
      </w:pPr>
      <w:bookmarkStart w:name="_TOC_250014" w:id="9"/>
      <w:r>
        <w:rPr/>
        <w:t>第三部分</w:t>
        <w:tab/>
      </w:r>
      <w:bookmarkEnd w:id="9"/>
      <w:r>
        <w:rPr>
          <w:w w:val="95"/>
        </w:rPr>
        <w:t>如何申请领取保险金</w:t>
      </w:r>
    </w:p>
    <w:p>
      <w:pPr>
        <w:pStyle w:val="BodyText"/>
        <w:ind w:left="0"/>
        <w:rPr>
          <w:b/>
          <w:sz w:val="18"/>
        </w:rPr>
      </w:pPr>
    </w:p>
    <w:p>
      <w:pPr>
        <w:pStyle w:val="BodyText"/>
        <w:spacing w:before="3"/>
        <w:ind w:left="0"/>
        <w:rPr>
          <w:b/>
          <w:sz w:val="15"/>
        </w:rPr>
      </w:pPr>
    </w:p>
    <w:p>
      <w:pPr>
        <w:pStyle w:val="Heading1"/>
        <w:tabs>
          <w:tab w:pos="1401" w:val="left" w:leader="none"/>
        </w:tabs>
        <w:spacing w:before="1"/>
      </w:pPr>
      <w:bookmarkStart w:name="_TOC_250013" w:id="10"/>
      <w:r>
        <w:rPr/>
        <w:t>第九条</w:t>
        <w:tab/>
      </w:r>
      <w:bookmarkEnd w:id="10"/>
      <w:r>
        <w:rPr>
          <w:w w:val="95"/>
        </w:rPr>
        <w:t>受益人的指定和变更</w:t>
      </w:r>
    </w:p>
    <w:p>
      <w:pPr>
        <w:pStyle w:val="BodyText"/>
        <w:ind w:left="0"/>
        <w:rPr>
          <w:b/>
          <w:sz w:val="15"/>
        </w:rPr>
      </w:pPr>
    </w:p>
    <w:p>
      <w:pPr>
        <w:spacing w:before="0"/>
        <w:ind w:left="141" w:right="0" w:firstLine="0"/>
        <w:jc w:val="left"/>
        <w:rPr>
          <w:sz w:val="18"/>
        </w:rPr>
      </w:pPr>
      <w:r>
        <w:rPr>
          <w:sz w:val="18"/>
        </w:rPr>
        <w:t>重大疾病保险金、额外性别专属重大疾病保险金的受益人为被保险人本人。</w:t>
      </w:r>
    </w:p>
    <w:p>
      <w:pPr>
        <w:spacing w:line="103" w:lineRule="exact" w:before="46"/>
        <w:ind w:left="0" w:right="3485" w:firstLine="0"/>
        <w:jc w:val="center"/>
        <w:rPr>
          <w:b/>
          <w:sz w:val="12"/>
        </w:rPr>
      </w:pPr>
      <w:r>
        <w:rPr>
          <w:b/>
          <w:sz w:val="12"/>
        </w:rPr>
        <w:t>释义 16</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制民事行为能力人的，可以由其监护人指定受益人。</w:t>
      </w:r>
    </w:p>
    <w:p>
      <w:pPr>
        <w:spacing w:line="316" w:lineRule="auto" w:before="57"/>
        <w:ind w:left="141" w:right="51"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tabs>
          <w:tab w:pos="1401" w:val="left" w:leader="none"/>
        </w:tabs>
        <w:spacing w:line="439" w:lineRule="auto" w:before="19"/>
        <w:ind w:left="141" w:right="2940" w:firstLine="0"/>
        <w:jc w:val="left"/>
        <w:rPr>
          <w:b/>
          <w:sz w:val="18"/>
        </w:rPr>
      </w:pPr>
      <w:r>
        <w:rPr>
          <w:sz w:val="18"/>
        </w:rPr>
        <w:t>您在指定和变更受益人时，须经被保险人或被保险人的监护人书面同意。</w:t>
      </w:r>
      <w:r>
        <w:rPr>
          <w:b/>
          <w:sz w:val="18"/>
        </w:rPr>
        <w:t>第十条</w:t>
        <w:tab/>
      </w:r>
      <w:r>
        <w:rPr>
          <w:b/>
          <w:w w:val="95"/>
          <w:sz w:val="18"/>
        </w:rPr>
        <w:t>申请资料</w:t>
      </w:r>
    </w:p>
    <w:p>
      <w:pPr>
        <w:spacing w:line="316" w:lineRule="auto" w:before="47"/>
        <w:ind w:left="141" w:right="192" w:firstLine="0"/>
        <w:jc w:val="left"/>
        <w:rPr>
          <w:sz w:val="18"/>
        </w:rPr>
      </w:pPr>
      <w:r>
        <w:rPr>
          <w:sz w:val="18"/>
        </w:rPr>
        <w:t>在符合保险责任有关规定的条件下，由重大疾病保险金、额外性别专属重大疾病保险金的受益人作为申请人填写申请书，并凭下列证明、资料的原件向我们申请相应的保险金：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280" w:lineRule="auto" w:before="33"/>
        <w:ind w:left="141" w:right="198" w:hanging="1"/>
        <w:jc w:val="left"/>
        <w:rPr>
          <w:sz w:val="18"/>
        </w:rPr>
      </w:pPr>
      <w:r>
        <w:rPr>
          <w:sz w:val="18"/>
        </w:rPr>
        <w:t>（</w:t>
      </w:r>
      <w:r>
        <w:rPr>
          <w:rFonts w:ascii="Times New Roman" w:eastAsia="Times New Roman"/>
          <w:sz w:val="18"/>
        </w:rPr>
        <w:t>4</w:t>
      </w:r>
      <w:r>
        <w:rPr>
          <w:sz w:val="18"/>
        </w:rPr>
        <w:t>）</w:t>
      </w:r>
      <w:r>
        <w:rPr>
          <w:b/>
          <w:sz w:val="18"/>
        </w:rPr>
        <w:t>我们指定或认可的医院</w:t>
      </w:r>
      <w:r>
        <w:rPr>
          <w:b/>
          <w:position w:val="12"/>
          <w:sz w:val="12"/>
        </w:rPr>
        <w:t>释义 17 </w:t>
      </w:r>
      <w:r>
        <w:rPr>
          <w:sz w:val="18"/>
        </w:rPr>
        <w:t>出具的附有被保险人完整病历、病理、血液及其它科学方法检验报告的诊断证明文件；</w:t>
      </w:r>
    </w:p>
    <w:p>
      <w:pPr>
        <w:spacing w:after="0" w:line="280" w:lineRule="auto"/>
        <w:jc w:val="left"/>
        <w:rPr>
          <w:sz w:val="18"/>
        </w:rPr>
        <w:sectPr>
          <w:pgSz w:w="11910" w:h="16840"/>
          <w:pgMar w:header="883" w:footer="1868" w:top="1140" w:bottom="2060" w:left="1560" w:right="1500"/>
        </w:sectPr>
      </w:pPr>
    </w:p>
    <w:p>
      <w:pPr>
        <w:pStyle w:val="BodyText"/>
        <w:ind w:left="0"/>
        <w:rPr>
          <w:sz w:val="20"/>
        </w:rPr>
      </w:pPr>
    </w:p>
    <w:p>
      <w:pPr>
        <w:pStyle w:val="BodyText"/>
        <w:spacing w:before="7"/>
        <w:ind w:left="0"/>
        <w:rPr>
          <w:sz w:val="15"/>
        </w:rPr>
      </w:pPr>
    </w:p>
    <w:p>
      <w:pPr>
        <w:spacing w:line="103" w:lineRule="exact" w:before="63"/>
        <w:ind w:left="2751" w:right="0" w:firstLine="0"/>
        <w:jc w:val="left"/>
        <w:rPr>
          <w:b/>
          <w:sz w:val="12"/>
        </w:rPr>
      </w:pPr>
      <w:r>
        <w:rPr>
          <w:b/>
          <w:sz w:val="12"/>
        </w:rPr>
        <w:t>释义 19</w:t>
      </w:r>
    </w:p>
    <w:p>
      <w:pPr>
        <w:tabs>
          <w:tab w:pos="3173" w:val="left" w:leader="none"/>
        </w:tabs>
        <w:spacing w:line="196" w:lineRule="exact" w:before="0"/>
        <w:ind w:left="14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tab/>
      </w:r>
      <w:r>
        <w:rPr>
          <w:spacing w:val="-1"/>
          <w:sz w:val="18"/>
        </w:rPr>
        <w:t>的性</w:t>
      </w:r>
      <w:r>
        <w:rPr>
          <w:sz w:val="18"/>
        </w:rPr>
        <w:t>质、原因等有关的其他证明和资料。</w:t>
      </w:r>
    </w:p>
    <w:p>
      <w:pPr>
        <w:tabs>
          <w:tab w:pos="1401" w:val="left" w:leader="none"/>
        </w:tabs>
        <w:spacing w:line="439" w:lineRule="auto" w:before="41"/>
        <w:ind w:left="141" w:right="1680"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6"/>
        <w:ind w:left="141" w:right="192" w:firstLine="0"/>
        <w:jc w:val="left"/>
        <w:rPr>
          <w:sz w:val="18"/>
        </w:rPr>
      </w:pPr>
      <w:r>
        <w:rPr>
          <w:sz w:val="18"/>
        </w:rPr>
        <w:t>被保险人或受益人向我们申请保险金的权利，应当在其知道或者应当知道保险事故发生之日起二年内行使， 超过二年不行使此权利的，则丧失此权利。</w:t>
      </w:r>
    </w:p>
    <w:p>
      <w:pPr>
        <w:pStyle w:val="BodyText"/>
        <w:spacing w:before="9"/>
        <w:ind w:left="0"/>
        <w:rPr>
          <w:sz w:val="19"/>
        </w:rPr>
      </w:pPr>
    </w:p>
    <w:p>
      <w:pPr>
        <w:pStyle w:val="Heading1"/>
        <w:tabs>
          <w:tab w:pos="1799" w:val="left" w:leader="none"/>
        </w:tabs>
        <w:ind w:left="0" w:right="54"/>
        <w:jc w:val="center"/>
      </w:pPr>
      <w:bookmarkStart w:name="_TOC_250012" w:id="11"/>
      <w:r>
        <w:rPr/>
        <w:t>第四部分</w:t>
        <w:tab/>
      </w:r>
      <w:bookmarkEnd w:id="11"/>
      <w:r>
        <w:rPr>
          <w:w w:val="95"/>
        </w:rPr>
        <w:t>如何交纳保险费</w:t>
      </w:r>
    </w:p>
    <w:p>
      <w:pPr>
        <w:pStyle w:val="BodyText"/>
        <w:ind w:left="0"/>
        <w:rPr>
          <w:b/>
          <w:sz w:val="18"/>
        </w:rPr>
      </w:pPr>
    </w:p>
    <w:p>
      <w:pPr>
        <w:pStyle w:val="BodyText"/>
        <w:spacing w:before="3"/>
        <w:ind w:left="0"/>
        <w:rPr>
          <w:b/>
          <w:sz w:val="15"/>
        </w:rPr>
      </w:pPr>
    </w:p>
    <w:p>
      <w:pPr>
        <w:pStyle w:val="Heading1"/>
        <w:tabs>
          <w:tab w:pos="1401" w:val="left" w:leader="none"/>
        </w:tabs>
        <w:spacing w:before="1"/>
      </w:pPr>
      <w:bookmarkStart w:name="_TOC_250011" w:id="12"/>
      <w:r>
        <w:rPr/>
        <w:t>第十二条</w:t>
        <w:tab/>
      </w:r>
      <w:bookmarkEnd w:id="12"/>
      <w:r>
        <w:rPr>
          <w:w w:val="95"/>
        </w:rPr>
        <w:t>保险费的交纳</w:t>
      </w:r>
    </w:p>
    <w:p>
      <w:pPr>
        <w:pStyle w:val="BodyText"/>
        <w:ind w:left="0"/>
        <w:rPr>
          <w:b/>
          <w:sz w:val="15"/>
        </w:rPr>
      </w:pPr>
    </w:p>
    <w:p>
      <w:pPr>
        <w:spacing w:line="316" w:lineRule="auto" w:before="0"/>
        <w:ind w:left="14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3"/>
      <w:r>
        <w:rPr/>
        <w:t>第十三条</w:t>
        <w:tab/>
      </w:r>
      <w:bookmarkEnd w:id="13"/>
      <w:r>
        <w:rPr>
          <w:w w:val="95"/>
        </w:rPr>
        <w:t>保险费率的调整</w:t>
      </w:r>
    </w:p>
    <w:p>
      <w:pPr>
        <w:pStyle w:val="BodyText"/>
        <w:spacing w:before="12"/>
        <w:ind w:left="0"/>
        <w:rPr>
          <w:b/>
          <w:sz w:val="14"/>
        </w:rPr>
      </w:pPr>
    </w:p>
    <w:p>
      <w:pPr>
        <w:spacing w:line="316" w:lineRule="auto" w:before="0"/>
        <w:ind w:left="141" w:right="106" w:firstLine="0"/>
        <w:jc w:val="left"/>
        <w:rPr>
          <w:sz w:val="18"/>
        </w:rPr>
      </w:pPr>
      <w:r>
        <w:rPr>
          <w:sz w:val="18"/>
        </w:rPr>
        <w:t>当本附加合同内所界定的疾病的发生率或相关的医疗技术发生重大改变时，我们有权提高或降低本产品的保</w:t>
      </w:r>
      <w:r>
        <w:rPr>
          <w:spacing w:val="-6"/>
          <w:sz w:val="18"/>
        </w:rPr>
        <w:t>险费率。费率的调整将符合中国保险监督管理机构的相关规定，并针对同一性别或同一年龄的所有被保险人。</w:t>
      </w:r>
    </w:p>
    <w:p>
      <w:pPr>
        <w:spacing w:line="93" w:lineRule="exact" w:before="0"/>
        <w:ind w:left="2308" w:right="54" w:firstLine="0"/>
        <w:jc w:val="center"/>
        <w:rPr>
          <w:b/>
          <w:sz w:val="12"/>
        </w:rPr>
      </w:pPr>
      <w:r>
        <w:rPr>
          <w:b/>
          <w:sz w:val="12"/>
        </w:rPr>
        <w:t>释义 20</w:t>
      </w:r>
    </w:p>
    <w:p>
      <w:pPr>
        <w:tabs>
          <w:tab w:pos="5775" w:val="left" w:leader="none"/>
        </w:tabs>
        <w:spacing w:line="182" w:lineRule="exact" w:before="0"/>
        <w:ind w:left="141" w:right="0" w:firstLine="0"/>
        <w:jc w:val="left"/>
        <w:rPr>
          <w:sz w:val="18"/>
        </w:rPr>
      </w:pPr>
      <w:r>
        <w:rPr>
          <w:sz w:val="18"/>
        </w:rPr>
        <w:t>我们进行保险费率调整后</w:t>
      </w:r>
      <w:r>
        <w:rPr>
          <w:spacing w:val="-9"/>
          <w:sz w:val="18"/>
        </w:rPr>
        <w:t>，</w:t>
      </w:r>
      <w:r>
        <w:rPr>
          <w:sz w:val="18"/>
        </w:rPr>
        <w:t>您须自调整后的第一个</w:t>
      </w:r>
      <w:r>
        <w:rPr>
          <w:b/>
          <w:sz w:val="18"/>
        </w:rPr>
        <w:t>保险合同周年日</w:t>
        <w:tab/>
      </w:r>
      <w:r>
        <w:rPr>
          <w:spacing w:val="-1"/>
          <w:sz w:val="18"/>
        </w:rPr>
        <w:t>起</w:t>
      </w:r>
      <w:r>
        <w:rPr>
          <w:spacing w:val="-9"/>
          <w:sz w:val="18"/>
        </w:rPr>
        <w:t>，</w:t>
      </w:r>
      <w:r>
        <w:rPr>
          <w:spacing w:val="-1"/>
          <w:sz w:val="18"/>
        </w:rPr>
        <w:t>按</w:t>
      </w:r>
      <w:r>
        <w:rPr>
          <w:sz w:val="18"/>
        </w:rPr>
        <w:t>照调整后的保险费率交纳本附</w:t>
      </w:r>
    </w:p>
    <w:p>
      <w:pPr>
        <w:spacing w:before="55"/>
        <w:ind w:left="141" w:right="0" w:firstLine="0"/>
        <w:jc w:val="left"/>
        <w:rPr>
          <w:sz w:val="18"/>
        </w:rPr>
      </w:pPr>
      <w:r>
        <w:rPr>
          <w:sz w:val="18"/>
        </w:rPr>
        <w:t>加合同相应的保险费。</w:t>
      </w:r>
    </w:p>
    <w:p>
      <w:pPr>
        <w:pStyle w:val="BodyText"/>
        <w:spacing w:before="1"/>
        <w:ind w:left="0"/>
        <w:rPr>
          <w:sz w:val="24"/>
        </w:rPr>
      </w:pPr>
    </w:p>
    <w:p>
      <w:pPr>
        <w:pStyle w:val="Heading1"/>
        <w:tabs>
          <w:tab w:pos="1799" w:val="left" w:leader="none"/>
        </w:tabs>
        <w:spacing w:before="1"/>
        <w:ind w:left="0" w:right="54"/>
        <w:jc w:val="center"/>
      </w:pPr>
      <w:bookmarkStart w:name="_TOC_250009" w:id="14"/>
      <w:r>
        <w:rPr/>
        <w:t>第五部分</w:t>
        <w:tab/>
      </w:r>
      <w:bookmarkEnd w:id="14"/>
      <w:r>
        <w:rPr>
          <w:w w:val="95"/>
        </w:rPr>
        <w:t>现金价值权益</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8" w:id="15"/>
      <w:r>
        <w:rPr/>
        <w:t>第十四条</w:t>
        <w:tab/>
      </w:r>
      <w:bookmarkEnd w:id="15"/>
      <w:r>
        <w:rPr>
          <w:w w:val="95"/>
        </w:rPr>
        <w:t>现金价值</w:t>
      </w:r>
    </w:p>
    <w:p>
      <w:pPr>
        <w:pStyle w:val="BodyText"/>
        <w:spacing w:before="9"/>
        <w:ind w:left="0"/>
        <w:rPr>
          <w:b/>
          <w:sz w:val="12"/>
        </w:rPr>
      </w:pPr>
    </w:p>
    <w:p>
      <w:pPr>
        <w:spacing w:line="103" w:lineRule="exact" w:before="0"/>
        <w:ind w:left="1978" w:right="54" w:firstLine="0"/>
        <w:jc w:val="center"/>
        <w:rPr>
          <w:b/>
          <w:sz w:val="12"/>
        </w:rPr>
      </w:pPr>
      <w:r>
        <w:rPr>
          <w:b/>
          <w:sz w:val="12"/>
        </w:rPr>
        <w:t>释义 21</w:t>
      </w:r>
    </w:p>
    <w:p>
      <w:pPr>
        <w:tabs>
          <w:tab w:pos="5585" w:val="left" w:leader="none"/>
        </w:tabs>
        <w:spacing w:line="182" w:lineRule="exact" w:before="0"/>
        <w:ind w:left="141" w:right="0" w:firstLine="0"/>
        <w:jc w:val="left"/>
        <w:rPr>
          <w:sz w:val="18"/>
        </w:rPr>
      </w:pPr>
      <w:r>
        <w:rPr>
          <w:sz w:val="18"/>
        </w:rPr>
        <w:t>我们会在保险单或批注上载明本附加合同保单年度末的</w:t>
      </w:r>
      <w:r>
        <w:rPr>
          <w:b/>
          <w:sz w:val="18"/>
        </w:rPr>
        <w:t>现金价值</w:t>
        <w:tab/>
      </w:r>
      <w:r>
        <w:rPr>
          <w:sz w:val="18"/>
        </w:rPr>
        <w:t>。现金价值可能因为其他条款的约定发</w:t>
      </w:r>
    </w:p>
    <w:p>
      <w:pPr>
        <w:tabs>
          <w:tab w:pos="1401" w:val="left" w:leader="none"/>
        </w:tabs>
        <w:spacing w:line="439" w:lineRule="auto" w:before="56"/>
        <w:ind w:left="141" w:right="3480"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spacing w:before="47"/>
        <w:ind w:left="141" w:right="0" w:firstLine="0"/>
        <w:jc w:val="left"/>
        <w:rPr>
          <w:sz w:val="18"/>
        </w:rPr>
      </w:pPr>
      <w:r>
        <w:rPr>
          <w:sz w:val="18"/>
        </w:rPr>
        <w:t>减额交清保险不适用于本附加合同。</w:t>
      </w:r>
    </w:p>
    <w:p>
      <w:pPr>
        <w:pStyle w:val="BodyText"/>
        <w:spacing w:before="2"/>
        <w:ind w:left="0"/>
        <w:rPr>
          <w:sz w:val="24"/>
        </w:rPr>
      </w:pPr>
    </w:p>
    <w:p>
      <w:pPr>
        <w:pStyle w:val="Heading1"/>
        <w:tabs>
          <w:tab w:pos="1799" w:val="left" w:leader="none"/>
        </w:tabs>
        <w:ind w:left="0" w:right="54"/>
        <w:jc w:val="center"/>
      </w:pPr>
      <w:bookmarkStart w:name="_TOC_250007" w:id="16"/>
      <w:r>
        <w:rPr/>
        <w:t>第六部分</w:t>
        <w:tab/>
      </w:r>
      <w:bookmarkEnd w:id="16"/>
      <w:r>
        <w:rPr>
          <w:w w:val="95"/>
        </w:rPr>
        <w:t>合同效力的终止</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6" w:id="17"/>
      <w:r>
        <w:rPr/>
        <w:t>第十六条</w:t>
        <w:tab/>
      </w:r>
      <w:bookmarkEnd w:id="17"/>
      <w:r>
        <w:rPr>
          <w:w w:val="95"/>
        </w:rPr>
        <w:t>您主动解除合同的权利</w:t>
      </w:r>
    </w:p>
    <w:p>
      <w:pPr>
        <w:pStyle w:val="BodyText"/>
        <w:ind w:left="0"/>
        <w:rPr>
          <w:b/>
          <w:sz w:val="15"/>
        </w:rPr>
      </w:pPr>
    </w:p>
    <w:p>
      <w:pPr>
        <w:spacing w:before="0"/>
        <w:ind w:left="141" w:right="0" w:firstLine="0"/>
        <w:jc w:val="left"/>
        <w:rPr>
          <w:sz w:val="18"/>
        </w:rPr>
      </w:pPr>
      <w:r>
        <w:rPr>
          <w:sz w:val="18"/>
        </w:rPr>
        <w:t>本附加合同生效后，您可以书面通知我们要求解除本附加合同，并应提供下列证明和资料：</w:t>
      </w:r>
    </w:p>
    <w:p>
      <w:pPr>
        <w:spacing w:before="76"/>
        <w:ind w:left="141" w:right="0" w:firstLine="0"/>
        <w:jc w:val="left"/>
        <w:rPr>
          <w:sz w:val="18"/>
        </w:rPr>
      </w:pPr>
      <w:r>
        <w:rPr>
          <w:sz w:val="18"/>
        </w:rPr>
        <w:t>（</w:t>
      </w:r>
      <w:r>
        <w:rPr>
          <w:rFonts w:ascii="Times New Roman" w:eastAsia="Times New Roman"/>
          <w:sz w:val="18"/>
        </w:rPr>
        <w:t>1</w:t>
      </w:r>
      <w:r>
        <w:rPr>
          <w:sz w:val="18"/>
        </w:rPr>
        <w:t>）保险合同终止申请书；</w:t>
      </w:r>
    </w:p>
    <w:p>
      <w:pPr>
        <w:spacing w:before="62"/>
        <w:ind w:left="141" w:right="0" w:firstLine="0"/>
        <w:jc w:val="left"/>
        <w:rPr>
          <w:sz w:val="18"/>
        </w:rPr>
      </w:pPr>
      <w:r>
        <w:rPr>
          <w:sz w:val="18"/>
        </w:rPr>
        <w:t>（</w:t>
      </w:r>
      <w:r>
        <w:rPr>
          <w:rFonts w:ascii="Times New Roman" w:eastAsia="Times New Roman"/>
          <w:sz w:val="18"/>
        </w:rPr>
        <w:t>2</w:t>
      </w:r>
      <w:r>
        <w:rPr>
          <w:sz w:val="18"/>
        </w:rPr>
        <w:t>）保险合同原件；</w:t>
      </w:r>
    </w:p>
    <w:p>
      <w:pPr>
        <w:spacing w:before="62"/>
        <w:ind w:left="141" w:right="0" w:firstLine="0"/>
        <w:jc w:val="left"/>
        <w:rPr>
          <w:sz w:val="18"/>
        </w:rPr>
      </w:pPr>
      <w:r>
        <w:rPr>
          <w:sz w:val="18"/>
        </w:rPr>
        <w:t>（</w:t>
      </w:r>
      <w:r>
        <w:rPr>
          <w:rFonts w:ascii="Times New Roman" w:eastAsia="Times New Roman"/>
          <w:sz w:val="18"/>
        </w:rPr>
        <w:t>3</w:t>
      </w:r>
      <w:r>
        <w:rPr>
          <w:sz w:val="18"/>
        </w:rPr>
        <w:t>）您的身份证明复印件。</w:t>
      </w:r>
    </w:p>
    <w:p>
      <w:pPr>
        <w:spacing w:line="316" w:lineRule="auto" w:before="62"/>
        <w:ind w:left="141" w:right="192" w:firstLine="0"/>
        <w:jc w:val="both"/>
        <w:rPr>
          <w:sz w:val="18"/>
        </w:rPr>
      </w:pPr>
      <w:r>
        <w:rPr>
          <w:sz w:val="18"/>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spacing w:before="18"/>
        <w:ind w:left="141" w:right="0" w:firstLine="0"/>
        <w:jc w:val="left"/>
        <w:rPr>
          <w:sz w:val="18"/>
        </w:rPr>
      </w:pPr>
      <w:r>
        <w:rPr>
          <w:sz w:val="18"/>
        </w:rPr>
        <w:t>您犹豫期后解除合同会遭受一定损失。</w:t>
      </w:r>
    </w:p>
    <w:p>
      <w:pPr>
        <w:spacing w:after="0"/>
        <w:jc w:val="left"/>
        <w:rPr>
          <w:sz w:val="18"/>
        </w:rPr>
        <w:sectPr>
          <w:pgSz w:w="11910" w:h="16840"/>
          <w:pgMar w:header="883" w:footer="1868" w:top="1140" w:bottom="2060" w:left="1560" w:right="1500"/>
        </w:sectPr>
      </w:pPr>
    </w:p>
    <w:p>
      <w:pPr>
        <w:pStyle w:val="BodyText"/>
        <w:ind w:left="0"/>
        <w:rPr>
          <w:sz w:val="20"/>
        </w:rPr>
      </w:pPr>
    </w:p>
    <w:p>
      <w:pPr>
        <w:pStyle w:val="BodyText"/>
        <w:spacing w:before="2"/>
        <w:ind w:left="0"/>
        <w:rPr>
          <w:sz w:val="19"/>
        </w:rPr>
      </w:pPr>
    </w:p>
    <w:p>
      <w:pPr>
        <w:pStyle w:val="Heading1"/>
        <w:tabs>
          <w:tab w:pos="1401" w:val="left" w:leader="none"/>
        </w:tabs>
        <w:spacing w:before="45"/>
      </w:pPr>
      <w:bookmarkStart w:name="_TOC_250005" w:id="18"/>
      <w:r>
        <w:rPr/>
        <w:t>第十七条</w:t>
        <w:tab/>
      </w:r>
      <w:bookmarkEnd w:id="18"/>
      <w:r>
        <w:rPr>
          <w:w w:val="95"/>
        </w:rPr>
        <w:t>合同效力的终止</w:t>
      </w:r>
    </w:p>
    <w:p>
      <w:pPr>
        <w:pStyle w:val="BodyText"/>
        <w:spacing w:before="11"/>
        <w:ind w:left="0"/>
        <w:rPr>
          <w:b/>
          <w:sz w:val="14"/>
        </w:rPr>
      </w:pPr>
    </w:p>
    <w:p>
      <w:pPr>
        <w:spacing w:before="0"/>
        <w:ind w:left="141" w:right="0" w:firstLine="0"/>
        <w:jc w:val="left"/>
        <w:rPr>
          <w:sz w:val="18"/>
        </w:rPr>
      </w:pPr>
      <w:r>
        <w:rPr>
          <w:sz w:val="18"/>
        </w:rPr>
        <w:t>本附加合同发生下列情况之一时将会自动终止：</w:t>
      </w:r>
    </w:p>
    <w:p>
      <w:pPr>
        <w:spacing w:before="76"/>
        <w:ind w:left="141" w:right="0" w:firstLine="0"/>
        <w:jc w:val="left"/>
        <w:rPr>
          <w:sz w:val="18"/>
        </w:rPr>
      </w:pPr>
      <w:r>
        <w:rPr>
          <w:sz w:val="18"/>
        </w:rPr>
        <w:t>（</w:t>
      </w:r>
      <w:r>
        <w:rPr>
          <w:rFonts w:ascii="Times New Roman" w:eastAsia="Times New Roman"/>
          <w:sz w:val="18"/>
        </w:rPr>
        <w:t>1</w:t>
      </w:r>
      <w:r>
        <w:rPr>
          <w:sz w:val="18"/>
        </w:rPr>
        <w:t>）主合同被撤销、解除，或发生其他效力终止的情况；</w:t>
      </w:r>
    </w:p>
    <w:p>
      <w:pPr>
        <w:spacing w:before="63"/>
        <w:ind w:left="141" w:right="0" w:firstLine="0"/>
        <w:jc w:val="left"/>
        <w:rPr>
          <w:sz w:val="18"/>
        </w:rPr>
      </w:pPr>
      <w:r>
        <w:rPr>
          <w:sz w:val="18"/>
        </w:rPr>
        <w:t>（</w:t>
      </w:r>
      <w:r>
        <w:rPr>
          <w:rFonts w:ascii="Times New Roman" w:eastAsia="Times New Roman"/>
          <w:sz w:val="18"/>
        </w:rPr>
        <w:t>2</w:t>
      </w:r>
      <w:r>
        <w:rPr>
          <w:sz w:val="18"/>
        </w:rPr>
        <w:t>）因出现本附加合同其他条款所列情况而终止。</w:t>
      </w:r>
    </w:p>
    <w:p>
      <w:pPr>
        <w:pStyle w:val="BodyText"/>
        <w:spacing w:before="1"/>
        <w:ind w:left="0"/>
        <w:rPr>
          <w:sz w:val="23"/>
        </w:rPr>
      </w:pPr>
    </w:p>
    <w:p>
      <w:pPr>
        <w:pStyle w:val="Heading1"/>
        <w:tabs>
          <w:tab w:pos="1799" w:val="left" w:leader="none"/>
        </w:tabs>
        <w:spacing w:before="1"/>
        <w:ind w:left="0" w:right="57"/>
        <w:jc w:val="center"/>
      </w:pPr>
      <w:bookmarkStart w:name="_TOC_250004" w:id="19"/>
      <w:r>
        <w:rPr/>
        <w:t>第七部分</w:t>
        <w:tab/>
      </w:r>
      <w:bookmarkEnd w:id="19"/>
      <w:r>
        <w:rPr>
          <w:w w:val="95"/>
        </w:rPr>
        <w:t>您必须了解的其他事项</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3" w:id="20"/>
      <w:r>
        <w:rPr/>
        <w:t>第十八条</w:t>
        <w:tab/>
      </w:r>
      <w:bookmarkEnd w:id="20"/>
      <w:r>
        <w:rPr>
          <w:w w:val="95"/>
        </w:rPr>
        <w:t>明确说明与如实告知</w:t>
      </w:r>
    </w:p>
    <w:p>
      <w:pPr>
        <w:pStyle w:val="BodyText"/>
        <w:spacing w:before="12"/>
        <w:ind w:left="0"/>
        <w:rPr>
          <w:b/>
          <w:sz w:val="14"/>
        </w:rPr>
      </w:pPr>
    </w:p>
    <w:p>
      <w:pPr>
        <w:spacing w:line="316" w:lineRule="auto" w:before="0"/>
        <w:ind w:left="141" w:right="106"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spacing w:before="18"/>
        <w:ind w:left="141" w:right="0" w:firstLine="0"/>
        <w:jc w:val="left"/>
        <w:rPr>
          <w:sz w:val="18"/>
        </w:rPr>
      </w:pPr>
      <w:r>
        <w:rPr>
          <w:sz w:val="18"/>
        </w:rPr>
        <w:t>我们可以就您和被保险人的有关情况向您提出书面询问，您应当以书面方式如实告知。</w:t>
      </w:r>
    </w:p>
    <w:p>
      <w:pPr>
        <w:spacing w:line="316" w:lineRule="auto" w:before="76"/>
        <w:ind w:left="141" w:right="19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8"/>
        <w:ind w:left="141" w:right="19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8"/>
        <w:ind w:left="141" w:right="192"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21"/>
      <w:r>
        <w:rPr/>
        <w:t>第十九条</w:t>
        <w:tab/>
      </w:r>
      <w:bookmarkEnd w:id="21"/>
      <w:r>
        <w:rPr>
          <w:w w:val="95"/>
        </w:rPr>
        <w:t>本公司合同解除权的限制</w:t>
      </w:r>
    </w:p>
    <w:p>
      <w:pPr>
        <w:pStyle w:val="BodyText"/>
        <w:spacing w:before="12"/>
        <w:ind w:left="0"/>
        <w:rPr>
          <w:b/>
          <w:sz w:val="14"/>
        </w:rPr>
      </w:pPr>
    </w:p>
    <w:p>
      <w:pPr>
        <w:spacing w:line="300" w:lineRule="auto" w:before="0"/>
        <w:ind w:left="141" w:right="19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日不行使而消灭。自本附加合同成立之日起超过两年的，我们不得解除合同；发生保险事故的，我们承担给付保险金的责任。</w:t>
      </w:r>
    </w:p>
    <w:p>
      <w:pPr>
        <w:spacing w:line="316" w:lineRule="auto" w:before="31"/>
        <w:ind w:left="141" w:right="192"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22"/>
      <w:r>
        <w:rPr/>
        <w:t>第二十条</w:t>
        <w:tab/>
      </w:r>
      <w:bookmarkEnd w:id="22"/>
      <w:r>
        <w:rPr>
          <w:w w:val="95"/>
        </w:rPr>
        <w:t>未还款项</w:t>
      </w:r>
    </w:p>
    <w:p>
      <w:pPr>
        <w:pStyle w:val="BodyText"/>
        <w:ind w:left="0"/>
        <w:rPr>
          <w:b/>
          <w:sz w:val="15"/>
        </w:rPr>
      </w:pPr>
    </w:p>
    <w:p>
      <w:pPr>
        <w:spacing w:line="316" w:lineRule="auto" w:before="0"/>
        <w:ind w:left="141" w:right="19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pStyle w:val="BodyText"/>
        <w:spacing w:before="9"/>
        <w:ind w:left="0"/>
        <w:rPr>
          <w:sz w:val="19"/>
        </w:rPr>
      </w:pPr>
    </w:p>
    <w:p>
      <w:pPr>
        <w:pStyle w:val="Heading1"/>
        <w:tabs>
          <w:tab w:pos="1799" w:val="left" w:leader="none"/>
        </w:tabs>
        <w:spacing w:before="1"/>
        <w:ind w:left="0" w:right="56"/>
        <w:jc w:val="center"/>
      </w:pPr>
      <w:bookmarkStart w:name="_TOC_250000" w:id="23"/>
      <w:r>
        <w:rPr/>
        <w:t>第八部分</w:t>
        <w:tab/>
      </w:r>
      <w:bookmarkEnd w:id="23"/>
      <w:r>
        <w:rPr>
          <w:w w:val="95"/>
        </w:rPr>
        <w:t>释义</w:t>
      </w:r>
    </w:p>
    <w:p>
      <w:pPr>
        <w:pStyle w:val="BodyText"/>
        <w:spacing w:before="4"/>
        <w:ind w:left="0"/>
        <w:rPr>
          <w:b/>
          <w:sz w:val="21"/>
        </w:rPr>
      </w:pPr>
    </w:p>
    <w:p>
      <w:pPr>
        <w:pStyle w:val="BodyText"/>
        <w:tabs>
          <w:tab w:pos="2380" w:val="left" w:leader="none"/>
        </w:tabs>
        <w:ind w:left="141"/>
      </w:pPr>
      <w:r>
        <w:rPr/>
        <w:t>释义</w:t>
      </w:r>
      <w:r>
        <w:rPr>
          <w:spacing w:val="-43"/>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pStyle w:val="BodyText"/>
        <w:tabs>
          <w:tab w:pos="2380" w:val="left" w:leader="none"/>
        </w:tabs>
        <w:spacing w:line="225" w:lineRule="auto" w:before="18"/>
        <w:ind w:right="179" w:hanging="2440"/>
      </w:pPr>
      <w:r>
        <w:rPr/>
        <w:t>释义</w:t>
      </w:r>
      <w:r>
        <w:rPr>
          <w:spacing w:val="-44"/>
        </w:rPr>
        <w:t> </w:t>
      </w:r>
      <w:r>
        <w:rPr>
          <w:rFonts w:ascii="Times New Roman" w:eastAsia="Times New Roman"/>
        </w:rPr>
        <w:t>2</w:t>
      </w:r>
      <w:r>
        <w:rPr/>
        <w:t>、本附加合同生效日</w:t>
        <w:tab/>
      </w:r>
      <w:r>
        <w:rPr>
          <w:rFonts w:ascii="Times New Roman" w:eastAsia="Times New Roman"/>
          <w:position w:val="2"/>
        </w:rPr>
        <w:t>:  </w:t>
      </w:r>
      <w:r>
        <w:rPr>
          <w:rFonts w:ascii="Times New Roman" w:eastAsia="Times New Roman"/>
          <w:spacing w:val="20"/>
          <w:position w:val="2"/>
        </w:rPr>
        <w:t> </w:t>
      </w:r>
      <w:r>
        <w:rPr/>
        <w:t>是指我们根据核保规定</w:t>
      </w:r>
      <w:r>
        <w:rPr>
          <w:spacing w:val="-21"/>
        </w:rPr>
        <w:t>，</w:t>
      </w:r>
      <w:r>
        <w:rPr/>
        <w:t>同意接受您的投保申请的日期</w:t>
      </w:r>
      <w:r>
        <w:rPr>
          <w:spacing w:val="-21"/>
        </w:rPr>
        <w:t>。</w:t>
      </w:r>
      <w:r>
        <w:rPr/>
        <w:t>此日期载明于保险合同首页上。</w:t>
      </w:r>
    </w:p>
    <w:p>
      <w:pPr>
        <w:pStyle w:val="BodyText"/>
        <w:tabs>
          <w:tab w:pos="2380" w:val="left" w:leader="none"/>
        </w:tabs>
        <w:spacing w:line="225" w:lineRule="auto" w:before="12"/>
        <w:ind w:right="179" w:hanging="2440"/>
      </w:pPr>
      <w:r>
        <w:rPr/>
        <w:t>释义</w:t>
      </w:r>
      <w:r>
        <w:rPr>
          <w:spacing w:val="-43"/>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7"/>
          <w:position w:val="2"/>
        </w:rPr>
        <w:t> </w:t>
      </w:r>
      <w:r>
        <w:rPr/>
        <w:t>指被保险人出现本附加合同所界定疾病的前兆或异常的身体状况</w:t>
      </w:r>
      <w:r>
        <w:rPr>
          <w:spacing w:val="-40"/>
        </w:rPr>
        <w:t>，</w:t>
      </w:r>
      <w:r>
        <w:rPr/>
        <w:t>或已经显现足以</w:t>
      </w:r>
      <w:r>
        <w:rPr>
          <w:spacing w:val="-1"/>
        </w:rPr>
        <w:t>使一般人士引起注意并寻求</w:t>
      </w:r>
      <w:r>
        <w:rPr/>
        <w:t>诊断、治疗或护理的病症。</w:t>
      </w:r>
    </w:p>
    <w:p>
      <w:pPr>
        <w:pStyle w:val="BodyText"/>
        <w:tabs>
          <w:tab w:pos="2380" w:val="left" w:leader="none"/>
        </w:tabs>
        <w:spacing w:line="225" w:lineRule="auto" w:before="12"/>
        <w:ind w:right="179" w:hanging="2440"/>
      </w:pPr>
      <w:r>
        <w:rPr/>
        <w:t>释义</w:t>
      </w:r>
      <w:r>
        <w:rPr>
          <w:spacing w:val="-43"/>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7"/>
          <w:position w:val="2"/>
        </w:rPr>
        <w:t> </w:t>
      </w:r>
      <w:r>
        <w:rPr/>
        <w:t>是指接受过高等医学教育和长期从事医疗卫生工作</w:t>
      </w:r>
      <w:r>
        <w:rPr>
          <w:spacing w:val="-40"/>
        </w:rPr>
        <w:t>，</w:t>
      </w:r>
      <w:r>
        <w:rPr/>
        <w:t>且为本附加合同所界定的医院</w:t>
      </w:r>
      <w:r>
        <w:rPr>
          <w:spacing w:val="-1"/>
        </w:rPr>
        <w:t>之正式注册医生，但不包括</w:t>
      </w:r>
      <w:r>
        <w:rPr/>
        <w:t>被保险人本人及其直系亲属。</w:t>
      </w:r>
    </w:p>
    <w:p>
      <w:pPr>
        <w:pStyle w:val="BodyText"/>
        <w:tabs>
          <w:tab w:pos="2380" w:val="left" w:leader="none"/>
        </w:tabs>
        <w:spacing w:line="225" w:lineRule="auto" w:before="12"/>
        <w:ind w:right="138" w:hanging="2440"/>
      </w:pPr>
      <w:r>
        <w:rPr/>
        <w:t>释义</w:t>
      </w:r>
      <w:r>
        <w:rPr>
          <w:spacing w:val="-43"/>
        </w:rPr>
        <w:t> </w:t>
      </w:r>
      <w:r>
        <w:rPr>
          <w:rFonts w:ascii="Times New Roman" w:eastAsia="Times New Roman"/>
        </w:rPr>
        <w:t>5</w:t>
      </w:r>
      <w:r>
        <w:rPr/>
        <w:t>、标准体</w:t>
        <w:tab/>
      </w:r>
      <w:r>
        <w:rPr>
          <w:rFonts w:ascii="Times New Roman" w:eastAsia="Times New Roman"/>
          <w:position w:val="2"/>
        </w:rPr>
        <w:t>:  </w:t>
      </w:r>
      <w:r>
        <w:rPr>
          <w:rFonts w:ascii="Times New Roman" w:eastAsia="Times New Roman"/>
          <w:spacing w:val="20"/>
          <w:position w:val="2"/>
        </w:rPr>
        <w:t> </w:t>
      </w:r>
      <w:r>
        <w:rPr/>
        <w:t>指经保险公司授权的专业人员审核后，保险公司不用增加额外保险费或特殊限制，</w:t>
      </w:r>
      <w:r>
        <w:rPr>
          <w:spacing w:val="-1"/>
        </w:rPr>
        <w:t>而同意接受投保申</w:t>
      </w:r>
      <w:r>
        <w:rPr/>
        <w:t>请的被保险人。</w:t>
      </w:r>
    </w:p>
    <w:p>
      <w:pPr>
        <w:pStyle w:val="BodyText"/>
        <w:tabs>
          <w:tab w:pos="2380" w:val="left" w:leader="none"/>
        </w:tabs>
        <w:spacing w:line="225" w:lineRule="auto" w:before="12"/>
        <w:ind w:right="181" w:hanging="2440"/>
      </w:pPr>
      <w:r>
        <w:rPr/>
        <w:t>释义</w:t>
      </w:r>
      <w:r>
        <w:rPr>
          <w:spacing w:val="-44"/>
        </w:rPr>
        <w:t> </w:t>
      </w:r>
      <w:r>
        <w:rPr>
          <w:rFonts w:ascii="Times New Roman" w:eastAsia="Times New Roman"/>
        </w:rPr>
        <w:t>6</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1"/>
        </w:rPr>
        <w:t>、</w:t>
      </w:r>
      <w:r>
        <w:rPr/>
        <w:t>突发的</w:t>
      </w:r>
      <w:r>
        <w:rPr>
          <w:spacing w:val="-11"/>
        </w:rPr>
        <w:t>、</w:t>
      </w:r>
      <w:r>
        <w:rPr/>
        <w:t>非本意的</w:t>
      </w:r>
      <w:r>
        <w:rPr>
          <w:spacing w:val="-10"/>
        </w:rPr>
        <w:t>、</w:t>
      </w:r>
      <w:r>
        <w:rPr/>
        <w:t>非疾病引起的</w:t>
      </w:r>
      <w:r>
        <w:rPr>
          <w:spacing w:val="-10"/>
        </w:rPr>
        <w:t>，</w:t>
      </w:r>
      <w:r>
        <w:rPr/>
        <w:t>并以此为直接且单独的原因使身</w:t>
      </w:r>
      <w:r>
        <w:rPr>
          <w:spacing w:val="-1"/>
        </w:rPr>
        <w:t>体受到伤</w:t>
      </w:r>
      <w:r>
        <w:rPr/>
        <w:t>害的客观事件。</w:t>
      </w:r>
    </w:p>
    <w:p>
      <w:pPr>
        <w:pStyle w:val="BodyText"/>
        <w:tabs>
          <w:tab w:pos="2380" w:val="left" w:leader="none"/>
        </w:tabs>
        <w:spacing w:line="234" w:lineRule="exact"/>
        <w:ind w:left="141"/>
      </w:pPr>
      <w:r>
        <w:rPr/>
        <w:t>释义</w:t>
      </w:r>
      <w:r>
        <w:rPr>
          <w:spacing w:val="-44"/>
        </w:rPr>
        <w:t> </w:t>
      </w:r>
      <w:r>
        <w:rPr>
          <w:rFonts w:ascii="Times New Roman" w:eastAsia="Times New Roman"/>
        </w:rPr>
        <w:t>7</w:t>
      </w:r>
      <w:r>
        <w:rPr/>
        <w:t>、我们公司</w:t>
        <w:tab/>
      </w:r>
      <w:r>
        <w:rPr>
          <w:rFonts w:ascii="Times New Roman" w:eastAsia="Times New Roman"/>
          <w:position w:val="2"/>
        </w:rPr>
        <w:t>:  </w:t>
      </w:r>
      <w:r>
        <w:rPr>
          <w:rFonts w:ascii="Times New Roman" w:eastAsia="Times New Roman"/>
          <w:spacing w:val="22"/>
          <w:position w:val="2"/>
        </w:rPr>
        <w:t> </w:t>
      </w:r>
      <w:r>
        <w:rPr/>
        <w:t>是指海尔纽约人寿保险有限公司。</w:t>
      </w:r>
    </w:p>
    <w:p>
      <w:pPr>
        <w:pStyle w:val="BodyText"/>
        <w:tabs>
          <w:tab w:pos="2380" w:val="left" w:leader="none"/>
        </w:tabs>
        <w:spacing w:line="230" w:lineRule="auto" w:before="14"/>
        <w:ind w:right="179" w:hanging="2440"/>
        <w:jc w:val="both"/>
      </w:pPr>
      <w:r>
        <w:rPr/>
        <w:t>释义</w:t>
      </w:r>
      <w:r>
        <w:rPr>
          <w:spacing w:val="-43"/>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20"/>
          <w:position w:val="2"/>
        </w:rPr>
        <w:t> </w:t>
      </w:r>
      <w:r>
        <w:rPr/>
        <w:t>指中华人民共和国刑法规定的鸦片、海洛因、甲基苯丙胺（冰毒</w:t>
      </w:r>
      <w:r>
        <w:rPr>
          <w:spacing w:val="-84"/>
        </w:rPr>
        <w:t>）</w:t>
      </w:r>
      <w:r>
        <w:rPr/>
        <w:t>、吗啡、大麻、</w:t>
      </w:r>
      <w:r>
        <w:rPr>
          <w:spacing w:val="-1"/>
        </w:rPr>
        <w:t>可卡因以及国家规定管制</w:t>
      </w:r>
      <w:r>
        <w:rPr/>
        <w:t>的其他能够使人形成瘾癖的麻醉药品和精神药品</w:t>
      </w:r>
      <w:r>
        <w:rPr>
          <w:spacing w:val="-40"/>
        </w:rPr>
        <w:t>，</w:t>
      </w:r>
      <w:r>
        <w:rPr/>
        <w:t>但不包</w:t>
      </w:r>
      <w:r>
        <w:rPr>
          <w:spacing w:val="-1"/>
        </w:rPr>
        <w:t>括由医生开具并遵医嘱使用的用于治</w:t>
      </w:r>
      <w:r>
        <w:rPr/>
        <w:t>疗疾病的含有毒品成分的处方药品。</w:t>
      </w:r>
    </w:p>
    <w:p>
      <w:pPr>
        <w:spacing w:after="0" w:line="230" w:lineRule="auto"/>
        <w:jc w:val="both"/>
        <w:sectPr>
          <w:pgSz w:w="11910" w:h="16840"/>
          <w:pgMar w:header="883" w:footer="1868" w:top="1140" w:bottom="2060" w:left="1560" w:right="1500"/>
        </w:sectPr>
      </w:pPr>
    </w:p>
    <w:p>
      <w:pPr>
        <w:pStyle w:val="BodyText"/>
        <w:ind w:left="0"/>
        <w:rPr>
          <w:sz w:val="20"/>
        </w:rPr>
      </w:pPr>
    </w:p>
    <w:p>
      <w:pPr>
        <w:pStyle w:val="BodyText"/>
        <w:spacing w:before="4"/>
        <w:ind w:left="0"/>
        <w:rPr>
          <w:sz w:val="14"/>
        </w:rPr>
      </w:pPr>
    </w:p>
    <w:p>
      <w:pPr>
        <w:pStyle w:val="BodyText"/>
        <w:tabs>
          <w:tab w:pos="2380" w:val="left" w:leader="none"/>
        </w:tabs>
        <w:spacing w:line="230" w:lineRule="auto" w:before="80"/>
        <w:ind w:right="199" w:hanging="2440"/>
        <w:jc w:val="both"/>
      </w:pPr>
      <w:r>
        <w:rPr/>
        <w:t>释义</w:t>
      </w:r>
      <w:r>
        <w:rPr>
          <w:spacing w:val="-44"/>
        </w:rPr>
        <w:t> </w:t>
      </w:r>
      <w:r>
        <w:rPr>
          <w:rFonts w:ascii="Times New Roman" w:eastAsia="Times New Roman"/>
        </w:rPr>
        <w:t>9</w:t>
      </w:r>
      <w:r>
        <w:rPr/>
        <w:t>、酒后驾驶</w:t>
        <w:tab/>
      </w:r>
      <w:r>
        <w:rPr>
          <w:rFonts w:ascii="Times New Roman" w:eastAsia="Times New Roman"/>
          <w:position w:val="2"/>
        </w:rPr>
        <w:t>:  </w:t>
      </w:r>
      <w:r>
        <w:rPr>
          <w:rFonts w:ascii="Times New Roman" w:eastAsia="Times New Roman"/>
          <w:spacing w:val="17"/>
          <w:position w:val="2"/>
        </w:rPr>
        <w:t> </w:t>
      </w:r>
      <w:r>
        <w:rPr/>
        <w:t>指经检测或鉴定</w:t>
      </w:r>
      <w:r>
        <w:rPr>
          <w:spacing w:val="-40"/>
        </w:rPr>
        <w:t>，</w:t>
      </w:r>
      <w:r>
        <w:rPr/>
        <w:t>发生保险事故时车辆驾驶人员每百毫升血液中的酒精含量达到或</w:t>
      </w:r>
      <w:r>
        <w:rPr>
          <w:spacing w:val="-1"/>
        </w:rPr>
        <w:t>超过一定的标准</w:t>
      </w:r>
      <w:r>
        <w:rPr>
          <w:spacing w:val="-14"/>
        </w:rPr>
        <w:t>，</w:t>
      </w:r>
      <w:r>
        <w:rPr>
          <w:spacing w:val="-1"/>
        </w:rPr>
        <w:t>公安</w:t>
      </w:r>
      <w:r>
        <w:rPr/>
        <w:t>机关交通管理部门依</w:t>
      </w:r>
      <w:r>
        <w:rPr>
          <w:spacing w:val="-14"/>
        </w:rPr>
        <w:t>据</w:t>
      </w:r>
      <w:r>
        <w:rPr/>
        <w:t>《道路交通安全法</w:t>
      </w:r>
      <w:r>
        <w:rPr>
          <w:spacing w:val="-14"/>
        </w:rPr>
        <w:t>》</w:t>
      </w:r>
      <w:r>
        <w:rPr/>
        <w:t>的规定认定为饮</w:t>
      </w:r>
      <w:r>
        <w:rPr>
          <w:spacing w:val="-1"/>
        </w:rPr>
        <w:t>酒后驾驶</w:t>
      </w:r>
      <w:r>
        <w:rPr/>
        <w:t>或醉酒后驾驶。</w:t>
      </w:r>
    </w:p>
    <w:p>
      <w:pPr>
        <w:pStyle w:val="BodyText"/>
        <w:spacing w:before="48"/>
        <w:ind w:left="141"/>
      </w:pPr>
      <w:r>
        <w:rPr/>
        <w:t>释义 </w:t>
      </w:r>
      <w:r>
        <w:rPr>
          <w:rFonts w:ascii="Times New Roman" w:eastAsia="Times New Roman"/>
        </w:rPr>
        <w:t>10</w:t>
      </w:r>
      <w:r>
        <w:rPr/>
        <w:t>、无合法有效驾驶证驾</w:t>
      </w:r>
      <w:r>
        <w:rPr>
          <w:rFonts w:ascii="Times New Roman" w:eastAsia="Times New Roman"/>
          <w:position w:val="2"/>
        </w:rPr>
        <w:t>:   </w:t>
      </w:r>
      <w:r>
        <w:rPr/>
        <w:t>指下列情形之一：</w:t>
      </w:r>
    </w:p>
    <w:p>
      <w:pPr>
        <w:pStyle w:val="BodyText"/>
        <w:tabs>
          <w:tab w:pos="2581" w:val="left" w:leader="none"/>
        </w:tabs>
        <w:spacing w:line="214"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pPr>
      <w:r>
        <w:rPr>
          <w:rFonts w:ascii="Times New Roman" w:eastAsia="Times New Roman"/>
        </w:rPr>
        <w:t>2</w:t>
      </w:r>
      <w:r>
        <w:rPr/>
        <w:t>、驾驶与驾驶证准驾车型不相符合的车辆；</w:t>
      </w:r>
    </w:p>
    <w:p>
      <w:pPr>
        <w:pStyle w:val="BodyText"/>
        <w:spacing w:line="221" w:lineRule="exact"/>
      </w:pPr>
      <w:r>
        <w:rPr>
          <w:rFonts w:ascii="Times New Roman" w:eastAsia="Times New Roman"/>
        </w:rPr>
        <w:t>3</w:t>
      </w:r>
      <w:r>
        <w:rPr/>
        <w:t>、驾驶员持审验不合格的驾驶证驾驶；</w:t>
      </w:r>
    </w:p>
    <w:p>
      <w:pPr>
        <w:pStyle w:val="BodyText"/>
        <w:spacing w:line="221" w:lineRule="exact"/>
      </w:pPr>
      <w:r>
        <w:rPr>
          <w:rFonts w:ascii="Times New Roman" w:eastAsia="Times New Roman"/>
        </w:rPr>
        <w:t>4</w:t>
      </w:r>
      <w:r>
        <w:rPr/>
        <w:t>、未经公安交通管理部门同意，持未审验的驾驶证驾驶；</w:t>
      </w:r>
    </w:p>
    <w:p>
      <w:pPr>
        <w:pStyle w:val="BodyText"/>
        <w:spacing w:line="225" w:lineRule="auto" w:before="7"/>
        <w:ind w:right="202"/>
      </w:pPr>
      <w:r>
        <w:rPr>
          <w:rFonts w:ascii="Times New Roman" w:eastAsia="Times New Roman"/>
        </w:rPr>
        <w:t>5</w:t>
      </w:r>
      <w:r>
        <w:rPr/>
        <w:t>、持学习驾驶证学习驾车时，无教练员随车指导，或不按指定时间、路线学习驾车；</w:t>
      </w:r>
    </w:p>
    <w:p>
      <w:pPr>
        <w:pStyle w:val="BodyText"/>
        <w:spacing w:line="234"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13" w:lineRule="exact"/>
        <w:ind w:left="141"/>
      </w:pPr>
      <w:r>
        <w:rPr/>
        <w:t>释义</w:t>
      </w:r>
      <w:r>
        <w:rPr>
          <w:spacing w:val="-43"/>
        </w:rPr>
        <w:t> </w:t>
      </w:r>
      <w:r>
        <w:rPr>
          <w:rFonts w:ascii="Times New Roman" w:eastAsia="Times New Roman"/>
          <w:spacing w:val="-3"/>
        </w:rPr>
        <w:t>11</w:t>
      </w:r>
      <w:r>
        <w:rPr/>
        <w:t>、无有效行驶证</w:t>
        <w:tab/>
      </w:r>
      <w:r>
        <w:rPr>
          <w:rFonts w:ascii="Times New Roman" w:eastAsia="Times New Roman"/>
          <w:position w:val="2"/>
        </w:rPr>
        <w:t>:  </w:t>
      </w:r>
      <w:r>
        <w:rPr>
          <w:rFonts w:ascii="Times New Roman" w:eastAsia="Times New Roman"/>
          <w:spacing w:val="23"/>
          <w:position w:val="2"/>
        </w:rPr>
        <w:t> </w:t>
      </w:r>
      <w:r>
        <w:rPr/>
        <w:t>指下列情形之一：</w:t>
      </w:r>
    </w:p>
    <w:p>
      <w:pPr>
        <w:pStyle w:val="BodyText"/>
        <w:spacing w:line="221" w:lineRule="exact"/>
      </w:pPr>
      <w:r>
        <w:rPr>
          <w:rFonts w:ascii="Times New Roman" w:eastAsia="Times New Roman"/>
        </w:rPr>
        <w:t>1</w:t>
      </w:r>
      <w:r>
        <w:rPr/>
        <w:t>、机动车被依法注销登记的；</w:t>
      </w:r>
    </w:p>
    <w:p>
      <w:pPr>
        <w:pStyle w:val="BodyText"/>
        <w:spacing w:line="221" w:lineRule="exact"/>
      </w:pPr>
      <w:r>
        <w:rPr>
          <w:rFonts w:ascii="Times New Roman" w:eastAsia="Times New Roman"/>
        </w:rPr>
        <w:t>2</w:t>
      </w:r>
      <w:r>
        <w:rPr/>
        <w:t>、未依法按时进行或通过机动车安全技术检验。</w:t>
      </w:r>
    </w:p>
    <w:p>
      <w:pPr>
        <w:pStyle w:val="BodyText"/>
        <w:tabs>
          <w:tab w:pos="2380" w:val="left" w:leader="none"/>
        </w:tabs>
        <w:spacing w:line="244" w:lineRule="auto"/>
        <w:ind w:left="141" w:right="569"/>
      </w:pPr>
      <w:r>
        <w:rPr/>
        <w:t>释义</w:t>
      </w:r>
      <w:r>
        <w:rPr>
          <w:spacing w:val="-44"/>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80" w:val="left" w:leader="none"/>
        </w:tabs>
        <w:spacing w:line="225" w:lineRule="auto" w:before="22"/>
        <w:ind w:right="158" w:hanging="2440"/>
      </w:pPr>
      <w:r>
        <w:rPr/>
        <w:t>释义</w:t>
      </w:r>
      <w:r>
        <w:rPr>
          <w:spacing w:val="-44"/>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指生殖细胞或受精卵的遗传物质（染色体和基因）发生突变或畸变所引起的疾病，</w:t>
      </w:r>
      <w:r>
        <w:rPr>
          <w:spacing w:val="-1"/>
        </w:rPr>
        <w:t>通常具有由亲代传至后</w:t>
      </w:r>
      <w:r>
        <w:rPr/>
        <w:t>代的垂直传递的特征。</w:t>
      </w:r>
    </w:p>
    <w:p>
      <w:pPr>
        <w:pStyle w:val="BodyText"/>
        <w:spacing w:line="234" w:lineRule="exact"/>
        <w:ind w:left="141"/>
      </w:pPr>
      <w:r>
        <w:rPr/>
        <w:t>释义 </w:t>
      </w:r>
      <w:r>
        <w:rPr>
          <w:rFonts w:ascii="Times New Roman" w:eastAsia="Times New Roman"/>
        </w:rPr>
        <w:t>15</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4" w:lineRule="exact"/>
        <w:sectPr>
          <w:pgSz w:w="11910" w:h="16840"/>
          <w:pgMar w:header="883" w:footer="1868" w:top="1140" w:bottom="2060" w:left="1560" w:right="1480"/>
        </w:sectPr>
      </w:pPr>
    </w:p>
    <w:p>
      <w:pPr>
        <w:pStyle w:val="BodyText"/>
        <w:spacing w:line="208"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10" w:h="16840"/>
          <w:pgMar w:top="280" w:bottom="2060" w:left="1560" w:right="1480"/>
          <w:cols w:num="2" w:equalWidth="0">
            <w:col w:w="993" w:space="1447"/>
            <w:col w:w="6430"/>
          </w:cols>
        </w:sectPr>
      </w:pPr>
    </w:p>
    <w:p>
      <w:pPr>
        <w:pStyle w:val="BodyText"/>
        <w:spacing w:line="225" w:lineRule="auto"/>
        <w:ind w:right="199" w:hanging="2440"/>
      </w:pPr>
      <w:r>
        <w:rPr/>
        <w:t>释义 </w:t>
      </w:r>
      <w:r>
        <w:rPr>
          <w:rFonts w:ascii="Times New Roman" w:eastAsia="Times New Roman"/>
        </w:rPr>
        <w:t>16</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34" w:lineRule="exact"/>
        <w:ind w:left="141"/>
      </w:pPr>
      <w:r>
        <w:rPr/>
        <w:t>释义 </w:t>
      </w:r>
      <w:r>
        <w:rPr>
          <w:rFonts w:ascii="Times New Roman" w:eastAsia="Times New Roman"/>
        </w:rPr>
        <w:t>17</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1" w:val="left" w:leader="none"/>
        </w:tabs>
        <w:spacing w:line="220" w:lineRule="exact" w:before="9"/>
        <w:ind w:right="199" w:hanging="2440"/>
      </w:pPr>
      <w:r>
        <w:rPr/>
        <w:t>院</w:t>
        <w:tab/>
      </w:r>
      <w:r>
        <w:rPr>
          <w:spacing w:val="-1"/>
        </w:rPr>
        <w:t>我们指定的医院范围将以最新调整的医院名单范围</w:t>
      </w:r>
      <w:r>
        <w:rPr/>
        <w:t>为准</w:t>
      </w:r>
      <w:r>
        <w:rPr>
          <w:spacing w:val="-40"/>
        </w:rPr>
        <w:t>，</w:t>
      </w:r>
      <w:r>
        <w:rPr/>
        <w:t>该名单可通过本公司网站 </w:t>
      </w:r>
      <w:r>
        <w:rPr>
          <w:spacing w:val="-1"/>
        </w:rPr>
        <w:t>和客户服</w:t>
      </w:r>
      <w:r>
        <w:rPr/>
        <w:t>务电话查询。</w:t>
      </w:r>
    </w:p>
    <w:p>
      <w:pPr>
        <w:pStyle w:val="BodyText"/>
        <w:spacing w:line="225" w:lineRule="auto"/>
        <w:ind w:right="202" w:hanging="1"/>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20"/>
        <w:ind w:right="202"/>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3"/>
        <w:ind w:right="202"/>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2" w:lineRule="auto" w:before="4"/>
        <w:ind w:right="196" w:hanging="2440"/>
        <w:jc w:val="both"/>
      </w:pPr>
      <w:r>
        <w:rPr/>
        <w:t>释义</w:t>
      </w:r>
      <w:r>
        <w:rPr>
          <w:spacing w:val="-43"/>
        </w:rPr>
        <w:t> </w:t>
      </w:r>
      <w:r>
        <w:rPr>
          <w:rFonts w:ascii="Times New Roman" w:eastAsia="Times New Roman"/>
        </w:rPr>
        <w:t>18</w:t>
      </w:r>
      <w:r>
        <w:rPr/>
        <w:t>、医院</w:t>
        <w:tab/>
      </w:r>
      <w:r>
        <w:rPr>
          <w:rFonts w:ascii="Times New Roman" w:eastAsia="Times New Roman"/>
          <w:position w:val="2"/>
        </w:rPr>
        <w:t>:     </w:t>
      </w:r>
      <w:r>
        <w:rPr>
          <w:rFonts w:ascii="Times New Roman" w:eastAsia="Times New Roman"/>
          <w:spacing w:val="11"/>
          <w:position w:val="2"/>
        </w:rPr>
        <w:t> </w:t>
      </w:r>
      <w:r>
        <w:rPr/>
        <w:t>是指经中华人民共和国卫生部门正式评定的二级或二级以上的综合性医院或专科医院</w:t>
      </w:r>
      <w:r>
        <w:rPr>
          <w:spacing w:val="-8"/>
        </w:rPr>
        <w:t>，</w:t>
      </w:r>
      <w:r>
        <w:rPr/>
        <w:t>但不包括专供康复</w:t>
      </w:r>
      <w:r>
        <w:rPr>
          <w:spacing w:val="-9"/>
        </w:rPr>
        <w:t>、</w:t>
      </w:r>
      <w:r>
        <w:rPr/>
        <w:t>休养</w:t>
      </w:r>
      <w:r>
        <w:rPr>
          <w:spacing w:val="-8"/>
        </w:rPr>
        <w:t>、</w:t>
      </w:r>
      <w:r>
        <w:rPr/>
        <w:t>戒毒</w:t>
      </w:r>
      <w:r>
        <w:rPr>
          <w:spacing w:val="-8"/>
        </w:rPr>
        <w:t>、</w:t>
      </w:r>
      <w:r>
        <w:rPr/>
        <w:t>戒酒</w:t>
      </w:r>
      <w:r>
        <w:rPr>
          <w:spacing w:val="-9"/>
        </w:rPr>
        <w:t>、</w:t>
      </w:r>
      <w:r>
        <w:rPr/>
        <w:t>护理</w:t>
      </w:r>
      <w:r>
        <w:rPr>
          <w:spacing w:val="-8"/>
        </w:rPr>
        <w:t>、</w:t>
      </w:r>
      <w:r>
        <w:rPr/>
        <w:t>养老等非以直接诊治病人为</w:t>
      </w:r>
      <w:r>
        <w:rPr>
          <w:spacing w:val="-1"/>
        </w:rPr>
        <w:t>目的的医疗</w:t>
      </w:r>
      <w:r>
        <w:rPr/>
        <w:t>机构</w:t>
      </w:r>
      <w:r>
        <w:rPr>
          <w:spacing w:val="-21"/>
        </w:rPr>
        <w:t>。</w:t>
      </w:r>
      <w:r>
        <w:rPr/>
        <w:t>该医院必须符合国家有关医院管理规则设置标准的医疗设备</w:t>
      </w:r>
      <w:r>
        <w:rPr>
          <w:spacing w:val="-22"/>
        </w:rPr>
        <w:t>，</w:t>
      </w:r>
      <w:r>
        <w:rPr/>
        <w:t>且</w:t>
      </w:r>
      <w:r>
        <w:rPr>
          <w:spacing w:val="-1"/>
        </w:rPr>
        <w:t>全天二十四小时有合格医师及护</w:t>
      </w:r>
      <w:r>
        <w:rPr/>
        <w:t>士驻院提供医疗和护理服务。</w:t>
      </w:r>
    </w:p>
    <w:p>
      <w:pPr>
        <w:pStyle w:val="BodyText"/>
        <w:ind w:right="196"/>
      </w:pPr>
      <w:r>
        <w:rPr/>
        <w:t>若国家有关部门对于医院的评级标准有更改或取消，我们保留调整医院定义的权利。</w:t>
      </w:r>
    </w:p>
    <w:p>
      <w:pPr>
        <w:pStyle w:val="BodyText"/>
        <w:tabs>
          <w:tab w:pos="2380" w:val="left" w:leader="none"/>
        </w:tabs>
        <w:spacing w:line="244" w:lineRule="auto"/>
        <w:ind w:left="141" w:right="2708"/>
      </w:pPr>
      <w:r>
        <w:rPr/>
        <w:t>释义</w:t>
      </w:r>
      <w:r>
        <w:rPr>
          <w:spacing w:val="-44"/>
        </w:rPr>
        <w:t> </w:t>
      </w:r>
      <w:r>
        <w:rPr>
          <w:rFonts w:ascii="Times New Roman" w:eastAsia="Times New Roman"/>
        </w:rPr>
        <w:t>19</w:t>
      </w:r>
      <w:r>
        <w:rPr/>
        <w:t>、保险事故</w:t>
        <w:tab/>
      </w:r>
      <w:r>
        <w:rPr>
          <w:rFonts w:ascii="Times New Roman" w:eastAsia="Times New Roman"/>
          <w:position w:val="2"/>
        </w:rPr>
        <w:t>:  </w:t>
      </w:r>
      <w:r>
        <w:rPr>
          <w:rFonts w:ascii="Times New Roman" w:eastAsia="Times New Roman"/>
          <w:spacing w:val="23"/>
          <w:position w:val="2"/>
        </w:rPr>
        <w:t> </w:t>
      </w:r>
      <w:r>
        <w:rPr/>
        <w:t>是指本附加合同约定的保险责任范围内的事故。释义</w:t>
      </w:r>
      <w:r>
        <w:rPr>
          <w:spacing w:val="-44"/>
        </w:rPr>
        <w:t> </w:t>
      </w:r>
      <w:r>
        <w:rPr>
          <w:rFonts w:ascii="Times New Roman" w:eastAsia="Times New Roman"/>
        </w:rPr>
        <w:t>20</w:t>
      </w:r>
      <w:r>
        <w:rPr/>
        <w:t>、保险合同周年日</w:t>
        <w:tab/>
      </w:r>
      <w:r>
        <w:rPr>
          <w:rFonts w:ascii="Times New Roman" w:eastAsia="Times New Roman"/>
          <w:position w:val="2"/>
        </w:rPr>
        <w:t>:  </w:t>
      </w:r>
      <w:r>
        <w:rPr>
          <w:rFonts w:ascii="Times New Roman" w:eastAsia="Times New Roman"/>
          <w:spacing w:val="22"/>
          <w:position w:val="2"/>
        </w:rPr>
        <w:t> </w:t>
      </w:r>
      <w:r>
        <w:rPr/>
        <w:t>是指主合同生效日起的周年日期。</w:t>
      </w:r>
    </w:p>
    <w:p>
      <w:pPr>
        <w:pStyle w:val="BodyText"/>
        <w:tabs>
          <w:tab w:pos="2380" w:val="left" w:leader="none"/>
        </w:tabs>
        <w:spacing w:line="225" w:lineRule="auto" w:before="15"/>
        <w:ind w:right="199" w:hanging="2440"/>
      </w:pPr>
      <w:r>
        <w:rPr/>
        <w:t>释义</w:t>
      </w:r>
      <w:r>
        <w:rPr>
          <w:spacing w:val="-44"/>
        </w:rPr>
        <w:t> </w:t>
      </w:r>
      <w:r>
        <w:rPr>
          <w:rFonts w:ascii="Times New Roman" w:eastAsia="Times New Roman"/>
        </w:rPr>
        <w:t>21</w:t>
      </w:r>
      <w:r>
        <w:rPr/>
        <w:t>、现金价值</w:t>
        <w:tab/>
      </w:r>
      <w:r>
        <w:rPr>
          <w:rFonts w:ascii="Times New Roman" w:eastAsia="Times New Roman"/>
          <w:position w:val="2"/>
        </w:rPr>
        <w:t>:  </w:t>
      </w:r>
      <w:r>
        <w:rPr>
          <w:rFonts w:ascii="Times New Roman" w:eastAsia="Times New Roman"/>
          <w:spacing w:val="21"/>
          <w:position w:val="2"/>
        </w:rPr>
        <w:t> </w:t>
      </w:r>
      <w:r>
        <w:rPr/>
        <w:t>指保险单所具有的价值</w:t>
      </w:r>
      <w:r>
        <w:rPr>
          <w:spacing w:val="-15"/>
        </w:rPr>
        <w:t>，</w:t>
      </w:r>
      <w:r>
        <w:rPr/>
        <w:t>通常体现为解除合同时</w:t>
      </w:r>
      <w:r>
        <w:rPr>
          <w:spacing w:val="-14"/>
        </w:rPr>
        <w:t>，</w:t>
      </w:r>
      <w:r>
        <w:rPr/>
        <w:t>根据精算原理计算的</w:t>
      </w:r>
      <w:r>
        <w:rPr>
          <w:spacing w:val="-15"/>
        </w:rPr>
        <w:t>，</w:t>
      </w:r>
      <w:r>
        <w:rPr/>
        <w:t>由本公司</w:t>
      </w:r>
      <w:r>
        <w:rPr>
          <w:spacing w:val="-1"/>
        </w:rPr>
        <w:t>退还的那</w:t>
      </w:r>
      <w:r>
        <w:rPr/>
        <w:t>部分金额。</w:t>
      </w:r>
    </w:p>
    <w:p>
      <w:pPr>
        <w:pStyle w:val="BodyText"/>
        <w:spacing w:before="2"/>
        <w:ind w:left="0"/>
        <w:rPr>
          <w:sz w:val="18"/>
        </w:rPr>
      </w:pPr>
    </w:p>
    <w:p>
      <w:pPr>
        <w:pStyle w:val="BodyText"/>
        <w:ind w:left="141"/>
      </w:pPr>
      <w:r>
        <w:rPr/>
        <w:t>重大疾病是指下列任何一种疾病，被保险人发生符合以下疾病定义所述条件的疾病，应当由专科医生明确诊断。</w:t>
      </w:r>
    </w:p>
    <w:p>
      <w:pPr>
        <w:pStyle w:val="BodyText"/>
        <w:spacing w:before="6"/>
        <w:ind w:left="0"/>
        <w:rPr>
          <w:sz w:val="15"/>
        </w:rPr>
      </w:pPr>
    </w:p>
    <w:p>
      <w:pPr>
        <w:pStyle w:val="BodyText"/>
        <w:tabs>
          <w:tab w:pos="2380" w:val="left" w:leader="none"/>
        </w:tabs>
        <w:spacing w:line="230" w:lineRule="auto"/>
        <w:ind w:right="113" w:hanging="2440"/>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可以经血管、淋巴管和体腔扩散转移到身体其它部位的疾病</w:t>
      </w:r>
      <w:r>
        <w:rPr>
          <w:spacing w:val="-22"/>
        </w:rPr>
        <w:t>。</w:t>
      </w:r>
      <w:r>
        <w:rPr/>
        <w:t>经病理学检查结果明确诊断</w:t>
      </w:r>
      <w:r>
        <w:rPr>
          <w:spacing w:val="-21"/>
        </w:rPr>
        <w:t>，</w:t>
      </w:r>
      <w:r>
        <w:rPr/>
        <w:t>临床诊断属于世界卫生组织《疾病和有关健康问题的国际统计分类</w:t>
      </w:r>
      <w:r>
        <w:rPr>
          <w:spacing w:val="-86"/>
        </w:rPr>
        <w:t>》</w:t>
      </w:r>
      <w:r>
        <w:rPr/>
        <w:t>（</w:t>
      </w:r>
      <w:r>
        <w:rPr>
          <w:rFonts w:ascii="Times New Roman" w:eastAsia="Times New Roman"/>
        </w:rPr>
        <w:t>ICD-10</w:t>
      </w:r>
      <w:r>
        <w:rPr/>
        <w:t>）的恶性</w:t>
      </w:r>
      <w:r>
        <w:rPr>
          <w:spacing w:val="-1"/>
        </w:rPr>
        <w:t>肿瘤</w:t>
      </w:r>
      <w:r>
        <w:rPr/>
        <w:t>范畴。</w:t>
      </w:r>
    </w:p>
    <w:p>
      <w:pPr>
        <w:pStyle w:val="BodyText"/>
        <w:spacing w:line="220" w:lineRule="exact"/>
      </w:pPr>
      <w:r>
        <w:rPr/>
        <w:t>下列疾病不在保障范围内：</w:t>
      </w:r>
    </w:p>
    <w:p>
      <w:pPr>
        <w:pStyle w:val="BodyText"/>
        <w:spacing w:line="227"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1"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T1N0M0 </w:t>
      </w:r>
      <w:r>
        <w:rPr/>
        <w:t>期或更轻分期的前列腺癌；</w:t>
      </w:r>
    </w:p>
    <w:p>
      <w:pPr>
        <w:pStyle w:val="BodyText"/>
        <w:spacing w:line="228" w:lineRule="exact"/>
      </w:pPr>
      <w:r>
        <w:rPr/>
        <w:t>（</w:t>
      </w:r>
      <w:r>
        <w:rPr>
          <w:rFonts w:ascii="Times New Roman" w:eastAsia="Times New Roman"/>
        </w:rPr>
        <w:t>6</w:t>
      </w:r>
      <w:r>
        <w:rPr/>
        <w:t>）感染艾滋病病毒或患艾滋病期间所患恶性肿瘤。</w:t>
      </w:r>
    </w:p>
    <w:p>
      <w:pPr>
        <w:spacing w:after="0" w:line="228" w:lineRule="exact"/>
        <w:sectPr>
          <w:type w:val="continuous"/>
          <w:pgSz w:w="11910" w:h="16840"/>
          <w:pgMar w:top="280" w:bottom="206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line="225" w:lineRule="auto" w:before="68"/>
        <w:ind w:right="199" w:hanging="2440"/>
        <w:jc w:val="both"/>
      </w:pPr>
      <w:r>
        <w:rPr>
          <w:rFonts w:ascii="Times New Roman" w:eastAsia="Times New Roman"/>
        </w:rPr>
        <w:t>2</w:t>
      </w:r>
      <w:r>
        <w:rPr/>
        <w:t>、急性心肌梗塞</w:t>
        <w:tab/>
      </w:r>
      <w:r>
        <w:rPr>
          <w:spacing w:val="-1"/>
        </w:rPr>
        <w:t>：</w:t>
      </w:r>
      <w:r>
        <w:rPr>
          <w:spacing w:val="-61"/>
        </w:rPr>
        <w:t> </w:t>
      </w:r>
      <w:r>
        <w:rPr/>
        <w:t>指因冠状动脉阻塞导致的相应区域供血不足造成部分心肌坏死</w:t>
      </w:r>
      <w:r>
        <w:rPr>
          <w:spacing w:val="-41"/>
        </w:rPr>
        <w:t>。</w:t>
      </w:r>
      <w:r>
        <w:rPr/>
        <w:t>须满足下列至少三项条件：</w:t>
      </w:r>
    </w:p>
    <w:p>
      <w:pPr>
        <w:pStyle w:val="BodyText"/>
        <w:spacing w:line="226" w:lineRule="exact"/>
      </w:pPr>
      <w:r>
        <w:rPr/>
        <w:t>（</w:t>
      </w:r>
      <w:r>
        <w:rPr>
          <w:rFonts w:ascii="Times New Roman" w:eastAsia="Times New Roman"/>
        </w:rPr>
        <w:t>1</w:t>
      </w:r>
      <w:r>
        <w:rPr/>
        <w:t>）典型临床表现，例如急性胸痛等；</w:t>
      </w:r>
    </w:p>
    <w:p>
      <w:pPr>
        <w:pStyle w:val="BodyText"/>
        <w:spacing w:line="221" w:lineRule="exact"/>
      </w:pPr>
      <w:r>
        <w:rPr/>
        <w:t>（</w:t>
      </w:r>
      <w:r>
        <w:rPr>
          <w:rFonts w:ascii="Times New Roman" w:eastAsia="Times New Roman"/>
        </w:rPr>
        <w:t>2</w:t>
      </w:r>
      <w:r>
        <w:rPr/>
        <w:t>）新近的心电图改变提示急性心肌梗塞；</w:t>
      </w:r>
    </w:p>
    <w:p>
      <w:pPr>
        <w:pStyle w:val="BodyText"/>
        <w:spacing w:line="221" w:lineRule="exact"/>
      </w:pPr>
      <w:r>
        <w:rPr/>
        <w:t>（</w:t>
      </w:r>
      <w:r>
        <w:rPr>
          <w:rFonts w:ascii="Times New Roman" w:eastAsia="Times New Roman"/>
        </w:rPr>
        <w:t>3</w:t>
      </w:r>
      <w:r>
        <w:rPr/>
        <w:t>）心肌酶或肌钙蛋白有诊断意义的升高，或呈符合急性心肌梗塞的动态性变化；</w:t>
      </w:r>
    </w:p>
    <w:p>
      <w:pPr>
        <w:pStyle w:val="BodyText"/>
        <w:spacing w:line="228"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tabs>
          <w:tab w:pos="2380" w:val="left" w:leader="none"/>
        </w:tabs>
        <w:spacing w:line="225" w:lineRule="auto" w:before="85"/>
        <w:ind w:right="199" w:hanging="2440"/>
        <w:jc w:val="both"/>
      </w:pPr>
      <w:r>
        <w:rPr>
          <w:rFonts w:ascii="Times New Roman" w:eastAsia="Times New Roman"/>
        </w:rPr>
        <w:t>3</w:t>
      </w:r>
      <w:r>
        <w:rPr/>
        <w:t>、脑中风后遗症</w:t>
        <w:tab/>
      </w:r>
      <w:r>
        <w:rPr>
          <w:spacing w:val="-1"/>
        </w:rPr>
        <w:t>：</w:t>
      </w:r>
      <w:r>
        <w:rPr>
          <w:spacing w:val="-61"/>
        </w:rPr>
        <w:t> </w:t>
      </w:r>
      <w:r>
        <w:rPr/>
        <w:t>指因脑血管的突发病变引起脑血管出血</w:t>
      </w:r>
      <w:r>
        <w:rPr>
          <w:spacing w:val="-21"/>
        </w:rPr>
        <w:t>、</w:t>
      </w:r>
      <w:r>
        <w:rPr/>
        <w:t>栓塞或梗塞</w:t>
      </w:r>
      <w:r>
        <w:rPr>
          <w:spacing w:val="-21"/>
        </w:rPr>
        <w:t>，</w:t>
      </w:r>
      <w:r>
        <w:rPr/>
        <w:t>并导致神经系统永久性的功能障碍</w:t>
      </w:r>
      <w:r>
        <w:rPr>
          <w:spacing w:val="-15"/>
        </w:rPr>
        <w:t>。</w:t>
      </w:r>
      <w:r>
        <w:rPr/>
        <w:t>神经系统永久性的功能障碍</w:t>
      </w:r>
      <w:r>
        <w:rPr>
          <w:spacing w:val="-14"/>
        </w:rPr>
        <w:t>，</w:t>
      </w:r>
      <w:r>
        <w:rPr/>
        <w:t>指疾病确诊</w:t>
      </w:r>
      <w:r>
        <w:rPr>
          <w:spacing w:val="-46"/>
        </w:rPr>
        <w:t> </w:t>
      </w:r>
      <w:r>
        <w:rPr>
          <w:rFonts w:ascii="Times New Roman" w:eastAsia="Times New Roman"/>
        </w:rPr>
        <w:t>180</w:t>
      </w:r>
      <w:r>
        <w:rPr>
          <w:rFonts w:ascii="Times New Roman" w:eastAsia="Times New Roman"/>
          <w:spacing w:val="-3"/>
        </w:rPr>
        <w:t> </w:t>
      </w:r>
      <w:r>
        <w:rPr/>
        <w:t>天后</w:t>
      </w:r>
      <w:r>
        <w:rPr>
          <w:spacing w:val="-14"/>
        </w:rPr>
        <w:t>，</w:t>
      </w:r>
      <w:r>
        <w:rPr/>
        <w:t>仍遗留下列一种或一</w:t>
      </w:r>
      <w:r>
        <w:rPr>
          <w:spacing w:val="-1"/>
        </w:rPr>
        <w:t>种以</w:t>
      </w:r>
      <w:r>
        <w:rPr/>
        <w:t>上障碍：</w:t>
      </w:r>
    </w:p>
    <w:p>
      <w:pPr>
        <w:pStyle w:val="BodyText"/>
        <w:spacing w:line="228"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pStyle w:val="BodyText"/>
        <w:spacing w:line="234" w:lineRule="exact"/>
        <w:ind w:left="141"/>
      </w:pPr>
      <w:r>
        <w:rPr>
          <w:rFonts w:ascii="Times New Roman" w:eastAsia="Times New Roman"/>
        </w:rPr>
        <w:t>4</w:t>
      </w:r>
      <w:r>
        <w:rPr/>
        <w:t>、重大器官移植术或造血干细： 重大器官移植术，指因相应器官功能衰竭，已经实施了肾脏、肝脏、心脏或肺脏的</w:t>
      </w:r>
    </w:p>
    <w:p>
      <w:pPr>
        <w:spacing w:after="0" w:line="234" w:lineRule="exact"/>
        <w:sectPr>
          <w:pgSz w:w="11910" w:h="16840"/>
          <w:pgMar w:header="883" w:footer="1868" w:top="1140" w:bottom="2060" w:left="1560" w:right="1480"/>
        </w:sectPr>
      </w:pPr>
    </w:p>
    <w:p>
      <w:pPr>
        <w:pStyle w:val="BodyText"/>
        <w:spacing w:line="208" w:lineRule="exact"/>
        <w:ind w:left="141"/>
      </w:pPr>
      <w:r>
        <w:rPr/>
        <w:t>胞移植术</w:t>
      </w:r>
    </w:p>
    <w:p>
      <w:pPr>
        <w:pStyle w:val="BodyText"/>
        <w:spacing w:line="208" w:lineRule="exact"/>
        <w:ind w:left="141"/>
      </w:pPr>
      <w:r>
        <w:rPr/>
        <w:br w:type="column"/>
      </w:r>
      <w:r>
        <w:rPr/>
        <w:t>异体移植手术。</w:t>
      </w:r>
    </w:p>
    <w:p>
      <w:pPr>
        <w:pStyle w:val="BodyText"/>
        <w:ind w:left="14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2060" w:left="1560" w:right="1480"/>
          <w:cols w:num="2" w:equalWidth="0">
            <w:col w:w="824" w:space="1616"/>
            <w:col w:w="6430"/>
          </w:cols>
        </w:sectPr>
      </w:pPr>
    </w:p>
    <w:p>
      <w:pPr>
        <w:pStyle w:val="BodyText"/>
        <w:spacing w:line="234" w:lineRule="exact"/>
        <w:ind w:left="141"/>
      </w:pPr>
      <w:r>
        <w:rPr>
          <w:rFonts w:ascii="Times New Roman" w:eastAsia="Times New Roman"/>
        </w:rPr>
        <w:t>5</w:t>
      </w:r>
      <w:r>
        <w:rPr/>
        <w:t>、冠状动脉搭桥术（或称冠状： 指为治疗严重的冠心病，实际实施了开胸进行的冠状动脉血管旁路移植的手术。</w:t>
      </w:r>
    </w:p>
    <w:p>
      <w:pPr>
        <w:spacing w:after="0" w:line="234" w:lineRule="exact"/>
        <w:sectPr>
          <w:type w:val="continuous"/>
          <w:pgSz w:w="11910" w:h="16840"/>
          <w:pgMar w:top="280" w:bottom="2060" w:left="1560" w:right="1480"/>
        </w:sectPr>
      </w:pPr>
    </w:p>
    <w:p>
      <w:pPr>
        <w:pStyle w:val="BodyText"/>
        <w:spacing w:line="208" w:lineRule="exact"/>
        <w:ind w:left="141"/>
      </w:pPr>
      <w:r>
        <w:rPr/>
        <w:t>动脉旁路移植术）</w:t>
      </w:r>
    </w:p>
    <w:p>
      <w:pPr>
        <w:pStyle w:val="BodyText"/>
        <w:spacing w:line="220" w:lineRule="exact" w:before="8"/>
        <w:ind w:left="141" w:right="113"/>
      </w:pPr>
      <w:r>
        <w:rPr/>
        <w:br w:type="column"/>
      </w:r>
      <w:r>
        <w:rPr>
          <w:spacing w:val="-11"/>
        </w:rPr>
        <w:t>冠状动脉支架植入术、心导管球囊扩张术、激光射频技术及其它非开胸的介入手术、</w:t>
      </w:r>
      <w:r>
        <w:rPr>
          <w:spacing w:val="-1"/>
        </w:rPr>
        <w:t>腔镜手术不在保障范围内。</w:t>
      </w:r>
    </w:p>
    <w:p>
      <w:pPr>
        <w:spacing w:after="0" w:line="220" w:lineRule="exact"/>
        <w:sectPr>
          <w:type w:val="continuous"/>
          <w:pgSz w:w="11910" w:h="16840"/>
          <w:pgMar w:top="280" w:bottom="2060" w:left="1560" w:right="1480"/>
          <w:cols w:num="2" w:equalWidth="0">
            <w:col w:w="1503" w:space="937"/>
            <w:col w:w="6430"/>
          </w:cols>
        </w:sectPr>
      </w:pPr>
    </w:p>
    <w:p>
      <w:pPr>
        <w:pStyle w:val="BodyText"/>
        <w:spacing w:line="214" w:lineRule="exact"/>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9" w:lineRule="exact"/>
        <w:ind w:left="141"/>
      </w:pPr>
      <w:r>
        <w:rPr/>
        <w:t>能衰竭尿毒症期）</w:t>
        <w:tab/>
      </w:r>
      <w:r>
        <w:rPr>
          <w:spacing w:val="-1"/>
        </w:rPr>
        <w:t>规律性透析治疗或</w:t>
      </w:r>
      <w:r>
        <w:rPr/>
        <w:t>实施了肾脏移植手术。</w:t>
      </w:r>
    </w:p>
    <w:p>
      <w:pPr>
        <w:pStyle w:val="BodyText"/>
        <w:tabs>
          <w:tab w:pos="2380" w:val="left" w:leader="none"/>
        </w:tabs>
        <w:spacing w:line="225" w:lineRule="auto" w:before="12"/>
        <w:ind w:right="196" w:hanging="2440"/>
        <w:jc w:val="both"/>
      </w:pPr>
      <w:r>
        <w:rPr>
          <w:rFonts w:ascii="Times New Roman" w:eastAsia="Times New Roman"/>
        </w:rPr>
        <w:t>7</w:t>
      </w:r>
      <w:r>
        <w:rPr/>
        <w:t>、多个肢体缺失</w:t>
        <w:tab/>
        <w:t>：</w:t>
      </w:r>
      <w:r>
        <w:rPr>
          <w:spacing w:val="57"/>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88"/>
        <w:ind w:right="199" w:hanging="2440"/>
        <w:jc w:val="both"/>
      </w:pPr>
      <w:r>
        <w:rPr>
          <w:rFonts w:ascii="Times New Roman" w:eastAsia="Times New Roman"/>
        </w:rPr>
        <w:t>8</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8"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8" w:lineRule="exact"/>
      </w:pPr>
      <w:r>
        <w:rPr/>
        <w:t>（</w:t>
      </w:r>
      <w:r>
        <w:rPr>
          <w:rFonts w:ascii="Times New Roman" w:eastAsia="Times New Roman"/>
        </w:rPr>
        <w:t>4</w:t>
      </w:r>
      <w:r>
        <w:rPr/>
        <w:t>）肝功能指标进行性恶化。</w:t>
      </w:r>
    </w:p>
    <w:p>
      <w:pPr>
        <w:pStyle w:val="BodyText"/>
        <w:tabs>
          <w:tab w:pos="2380" w:val="left" w:leader="none"/>
        </w:tabs>
        <w:spacing w:line="225" w:lineRule="auto" w:before="78"/>
        <w:ind w:right="113" w:hanging="2440"/>
        <w:jc w:val="both"/>
      </w:pPr>
      <w:r>
        <w:rPr>
          <w:rFonts w:ascii="Times New Roman" w:eastAsia="Times New Roman"/>
        </w:rPr>
        <w:t>9</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5"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4" w:lineRule="exact"/>
      </w:pPr>
      <w:r>
        <w:rPr/>
        <w:t>脑垂体瘤、脑囊肿、脑血管性疾病不在保障范围内。</w:t>
      </w:r>
    </w:p>
    <w:p>
      <w:pPr>
        <w:pStyle w:val="BodyText"/>
        <w:spacing w:line="227" w:lineRule="exact"/>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7"/>
        <w:ind w:right="2113"/>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32"/>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81" w:val="left" w:leader="none"/>
        </w:tabs>
        <w:spacing w:line="213" w:lineRule="exact"/>
        <w:ind w:left="141"/>
      </w:pPr>
      <w:r>
        <w:rPr/>
        <w:t>症</w:t>
        <w:tab/>
        <w:t>碍，指疾病确诊</w:t>
      </w:r>
      <w:r>
        <w:rPr>
          <w:spacing w:val="-46"/>
        </w:rPr>
        <w:t> </w:t>
      </w:r>
      <w:r>
        <w:rPr>
          <w:rFonts w:ascii="Times New Roman" w:eastAsia="Times New Roman"/>
        </w:rPr>
        <w:t>180</w:t>
      </w:r>
      <w:r>
        <w:rPr>
          <w:rFonts w:ascii="Times New Roman" w:eastAsia="Times New Roman"/>
          <w:spacing w:val="37"/>
        </w:rPr>
        <w:t> </w:t>
      </w:r>
      <w:r>
        <w:rPr/>
        <w:t>天后，仍遗留下列一种或一种以上障碍：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81"/>
        <w:ind w:right="198" w:hanging="2440"/>
        <w:jc w:val="both"/>
      </w:pPr>
      <w:r>
        <w:rPr>
          <w:rFonts w:ascii="Times New Roman" w:eastAsia="Times New Roman"/>
        </w:rPr>
        <w:t>12</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7" w:lineRule="exact"/>
      </w:pPr>
      <w:r>
        <w:rPr/>
        <w:t>因酗酒或药物滥用导致的深度昏迷不在保障范围内。</w:t>
      </w:r>
    </w:p>
    <w:p>
      <w:pPr>
        <w:pStyle w:val="BodyText"/>
        <w:tabs>
          <w:tab w:pos="2380" w:val="left" w:leader="none"/>
        </w:tabs>
        <w:spacing w:line="227" w:lineRule="exact"/>
        <w:ind w:left="141"/>
      </w:pPr>
      <w:r>
        <w:rPr>
          <w:rFonts w:ascii="Times New Roman" w:eastAsia="Times New Roman"/>
        </w:rPr>
        <w:t>13</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7"/>
        <w:ind w:right="199"/>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spacing w:after="0" w:line="225" w:lineRule="auto"/>
        <w:sectPr>
          <w:type w:val="continuous"/>
          <w:pgSz w:w="11910" w:h="16840"/>
          <w:pgMar w:top="280" w:bottom="206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line="225" w:lineRule="auto" w:before="68"/>
        <w:ind w:right="199" w:hanging="2440"/>
        <w:jc w:val="both"/>
      </w:pPr>
      <w:r>
        <w:rPr>
          <w:rFonts w:ascii="Times New Roman" w:eastAsia="Times New Roman"/>
        </w:rPr>
        <w:t>14</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6"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22"/>
        <w:ind w:right="199" w:hanging="2440"/>
        <w:jc w:val="both"/>
      </w:pPr>
      <w:r>
        <w:rPr>
          <w:rFonts w:ascii="Times New Roman" w:eastAsia="Times New Roman"/>
        </w:rPr>
        <w:t>15</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pStyle w:val="BodyText"/>
        <w:tabs>
          <w:tab w:pos="2380" w:val="left" w:leader="none"/>
        </w:tabs>
        <w:spacing w:before="39"/>
        <w:ind w:left="141"/>
      </w:pPr>
      <w:r>
        <w:rPr>
          <w:rFonts w:ascii="Times New Roman" w:eastAsia="Times New Roman"/>
        </w:rPr>
        <w:t>16</w:t>
      </w:r>
      <w:r>
        <w:rPr/>
        <w:t>、心脏瓣膜手术</w:t>
        <w:tab/>
        <w:t>：</w:t>
      </w:r>
      <w:r>
        <w:rPr>
          <w:spacing w:val="-60"/>
        </w:rPr>
        <w:t> </w:t>
      </w:r>
      <w:r>
        <w:rPr/>
        <w:t>指为治疗心脏瓣膜疾病，实际实施了开胸进行的心脏瓣膜置换或修复的手术。</w:t>
      </w:r>
    </w:p>
    <w:p>
      <w:pPr>
        <w:pStyle w:val="BodyText"/>
        <w:spacing w:line="232" w:lineRule="auto" w:before="32"/>
        <w:ind w:right="199" w:hanging="2440"/>
        <w:jc w:val="both"/>
      </w:pPr>
      <w:r>
        <w:rPr>
          <w:rFonts w:ascii="Times New Roman" w:eastAsia="Times New Roman"/>
        </w:rPr>
        <w:t>17</w:t>
      </w:r>
      <w:r>
        <w:rPr>
          <w:spacing w:val="-6"/>
        </w:rPr>
        <w:t>、严重阿尔茨海默病     ： 指因大脑进行性、不可逆性改变导致智能严重衰退或丧失，临床表现为明显的认知能力障碍、行为异常和社交能力减退，其日常生活必须持续受到他人监护。须由头</w:t>
      </w:r>
      <w:r>
        <w:rPr>
          <w:spacing w:val="0"/>
          <w:w w:val="100"/>
        </w:rPr>
        <w:t>颅断层扫描（</w:t>
      </w:r>
      <w:r>
        <w:rPr>
          <w:rFonts w:ascii="Times New Roman" w:eastAsia="Times New Roman"/>
          <w:w w:val="100"/>
        </w:rPr>
        <w:t>C</w:t>
      </w:r>
      <w:r>
        <w:rPr>
          <w:rFonts w:ascii="Times New Roman" w:eastAsia="Times New Roman"/>
          <w:spacing w:val="0"/>
          <w:w w:val="100"/>
        </w:rPr>
        <w:t>T</w:t>
      </w:r>
      <w:r>
        <w:rPr>
          <w:spacing w:val="-83"/>
          <w:w w:val="100"/>
        </w:rPr>
        <w:t>）</w:t>
      </w:r>
      <w:r>
        <w:rPr>
          <w:w w:val="100"/>
        </w:rPr>
        <w:t>、核磁共振检查</w:t>
      </w:r>
      <w:r>
        <w:rPr>
          <w:spacing w:val="0"/>
          <w:w w:val="100"/>
        </w:rPr>
        <w:t>（</w:t>
      </w:r>
      <w:r>
        <w:rPr>
          <w:rFonts w:ascii="Times New Roman" w:eastAsia="Times New Roman"/>
          <w:w w:val="100"/>
        </w:rPr>
        <w:t>MRI</w:t>
      </w:r>
      <w:r>
        <w:rPr>
          <w:spacing w:val="0"/>
          <w:w w:val="100"/>
        </w:rPr>
        <w:t>）或正电子发射断层扫描（</w:t>
      </w:r>
      <w:r>
        <w:rPr>
          <w:rFonts w:ascii="Times New Roman" w:eastAsia="Times New Roman"/>
          <w:w w:val="100"/>
        </w:rPr>
        <w:t>PE</w:t>
      </w:r>
      <w:r>
        <w:rPr>
          <w:rFonts w:ascii="Times New Roman" w:eastAsia="Times New Roman"/>
          <w:spacing w:val="0"/>
          <w:w w:val="100"/>
        </w:rPr>
        <w:t>T</w:t>
      </w:r>
      <w:r>
        <w:rPr>
          <w:spacing w:val="0"/>
          <w:w w:val="100"/>
        </w:rPr>
        <w:t>）</w:t>
      </w:r>
      <w:r>
        <w:rPr>
          <w:w w:val="100"/>
        </w:rPr>
        <w:t>等影像</w:t>
      </w:r>
      <w:r>
        <w:rPr>
          <w:spacing w:val="-6"/>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101"/>
        <w:ind w:right="199" w:hanging="2440"/>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6" w:lineRule="exact"/>
      </w:pPr>
      <w:r>
        <w:rPr/>
        <w:t>（</w:t>
      </w:r>
      <w:r>
        <w:rPr>
          <w:rFonts w:ascii="Times New Roman" w:eastAsia="Times New Roman"/>
        </w:rPr>
        <w:t>1</w:t>
      </w:r>
      <w:r>
        <w:rPr/>
        <w:t>）药物治疗无法控制病情；</w:t>
      </w:r>
    </w:p>
    <w:p>
      <w:pPr>
        <w:pStyle w:val="BodyText"/>
        <w:spacing w:line="225" w:lineRule="auto" w:before="6"/>
        <w:ind w:right="202"/>
      </w:pPr>
      <w:r>
        <w:rPr/>
        <w:t>（</w:t>
      </w:r>
      <w:r>
        <w:rPr>
          <w:rFonts w:ascii="Times New Roman" w:eastAsia="Times New Roman"/>
        </w:rPr>
        <w:t>2</w:t>
      </w:r>
      <w:r>
        <w:rPr/>
        <w:t>）自主生活能力完全丧失，无法独立完成六项基本日常生活活动中的三项或三项以上。</w:t>
      </w:r>
    </w:p>
    <w:p>
      <w:pPr>
        <w:pStyle w:val="BodyText"/>
        <w:spacing w:line="222" w:lineRule="exact"/>
      </w:pPr>
      <w:r>
        <w:rPr/>
        <w:t>继发性帕金森综合征不在保障范围内。</w:t>
      </w:r>
    </w:p>
    <w:p>
      <w:pPr>
        <w:pStyle w:val="BodyText"/>
        <w:spacing w:line="225" w:lineRule="auto" w:before="93"/>
        <w:ind w:right="199" w:hanging="2440"/>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30"/>
        <w:ind w:right="114" w:hanging="2440"/>
      </w:pPr>
      <w:r>
        <w:rPr>
          <w:rFonts w:ascii="Times New Roman" w:eastAsia="Times New Roman"/>
        </w:rPr>
        <w:t>20</w:t>
      </w:r>
      <w:r>
        <w:rPr>
          <w:spacing w:val="-6"/>
        </w:rPr>
        <w:t>、严重原发性肺动脉高压  ： 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30" w:lineRule="auto" w:before="51"/>
        <w:ind w:right="199" w:hanging="2440"/>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5"/>
        </w:rPr>
        <w:t>性延髓麻痹症、原发性侧索硬化症、肌萎缩性侧索硬化症。须满足自主生活能力完</w:t>
      </w:r>
      <w:r>
        <w:rPr>
          <w:spacing w:val="-1"/>
        </w:rPr>
        <w:t>全丧失，无法独立完成六项基本日常生活活动中的三项或三项以上的条件。</w:t>
      </w:r>
    </w:p>
    <w:p>
      <w:pPr>
        <w:pStyle w:val="BodyText"/>
        <w:tabs>
          <w:tab w:pos="2380" w:val="left" w:leader="none"/>
        </w:tabs>
        <w:spacing w:line="235" w:lineRule="auto" w:before="4"/>
        <w:ind w:right="113" w:hanging="2440"/>
      </w:pPr>
      <w:r>
        <w:rPr>
          <w:rFonts w:ascii="Times New Roman" w:eastAsia="Times New Roman"/>
        </w:rPr>
        <w:t>22</w:t>
      </w:r>
      <w:r>
        <w:rPr/>
        <w:t>、严重脑损伤</w:t>
        <w:tab/>
      </w:r>
      <w:r>
        <w:rPr>
          <w:spacing w:val="-1"/>
        </w:rPr>
        <w:t>：</w:t>
      </w:r>
      <w:r>
        <w:rPr>
          <w:spacing w:val="-60"/>
        </w:rPr>
        <w:t> </w:t>
      </w:r>
      <w:r>
        <w:rPr/>
        <w:t>指因头部遭受机械性外力</w:t>
      </w:r>
      <w:r>
        <w:rPr>
          <w:spacing w:val="-63"/>
        </w:rPr>
        <w:t>，</w:t>
      </w:r>
      <w:r>
        <w:rPr/>
        <w:t>引起脑重要部位损伤</w:t>
      </w:r>
      <w:r>
        <w:rPr>
          <w:spacing w:val="-63"/>
        </w:rPr>
        <w:t>，</w:t>
      </w:r>
      <w:r>
        <w:rPr/>
        <w:t>导致神经系统永久性的功能障碍。</w:t>
      </w:r>
      <w:r>
        <w:rPr>
          <w:spacing w:val="0"/>
          <w:w w:val="100"/>
        </w:rPr>
        <w:t>须由头颅断</w:t>
      </w:r>
      <w:r>
        <w:rPr>
          <w:w w:val="100"/>
        </w:rPr>
        <w:t>层扫</w:t>
      </w:r>
      <w:r>
        <w:rPr>
          <w:spacing w:val="0"/>
          <w:w w:val="100"/>
        </w:rPr>
        <w:t>描（</w:t>
      </w:r>
      <w:r>
        <w:rPr>
          <w:w w:val="100"/>
        </w:rPr>
        <w:t>C</w:t>
      </w:r>
      <w:r>
        <w:rPr>
          <w:spacing w:val="0"/>
          <w:w w:val="100"/>
        </w:rPr>
        <w:t>T</w:t>
      </w:r>
      <w:r>
        <w:rPr>
          <w:spacing w:val="-84"/>
          <w:w w:val="100"/>
        </w:rPr>
        <w:t>）</w:t>
      </w:r>
      <w:r>
        <w:rPr>
          <w:spacing w:val="0"/>
          <w:w w:val="100"/>
        </w:rPr>
        <w:t>、核</w:t>
      </w:r>
      <w:r>
        <w:rPr>
          <w:w w:val="100"/>
        </w:rPr>
        <w:t>磁</w:t>
      </w:r>
      <w:r>
        <w:rPr>
          <w:spacing w:val="0"/>
          <w:w w:val="100"/>
        </w:rPr>
        <w:t>共振检查（</w:t>
      </w:r>
      <w:r>
        <w:rPr>
          <w:spacing w:val="-2"/>
          <w:w w:val="100"/>
        </w:rPr>
        <w:t>M</w:t>
      </w:r>
      <w:r>
        <w:rPr>
          <w:w w:val="100"/>
        </w:rPr>
        <w:t>RI</w:t>
      </w:r>
      <w:r>
        <w:rPr>
          <w:spacing w:val="0"/>
          <w:w w:val="100"/>
        </w:rPr>
        <w:t>）或正电子</w:t>
      </w:r>
      <w:r>
        <w:rPr>
          <w:w w:val="100"/>
        </w:rPr>
        <w:t>发射</w:t>
      </w:r>
      <w:r>
        <w:rPr>
          <w:spacing w:val="0"/>
          <w:w w:val="100"/>
        </w:rPr>
        <w:t>断层扫描（</w:t>
      </w:r>
      <w:r>
        <w:rPr>
          <w:spacing w:val="-2"/>
          <w:w w:val="100"/>
        </w:rPr>
        <w:t>P</w:t>
      </w:r>
      <w:r>
        <w:rPr>
          <w:w w:val="100"/>
        </w:rPr>
        <w:t>ET</w:t>
      </w:r>
      <w:r>
        <w:rPr>
          <w:spacing w:val="1"/>
          <w:w w:val="100"/>
        </w:rPr>
        <w:t>）</w:t>
      </w:r>
      <w:r>
        <w:rPr>
          <w:w w:val="100"/>
        </w:rPr>
        <w:t>等</w:t>
      </w:r>
      <w:r>
        <w:rPr/>
        <w:t>影像学检查证实</w:t>
      </w:r>
      <w:r>
        <w:rPr>
          <w:spacing w:val="-14"/>
        </w:rPr>
        <w:t>。</w:t>
      </w:r>
      <w:r>
        <w:rPr/>
        <w:t>神经系统永久性的功能障碍</w:t>
      </w:r>
      <w:r>
        <w:rPr>
          <w:spacing w:val="-15"/>
        </w:rPr>
        <w:t>，</w:t>
      </w:r>
      <w:r>
        <w:rPr/>
        <w:t>指脑损伤</w:t>
      </w:r>
      <w:r>
        <w:rPr>
          <w:spacing w:val="-44"/>
        </w:rPr>
        <w:t> </w:t>
      </w:r>
      <w:r>
        <w:rPr/>
        <w:t>180</w:t>
      </w:r>
      <w:r>
        <w:rPr>
          <w:spacing w:val="-44"/>
        </w:rPr>
        <w:t> </w:t>
      </w:r>
      <w:r>
        <w:rPr/>
        <w:t>天后</w:t>
      </w:r>
      <w:r>
        <w:rPr>
          <w:spacing w:val="-14"/>
        </w:rPr>
        <w:t>，</w:t>
      </w:r>
      <w:r>
        <w:rPr/>
        <w:t>仍遗留下列一</w:t>
      </w:r>
      <w:r>
        <w:rPr>
          <w:spacing w:val="-1"/>
        </w:rPr>
        <w:t>种或一种</w:t>
      </w:r>
      <w:r>
        <w:rPr/>
        <w:t>以上障碍：</w:t>
      </w:r>
    </w:p>
    <w:p>
      <w:pPr>
        <w:pStyle w:val="BodyText"/>
        <w:spacing w:line="220" w:lineRule="exact"/>
      </w:pPr>
      <w:r>
        <w:rPr/>
        <w:t>（1）一肢或一肢以上肢体机能完全丧失；</w:t>
      </w:r>
    </w:p>
    <w:p>
      <w:pPr>
        <w:pStyle w:val="BodyText"/>
        <w:spacing w:line="221" w:lineRule="exact"/>
      </w:pPr>
      <w:r>
        <w:rPr/>
        <w:t>（2）语言能力或咀嚼吞咽能力完全丧失；</w:t>
      </w:r>
    </w:p>
    <w:p>
      <w:pPr>
        <w:pStyle w:val="BodyText"/>
        <w:ind w:right="202"/>
      </w:pPr>
      <w:r>
        <w:rPr/>
        <w:t>（3）自主生活能力完全丧失，无法独立完成六项基本日常生活活动中的三项或三项以上。</w:t>
      </w:r>
    </w:p>
    <w:p>
      <w:pPr>
        <w:pStyle w:val="BodyText"/>
        <w:spacing w:line="225" w:lineRule="auto" w:before="14"/>
        <w:ind w:right="199" w:hanging="2440"/>
        <w:jc w:val="both"/>
      </w:pPr>
      <w:r>
        <w:rPr>
          <w:rFonts w:ascii="Times New Roman" w:eastAsia="Times New Roman"/>
        </w:rPr>
        <w:t>23</w:t>
      </w:r>
      <w:r>
        <w:rPr>
          <w:spacing w:val="-6"/>
        </w:rPr>
        <w:t>、语言能力丧失 ： 指因疾病或意外伤害导致完全丧失语言能力，经过积极治疗至少 </w:t>
      </w:r>
      <w:r>
        <w:rPr>
          <w:rFonts w:ascii="Times New Roman" w:eastAsia="Times New Roman"/>
        </w:rPr>
        <w:t>12 </w:t>
      </w:r>
      <w:r>
        <w:rPr/>
        <w:t>个月（声带完</w:t>
      </w:r>
      <w:r>
        <w:rPr>
          <w:spacing w:val="-1"/>
          <w:w w:val="100"/>
        </w:rPr>
        <w:t>全切除不受此时间限制</w:t>
      </w:r>
      <w:r>
        <w:rPr>
          <w:spacing w:val="-87"/>
          <w:w w:val="100"/>
        </w:rPr>
        <w:t>）</w:t>
      </w:r>
      <w:r>
        <w:rPr>
          <w:spacing w:val="-2"/>
          <w:w w:val="100"/>
        </w:rPr>
        <w:t>，仍无法通过现有医疗手段恢复。</w:t>
      </w:r>
    </w:p>
    <w:p>
      <w:pPr>
        <w:pStyle w:val="BodyText"/>
        <w:spacing w:line="220" w:lineRule="exact"/>
      </w:pPr>
      <w:r>
        <w:rPr/>
        <w:t>精神心理因素所致的语言能力丧失不在保障范围内。</w:t>
      </w:r>
    </w:p>
    <w:p>
      <w:pPr>
        <w:pStyle w:val="BodyText"/>
        <w:spacing w:line="225" w:lineRule="auto" w:before="13"/>
        <w:ind w:right="199" w:hanging="2440"/>
        <w:jc w:val="both"/>
      </w:pPr>
      <w:r>
        <w:rPr>
          <w:rFonts w:ascii="Times New Roman" w:eastAsia="Times New Roman"/>
        </w:rPr>
        <w:t>24</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6"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2921"/>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1" w:lineRule="exact"/>
        <w:ind w:left="2906" w:right="3592"/>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2"/>
        <w:ind w:right="199" w:hanging="2440"/>
        <w:jc w:val="both"/>
      </w:pPr>
      <w:r>
        <w:rPr>
          <w:rFonts w:ascii="Times New Roman" w:eastAsia="Times New Roman"/>
        </w:rPr>
        <w:t>25</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2" w:lineRule="exact"/>
      </w:pPr>
      <w:r>
        <w:rPr/>
        <w:t>动脉内血管成形术不在保障范围内。</w:t>
      </w:r>
    </w:p>
    <w:p>
      <w:pPr>
        <w:pStyle w:val="BodyText"/>
        <w:spacing w:before="7"/>
        <w:ind w:left="0"/>
        <w:rPr>
          <w:sz w:val="20"/>
        </w:rPr>
      </w:pPr>
    </w:p>
    <w:p>
      <w:pPr>
        <w:pStyle w:val="BodyText"/>
        <w:ind w:left="141" w:right="200"/>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sectPr>
          <w:pgSz w:w="11910" w:h="16840"/>
          <w:pgMar w:header="883" w:footer="1868" w:top="1140" w:bottom="2060" w:left="1560" w:right="1480"/>
        </w:sectPr>
      </w:pPr>
    </w:p>
    <w:p>
      <w:pPr>
        <w:pStyle w:val="BodyText"/>
        <w:ind w:left="0"/>
        <w:rPr>
          <w:sz w:val="20"/>
        </w:rPr>
      </w:pPr>
    </w:p>
    <w:p>
      <w:pPr>
        <w:pStyle w:val="BodyText"/>
        <w:spacing w:before="8"/>
        <w:ind w:left="0"/>
        <w:rPr>
          <w:sz w:val="15"/>
        </w:rPr>
      </w:pPr>
    </w:p>
    <w:p>
      <w:pPr>
        <w:pStyle w:val="BodyText"/>
        <w:spacing w:line="225" w:lineRule="auto" w:before="68"/>
        <w:ind w:right="196" w:hanging="2440"/>
        <w:jc w:val="both"/>
      </w:pPr>
      <w:r>
        <w:rPr>
          <w:rFonts w:ascii="Times New Roman" w:eastAsia="Times New Roman"/>
        </w:rPr>
        <w:t>26</w:t>
      </w:r>
      <w:r>
        <w:rPr>
          <w:spacing w:val="-2"/>
        </w:rPr>
        <w:t>、慢性呼吸功能衰竭      ： 是指被保险人必须经本公司认可的医院的呼吸科专科医师确诊患有慢性肺部疾病</w:t>
      </w:r>
      <w:r>
        <w:rPr>
          <w:spacing w:val="-1"/>
        </w:rPr>
        <w:t>而出现慢性呼吸功能衰竭，其诊断标准包括以下各项：</w:t>
      </w:r>
    </w:p>
    <w:p>
      <w:pPr>
        <w:pStyle w:val="BodyText"/>
        <w:spacing w:line="226" w:lineRule="exact"/>
      </w:pPr>
      <w:r>
        <w:rPr>
          <w:rFonts w:ascii="Times New Roman" w:eastAsia="Times New Roman"/>
        </w:rPr>
        <w:t>a.</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21" w:lineRule="exact"/>
      </w:pPr>
      <w:r>
        <w:rPr>
          <w:rFonts w:ascii="Times New Roman" w:eastAsia="Times New Roman"/>
        </w:rPr>
        <w:t>b.</w:t>
      </w:r>
      <w:r>
        <w:rPr/>
        <w:t>病人血氧不足必须持续地进行输氧治疗。</w:t>
      </w:r>
    </w:p>
    <w:p>
      <w:pPr>
        <w:pStyle w:val="BodyText"/>
        <w:spacing w:line="221" w:lineRule="exact"/>
      </w:pPr>
      <w:r>
        <w:rPr>
          <w:rFonts w:ascii="Times New Roman" w:eastAsia="Times New Roman"/>
        </w:rPr>
        <w:t>c.</w:t>
      </w:r>
      <w:r>
        <w:rPr/>
        <w:t>动脉血气分析氧分压等于或低于 </w:t>
      </w:r>
      <w:r>
        <w:rPr>
          <w:rFonts w:ascii="Times New Roman" w:eastAsia="Times New Roman"/>
        </w:rPr>
        <w:t>55mmHg</w:t>
      </w:r>
      <w:r>
        <w:rPr/>
        <w:t>。</w:t>
      </w:r>
    </w:p>
    <w:p>
      <w:pPr>
        <w:pStyle w:val="BodyText"/>
        <w:spacing w:line="221" w:lineRule="exact"/>
      </w:pPr>
      <w:r>
        <w:rPr>
          <w:rFonts w:ascii="Times New Roman" w:eastAsia="Times New Roman"/>
        </w:rPr>
        <w:t>d.</w:t>
      </w:r>
      <w:r>
        <w:rPr/>
        <w:t>休息时出现呼吸困难。</w:t>
      </w:r>
    </w:p>
    <w:p>
      <w:pPr>
        <w:pStyle w:val="BodyText"/>
        <w:spacing w:line="232" w:lineRule="auto"/>
        <w:ind w:right="199" w:hanging="2440"/>
        <w:jc w:val="both"/>
      </w:pPr>
      <w:r>
        <w:rPr>
          <w:rFonts w:ascii="Times New Roman" w:eastAsia="Times New Roman"/>
        </w:rPr>
        <w:t>27</w:t>
      </w:r>
      <w:r>
        <w:rPr>
          <w:spacing w:val="-6"/>
        </w:rPr>
        <w:t>、多发性硬化症         ： 多发性硬化症为中枢神经系统白质多灶性脱髓鞘病变，病变有时累及灰质。多发性</w:t>
      </w:r>
      <w:r>
        <w:rPr>
          <w:spacing w:val="-3"/>
        </w:rPr>
        <w:t>硬化症必须由我们认可的医院的神经专科医生确诊。必须伴有典型的脱髓鞘症状和</w:t>
      </w:r>
      <w:r>
        <w:rPr/>
        <w:t>运动及感觉功能障碍的证据并有</w:t>
      </w:r>
      <w:r>
        <w:rPr>
          <w:rFonts w:ascii="Times New Roman" w:eastAsia="Times New Roman"/>
        </w:rPr>
        <w:t>MRI </w:t>
      </w:r>
      <w:r>
        <w:rPr>
          <w:spacing w:val="-2"/>
        </w:rPr>
        <w:t>和脑脊液检查的典型改变。 多发性硬化症必</w:t>
      </w:r>
      <w:r>
        <w:rPr>
          <w:spacing w:val="-3"/>
        </w:rPr>
        <w:t>须造成神经系统永久性功能损害并且已导致被保险人自主生活能力完全丧失，无法</w:t>
      </w:r>
      <w:r>
        <w:rPr>
          <w:spacing w:val="-5"/>
        </w:rPr>
        <w:t>独立完成六项基本日常生活活动中的三项或三项以上持续达 </w:t>
      </w:r>
      <w:r>
        <w:rPr>
          <w:rFonts w:ascii="Times New Roman" w:eastAsia="Times New Roman"/>
        </w:rPr>
        <w:t>180 </w:t>
      </w:r>
      <w:r>
        <w:rPr/>
        <w:t>天以上。</w:t>
      </w:r>
    </w:p>
    <w:p>
      <w:pPr>
        <w:pStyle w:val="BodyText"/>
        <w:spacing w:line="232" w:lineRule="auto" w:before="88"/>
        <w:ind w:right="196" w:hanging="2440"/>
        <w:jc w:val="both"/>
      </w:pPr>
      <w:r>
        <w:rPr>
          <w:rFonts w:ascii="Times New Roman" w:eastAsia="Times New Roman"/>
        </w:rPr>
        <w:t>28</w:t>
      </w:r>
      <w:r>
        <w:rPr>
          <w:spacing w:val="-2"/>
        </w:rPr>
        <w:t>、急性脊髓灰质炎        ： 是指由于急性脊髓灰质炎病毒感染所导致的运动功能障碍或呼吸功能减弱的瘫痪</w:t>
      </w:r>
      <w:r>
        <w:rPr>
          <w:spacing w:val="-7"/>
        </w:rPr>
        <w:t>性疾病。诊断必须由本公司认可的神经科专科医生确诊并提供相关的脊髓灰质炎病毒感染的证据（例如：脑脊液检查或血清学抗体检查报告</w:t>
      </w:r>
      <w:r>
        <w:rPr>
          <w:spacing w:val="-84"/>
        </w:rPr>
        <w:t>）</w:t>
      </w:r>
      <w:r>
        <w:rPr/>
        <w:t>。未导致肢体瘫痪及其它病因所致的瘫痪，例如格林一巴利综合症</w:t>
      </w:r>
      <w:r>
        <w:rPr>
          <w:rFonts w:ascii="Times New Roman" w:eastAsia="Times New Roman"/>
        </w:rPr>
        <w:t>(</w:t>
      </w:r>
      <w:r>
        <w:rPr/>
        <w:t>急性感染性多神经炎</w:t>
      </w:r>
      <w:r>
        <w:rPr>
          <w:rFonts w:ascii="Times New Roman" w:eastAsia="Times New Roman"/>
        </w:rPr>
        <w:t>)</w:t>
      </w:r>
      <w:r>
        <w:rPr/>
        <w:t>则不在此保障范围以内。</w:t>
      </w:r>
    </w:p>
    <w:p>
      <w:pPr>
        <w:pStyle w:val="BodyText"/>
        <w:spacing w:before="93"/>
        <w:ind w:left="141"/>
      </w:pPr>
      <w:r>
        <w:rPr>
          <w:rFonts w:ascii="Times New Roman" w:eastAsia="Times New Roman"/>
        </w:rPr>
        <w:t>29</w:t>
      </w:r>
      <w:r>
        <w:rPr/>
        <w:t>、经输血导致的艾滋病病毒： 被保险人感染上人类免疫缺陷病毒（</w:t>
      </w:r>
      <w:r>
        <w:rPr>
          <w:rFonts w:ascii="Times New Roman" w:eastAsia="Times New Roman"/>
        </w:rPr>
        <w:t>HIV</w:t>
      </w:r>
      <w:r>
        <w:rPr/>
        <w:t>）并且符合下列所有条件：</w:t>
      </w:r>
    </w:p>
    <w:p>
      <w:pPr>
        <w:pStyle w:val="BodyText"/>
        <w:tabs>
          <w:tab w:pos="2581" w:val="left" w:leader="none"/>
        </w:tabs>
        <w:spacing w:line="225" w:lineRule="auto"/>
        <w:ind w:right="200" w:hanging="2440"/>
      </w:pPr>
      <w:r>
        <w:rPr/>
        <w:t>感染</w:t>
        <w:tab/>
      </w:r>
      <w:r>
        <w:rPr>
          <w:rFonts w:ascii="Times New Roman" w:eastAsia="Times New Roman"/>
          <w:spacing w:val="-1"/>
        </w:rPr>
        <w:t>1.</w:t>
      </w:r>
      <w:r>
        <w:rPr>
          <w:spacing w:val="-1"/>
        </w:rPr>
        <w:t>在保障起始日或复效日之后，被保险人因</w:t>
      </w:r>
      <w:r>
        <w:rPr/>
        <w:t>治疗必需而接受输血，并且因输血而感 </w:t>
      </w:r>
      <w:r>
        <w:rPr>
          <w:spacing w:val="40"/>
        </w:rPr>
        <w:t>染</w:t>
      </w:r>
      <w:r>
        <w:rPr>
          <w:rFonts w:ascii="Times New Roman" w:eastAsia="Times New Roman"/>
        </w:rPr>
        <w:t>HIV</w:t>
      </w:r>
      <w:r>
        <w:rPr/>
        <w:t>；</w:t>
      </w:r>
    </w:p>
    <w:p>
      <w:pPr>
        <w:pStyle w:val="BodyText"/>
        <w:spacing w:line="225" w:lineRule="auto"/>
        <w:ind w:right="200"/>
      </w:pPr>
      <w:r>
        <w:rPr>
          <w:rFonts w:ascii="Times New Roman" w:eastAsia="Times New Roman"/>
        </w:rPr>
        <w:t>2.</w:t>
      </w:r>
      <w:r>
        <w:rPr/>
        <w:t>提供输血治疗的输血中心或医院出具该项输血感染属医疗责任事故的报告，或者法院终审判决为医疗责任；</w:t>
      </w:r>
    </w:p>
    <w:p>
      <w:pPr>
        <w:pStyle w:val="ListParagraph"/>
        <w:numPr>
          <w:ilvl w:val="0"/>
          <w:numId w:val="1"/>
        </w:numPr>
        <w:tabs>
          <w:tab w:pos="2795" w:val="left" w:leader="none"/>
        </w:tabs>
        <w:spacing w:line="226" w:lineRule="exact" w:before="1" w:after="0"/>
        <w:ind w:left="2794" w:right="0" w:hanging="213"/>
        <w:jc w:val="left"/>
        <w:rPr>
          <w:sz w:val="17"/>
        </w:rPr>
      </w:pPr>
      <w:r>
        <w:rPr>
          <w:spacing w:val="-1"/>
          <w:sz w:val="17"/>
        </w:rPr>
        <w:t>提供输血治疗的输血中心或医院必须拥有合法经营执照；</w:t>
      </w:r>
    </w:p>
    <w:p>
      <w:pPr>
        <w:pStyle w:val="ListParagraph"/>
        <w:numPr>
          <w:ilvl w:val="0"/>
          <w:numId w:val="1"/>
        </w:numPr>
        <w:tabs>
          <w:tab w:pos="2795" w:val="left" w:leader="none"/>
        </w:tabs>
        <w:spacing w:line="221" w:lineRule="exact" w:before="0" w:after="0"/>
        <w:ind w:left="2794" w:right="0" w:hanging="213"/>
        <w:jc w:val="left"/>
        <w:rPr>
          <w:sz w:val="17"/>
        </w:rPr>
      </w:pPr>
      <w:r>
        <w:rPr>
          <w:spacing w:val="-1"/>
          <w:sz w:val="17"/>
        </w:rPr>
        <w:t>受感染的被保险人不是血友病患者；</w:t>
      </w:r>
    </w:p>
    <w:p>
      <w:pPr>
        <w:pStyle w:val="BodyText"/>
        <w:spacing w:line="225" w:lineRule="auto" w:before="7"/>
        <w:ind w:right="199"/>
      </w:pPr>
      <w:r>
        <w:rPr/>
        <w:t>任何因其他传播方式（包括：性传播或静脉注射毒品）导致的 </w:t>
      </w:r>
      <w:r>
        <w:rPr>
          <w:rFonts w:ascii="Times New Roman" w:eastAsia="Times New Roman"/>
        </w:rPr>
        <w:t>HIV </w:t>
      </w:r>
      <w:r>
        <w:rPr/>
        <w:t>感染不在本保单保障范围内。</w:t>
      </w:r>
    </w:p>
    <w:p>
      <w:pPr>
        <w:pStyle w:val="BodyText"/>
        <w:spacing w:line="225" w:lineRule="auto" w:before="12"/>
        <w:ind w:right="199" w:hanging="2440"/>
        <w:jc w:val="both"/>
      </w:pPr>
      <w:r>
        <w:rPr>
          <w:rFonts w:ascii="Times New Roman" w:eastAsia="Times New Roman"/>
        </w:rPr>
        <w:t>30</w:t>
      </w:r>
      <w:r>
        <w:rPr>
          <w:spacing w:val="-5"/>
        </w:rPr>
        <w:t>、肌营养不良症         ： 肌营养不良症是一组遗传性肌肉变性坏死性病变，临床特征为与神经系统无关的骨</w:t>
      </w:r>
      <w:r>
        <w:rPr>
          <w:spacing w:val="-1"/>
        </w:rPr>
        <w:t>骼肌对称地进行性无力和萎缩，其诊断需同时符合以下条件：</w:t>
      </w:r>
    </w:p>
    <w:p>
      <w:pPr>
        <w:pStyle w:val="BodyText"/>
        <w:spacing w:line="226" w:lineRule="exact"/>
      </w:pPr>
      <w:r>
        <w:rPr/>
        <w:t>（</w:t>
      </w:r>
      <w:r>
        <w:rPr>
          <w:rFonts w:ascii="Times New Roman" w:eastAsia="Times New Roman"/>
        </w:rPr>
        <w:t>1</w:t>
      </w:r>
      <w:r>
        <w:rPr/>
        <w:t>）肌电图显示典型肌营养不良症的阳性改变；</w:t>
      </w:r>
    </w:p>
    <w:p>
      <w:pPr>
        <w:pStyle w:val="BodyText"/>
        <w:spacing w:line="221" w:lineRule="exact"/>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line="221" w:lineRule="exact"/>
      </w:pPr>
      <w:r>
        <w:rPr/>
        <w:t>（</w:t>
      </w:r>
      <w:r>
        <w:rPr>
          <w:rFonts w:ascii="Times New Roman" w:eastAsia="Times New Roman"/>
        </w:rPr>
        <w:t>3</w:t>
      </w:r>
      <w:r>
        <w:rPr/>
        <w:t>）肌肉活检的病理学诊断符合肌营养不良症的肌肉细胞变性、坏死等阳性改变。</w:t>
      </w:r>
    </w:p>
    <w:p>
      <w:pPr>
        <w:pStyle w:val="BodyText"/>
        <w:spacing w:line="225" w:lineRule="auto" w:before="7"/>
        <w:ind w:right="199"/>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line="228" w:lineRule="auto" w:before="10"/>
        <w:ind w:right="199" w:hanging="2440"/>
        <w:jc w:val="both"/>
      </w:pPr>
      <w:r>
        <w:rPr>
          <w:rFonts w:ascii="Times New Roman" w:eastAsia="Times New Roman"/>
        </w:rPr>
        <w:t>31</w:t>
      </w:r>
      <w:r>
        <w:rPr>
          <w:spacing w:val="-6"/>
        </w:rPr>
        <w:t>、原发性心肌病         ： 是指不明原因引起的一类心肌病变，包括原发性扩张型心肌病、原发性肥厚型心肌</w:t>
      </w:r>
      <w:r>
        <w:rPr>
          <w:spacing w:val="-4"/>
        </w:rPr>
        <w:t>病及原发性限制型心肌病三种，病变必须已造成事实上心室功能障碍而出现明显的</w:t>
      </w:r>
      <w:r>
        <w:rPr>
          <w:spacing w:val="-5"/>
        </w:rPr>
        <w:t>心功能衰竭，达到美国纽约心脏病协会心功能状态分级 </w:t>
      </w:r>
      <w:r>
        <w:rPr>
          <w:rFonts w:ascii="Times New Roman" w:eastAsia="Times New Roman"/>
        </w:rPr>
        <w:t>IV </w:t>
      </w:r>
      <w:r>
        <w:rPr/>
        <w:t>级，且有相关住院医疗</w:t>
      </w:r>
      <w:r>
        <w:rPr>
          <w:spacing w:val="-8"/>
        </w:rPr>
        <w:t>记录显示 </w:t>
      </w:r>
      <w:r>
        <w:rPr>
          <w:rFonts w:ascii="Times New Roman" w:eastAsia="Times New Roman"/>
        </w:rPr>
        <w:t>IV </w:t>
      </w:r>
      <w:r>
        <w:rPr>
          <w:spacing w:val="-4"/>
        </w:rPr>
        <w:t>级心功能状态持续至少 </w:t>
      </w:r>
      <w:r>
        <w:rPr>
          <w:rFonts w:ascii="Times New Roman" w:eastAsia="Times New Roman"/>
        </w:rPr>
        <w:t>180 </w:t>
      </w:r>
      <w:r>
        <w:rPr/>
        <w:t>天。该疾病索赔时须要经专科医师做出明</w:t>
      </w:r>
      <w:r>
        <w:rPr>
          <w:spacing w:val="-1"/>
        </w:rPr>
        <w:t>确诊断。继发于全身性疾病或其它器官系统疾病不属本保障范围。</w:t>
      </w:r>
    </w:p>
    <w:p>
      <w:pPr>
        <w:pStyle w:val="BodyText"/>
        <w:spacing w:before="69"/>
        <w:ind w:left="141"/>
      </w:pPr>
      <w:r>
        <w:rPr>
          <w:rFonts w:ascii="Times New Roman" w:eastAsia="Times New Roman"/>
        </w:rPr>
        <w:t>32</w:t>
      </w:r>
      <w:r>
        <w:rPr/>
        <w:t>、系统性红斑狼疮（严重的： 红斑狼疮是指由于自身抗体和免疫复合物的沉积破坏了血管和细胞而导致的累及</w:t>
      </w:r>
    </w:p>
    <w:p>
      <w:pPr>
        <w:spacing w:after="0"/>
        <w:sectPr>
          <w:pgSz w:w="11910" w:h="16840"/>
          <w:pgMar w:header="883" w:footer="1868" w:top="1140" w:bottom="2060" w:left="1560" w:right="1480"/>
        </w:sectPr>
      </w:pPr>
    </w:p>
    <w:p>
      <w:pPr>
        <w:pStyle w:val="BodyText"/>
        <w:spacing w:line="208" w:lineRule="exact"/>
        <w:ind w:left="141"/>
      </w:pPr>
      <w:r>
        <w:rPr/>
        <w:t>狼疮性肾炎）</w:t>
      </w:r>
    </w:p>
    <w:p>
      <w:pPr>
        <w:pStyle w:val="BodyText"/>
        <w:spacing w:line="220" w:lineRule="exact" w:before="8"/>
        <w:ind w:left="141" w:right="153"/>
      </w:pPr>
      <w:r>
        <w:rPr/>
        <w:br w:type="column"/>
      </w:r>
      <w:r>
        <w:rPr/>
        <w:t>多系统损害的一种自体免疫性疾病。本保障仅限于被保险人因系统性红斑狼疮并发狼疮性肾炎并引起肾功能损害，且肾脏病理诊断符合以下列明的世界卫生组织</w:t>
      </w:r>
    </w:p>
    <w:p>
      <w:pPr>
        <w:pStyle w:val="BodyText"/>
        <w:spacing w:line="225" w:lineRule="auto"/>
        <w:ind w:left="141" w:right="147" w:hanging="1"/>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型。诊断须由有资格的风湿和免疫病专科医生确认。</w:t>
      </w:r>
    </w:p>
    <w:p>
      <w:pPr>
        <w:pStyle w:val="BodyText"/>
        <w:spacing w:line="226" w:lineRule="exact" w:before="6"/>
        <w:ind w:left="141"/>
      </w:pPr>
      <w:r>
        <w:rPr/>
        <w:t>世界卫生组织（</w:t>
      </w:r>
      <w:r>
        <w:rPr>
          <w:rFonts w:ascii="Times New Roman" w:eastAsia="Times New Roman"/>
        </w:rPr>
        <w:t>WHO</w:t>
      </w:r>
      <w:r>
        <w:rPr/>
        <w:t>）对狼疮性肾炎的分类标准：</w:t>
      </w:r>
    </w:p>
    <w:p>
      <w:pPr>
        <w:pStyle w:val="ListParagraph"/>
        <w:numPr>
          <w:ilvl w:val="0"/>
          <w:numId w:val="2"/>
        </w:numPr>
        <w:tabs>
          <w:tab w:pos="284" w:val="left" w:leader="none"/>
        </w:tabs>
        <w:spacing w:line="221" w:lineRule="exact" w:before="0" w:after="0"/>
        <w:ind w:left="283" w:right="0" w:hanging="142"/>
        <w:jc w:val="left"/>
        <w:rPr>
          <w:sz w:val="17"/>
        </w:rPr>
      </w:pPr>
      <w:r>
        <w:rPr>
          <w:spacing w:val="-1"/>
          <w:sz w:val="17"/>
        </w:rPr>
        <w:t>型–正常肾小球型；</w:t>
      </w:r>
    </w:p>
    <w:p>
      <w:pPr>
        <w:pStyle w:val="ListParagraph"/>
        <w:numPr>
          <w:ilvl w:val="0"/>
          <w:numId w:val="2"/>
        </w:numPr>
        <w:tabs>
          <w:tab w:pos="297" w:val="left" w:leader="none"/>
        </w:tabs>
        <w:spacing w:line="221" w:lineRule="exact" w:before="0" w:after="0"/>
        <w:ind w:left="296" w:right="0" w:hanging="155"/>
        <w:jc w:val="left"/>
        <w:rPr>
          <w:sz w:val="17"/>
        </w:rPr>
      </w:pPr>
      <w:r>
        <w:rPr>
          <w:spacing w:val="-1"/>
          <w:sz w:val="17"/>
        </w:rPr>
        <w:t>型–系膜增生型；</w:t>
      </w:r>
    </w:p>
    <w:p>
      <w:pPr>
        <w:pStyle w:val="ListParagraph"/>
        <w:numPr>
          <w:ilvl w:val="0"/>
          <w:numId w:val="2"/>
        </w:numPr>
        <w:tabs>
          <w:tab w:pos="353" w:val="left" w:leader="none"/>
        </w:tabs>
        <w:spacing w:line="221" w:lineRule="exact" w:before="0" w:after="0"/>
        <w:ind w:left="352" w:right="0" w:hanging="211"/>
        <w:jc w:val="left"/>
        <w:rPr>
          <w:sz w:val="17"/>
        </w:rPr>
      </w:pPr>
      <w:r>
        <w:rPr>
          <w:spacing w:val="-1"/>
          <w:sz w:val="17"/>
        </w:rPr>
        <w:t>型–局灶及节段增生型；</w:t>
      </w:r>
    </w:p>
    <w:p>
      <w:pPr>
        <w:pStyle w:val="ListParagraph"/>
        <w:numPr>
          <w:ilvl w:val="0"/>
          <w:numId w:val="2"/>
        </w:numPr>
        <w:tabs>
          <w:tab w:pos="364" w:val="left" w:leader="none"/>
        </w:tabs>
        <w:spacing w:line="221" w:lineRule="exact" w:before="0" w:after="0"/>
        <w:ind w:left="363" w:right="0" w:hanging="222"/>
        <w:jc w:val="left"/>
        <w:rPr>
          <w:sz w:val="17"/>
        </w:rPr>
      </w:pPr>
      <w:r>
        <w:rPr>
          <w:spacing w:val="-1"/>
          <w:sz w:val="17"/>
        </w:rPr>
        <w:t>型–弥漫增生型；</w:t>
      </w:r>
    </w:p>
    <w:p>
      <w:pPr>
        <w:pStyle w:val="ListParagraph"/>
        <w:numPr>
          <w:ilvl w:val="0"/>
          <w:numId w:val="2"/>
        </w:numPr>
        <w:tabs>
          <w:tab w:pos="308" w:val="left" w:leader="none"/>
        </w:tabs>
        <w:spacing w:line="221" w:lineRule="exact" w:before="0" w:after="0"/>
        <w:ind w:left="307" w:right="0" w:hanging="166"/>
        <w:jc w:val="left"/>
        <w:rPr>
          <w:sz w:val="17"/>
        </w:rPr>
      </w:pPr>
      <w:r>
        <w:rPr>
          <w:spacing w:val="-1"/>
          <w:sz w:val="17"/>
        </w:rPr>
        <w:t>型–膜型；</w:t>
      </w:r>
    </w:p>
    <w:p>
      <w:pPr>
        <w:pStyle w:val="ListParagraph"/>
        <w:numPr>
          <w:ilvl w:val="0"/>
          <w:numId w:val="2"/>
        </w:numPr>
        <w:tabs>
          <w:tab w:pos="364" w:val="left" w:leader="none"/>
        </w:tabs>
        <w:spacing w:line="228" w:lineRule="exact" w:before="0" w:after="0"/>
        <w:ind w:left="363" w:right="0" w:hanging="222"/>
        <w:jc w:val="left"/>
        <w:rPr>
          <w:sz w:val="17"/>
        </w:rPr>
      </w:pPr>
      <w:r>
        <w:rPr>
          <w:spacing w:val="-1"/>
          <w:sz w:val="17"/>
        </w:rPr>
        <w:t>型–肾小球硬化型。</w:t>
      </w:r>
    </w:p>
    <w:p>
      <w:pPr>
        <w:spacing w:after="0" w:line="228" w:lineRule="exact"/>
        <w:jc w:val="left"/>
        <w:rPr>
          <w:sz w:val="17"/>
        </w:rPr>
        <w:sectPr>
          <w:type w:val="continuous"/>
          <w:pgSz w:w="11910" w:h="16840"/>
          <w:pgMar w:top="280" w:bottom="2060" w:left="1560" w:right="1480"/>
          <w:cols w:num="2" w:equalWidth="0">
            <w:col w:w="1163" w:space="1276"/>
            <w:col w:w="6431"/>
          </w:cols>
        </w:sectPr>
      </w:pPr>
    </w:p>
    <w:p>
      <w:pPr>
        <w:pStyle w:val="BodyText"/>
        <w:spacing w:line="230" w:lineRule="auto"/>
        <w:ind w:right="199" w:hanging="2440"/>
        <w:jc w:val="both"/>
      </w:pPr>
      <w:r>
        <w:rPr>
          <w:rFonts w:ascii="Times New Roman" w:eastAsia="Times New Roman"/>
        </w:rPr>
        <w:t>33</w:t>
      </w:r>
      <w:r>
        <w:rPr>
          <w:spacing w:val="-6"/>
        </w:rPr>
        <w:t>、严重溃疡性结肠炎     ： 是指伴有致命性电解质紊乱的急性暴发性溃疡性结肠炎，病变累及全结肠，表现为</w:t>
      </w:r>
      <w:r>
        <w:rPr>
          <w:spacing w:val="-4"/>
        </w:rPr>
        <w:t>严重的血便和系统性症状体征，治疗通常采取全结肠切除和回肠造瘘术。溃疡性结肠炎必须根据组织病理学特点诊断，并且被保险人已经接受了全结肠切除和</w:t>
      </w:r>
      <w:r>
        <w:rPr>
          <w:rFonts w:ascii="Times New Roman" w:eastAsia="Times New Roman"/>
          <w:spacing w:val="-4"/>
        </w:rPr>
        <w:t>/</w:t>
      </w:r>
      <w:r>
        <w:rPr>
          <w:spacing w:val="-4"/>
        </w:rPr>
        <w:t>或回</w:t>
      </w:r>
      <w:r>
        <w:rPr>
          <w:spacing w:val="-1"/>
        </w:rPr>
        <w:t>肠造瘘术。</w:t>
      </w:r>
    </w:p>
    <w:p>
      <w:pPr>
        <w:pStyle w:val="BodyText"/>
        <w:tabs>
          <w:tab w:pos="2380" w:val="left" w:leader="none"/>
        </w:tabs>
        <w:spacing w:line="225" w:lineRule="auto" w:before="24"/>
        <w:ind w:right="199" w:hanging="2440"/>
        <w:jc w:val="both"/>
      </w:pPr>
      <w:r>
        <w:rPr>
          <w:rFonts w:ascii="Times New Roman" w:eastAsia="Times New Roman"/>
        </w:rPr>
        <w:t>34</w:t>
      </w:r>
      <w:r>
        <w:rPr/>
        <w:t>、植物人状态</w:t>
        <w:tab/>
        <w:t>：</w:t>
      </w:r>
      <w:r>
        <w:rPr>
          <w:spacing w:val="-52"/>
        </w:rPr>
        <w:t> </w:t>
      </w:r>
      <w:r>
        <w:rPr/>
        <w:t>指经神经科医生确诊，</w:t>
      </w:r>
      <w:r>
        <w:rPr>
          <w:rFonts w:ascii="Times New Roman" w:eastAsia="Times New Roman"/>
        </w:rPr>
        <w:t>CT</w:t>
      </w:r>
      <w:r>
        <w:rPr/>
        <w:t>、</w:t>
      </w:r>
      <w:r>
        <w:rPr>
          <w:rFonts w:ascii="Times New Roman" w:eastAsia="Times New Roman"/>
        </w:rPr>
        <w:t>MRI </w:t>
      </w:r>
      <w:r>
        <w:rPr>
          <w:rFonts w:ascii="Times New Roman" w:eastAsia="Times New Roman"/>
          <w:spacing w:val="10"/>
        </w:rPr>
        <w:t> </w:t>
      </w:r>
      <w:r>
        <w:rPr/>
        <w:t>等证实大脑皮质全面坏死。患者临床表现意识完</w:t>
      </w:r>
      <w:r>
        <w:rPr>
          <w:spacing w:val="-1"/>
        </w:rPr>
        <w:t>全丧失，但脑干功能仍保持完好，且</w:t>
      </w:r>
      <w:r>
        <w:rPr/>
        <w:t>此情况持续一个月或一个月以上。</w:t>
      </w:r>
    </w:p>
    <w:p>
      <w:pPr>
        <w:spacing w:after="0" w:line="225" w:lineRule="auto"/>
        <w:jc w:val="both"/>
        <w:sectPr>
          <w:type w:val="continuous"/>
          <w:pgSz w:w="11910" w:h="16840"/>
          <w:pgMar w:top="280" w:bottom="2060" w:left="1560" w:right="1480"/>
        </w:sectPr>
      </w:pPr>
    </w:p>
    <w:p>
      <w:pPr>
        <w:pStyle w:val="BodyText"/>
        <w:ind w:left="0"/>
        <w:rPr>
          <w:sz w:val="20"/>
        </w:rPr>
      </w:pPr>
    </w:p>
    <w:p>
      <w:pPr>
        <w:pStyle w:val="BodyText"/>
        <w:spacing w:before="8"/>
        <w:ind w:left="0"/>
        <w:rPr>
          <w:sz w:val="15"/>
        </w:rPr>
      </w:pPr>
    </w:p>
    <w:p>
      <w:pPr>
        <w:pStyle w:val="BodyText"/>
        <w:spacing w:line="225" w:lineRule="auto" w:before="68"/>
        <w:ind w:right="158" w:hanging="2440"/>
        <w:jc w:val="both"/>
      </w:pPr>
      <w:r>
        <w:rPr>
          <w:rFonts w:ascii="Times New Roman" w:eastAsia="Times New Roman"/>
        </w:rPr>
        <w:t>35</w:t>
      </w:r>
      <w:r>
        <w:rPr>
          <w:spacing w:val="-6"/>
        </w:rPr>
        <w:t>、慢性复发性胰腺炎     ： 有腹痛等典型症状的胰腺炎反复发作，导致胰腺进行性破坏，并导致胰腺功能紊乱而导致严重糖尿病以及营养不良、恶液质。</w:t>
      </w:r>
      <w:r>
        <w:rPr>
          <w:rFonts w:ascii="Times New Roman" w:eastAsia="Times New Roman"/>
          <w:spacing w:val="-6"/>
        </w:rPr>
        <w:t>CT </w:t>
      </w:r>
      <w:r>
        <w:rPr/>
        <w:t>检查证实胰腺存在广泛钙化，且必</w:t>
      </w:r>
      <w:r>
        <w:rPr>
          <w:spacing w:val="-3"/>
        </w:rPr>
        <w:t>须接受酶替代以及胰岛素替代治疗 </w:t>
      </w:r>
      <w:r>
        <w:rPr>
          <w:rFonts w:ascii="Times New Roman" w:eastAsia="Times New Roman"/>
        </w:rPr>
        <w:t>6 </w:t>
      </w:r>
      <w:r>
        <w:rPr/>
        <w:t>个月以上。诊断必须由消化科专科医生确诊。</w:t>
      </w:r>
      <w:r>
        <w:rPr>
          <w:spacing w:val="-1"/>
        </w:rPr>
        <w:t>酒精导致的慢性复发性胰腺炎除外。</w:t>
      </w:r>
    </w:p>
    <w:p>
      <w:pPr>
        <w:pStyle w:val="BodyText"/>
        <w:spacing w:before="10"/>
        <w:ind w:left="0"/>
        <w:rPr>
          <w:sz w:val="14"/>
        </w:rPr>
      </w:pPr>
    </w:p>
    <w:p>
      <w:pPr>
        <w:pStyle w:val="BodyText"/>
        <w:tabs>
          <w:tab w:pos="2380" w:val="left" w:leader="none"/>
        </w:tabs>
        <w:spacing w:line="249" w:lineRule="exact"/>
        <w:ind w:left="141"/>
      </w:pPr>
      <w:r>
        <w:rPr/>
        <w:t>额外性别专属重大疾病</w:t>
        <w:tab/>
      </w:r>
      <w:r>
        <w:rPr>
          <w:position w:val="-2"/>
        </w:rPr>
        <w:t>：</w:t>
      </w:r>
      <w:r>
        <w:rPr>
          <w:spacing w:val="-55"/>
          <w:position w:val="-2"/>
        </w:rPr>
        <w:t> </w:t>
      </w:r>
      <w:r>
        <w:rPr/>
        <w:t>是指下列任何一种疾病：</w:t>
      </w:r>
    </w:p>
    <w:p>
      <w:pPr>
        <w:pStyle w:val="BodyText"/>
        <w:tabs>
          <w:tab w:pos="2380" w:val="left" w:leader="none"/>
        </w:tabs>
        <w:spacing w:line="225" w:lineRule="auto" w:before="10"/>
        <w:ind w:right="158" w:hanging="2440"/>
      </w:pPr>
      <w:r>
        <w:rPr>
          <w:rFonts w:ascii="Times New Roman" w:eastAsia="Times New Roman"/>
        </w:rPr>
        <w:t>1</w:t>
      </w:r>
      <w:r>
        <w:rPr/>
        <w:t>、女性乳腺原位癌</w:t>
        <w:tab/>
      </w:r>
      <w:r>
        <w:rPr>
          <w:spacing w:val="-1"/>
        </w:rPr>
        <w:t>：</w:t>
      </w:r>
      <w:r>
        <w:rPr>
          <w:spacing w:val="-61"/>
        </w:rPr>
        <w:t> </w:t>
      </w:r>
      <w:r>
        <w:rPr/>
        <w:t>是指原发于女性乳腺部位的恶性肿瘤细胞未穿透基底膜的原位无浸润的恶性肿瘤。</w:t>
      </w:r>
      <w:r>
        <w:rPr>
          <w:spacing w:val="-1"/>
        </w:rPr>
        <w:t>女性原位癌的诊断以病理学</w:t>
      </w:r>
      <w:r>
        <w:rPr/>
        <w:t>检查结果作为诊断依据。</w:t>
      </w:r>
    </w:p>
    <w:p>
      <w:pPr>
        <w:pStyle w:val="BodyText"/>
        <w:tabs>
          <w:tab w:pos="2380" w:val="left" w:leader="none"/>
        </w:tabs>
        <w:spacing w:before="118"/>
        <w:ind w:left="141"/>
      </w:pPr>
      <w:r>
        <w:rPr>
          <w:rFonts w:ascii="Times New Roman" w:eastAsia="Times New Roman"/>
        </w:rPr>
        <w:t>2</w:t>
      </w:r>
      <w:r>
        <w:rPr/>
        <w:t>、男性早期前列腺癌</w:t>
        <w:tab/>
        <w:t>：</w:t>
      </w:r>
      <w:r>
        <w:rPr>
          <w:spacing w:val="-57"/>
        </w:rPr>
        <w:t> </w:t>
      </w:r>
      <w:r>
        <w:rPr/>
        <w:t>指原发于男性前列腺的</w:t>
      </w:r>
      <w:r>
        <w:rPr>
          <w:spacing w:val="-45"/>
        </w:rPr>
        <w:t> </w:t>
      </w:r>
      <w:r>
        <w:rPr>
          <w:rFonts w:ascii="Times New Roman" w:eastAsia="Times New Roman"/>
        </w:rPr>
        <w:t>TNM</w:t>
      </w:r>
      <w:r>
        <w:rPr>
          <w:rFonts w:ascii="Times New Roman" w:eastAsia="Times New Roman"/>
          <w:spacing w:val="-2"/>
        </w:rPr>
        <w:t> </w:t>
      </w:r>
      <w:r>
        <w:rPr/>
        <w:t>分期为</w:t>
      </w:r>
      <w:r>
        <w:rPr>
          <w:spacing w:val="-45"/>
        </w:rPr>
        <w:t> </w:t>
      </w:r>
      <w:r>
        <w:rPr>
          <w:rFonts w:ascii="Times New Roman" w:eastAsia="Times New Roman"/>
        </w:rPr>
        <w:t>T1N0M0</w:t>
      </w:r>
      <w:r>
        <w:rPr>
          <w:rFonts w:ascii="Times New Roman" w:eastAsia="Times New Roman"/>
          <w:spacing w:val="-2"/>
        </w:rPr>
        <w:t> </w:t>
      </w:r>
      <w:r>
        <w:rPr/>
        <w:t>期或更轻分期的前列腺癌。</w:t>
      </w:r>
    </w:p>
    <w:p>
      <w:pPr>
        <w:pStyle w:val="BodyText"/>
        <w:ind w:left="0"/>
        <w:rPr>
          <w:sz w:val="18"/>
        </w:rPr>
      </w:pPr>
    </w:p>
    <w:p>
      <w:pPr>
        <w:pStyle w:val="BodyText"/>
        <w:spacing w:before="4"/>
        <w:ind w:left="0"/>
      </w:pPr>
    </w:p>
    <w:p>
      <w:pPr>
        <w:spacing w:before="0"/>
        <w:ind w:left="141" w:right="0" w:firstLine="0"/>
        <w:jc w:val="left"/>
        <w:rPr>
          <w:sz w:val="18"/>
        </w:rPr>
      </w:pPr>
      <w:r>
        <w:rPr>
          <w:sz w:val="18"/>
        </w:rPr>
        <w:t>重大疾病定义的释义：</w:t>
      </w:r>
    </w:p>
    <w:p>
      <w:pPr>
        <w:pStyle w:val="BodyText"/>
        <w:tabs>
          <w:tab w:pos="2380" w:val="left" w:leader="none"/>
        </w:tabs>
        <w:spacing w:line="222" w:lineRule="exact" w:before="38"/>
        <w:ind w:left="141"/>
      </w:pPr>
      <w:r>
        <w:rPr/>
        <w:t>专科医生</w:t>
        <w:tab/>
        <w:t>：</w:t>
      </w:r>
      <w:r>
        <w:rPr>
          <w:spacing w:val="-58"/>
        </w:rPr>
        <w:t> </w:t>
      </w:r>
      <w:r>
        <w:rPr/>
        <w:t>专科医生应当同时满足以下四项资格条件：</w:t>
      </w:r>
    </w:p>
    <w:p>
      <w:pPr>
        <w:pStyle w:val="BodyText"/>
        <w:spacing w:line="227"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tabs>
          <w:tab w:pos="2380" w:val="left" w:leader="none"/>
        </w:tabs>
        <w:spacing w:line="280" w:lineRule="auto"/>
        <w:ind w:left="141" w:right="1434" w:firstLine="2439"/>
      </w:pPr>
      <w:r>
        <w:rPr>
          <w:spacing w:val="-1"/>
        </w:rPr>
        <w:t>（</w:t>
      </w:r>
      <w:r>
        <w:rPr>
          <w:rFonts w:ascii="Times New Roman" w:eastAsia="Times New Roman"/>
          <w:spacing w:val="-1"/>
        </w:rPr>
        <w:t>4</w:t>
      </w:r>
      <w:r>
        <w:rPr>
          <w:spacing w:val="-1"/>
        </w:rPr>
        <w:t>）在二级</w:t>
      </w:r>
      <w:r>
        <w:rPr/>
        <w:t>或二级以上医院的相应科室从事临床工作三年以上。六项基本日常生活活动</w:t>
        <w:tab/>
        <w:t>：</w:t>
      </w:r>
      <w:r>
        <w:rPr>
          <w:spacing w:val="-57"/>
        </w:rPr>
        <w:t> </w:t>
      </w:r>
      <w:r>
        <w:rPr/>
        <w:t>六项基本日常生活活动是指：</w:t>
      </w:r>
    </w:p>
    <w:p>
      <w:pPr>
        <w:pStyle w:val="BodyText"/>
        <w:spacing w:line="199" w:lineRule="exact" w:before="6"/>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7" w:lineRule="exact"/>
      </w:pPr>
      <w:r>
        <w:rPr/>
        <w:t>（</w:t>
      </w:r>
      <w:r>
        <w:rPr>
          <w:rFonts w:ascii="Times New Roman" w:eastAsia="Times New Roman"/>
        </w:rPr>
        <w:t>6</w:t>
      </w:r>
      <w:r>
        <w:rPr/>
        <w:t>）洗澡：自己进行淋浴或盆浴。</w:t>
      </w:r>
    </w:p>
    <w:p>
      <w:pPr>
        <w:pStyle w:val="BodyText"/>
        <w:tabs>
          <w:tab w:pos="2380" w:val="left" w:leader="none"/>
        </w:tabs>
        <w:ind w:right="199" w:hanging="2440"/>
      </w:pPr>
      <w:r>
        <w:rPr/>
        <w:t>肢体机能完全丧失</w:t>
        <w:tab/>
        <w:t>：</w:t>
      </w:r>
      <w:r>
        <w:rPr>
          <w:spacing w:val="-60"/>
        </w:rPr>
        <w:t> </w:t>
      </w:r>
      <w:r>
        <w:rPr/>
        <w:t>指肢体的三大关节中的两大关节僵硬</w:t>
      </w:r>
      <w:r>
        <w:rPr>
          <w:spacing w:val="-21"/>
        </w:rPr>
        <w:t>，</w:t>
      </w:r>
      <w:r>
        <w:rPr/>
        <w:t>或不能随意识活动</w:t>
      </w:r>
      <w:r>
        <w:rPr>
          <w:spacing w:val="-22"/>
        </w:rPr>
        <w:t>。</w:t>
      </w:r>
      <w:r>
        <w:rPr/>
        <w:t>肢体是指包括肩关节的</w:t>
      </w:r>
      <w:r>
        <w:rPr>
          <w:spacing w:val="-1"/>
        </w:rPr>
        <w:t>整个上肢或包括髋</w:t>
      </w:r>
      <w:r>
        <w:rPr/>
        <w:t>关节的整个下肢。</w:t>
      </w:r>
    </w:p>
    <w:p>
      <w:pPr>
        <w:pStyle w:val="BodyText"/>
        <w:spacing w:before="36"/>
        <w:ind w:left="141"/>
      </w:pPr>
      <w:r>
        <w:rPr>
          <w:spacing w:val="-6"/>
        </w:rPr>
        <w:t>语言能力或咀嚼吞咽能力完全： 语言能力完全丧失，指无法发出四种语音</w:t>
      </w:r>
      <w:r>
        <w:rPr/>
        <w:t>（</w:t>
      </w:r>
      <w:r>
        <w:rPr>
          <w:spacing w:val="-9"/>
        </w:rPr>
        <w:t>包括口唇音、齿舌音、口盖音和喉头音</w:t>
      </w:r>
      <w:r>
        <w:rPr/>
        <w:t>）</w:t>
      </w:r>
    </w:p>
    <w:p>
      <w:pPr>
        <w:pStyle w:val="BodyText"/>
        <w:tabs>
          <w:tab w:pos="2581" w:val="left" w:leader="none"/>
        </w:tabs>
        <w:spacing w:line="219" w:lineRule="exact"/>
        <w:ind w:left="141"/>
      </w:pPr>
      <w:r>
        <w:rPr/>
        <w:t>丧失</w:t>
        <w:tab/>
      </w:r>
      <w:r>
        <w:rPr>
          <w:spacing w:val="-1"/>
        </w:rPr>
        <w:t>中的任何三种、或声带全部切除，或</w:t>
      </w:r>
      <w:r>
        <w:rPr/>
        <w:t>因大脑语言中枢受伤害而患失语症。</w:t>
      </w:r>
    </w:p>
    <w:p>
      <w:pPr>
        <w:pStyle w:val="BodyText"/>
        <w:ind w:right="155"/>
      </w:pPr>
      <w:r>
        <w:rPr/>
        <w:t>咀嚼吞咽能力完全丧失，指因牙齿以外的原因导致器质障碍或机能障碍，以致不能作咀嚼吞咽运动，除流质食物外不能摄取或吞咽的状态。</w:t>
      </w:r>
    </w:p>
    <w:p>
      <w:pPr>
        <w:pStyle w:val="BodyText"/>
        <w:tabs>
          <w:tab w:pos="2380" w:val="left" w:leader="none"/>
        </w:tabs>
        <w:spacing w:line="225" w:lineRule="auto" w:before="53"/>
        <w:ind w:right="199" w:hanging="2440"/>
      </w:pP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sectPr>
      <w:pgSz w:w="11910" w:h="16840"/>
      <w:pgMar w:header="883" w:footer="1868" w:top="1140" w:bottom="2060" w:left="15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2095">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1333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312"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3288"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83" w:hanging="142"/>
        <w:jc w:val="left"/>
      </w:pPr>
      <w:rPr>
        <w:rFonts w:hint="default" w:ascii="Times New Roman" w:hAnsi="Times New Roman" w:eastAsia="Times New Roman" w:cs="Times New Roman"/>
        <w:w w:val="100"/>
        <w:sz w:val="17"/>
        <w:szCs w:val="17"/>
      </w:rPr>
    </w:lvl>
    <w:lvl w:ilvl="1">
      <w:start w:val="0"/>
      <w:numFmt w:val="bullet"/>
      <w:lvlText w:val="•"/>
      <w:lvlJc w:val="left"/>
      <w:pPr>
        <w:ind w:left="894" w:hanging="142"/>
      </w:pPr>
      <w:rPr>
        <w:rFonts w:hint="default"/>
      </w:rPr>
    </w:lvl>
    <w:lvl w:ilvl="2">
      <w:start w:val="0"/>
      <w:numFmt w:val="bullet"/>
      <w:lvlText w:val="•"/>
      <w:lvlJc w:val="left"/>
      <w:pPr>
        <w:ind w:left="1508" w:hanging="142"/>
      </w:pPr>
      <w:rPr>
        <w:rFonts w:hint="default"/>
      </w:rPr>
    </w:lvl>
    <w:lvl w:ilvl="3">
      <w:start w:val="0"/>
      <w:numFmt w:val="bullet"/>
      <w:lvlText w:val="•"/>
      <w:lvlJc w:val="left"/>
      <w:pPr>
        <w:ind w:left="2123" w:hanging="142"/>
      </w:pPr>
      <w:rPr>
        <w:rFonts w:hint="default"/>
      </w:rPr>
    </w:lvl>
    <w:lvl w:ilvl="4">
      <w:start w:val="0"/>
      <w:numFmt w:val="bullet"/>
      <w:lvlText w:val="•"/>
      <w:lvlJc w:val="left"/>
      <w:pPr>
        <w:ind w:left="2737" w:hanging="142"/>
      </w:pPr>
      <w:rPr>
        <w:rFonts w:hint="default"/>
      </w:rPr>
    </w:lvl>
    <w:lvl w:ilvl="5">
      <w:start w:val="0"/>
      <w:numFmt w:val="bullet"/>
      <w:lvlText w:val="•"/>
      <w:lvlJc w:val="left"/>
      <w:pPr>
        <w:ind w:left="3352" w:hanging="142"/>
      </w:pPr>
      <w:rPr>
        <w:rFonts w:hint="default"/>
      </w:rPr>
    </w:lvl>
    <w:lvl w:ilvl="6">
      <w:start w:val="0"/>
      <w:numFmt w:val="bullet"/>
      <w:lvlText w:val="•"/>
      <w:lvlJc w:val="left"/>
      <w:pPr>
        <w:ind w:left="3966" w:hanging="142"/>
      </w:pPr>
      <w:rPr>
        <w:rFonts w:hint="default"/>
      </w:rPr>
    </w:lvl>
    <w:lvl w:ilvl="7">
      <w:start w:val="0"/>
      <w:numFmt w:val="bullet"/>
      <w:lvlText w:val="•"/>
      <w:lvlJc w:val="left"/>
      <w:pPr>
        <w:ind w:left="4581" w:hanging="142"/>
      </w:pPr>
      <w:rPr>
        <w:rFonts w:hint="default"/>
      </w:rPr>
    </w:lvl>
    <w:lvl w:ilvl="8">
      <w:start w:val="0"/>
      <w:numFmt w:val="bullet"/>
      <w:lvlText w:val="•"/>
      <w:lvlJc w:val="left"/>
      <w:pPr>
        <w:ind w:left="5195" w:hanging="142"/>
      </w:pPr>
      <w:rPr>
        <w:rFonts w:hint="default"/>
      </w:rPr>
    </w:lvl>
  </w:abstractNum>
  <w:abstractNum w:abstractNumId="0">
    <w:multiLevelType w:val="hybridMultilevel"/>
    <w:lvl w:ilvl="0">
      <w:start w:val="3"/>
      <w:numFmt w:val="decimal"/>
      <w:lvlText w:val="%1."/>
      <w:lvlJc w:val="left"/>
      <w:pPr>
        <w:ind w:left="2794" w:hanging="214"/>
        <w:jc w:val="left"/>
      </w:pPr>
      <w:rPr>
        <w:rFonts w:hint="default" w:ascii="Times New Roman" w:hAnsi="Times New Roman" w:eastAsia="Times New Roman" w:cs="Times New Roman"/>
        <w:w w:val="100"/>
        <w:sz w:val="17"/>
        <w:szCs w:val="17"/>
      </w:rPr>
    </w:lvl>
    <w:lvl w:ilvl="1">
      <w:start w:val="0"/>
      <w:numFmt w:val="bullet"/>
      <w:lvlText w:val="•"/>
      <w:lvlJc w:val="left"/>
      <w:pPr>
        <w:ind w:left="3406" w:hanging="214"/>
      </w:pPr>
      <w:rPr>
        <w:rFonts w:hint="default"/>
      </w:rPr>
    </w:lvl>
    <w:lvl w:ilvl="2">
      <w:start w:val="0"/>
      <w:numFmt w:val="bullet"/>
      <w:lvlText w:val="•"/>
      <w:lvlJc w:val="left"/>
      <w:pPr>
        <w:ind w:left="4012" w:hanging="214"/>
      </w:pPr>
      <w:rPr>
        <w:rFonts w:hint="default"/>
      </w:rPr>
    </w:lvl>
    <w:lvl w:ilvl="3">
      <w:start w:val="0"/>
      <w:numFmt w:val="bullet"/>
      <w:lvlText w:val="•"/>
      <w:lvlJc w:val="left"/>
      <w:pPr>
        <w:ind w:left="4619" w:hanging="214"/>
      </w:pPr>
      <w:rPr>
        <w:rFonts w:hint="default"/>
      </w:rPr>
    </w:lvl>
    <w:lvl w:ilvl="4">
      <w:start w:val="0"/>
      <w:numFmt w:val="bullet"/>
      <w:lvlText w:val="•"/>
      <w:lvlJc w:val="left"/>
      <w:pPr>
        <w:ind w:left="5225" w:hanging="214"/>
      </w:pPr>
      <w:rPr>
        <w:rFonts w:hint="default"/>
      </w:rPr>
    </w:lvl>
    <w:lvl w:ilvl="5">
      <w:start w:val="0"/>
      <w:numFmt w:val="bullet"/>
      <w:lvlText w:val="•"/>
      <w:lvlJc w:val="left"/>
      <w:pPr>
        <w:ind w:left="5832" w:hanging="214"/>
      </w:pPr>
      <w:rPr>
        <w:rFonts w:hint="default"/>
      </w:rPr>
    </w:lvl>
    <w:lvl w:ilvl="6">
      <w:start w:val="0"/>
      <w:numFmt w:val="bullet"/>
      <w:lvlText w:val="•"/>
      <w:lvlJc w:val="left"/>
      <w:pPr>
        <w:ind w:left="6438" w:hanging="214"/>
      </w:pPr>
      <w:rPr>
        <w:rFonts w:hint="default"/>
      </w:rPr>
    </w:lvl>
    <w:lvl w:ilvl="7">
      <w:start w:val="0"/>
      <w:numFmt w:val="bullet"/>
      <w:lvlText w:val="•"/>
      <w:lvlJc w:val="left"/>
      <w:pPr>
        <w:ind w:left="7045" w:hanging="214"/>
      </w:pPr>
      <w:rPr>
        <w:rFonts w:hint="default"/>
      </w:rPr>
    </w:lvl>
    <w:lvl w:ilvl="8">
      <w:start w:val="0"/>
      <w:numFmt w:val="bullet"/>
      <w:lvlText w:val="•"/>
      <w:lvlJc w:val="left"/>
      <w:pPr>
        <w:ind w:left="7651" w:hanging="21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70"/>
      <w:ind w:left="141"/>
    </w:pPr>
    <w:rPr>
      <w:rFonts w:ascii="宋体" w:hAnsi="宋体" w:eastAsia="宋体" w:cs="宋体"/>
      <w:sz w:val="18"/>
      <w:szCs w:val="18"/>
    </w:rPr>
  </w:style>
  <w:style w:styleId="TOC2" w:type="paragraph">
    <w:name w:val="TOC 2"/>
    <w:basedOn w:val="Normal"/>
    <w:uiPriority w:val="1"/>
    <w:qFormat/>
    <w:pPr>
      <w:spacing w:before="56"/>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spacing w:line="221" w:lineRule="exact"/>
      <w:ind w:left="363" w:hanging="22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- 2009沪R029-ARR20091001.doc</dc:title>
  <dcterms:created xsi:type="dcterms:W3CDTF">2018-10-19T23:00:00Z</dcterms:created>
  <dcterms:modified xsi:type="dcterms:W3CDTF">2018-10-19T23:00:00Z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