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00" w:h="16840"/>
          <w:pgMar w:footer="834" w:top="660" w:bottom="1020" w:left="880" w:right="900"/>
          <w:pgNumType w:start="1"/>
        </w:sectPr>
      </w:pPr>
    </w:p>
    <w:p>
      <w:pPr>
        <w:pStyle w:val="BodyText"/>
        <w:rPr>
          <w:rFonts w:ascii="Times New Roman"/>
          <w:sz w:val="28"/>
        </w:rPr>
      </w:pPr>
    </w:p>
    <w:p>
      <w:pPr>
        <w:spacing w:before="201"/>
        <w:ind w:left="0" w:right="0" w:firstLine="0"/>
        <w:jc w:val="right"/>
        <w:rPr>
          <w:rFonts w:ascii="微软雅黑" w:eastAsia="微软雅黑" w:hint="eastAsia"/>
          <w:b/>
          <w:sz w:val="28"/>
        </w:rPr>
      </w:pPr>
      <w:r>
        <w:rPr>
          <w:rFonts w:ascii="微软雅黑" w:eastAsia="微软雅黑" w:hint="eastAsia"/>
          <w:b/>
          <w:sz w:val="28"/>
        </w:rPr>
        <w:t>阅  读  指 引</w:t>
      </w:r>
    </w:p>
    <w:p>
      <w:pPr>
        <w:pStyle w:val="BodyText"/>
        <w:spacing w:line="231" w:lineRule="exact"/>
        <w:ind w:left="819"/>
      </w:pPr>
      <w:r>
        <w:rPr/>
        <w:br w:type="column"/>
      </w:r>
      <w:r>
        <w:rPr/>
        <w:t>中德安联人寿[2016]疾病保险 011 号</w:t>
      </w:r>
    </w:p>
    <w:p>
      <w:pPr>
        <w:pStyle w:val="BodyText"/>
        <w:spacing w:line="260" w:lineRule="exact"/>
        <w:ind w:left="2019"/>
      </w:pPr>
      <w:r>
        <w:rPr>
          <w:w w:val="95"/>
        </w:rPr>
        <w:t>请扫描以查询验证条款</w:t>
      </w:r>
    </w:p>
    <w:p>
      <w:pPr>
        <w:spacing w:after="0" w:line="260" w:lineRule="exact"/>
        <w:sectPr>
          <w:type w:val="continuous"/>
          <w:pgSz w:w="11900" w:h="16840"/>
          <w:pgMar w:top="660" w:bottom="1020" w:left="880" w:right="900"/>
          <w:cols w:num="2" w:equalWidth="0">
            <w:col w:w="5862" w:space="40"/>
            <w:col w:w="4218"/>
          </w:cols>
        </w:sectPr>
      </w:pPr>
    </w:p>
    <w:p>
      <w:pPr>
        <w:spacing w:line="259" w:lineRule="auto" w:before="70"/>
        <w:ind w:left="353" w:right="651" w:hanging="101"/>
        <w:jc w:val="left"/>
        <w:rPr>
          <w:rFonts w:ascii="微软雅黑" w:hAnsi="微软雅黑" w:eastAsia="微软雅黑" w:hint="eastAsia"/>
          <w:b/>
          <w:sz w:val="20"/>
        </w:rPr>
      </w:pPr>
      <w:r>
        <w:rPr/>
        <w:pict>
          <v:group style="position:absolute;margin-left:49.68pt;margin-top:22.473286pt;width:495.15pt;height:590.050pt;mso-position-horizontal-relative:page;mso-position-vertical-relative:paragraph;z-index:-40528" coordorigin="994,449" coordsize="9903,11801">
            <v:rect style="position:absolute;left:1132;top:4253;width:10;height:10" filled="true" fillcolor="#000000" stroked="false">
              <v:fill type="solid"/>
            </v:rect>
            <v:line style="position:absolute" from="1142,4258" to="4344,4258" stroked="true" strokeweight=".48pt" strokecolor="#000000">
              <v:stroke dashstyle="solid"/>
            </v:line>
            <v:rect style="position:absolute;left:4344;top:4253;width:10;height:10" filled="true" fillcolor="#000000" stroked="false">
              <v:fill type="solid"/>
            </v:rect>
            <v:line style="position:absolute" from="4354,4258" to="7548,4258" stroked="true" strokeweight=".48pt" strokecolor="#000000">
              <v:stroke dashstyle="solid"/>
            </v:line>
            <v:rect style="position:absolute;left:7548;top:4253;width:10;height:10" filled="true" fillcolor="#000000" stroked="false">
              <v:fill type="solid"/>
            </v:rect>
            <v:line style="position:absolute" from="7558,4258" to="10750,4258" stroked="true" strokeweight=".48pt" strokecolor="#000000">
              <v:stroke dashstyle="solid"/>
            </v:line>
            <v:rect style="position:absolute;left:10749;top:4253;width:10;height:10" filled="true" fillcolor="#000000" stroked="false">
              <v:fill type="solid"/>
            </v:rect>
            <v:shape style="position:absolute;left:1137;top:4263;width:3207;height:7656" coordorigin="1138,4263" coordsize="3207,7656" path="m1138,4263l1138,11919m1142,11914l4344,11914e" filled="false" stroked="true" strokeweight=".48pt" strokecolor="#000000">
              <v:path arrowok="t"/>
              <v:stroke dashstyle="solid"/>
            </v:shape>
            <v:rect style="position:absolute;left:4329;top:11909;width:10;height:10" filled="true" fillcolor="#000000" stroked="false">
              <v:fill type="solid"/>
            </v:rect>
            <v:line style="position:absolute" from="4339,11914" to="7548,11914" stroked="true" strokeweight=".48pt" strokecolor="#000000">
              <v:stroke dashstyle="solid"/>
            </v:line>
            <v:rect style="position:absolute;left:7533;top:11909;width:10;height:10" filled="true" fillcolor="#000000" stroked="false">
              <v:fill type="solid"/>
            </v:rect>
            <v:shape style="position:absolute;left:7543;top:4263;width:3212;height:7656" coordorigin="7543,4263" coordsize="3212,7656" path="m7543,11914l10750,11914m10754,4263l10754,11919e" filled="false" stroked="true" strokeweight=".48pt" strokecolor="#000000">
              <v:path arrowok="t"/>
              <v:stroke dashstyle="solid"/>
            </v:shape>
            <v:shape style="position:absolute;left:993;top:449;width:9903;height:11801" type="#_x0000_t75" stroked="false">
              <v:imagedata r:id="rId7" o:title=""/>
            </v:shape>
            <w10:wrap type="none"/>
          </v:group>
        </w:pict>
      </w:r>
      <w:r>
        <w:rPr>
          <w:sz w:val="20"/>
        </w:rPr>
        <w:t>本阅读指引有助于您理解条款，对</w:t>
      </w:r>
      <w:r>
        <w:rPr>
          <w:rFonts w:ascii="微软雅黑" w:hAnsi="微软雅黑" w:eastAsia="微软雅黑" w:hint="eastAsia"/>
          <w:b/>
          <w:sz w:val="20"/>
        </w:rPr>
        <w:t>“安联附加安康福至长期重大疾病保险条款”</w:t>
      </w:r>
      <w:r>
        <w:rPr>
          <w:sz w:val="20"/>
        </w:rPr>
        <w:t>内容的解释以条款为准。</w:t>
      </w:r>
      <w:r>
        <w:rPr>
          <w:rFonts w:ascii="微软雅黑" w:hAnsi="微软雅黑" w:eastAsia="微软雅黑" w:hint="eastAsia"/>
          <w:b/>
          <w:sz w:val="20"/>
        </w:rPr>
        <w:t>您拥有的重要权益</w:t>
      </w:r>
    </w:p>
    <w:p>
      <w:pPr>
        <w:pStyle w:val="ListParagraph"/>
        <w:numPr>
          <w:ilvl w:val="0"/>
          <w:numId w:val="1"/>
        </w:numPr>
        <w:tabs>
          <w:tab w:pos="1212" w:val="left" w:leader="none"/>
          <w:tab w:pos="1213" w:val="left" w:leader="none"/>
          <w:tab w:pos="9549" w:val="right" w:leader="dot"/>
        </w:tabs>
        <w:spacing w:line="240" w:lineRule="auto" w:before="5" w:after="0"/>
        <w:ind w:left="351" w:right="0" w:firstLine="441"/>
        <w:jc w:val="left"/>
        <w:rPr>
          <w:sz w:val="20"/>
        </w:rPr>
      </w:pPr>
      <w:r>
        <w:rPr>
          <w:sz w:val="20"/>
        </w:rPr>
        <w:t>被保险人可以享受本合同提供的保障</w:t>
        <w:tab/>
        <w:t>2.2</w:t>
      </w:r>
    </w:p>
    <w:p>
      <w:pPr>
        <w:pStyle w:val="Heading2"/>
        <w:spacing w:before="289"/>
        <w:ind w:left="351"/>
      </w:pPr>
      <w:r>
        <w:rPr/>
        <w:t>您应当特别注意的事项</w:t>
      </w:r>
    </w:p>
    <w:p>
      <w:pPr>
        <w:pStyle w:val="ListParagraph"/>
        <w:numPr>
          <w:ilvl w:val="0"/>
          <w:numId w:val="1"/>
        </w:numPr>
        <w:tabs>
          <w:tab w:pos="1212" w:val="left" w:leader="none"/>
          <w:tab w:pos="1213" w:val="left" w:leader="none"/>
          <w:tab w:pos="9549" w:val="right" w:leader="dot"/>
        </w:tabs>
        <w:spacing w:line="240" w:lineRule="auto" w:before="26" w:after="0"/>
        <w:ind w:left="351" w:right="0" w:firstLine="441"/>
        <w:jc w:val="left"/>
        <w:rPr>
          <w:sz w:val="20"/>
        </w:rPr>
      </w:pPr>
      <w:r>
        <w:rPr>
          <w:sz w:val="20"/>
        </w:rPr>
        <w:t>我们对责任免除的条款作了特别提示，详见条款正文中字体加黑的内容</w:t>
        <w:tab/>
        <w:t>2.3</w:t>
      </w:r>
    </w:p>
    <w:p>
      <w:pPr>
        <w:pStyle w:val="ListParagraph"/>
        <w:numPr>
          <w:ilvl w:val="0"/>
          <w:numId w:val="1"/>
        </w:numPr>
        <w:tabs>
          <w:tab w:pos="1212" w:val="left" w:leader="none"/>
          <w:tab w:pos="1213" w:val="left" w:leader="none"/>
          <w:tab w:pos="9549" w:val="right" w:leader="dot"/>
        </w:tabs>
        <w:spacing w:line="240" w:lineRule="auto" w:before="36" w:after="0"/>
        <w:ind w:left="1212" w:right="0" w:hanging="420"/>
        <w:jc w:val="left"/>
        <w:rPr>
          <w:sz w:val="20"/>
        </w:rPr>
      </w:pPr>
      <w:r>
        <w:rPr>
          <w:sz w:val="20"/>
        </w:rPr>
        <w:t>您有及时向我们通知保险事故的责任</w:t>
        <w:tab/>
        <w:t>4.2</w:t>
      </w:r>
    </w:p>
    <w:p>
      <w:pPr>
        <w:pStyle w:val="ListParagraph"/>
        <w:numPr>
          <w:ilvl w:val="0"/>
          <w:numId w:val="1"/>
        </w:numPr>
        <w:tabs>
          <w:tab w:pos="1212" w:val="left" w:leader="none"/>
          <w:tab w:pos="1213" w:val="left" w:leader="none"/>
          <w:tab w:pos="9549" w:val="right" w:leader="dot"/>
        </w:tabs>
        <w:spacing w:line="240" w:lineRule="auto" w:before="36" w:after="0"/>
        <w:ind w:left="1212" w:right="0" w:hanging="420"/>
        <w:jc w:val="left"/>
        <w:rPr>
          <w:sz w:val="20"/>
        </w:rPr>
      </w:pPr>
      <w:r>
        <w:rPr>
          <w:sz w:val="20"/>
        </w:rPr>
        <w:t>您应当按时支付保险费</w:t>
        <w:tab/>
        <w:t>3.1</w:t>
      </w:r>
    </w:p>
    <w:p>
      <w:pPr>
        <w:pStyle w:val="ListParagraph"/>
        <w:numPr>
          <w:ilvl w:val="0"/>
          <w:numId w:val="1"/>
        </w:numPr>
        <w:tabs>
          <w:tab w:pos="1212" w:val="left" w:leader="none"/>
          <w:tab w:pos="1213" w:val="left" w:leader="none"/>
        </w:tabs>
        <w:spacing w:line="491" w:lineRule="auto" w:before="36" w:after="0"/>
        <w:ind w:left="351" w:right="536" w:firstLine="441"/>
        <w:jc w:val="left"/>
        <w:rPr>
          <w:rFonts w:ascii="微软雅黑" w:eastAsia="微软雅黑" w:hint="eastAsia"/>
          <w:b/>
          <w:sz w:val="20"/>
        </w:rPr>
      </w:pPr>
      <w:r>
        <w:rPr>
          <w:spacing w:val="-3"/>
          <w:sz w:val="20"/>
        </w:rPr>
        <w:t>我们对一些重要术语进行了解释，并作了显著标识，请您注意 ........................ 释义</w:t>
      </w:r>
      <w:r>
        <w:rPr>
          <w:rFonts w:ascii="微软雅黑" w:eastAsia="微软雅黑" w:hint="eastAsia"/>
          <w:b/>
          <w:spacing w:val="-3"/>
          <w:sz w:val="20"/>
        </w:rPr>
        <w:t>条款是保险合同的重要内容，为充分保障您的权益，请您仔细阅读本条款。</w:t>
      </w:r>
    </w:p>
    <w:p>
      <w:pPr>
        <w:pStyle w:val="Heading2"/>
        <w:spacing w:before="1"/>
        <w:ind w:left="351"/>
      </w:pPr>
      <w:r>
        <w:rPr/>
        <w:pict>
          <v:shape style="position:absolute;margin-left:62.399975pt;margin-top:23.447084pt;width:87.8pt;height:7.6pt;mso-position-horizontal-relative:page;mso-position-vertical-relative:paragraph;z-index: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第一部分 您与我们的合同</w:t>
                  </w:r>
                </w:p>
              </w:txbxContent>
            </v:textbox>
            <w10:wrap type="topAndBottom"/>
          </v:shape>
        </w:pict>
      </w:r>
      <w:r>
        <w:rPr/>
        <w:pict>
          <v:shape style="position:absolute;margin-left:222.600113pt;margin-top:23.447084pt;width:117.9pt;height:7.6pt;mso-position-horizontal-relative:page;mso-position-vertical-relative:paragraph;z-index:104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附录一  本合同承保的重大疾病列表</w:t>
                  </w:r>
                </w:p>
              </w:txbxContent>
            </v:textbox>
            <w10:wrap type="topAndBottom"/>
          </v:shape>
        </w:pict>
      </w:r>
      <w:r>
        <w:rPr/>
        <w:pict>
          <v:shape style="position:absolute;margin-left:69.959969pt;margin-top:39.047077pt;width:68.7pt;height:7.6pt;mso-position-horizontal-relative:page;mso-position-vertical-relative:paragraph;z-index:1072;mso-wrap-distance-left:0;mso-wrap-distance-right:0" type="#_x0000_t202" filled="false" stroked="false">
            <v:textbox inset="0,0,0,0">
              <w:txbxContent>
                <w:p>
                  <w:pPr>
                    <w:spacing w:line="151" w:lineRule="exact" w:before="0"/>
                    <w:ind w:left="0" w:right="0" w:firstLine="0"/>
                    <w:jc w:val="left"/>
                    <w:rPr>
                      <w:sz w:val="15"/>
                    </w:rPr>
                  </w:pPr>
                  <w:r>
                    <w:rPr>
                      <w:sz w:val="15"/>
                    </w:rPr>
                    <w:t>1.1 附加合同的构成</w:t>
                  </w:r>
                </w:p>
              </w:txbxContent>
            </v:textbox>
            <w10:wrap type="topAndBottom"/>
          </v:shape>
        </w:pict>
      </w:r>
      <w:r>
        <w:rPr/>
        <w:pict>
          <v:shape style="position:absolute;margin-left:222.600327pt;margin-top:39.047077pt;width:117.9pt;height:7.6pt;mso-position-horizontal-relative:page;mso-position-vertical-relative:paragraph;z-index:109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附录二  本合同承保的轻症重疾列表</w:t>
                  </w:r>
                </w:p>
              </w:txbxContent>
            </v:textbox>
            <w10:wrap type="topAndBottom"/>
          </v:shape>
        </w:pict>
      </w:r>
      <w:r>
        <w:rPr/>
        <w:pict>
          <v:shape style="position:absolute;margin-left:390.479858pt;margin-top:39.047077pt;width:61.5pt;height:7.6pt;mso-position-horizontal-relative:page;mso-position-vertical-relative:paragraph;z-index:1120;mso-wrap-distance-left:0;mso-wrap-distance-right:0" type="#_x0000_t202" filled="false" stroked="false">
            <v:textbox inset="0,0,0,0">
              <w:txbxContent>
                <w:p>
                  <w:pPr>
                    <w:spacing w:line="151" w:lineRule="exact" w:before="0"/>
                    <w:ind w:left="0" w:right="0" w:firstLine="0"/>
                    <w:jc w:val="left"/>
                    <w:rPr>
                      <w:sz w:val="15"/>
                    </w:rPr>
                  </w:pPr>
                  <w:r>
                    <w:rPr>
                      <w:sz w:val="15"/>
                    </w:rPr>
                    <w:t>15. 无有效行驶证</w:t>
                  </w:r>
                </w:p>
              </w:txbxContent>
            </v:textbox>
            <w10:wrap type="topAndBottom"/>
          </v:shape>
        </w:pict>
      </w:r>
      <w:r>
        <w:rPr/>
        <w:pict>
          <v:shape style="position:absolute;margin-left:69.959969pt;margin-top:54.647072pt;width:83.7pt;height:7.6pt;mso-position-horizontal-relative:page;mso-position-vertical-relative:paragraph;z-index:1144;mso-wrap-distance-left:0;mso-wrap-distance-right:0" type="#_x0000_t202" filled="false" stroked="false">
            <v:textbox inset="0,0,0,0">
              <w:txbxContent>
                <w:p>
                  <w:pPr>
                    <w:spacing w:line="151" w:lineRule="exact" w:before="0"/>
                    <w:ind w:left="0" w:right="0" w:firstLine="0"/>
                    <w:jc w:val="left"/>
                    <w:rPr>
                      <w:sz w:val="15"/>
                    </w:rPr>
                  </w:pPr>
                  <w:r>
                    <w:rPr>
                      <w:sz w:val="15"/>
                    </w:rPr>
                    <w:t>1.2 附加合同成立与生效</w:t>
                  </w:r>
                </w:p>
              </w:txbxContent>
            </v:textbox>
            <w10:wrap type="topAndBottom"/>
          </v:shape>
        </w:pict>
      </w:r>
      <w:r>
        <w:rPr/>
        <w:pict>
          <v:shape style="position:absolute;margin-left:222.600479pt;margin-top:54.647072pt;width:125.35pt;height:7.6pt;mso-position-horizontal-relative:page;mso-position-vertical-relative:paragraph;z-index:116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附录三  本合同承保的重大疾病的分组</w:t>
                  </w:r>
                </w:p>
              </w:txbxContent>
            </v:textbox>
            <w10:wrap type="topAndBottom"/>
          </v:shape>
        </w:pict>
      </w:r>
      <w:r>
        <w:rPr/>
        <w:pict>
          <v:shape style="position:absolute;margin-left:390.479858pt;margin-top:54.647072pt;width:54.05pt;height:7.6pt;mso-position-horizontal-relative:page;mso-position-vertical-relative:paragraph;z-index:1192;mso-wrap-distance-left:0;mso-wrap-distance-right:0" type="#_x0000_t202" filled="false" stroked="false">
            <v:textbox inset="0,0,0,0">
              <w:txbxContent>
                <w:p>
                  <w:pPr>
                    <w:spacing w:line="151" w:lineRule="exact" w:before="0"/>
                    <w:ind w:left="0" w:right="0" w:firstLine="0"/>
                    <w:jc w:val="left"/>
                    <w:rPr>
                      <w:sz w:val="15"/>
                    </w:rPr>
                  </w:pPr>
                  <w:r>
                    <w:rPr>
                      <w:sz w:val="15"/>
                    </w:rPr>
                    <w:t>16. 遗传性疾病</w:t>
                  </w:r>
                </w:p>
              </w:txbxContent>
            </v:textbox>
            <w10:wrap type="topAndBottom"/>
          </v:shape>
        </w:pict>
      </w:r>
      <w:r>
        <w:rPr/>
        <w:pict>
          <v:shape style="position:absolute;margin-left:69.959969pt;margin-top:70.247063pt;width:46.15pt;height:7.6pt;mso-position-horizontal-relative:page;mso-position-vertical-relative:paragraph;z-index:1216;mso-wrap-distance-left:0;mso-wrap-distance-right:0" type="#_x0000_t202" filled="false" stroked="false">
            <v:textbox inset="0,0,0,0">
              <w:txbxContent>
                <w:p>
                  <w:pPr>
                    <w:spacing w:line="151" w:lineRule="exact" w:before="0"/>
                    <w:ind w:left="0" w:right="0" w:firstLine="0"/>
                    <w:jc w:val="left"/>
                    <w:rPr>
                      <w:sz w:val="15"/>
                    </w:rPr>
                  </w:pPr>
                  <w:r>
                    <w:rPr>
                      <w:sz w:val="15"/>
                    </w:rPr>
                    <w:t>1.3 投保范围</w:t>
                  </w:r>
                </w:p>
              </w:txbxContent>
            </v:textbox>
            <w10:wrap type="topAndBottom"/>
          </v:shape>
        </w:pict>
      </w:r>
      <w:r>
        <w:rPr/>
        <w:pict>
          <v:shape style="position:absolute;margin-left:222.600327pt;margin-top:70.247063pt;width:16.1500pt;height:7.6pt;mso-position-horizontal-relative:page;mso-position-vertical-relative:paragraph;z-index:124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释义</w:t>
                  </w:r>
                </w:p>
              </w:txbxContent>
            </v:textbox>
            <w10:wrap type="topAndBottom"/>
          </v:shape>
        </w:pict>
      </w:r>
      <w:r>
        <w:rPr/>
        <w:pict>
          <v:shape style="position:absolute;margin-left:390.479858pt;margin-top:70.247063pt;width:121.5pt;height:7.6pt;mso-position-horizontal-relative:page;mso-position-vertical-relative:paragraph;z-index:1264;mso-wrap-distance-left:0;mso-wrap-distance-right:0" type="#_x0000_t202" filled="false" stroked="false">
            <v:textbox inset="0,0,0,0">
              <w:txbxContent>
                <w:p>
                  <w:pPr>
                    <w:spacing w:line="151" w:lineRule="exact" w:before="0"/>
                    <w:ind w:left="0" w:right="0" w:firstLine="0"/>
                    <w:jc w:val="left"/>
                    <w:rPr>
                      <w:sz w:val="15"/>
                    </w:rPr>
                  </w:pPr>
                  <w:r>
                    <w:rPr>
                      <w:sz w:val="15"/>
                    </w:rPr>
                    <w:t>17. 先天性畸形、变形或染色体异常</w:t>
                  </w:r>
                </w:p>
              </w:txbxContent>
            </v:textbox>
            <w10:wrap type="topAndBottom"/>
          </v:shape>
        </w:pict>
      </w:r>
      <w:r>
        <w:rPr/>
        <w:pict>
          <v:shape style="position:absolute;margin-left:69.959969pt;margin-top:85.847061pt;width:46.15pt;height:7.6pt;mso-position-horizontal-relative:page;mso-position-vertical-relative:paragraph;z-index:1288;mso-wrap-distance-left:0;mso-wrap-distance-right:0" type="#_x0000_t202" filled="false" stroked="false">
            <v:textbox inset="0,0,0,0">
              <w:txbxContent>
                <w:p>
                  <w:pPr>
                    <w:spacing w:line="151" w:lineRule="exact" w:before="0"/>
                    <w:ind w:left="0" w:right="0" w:firstLine="0"/>
                    <w:jc w:val="left"/>
                    <w:rPr>
                      <w:sz w:val="15"/>
                    </w:rPr>
                  </w:pPr>
                  <w:r>
                    <w:rPr>
                      <w:sz w:val="15"/>
                    </w:rPr>
                    <w:t>1.4 保险期间</w:t>
                  </w:r>
                </w:p>
              </w:txbxContent>
            </v:textbox>
            <w10:wrap type="topAndBottom"/>
          </v:shape>
        </w:pict>
      </w:r>
      <w:r>
        <w:rPr/>
        <w:pict>
          <v:shape style="position:absolute;margin-left:230.160278pt;margin-top:85.847061pt;width:46.5pt;height:7.6pt;mso-position-horizontal-relative:page;mso-position-vertical-relative:paragraph;z-index:1312;mso-wrap-distance-left:0;mso-wrap-distance-right:0" type="#_x0000_t202" filled="false" stroked="false">
            <v:textbox inset="0,0,0,0">
              <w:txbxContent>
                <w:p>
                  <w:pPr>
                    <w:spacing w:line="151" w:lineRule="exact" w:before="0"/>
                    <w:ind w:left="0" w:right="0" w:firstLine="0"/>
                    <w:jc w:val="left"/>
                    <w:rPr>
                      <w:sz w:val="15"/>
                    </w:rPr>
                  </w:pPr>
                  <w:r>
                    <w:rPr>
                      <w:sz w:val="15"/>
                    </w:rPr>
                    <w:t>1.  现金价值</w:t>
                  </w:r>
                </w:p>
              </w:txbxContent>
            </v:textbox>
            <w10:wrap type="topAndBottom"/>
          </v:shape>
        </w:pict>
      </w:r>
      <w:r>
        <w:rPr/>
        <w:pict>
          <v:shape style="position:absolute;margin-left:390.479462pt;margin-top:85.847061pt;width:76.5pt;height:7.6pt;mso-position-horizontal-relative:page;mso-position-vertical-relative:paragraph;z-index:1336;mso-wrap-distance-left:0;mso-wrap-distance-right:0" type="#_x0000_t202" filled="false" stroked="false">
            <v:textbox inset="0,0,0,0">
              <w:txbxContent>
                <w:p>
                  <w:pPr>
                    <w:spacing w:line="151" w:lineRule="exact" w:before="0"/>
                    <w:ind w:left="0" w:right="0" w:firstLine="0"/>
                    <w:jc w:val="left"/>
                    <w:rPr>
                      <w:sz w:val="15"/>
                    </w:rPr>
                  </w:pPr>
                  <w:r>
                    <w:rPr>
                      <w:sz w:val="15"/>
                    </w:rPr>
                    <w:t>18. 肢体机能完全丧失</w:t>
                  </w:r>
                </w:p>
              </w:txbxContent>
            </v:textbox>
            <w10:wrap type="topAndBottom"/>
          </v:shape>
        </w:pict>
      </w:r>
      <w:r>
        <w:rPr/>
        <w:pict>
          <v:shape style="position:absolute;margin-left:69.959969pt;margin-top:101.447052pt;width:61.15pt;height:7.6pt;mso-position-horizontal-relative:page;mso-position-vertical-relative:paragraph;z-index:1360;mso-wrap-distance-left:0;mso-wrap-distance-right:0" type="#_x0000_t202" filled="false" stroked="false">
            <v:textbox inset="0,0,0,0">
              <w:txbxContent>
                <w:p>
                  <w:pPr>
                    <w:spacing w:line="151" w:lineRule="exact" w:before="0"/>
                    <w:ind w:left="0" w:right="0" w:firstLine="0"/>
                    <w:jc w:val="left"/>
                    <w:rPr>
                      <w:sz w:val="15"/>
                    </w:rPr>
                  </w:pPr>
                  <w:r>
                    <w:rPr>
                      <w:sz w:val="15"/>
                    </w:rPr>
                    <w:t>1.5 附加合同终止</w:t>
                  </w:r>
                </w:p>
              </w:txbxContent>
            </v:textbox>
            <w10:wrap type="topAndBottom"/>
          </v:shape>
        </w:pict>
      </w:r>
      <w:r>
        <w:rPr/>
        <w:pict>
          <v:shape style="position:absolute;margin-left:230.159927pt;margin-top:101.447052pt;width:54.05pt;height:7.6pt;mso-position-horizontal-relative:page;mso-position-vertical-relative:paragraph;z-index:1384;mso-wrap-distance-left:0;mso-wrap-distance-right:0" type="#_x0000_t202" filled="false" stroked="false">
            <v:textbox inset="0,0,0,0">
              <w:txbxContent>
                <w:p>
                  <w:pPr>
                    <w:spacing w:line="151" w:lineRule="exact" w:before="0"/>
                    <w:ind w:left="0" w:right="0" w:firstLine="0"/>
                    <w:jc w:val="left"/>
                    <w:rPr>
                      <w:sz w:val="15"/>
                    </w:rPr>
                  </w:pPr>
                  <w:r>
                    <w:rPr>
                      <w:sz w:val="15"/>
                    </w:rPr>
                    <w:t>2.  保单生效日</w:t>
                  </w:r>
                </w:p>
              </w:txbxContent>
            </v:textbox>
            <w10:wrap type="topAndBottom"/>
          </v:shape>
        </w:pict>
      </w:r>
      <w:r>
        <w:rPr/>
        <w:pict>
          <v:shape style="position:absolute;margin-left:390.479858pt;margin-top:101.447052pt;width:129.0500pt;height:7.6pt;mso-position-horizontal-relative:page;mso-position-vertical-relative:paragraph;z-index:1408;mso-wrap-distance-left:0;mso-wrap-distance-right:0" type="#_x0000_t202" filled="false" stroked="false">
            <v:textbox inset="0,0,0,0">
              <w:txbxContent>
                <w:p>
                  <w:pPr>
                    <w:spacing w:line="151" w:lineRule="exact" w:before="0"/>
                    <w:ind w:left="0" w:right="0" w:firstLine="0"/>
                    <w:jc w:val="left"/>
                    <w:rPr>
                      <w:sz w:val="15"/>
                    </w:rPr>
                  </w:pPr>
                  <w:r>
                    <w:rPr>
                      <w:sz w:val="15"/>
                    </w:rPr>
                    <w:t>19. 语言能力或咀嚼吞咽能力完全丧失</w:t>
                  </w:r>
                </w:p>
              </w:txbxContent>
            </v:textbox>
            <w10:wrap type="topAndBottom"/>
          </v:shape>
        </w:pict>
      </w:r>
      <w:r>
        <w:rPr/>
        <w:pict>
          <v:shape style="position:absolute;margin-left:62.400009pt;margin-top:117.04705pt;width:87.8pt;height:7.6pt;mso-position-horizontal-relative:page;mso-position-vertical-relative:paragraph;z-index:143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第二部分 我们提供的保障</w:t>
                  </w:r>
                </w:p>
              </w:txbxContent>
            </v:textbox>
            <w10:wrap type="topAndBottom"/>
          </v:shape>
        </w:pict>
      </w:r>
      <w:r>
        <w:rPr/>
        <w:pict>
          <v:shape style="position:absolute;margin-left:230.159927pt;margin-top:117.04705pt;width:54.05pt;height:7.6pt;mso-position-horizontal-relative:page;mso-position-vertical-relative:paragraph;z-index:1456;mso-wrap-distance-left:0;mso-wrap-distance-right:0" type="#_x0000_t202" filled="false" stroked="false">
            <v:textbox inset="0,0,0,0">
              <w:txbxContent>
                <w:p>
                  <w:pPr>
                    <w:spacing w:line="151" w:lineRule="exact" w:before="0"/>
                    <w:ind w:left="0" w:right="0" w:firstLine="0"/>
                    <w:jc w:val="left"/>
                    <w:rPr>
                      <w:sz w:val="15"/>
                    </w:rPr>
                  </w:pPr>
                  <w:r>
                    <w:rPr>
                      <w:sz w:val="15"/>
                    </w:rPr>
                    <w:t>3.  保单周年日</w:t>
                  </w:r>
                </w:p>
              </w:txbxContent>
            </v:textbox>
            <w10:wrap type="topAndBottom"/>
          </v:shape>
        </w:pict>
      </w:r>
      <w:r>
        <w:rPr/>
        <w:pict>
          <v:shape style="position:absolute;margin-left:390.480347pt;margin-top:117.04705pt;width:91.5pt;height:7.6pt;mso-position-horizontal-relative:page;mso-position-vertical-relative:paragraph;z-index:1480;mso-wrap-distance-left:0;mso-wrap-distance-right:0" type="#_x0000_t202" filled="false" stroked="false">
            <v:textbox inset="0,0,0,0">
              <w:txbxContent>
                <w:p>
                  <w:pPr>
                    <w:spacing w:line="151" w:lineRule="exact" w:before="0"/>
                    <w:ind w:left="0" w:right="0" w:firstLine="0"/>
                    <w:jc w:val="left"/>
                    <w:rPr>
                      <w:sz w:val="15"/>
                    </w:rPr>
                  </w:pPr>
                  <w:r>
                    <w:rPr>
                      <w:sz w:val="15"/>
                    </w:rPr>
                    <w:t>20. 六项基本日常生活活动</w:t>
                  </w:r>
                </w:p>
              </w:txbxContent>
            </v:textbox>
            <w10:wrap type="topAndBottom"/>
          </v:shape>
        </w:pict>
      </w:r>
      <w:r>
        <w:rPr/>
        <w:pict>
          <v:shape style="position:absolute;margin-left:69.960007pt;margin-top:132.647034pt;width:38.7pt;height:7.6pt;mso-position-horizontal-relative:page;mso-position-vertical-relative:paragraph;z-index:1504;mso-wrap-distance-left:0;mso-wrap-distance-right:0" type="#_x0000_t202" filled="false" stroked="false">
            <v:textbox inset="0,0,0,0">
              <w:txbxContent>
                <w:p>
                  <w:pPr>
                    <w:spacing w:line="151" w:lineRule="exact" w:before="0"/>
                    <w:ind w:left="0" w:right="0" w:firstLine="0"/>
                    <w:jc w:val="left"/>
                    <w:rPr>
                      <w:sz w:val="15"/>
                    </w:rPr>
                  </w:pPr>
                  <w:r>
                    <w:rPr>
                      <w:sz w:val="15"/>
                    </w:rPr>
                    <w:t>2.1 等待期</w:t>
                  </w:r>
                </w:p>
              </w:txbxContent>
            </v:textbox>
            <w10:wrap type="topAndBottom"/>
          </v:shape>
        </w:pict>
      </w:r>
      <w:r>
        <w:rPr/>
        <w:pict>
          <v:shape style="position:absolute;margin-left:230.159927pt;margin-top:132.647034pt;width:46.5pt;height:7.6pt;mso-position-horizontal-relative:page;mso-position-vertical-relative:paragraph;z-index:1528;mso-wrap-distance-left:0;mso-wrap-distance-right:0" type="#_x0000_t202" filled="false" stroked="false">
            <v:textbox inset="0,0,0,0">
              <w:txbxContent>
                <w:p>
                  <w:pPr>
                    <w:spacing w:line="151" w:lineRule="exact" w:before="0"/>
                    <w:ind w:left="0" w:right="0" w:firstLine="0"/>
                    <w:jc w:val="left"/>
                    <w:rPr>
                      <w:sz w:val="15"/>
                    </w:rPr>
                  </w:pPr>
                  <w:r>
                    <w:rPr>
                      <w:sz w:val="15"/>
                    </w:rPr>
                    <w:t>4.  保单年度</w:t>
                  </w:r>
                </w:p>
              </w:txbxContent>
            </v:textbox>
            <w10:wrap type="topAndBottom"/>
          </v:shape>
        </w:pict>
      </w:r>
      <w:r>
        <w:rPr/>
        <w:pict>
          <v:shape style="position:absolute;margin-left:390.479858pt;margin-top:132.647034pt;width:54.05pt;height:7.6pt;mso-position-horizontal-relative:page;mso-position-vertical-relative:paragraph;z-index:1552;mso-wrap-distance-left:0;mso-wrap-distance-right:0" type="#_x0000_t202" filled="false" stroked="false">
            <v:textbox inset="0,0,0,0">
              <w:txbxContent>
                <w:p>
                  <w:pPr>
                    <w:spacing w:line="151" w:lineRule="exact" w:before="0"/>
                    <w:ind w:left="0" w:right="0" w:firstLine="0"/>
                    <w:jc w:val="left"/>
                    <w:rPr>
                      <w:sz w:val="15"/>
                    </w:rPr>
                  </w:pPr>
                  <w:r>
                    <w:rPr>
                      <w:sz w:val="15"/>
                    </w:rPr>
                    <w:t>21. 永久不可逆</w:t>
                  </w:r>
                </w:p>
              </w:txbxContent>
            </v:textbox>
            <w10:wrap type="topAndBottom"/>
          </v:shape>
        </w:pict>
      </w:r>
      <w:r>
        <w:rPr/>
        <w:pict>
          <v:shape style="position:absolute;margin-left:69.960007pt;margin-top:148.24704pt;width:46.15pt;height:7.6pt;mso-position-horizontal-relative:page;mso-position-vertical-relative:paragraph;z-index:1576;mso-wrap-distance-left:0;mso-wrap-distance-right:0" type="#_x0000_t202" filled="false" stroked="false">
            <v:textbox inset="0,0,0,0">
              <w:txbxContent>
                <w:p>
                  <w:pPr>
                    <w:spacing w:line="151" w:lineRule="exact" w:before="0"/>
                    <w:ind w:left="0" w:right="0" w:firstLine="0"/>
                    <w:jc w:val="left"/>
                    <w:rPr>
                      <w:sz w:val="15"/>
                    </w:rPr>
                  </w:pPr>
                  <w:r>
                    <w:rPr>
                      <w:sz w:val="15"/>
                    </w:rPr>
                    <w:t>2.2 保险责任</w:t>
                  </w:r>
                </w:p>
              </w:txbxContent>
            </v:textbox>
            <w10:wrap type="topAndBottom"/>
          </v:shape>
        </w:pict>
      </w:r>
      <w:r>
        <w:rPr/>
        <w:pict>
          <v:shape style="position:absolute;margin-left:230.159927pt;margin-top:148.24704pt;width:31.5pt;height:7.6pt;mso-position-horizontal-relative:page;mso-position-vertical-relative:paragraph;z-index:1600;mso-wrap-distance-left:0;mso-wrap-distance-right:0" type="#_x0000_t202" filled="false" stroked="false">
            <v:textbox inset="0,0,0,0">
              <w:txbxContent>
                <w:p>
                  <w:pPr>
                    <w:spacing w:line="151" w:lineRule="exact" w:before="0"/>
                    <w:ind w:left="0" w:right="0" w:firstLine="0"/>
                    <w:jc w:val="left"/>
                    <w:rPr>
                      <w:sz w:val="15"/>
                    </w:rPr>
                  </w:pPr>
                  <w:r>
                    <w:rPr>
                      <w:sz w:val="15"/>
                    </w:rPr>
                    <w:t>5. 周 岁</w:t>
                  </w:r>
                </w:p>
              </w:txbxContent>
            </v:textbox>
            <w10:wrap type="topAndBottom"/>
          </v:shape>
        </w:pict>
      </w:r>
      <w:r>
        <w:rPr/>
        <w:pict>
          <v:shape style="position:absolute;margin-left:390.479858pt;margin-top:148.24704pt;width:46.5pt;height:7.6pt;mso-position-horizontal-relative:page;mso-position-vertical-relative:paragraph;z-index:1624;mso-wrap-distance-left:0;mso-wrap-distance-right:0" type="#_x0000_t202" filled="false" stroked="false">
            <v:textbox inset="0,0,0,0">
              <w:txbxContent>
                <w:p>
                  <w:pPr>
                    <w:spacing w:line="151" w:lineRule="exact" w:before="0"/>
                    <w:ind w:left="0" w:right="0" w:firstLine="0"/>
                    <w:jc w:val="left"/>
                    <w:rPr>
                      <w:sz w:val="15"/>
                    </w:rPr>
                  </w:pPr>
                  <w:r>
                    <w:rPr>
                      <w:sz w:val="15"/>
                    </w:rPr>
                    <w:t>22. 专科医生</w:t>
                  </w:r>
                </w:p>
              </w:txbxContent>
            </v:textbox>
            <w10:wrap type="topAndBottom"/>
          </v:shape>
        </w:pict>
      </w:r>
      <w:r>
        <w:rPr/>
        <w:pict>
          <v:shape style="position:absolute;margin-left:69.960007pt;margin-top:163.847031pt;width:46.15pt;height:7.6pt;mso-position-horizontal-relative:page;mso-position-vertical-relative:paragraph;z-index:1648;mso-wrap-distance-left:0;mso-wrap-distance-right:0" type="#_x0000_t202" filled="false" stroked="false">
            <v:textbox inset="0,0,0,0">
              <w:txbxContent>
                <w:p>
                  <w:pPr>
                    <w:spacing w:line="151" w:lineRule="exact" w:before="0"/>
                    <w:ind w:left="0" w:right="0" w:firstLine="0"/>
                    <w:jc w:val="left"/>
                    <w:rPr>
                      <w:sz w:val="15"/>
                    </w:rPr>
                  </w:pPr>
                  <w:r>
                    <w:rPr>
                      <w:sz w:val="15"/>
                    </w:rPr>
                    <w:t>2.3 责任免除</w:t>
                  </w:r>
                </w:p>
              </w:txbxContent>
            </v:textbox>
            <w10:wrap type="topAndBottom"/>
          </v:shape>
        </w:pict>
      </w:r>
      <w:r>
        <w:rPr/>
        <w:pict>
          <v:shape style="position:absolute;margin-left:230.159927pt;margin-top:163.847031pt;width:39.050pt;height:7.6pt;mso-position-horizontal-relative:page;mso-position-vertical-relative:paragraph;z-index:1672;mso-wrap-distance-left:0;mso-wrap-distance-right:0" type="#_x0000_t202" filled="false" stroked="false">
            <v:textbox inset="0,0,0,0">
              <w:txbxContent>
                <w:p>
                  <w:pPr>
                    <w:spacing w:line="151" w:lineRule="exact" w:before="0"/>
                    <w:ind w:left="0" w:right="0" w:firstLine="0"/>
                    <w:jc w:val="left"/>
                    <w:rPr>
                      <w:sz w:val="15"/>
                    </w:rPr>
                  </w:pPr>
                  <w:r>
                    <w:rPr>
                      <w:sz w:val="15"/>
                    </w:rPr>
                    <w:t>6.  满期日</w:t>
                  </w:r>
                </w:p>
              </w:txbxContent>
            </v:textbox>
            <w10:wrap type="topAndBottom"/>
          </v:shape>
        </w:pict>
      </w:r>
      <w:r>
        <w:rPr/>
        <w:pict>
          <v:shape style="position:absolute;margin-left:62.40004pt;margin-top:179.447021pt;width:87.8pt;height:7.6pt;mso-position-horizontal-relative:page;mso-position-vertical-relative:paragraph;z-index:169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第三部分 如何支付保险费</w:t>
                  </w:r>
                </w:p>
              </w:txbxContent>
            </v:textbox>
            <w10:wrap type="topAndBottom"/>
          </v:shape>
        </w:pict>
      </w:r>
      <w:r>
        <w:rPr/>
        <w:pict>
          <v:shape style="position:absolute;margin-left:230.159927pt;margin-top:179.447021pt;width:31.5pt;height:7.6pt;mso-position-horizontal-relative:page;mso-position-vertical-relative:paragraph;z-index:1720;mso-wrap-distance-left:0;mso-wrap-distance-right:0" type="#_x0000_t202" filled="false" stroked="false">
            <v:textbox inset="0,0,0,0">
              <w:txbxContent>
                <w:p>
                  <w:pPr>
                    <w:spacing w:line="151" w:lineRule="exact" w:before="0"/>
                    <w:ind w:left="0" w:right="0" w:firstLine="0"/>
                    <w:jc w:val="left"/>
                    <w:rPr>
                      <w:sz w:val="15"/>
                    </w:rPr>
                  </w:pPr>
                  <w:r>
                    <w:rPr>
                      <w:sz w:val="15"/>
                    </w:rPr>
                    <w:t>7. 医 院</w:t>
                  </w:r>
                </w:p>
              </w:txbxContent>
            </v:textbox>
            <w10:wrap type="topAndBottom"/>
          </v:shape>
        </w:pict>
      </w:r>
      <w:r>
        <w:rPr/>
        <w:pict>
          <v:shape style="position:absolute;margin-left:69.959984pt;margin-top:195.047012pt;width:91.15pt;height:7.6pt;mso-position-horizontal-relative:page;mso-position-vertical-relative:paragraph;z-index:1744;mso-wrap-distance-left:0;mso-wrap-distance-right:0" type="#_x0000_t202" filled="false" stroked="false">
            <v:textbox inset="0,0,0,0">
              <w:txbxContent>
                <w:p>
                  <w:pPr>
                    <w:spacing w:line="151" w:lineRule="exact" w:before="0"/>
                    <w:ind w:left="0" w:right="0" w:firstLine="0"/>
                    <w:jc w:val="left"/>
                    <w:rPr>
                      <w:sz w:val="15"/>
                    </w:rPr>
                  </w:pPr>
                  <w:r>
                    <w:rPr>
                      <w:sz w:val="15"/>
                    </w:rPr>
                    <w:t>3.1 保险费的支付及宽限期</w:t>
                  </w:r>
                </w:p>
              </w:txbxContent>
            </v:textbox>
            <w10:wrap type="topAndBottom"/>
          </v:shape>
        </w:pict>
      </w:r>
      <w:r>
        <w:rPr/>
        <w:pict>
          <v:shape style="position:absolute;margin-left:230.159927pt;margin-top:195.047012pt;width:46.5pt;height:7.6pt;mso-position-horizontal-relative:page;mso-position-vertical-relative:paragraph;z-index:1768;mso-wrap-distance-left:0;mso-wrap-distance-right:0" type="#_x0000_t202" filled="false" stroked="false">
            <v:textbox inset="0,0,0,0">
              <w:txbxContent>
                <w:p>
                  <w:pPr>
                    <w:spacing w:line="151" w:lineRule="exact" w:before="0"/>
                    <w:ind w:left="0" w:right="0" w:firstLine="0"/>
                    <w:jc w:val="left"/>
                    <w:rPr>
                      <w:sz w:val="15"/>
                    </w:rPr>
                  </w:pPr>
                  <w:r>
                    <w:rPr>
                      <w:sz w:val="15"/>
                    </w:rPr>
                    <w:t>8.  年度保额</w:t>
                  </w:r>
                </w:p>
              </w:txbxContent>
            </v:textbox>
            <w10:wrap type="topAndBottom"/>
          </v:shape>
        </w:pict>
      </w:r>
      <w:r>
        <w:rPr/>
        <w:pict>
          <v:shape style="position:absolute;margin-left:62.399921pt;margin-top:210.647003pt;width:102.8pt;height:7.6pt;mso-position-horizontal-relative:page;mso-position-vertical-relative:paragraph;z-index:179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第四部分 如何申请领取保险金</w:t>
                  </w:r>
                </w:p>
              </w:txbxContent>
            </v:textbox>
            <w10:wrap type="topAndBottom"/>
          </v:shape>
        </w:pict>
      </w:r>
      <w:r>
        <w:rPr/>
        <w:pict>
          <v:shape style="position:absolute;margin-left:230.159927pt;margin-top:210.647003pt;width:46.5pt;height:7.6pt;mso-position-horizontal-relative:page;mso-position-vertical-relative:paragraph;z-index:1816;mso-wrap-distance-left:0;mso-wrap-distance-right:0" type="#_x0000_t202" filled="false" stroked="false">
            <v:textbox inset="0,0,0,0">
              <w:txbxContent>
                <w:p>
                  <w:pPr>
                    <w:spacing w:line="151" w:lineRule="exact" w:before="0"/>
                    <w:ind w:left="0" w:right="0" w:firstLine="0"/>
                    <w:jc w:val="left"/>
                    <w:rPr>
                      <w:sz w:val="15"/>
                    </w:rPr>
                  </w:pPr>
                  <w:r>
                    <w:rPr>
                      <w:sz w:val="15"/>
                    </w:rPr>
                    <w:t>9.  意外事故</w:t>
                  </w:r>
                </w:p>
              </w:txbxContent>
            </v:textbox>
            <w10:wrap type="topAndBottom"/>
          </v:shape>
        </w:pict>
      </w:r>
      <w:r>
        <w:rPr/>
        <w:pict>
          <v:shape style="position:absolute;margin-left:69.959869pt;margin-top:226.247009pt;width:38.7pt;height:7.6pt;mso-position-horizontal-relative:page;mso-position-vertical-relative:paragraph;z-index:1840;mso-wrap-distance-left:0;mso-wrap-distance-right:0" type="#_x0000_t202" filled="false" stroked="false">
            <v:textbox inset="0,0,0,0">
              <w:txbxContent>
                <w:p>
                  <w:pPr>
                    <w:spacing w:line="151" w:lineRule="exact" w:before="0"/>
                    <w:ind w:left="0" w:right="0" w:firstLine="0"/>
                    <w:jc w:val="left"/>
                    <w:rPr>
                      <w:sz w:val="15"/>
                    </w:rPr>
                  </w:pPr>
                  <w:r>
                    <w:rPr>
                      <w:sz w:val="15"/>
                    </w:rPr>
                    <w:t>4.1 受益人</w:t>
                  </w:r>
                </w:p>
              </w:txbxContent>
            </v:textbox>
            <w10:wrap type="topAndBottom"/>
          </v:shape>
        </w:pict>
      </w:r>
      <w:r>
        <w:rPr/>
        <w:pict>
          <v:shape style="position:absolute;margin-left:230.159927pt;margin-top:226.247009pt;width:61.5pt;height:7.6pt;mso-position-horizontal-relative:page;mso-position-vertical-relative:paragraph;z-index:1864;mso-wrap-distance-left:0;mso-wrap-distance-right:0" type="#_x0000_t202" filled="false" stroked="false">
            <v:textbox inset="0,0,0,0">
              <w:txbxContent>
                <w:p>
                  <w:pPr>
                    <w:spacing w:line="151" w:lineRule="exact" w:before="0"/>
                    <w:ind w:left="0" w:right="0" w:firstLine="0"/>
                    <w:jc w:val="left"/>
                    <w:rPr>
                      <w:sz w:val="15"/>
                    </w:rPr>
                  </w:pPr>
                  <w:r>
                    <w:rPr>
                      <w:sz w:val="15"/>
                    </w:rPr>
                    <w:t>10. 基本保险金额</w:t>
                  </w:r>
                </w:p>
              </w:txbxContent>
            </v:textbox>
            <w10:wrap type="topAndBottom"/>
          </v:shape>
        </w:pict>
      </w:r>
      <w:r>
        <w:rPr/>
        <w:pict>
          <v:shape style="position:absolute;margin-left:69.959869pt;margin-top:241.847pt;width:61.15pt;height:7.6pt;mso-position-horizontal-relative:page;mso-position-vertical-relative:paragraph;z-index:1888;mso-wrap-distance-left:0;mso-wrap-distance-right:0" type="#_x0000_t202" filled="false" stroked="false">
            <v:textbox inset="0,0,0,0">
              <w:txbxContent>
                <w:p>
                  <w:pPr>
                    <w:spacing w:line="151" w:lineRule="exact" w:before="0"/>
                    <w:ind w:left="0" w:right="0" w:firstLine="0"/>
                    <w:jc w:val="left"/>
                    <w:rPr>
                      <w:sz w:val="15"/>
                    </w:rPr>
                  </w:pPr>
                  <w:r>
                    <w:rPr>
                      <w:sz w:val="15"/>
                    </w:rPr>
                    <w:t>4.2 保险事故通知</w:t>
                  </w:r>
                </w:p>
              </w:txbxContent>
            </v:textbox>
            <w10:wrap type="topAndBottom"/>
          </v:shape>
        </w:pict>
      </w:r>
      <w:r>
        <w:rPr/>
        <w:pict>
          <v:shape style="position:absolute;margin-left:230.159927pt;margin-top:241.847pt;width:106.5pt;height:7.6pt;mso-position-horizontal-relative:page;mso-position-vertical-relative:paragraph;z-index:1912;mso-wrap-distance-left:0;mso-wrap-distance-right:0" type="#_x0000_t202" filled="false" stroked="false">
            <v:textbox inset="0,0,0,0">
              <w:txbxContent>
                <w:p>
                  <w:pPr>
                    <w:spacing w:line="151" w:lineRule="exact" w:before="0"/>
                    <w:ind w:left="0" w:right="0" w:firstLine="0"/>
                    <w:jc w:val="left"/>
                    <w:rPr>
                      <w:sz w:val="15"/>
                    </w:rPr>
                  </w:pPr>
                  <w:r>
                    <w:rPr>
                      <w:sz w:val="15"/>
                    </w:rPr>
                    <w:t>11. 患艾滋病或感染艾滋病病毒</w:t>
                  </w:r>
                </w:p>
              </w:txbxContent>
            </v:textbox>
            <w10:wrap type="topAndBottom"/>
          </v:shape>
        </w:pict>
      </w:r>
      <w:r>
        <w:rPr/>
        <w:pict>
          <v:shape style="position:absolute;margin-left:69.959869pt;margin-top:257.446991pt;width:53.7pt;height:7.6pt;mso-position-horizontal-relative:page;mso-position-vertical-relative:paragraph;z-index:1936;mso-wrap-distance-left:0;mso-wrap-distance-right:0" type="#_x0000_t202" filled="false" stroked="false">
            <v:textbox inset="0,0,0,0">
              <w:txbxContent>
                <w:p>
                  <w:pPr>
                    <w:spacing w:line="151" w:lineRule="exact" w:before="0"/>
                    <w:ind w:left="0" w:right="0" w:firstLine="0"/>
                    <w:jc w:val="left"/>
                    <w:rPr>
                      <w:sz w:val="15"/>
                    </w:rPr>
                  </w:pPr>
                  <w:r>
                    <w:rPr>
                      <w:sz w:val="15"/>
                    </w:rPr>
                    <w:t>4.3 保险金申请</w:t>
                  </w:r>
                </w:p>
              </w:txbxContent>
            </v:textbox>
            <w10:wrap type="topAndBottom"/>
          </v:shape>
        </w:pict>
      </w:r>
      <w:r>
        <w:rPr/>
        <w:pict>
          <v:shape style="position:absolute;margin-left:230.160126pt;margin-top:257.446991pt;width:31.5pt;height:7.6pt;mso-position-horizontal-relative:page;mso-position-vertical-relative:paragraph;z-index:1960;mso-wrap-distance-left:0;mso-wrap-distance-right:0" type="#_x0000_t202" filled="false" stroked="false">
            <v:textbox inset="0,0,0,0">
              <w:txbxContent>
                <w:p>
                  <w:pPr>
                    <w:spacing w:line="151" w:lineRule="exact" w:before="0"/>
                    <w:ind w:left="0" w:right="0" w:firstLine="0"/>
                    <w:jc w:val="left"/>
                    <w:rPr>
                      <w:sz w:val="15"/>
                    </w:rPr>
                  </w:pPr>
                  <w:r>
                    <w:rPr>
                      <w:sz w:val="15"/>
                    </w:rPr>
                    <w:t>12. 毒品</w:t>
                  </w:r>
                </w:p>
              </w:txbxContent>
            </v:textbox>
            <w10:wrap type="topAndBottom"/>
          </v:shape>
        </w:pict>
      </w:r>
      <w:r>
        <w:rPr/>
        <w:pict>
          <v:shape style="position:absolute;margin-left:69.959869pt;margin-top:273.046997pt;width:53.7pt;height:7.6pt;mso-position-horizontal-relative:page;mso-position-vertical-relative:paragraph;z-index:1984;mso-wrap-distance-left:0;mso-wrap-distance-right:0" type="#_x0000_t202" filled="false" stroked="false">
            <v:textbox inset="0,0,0,0">
              <w:txbxContent>
                <w:p>
                  <w:pPr>
                    <w:spacing w:line="151" w:lineRule="exact" w:before="0"/>
                    <w:ind w:left="0" w:right="0" w:firstLine="0"/>
                    <w:jc w:val="left"/>
                    <w:rPr>
                      <w:sz w:val="15"/>
                    </w:rPr>
                  </w:pPr>
                  <w:r>
                    <w:rPr>
                      <w:sz w:val="15"/>
                    </w:rPr>
                    <w:t>4.4 保险金给付</w:t>
                  </w:r>
                </w:p>
              </w:txbxContent>
            </v:textbox>
            <w10:wrap type="topAndBottom"/>
          </v:shape>
        </w:pict>
      </w:r>
      <w:r>
        <w:rPr/>
        <w:pict>
          <v:shape style="position:absolute;margin-left:230.159927pt;margin-top:273.046997pt;width:46.5pt;height:7.6pt;mso-position-horizontal-relative:page;mso-position-vertical-relative:paragraph;z-index:2008;mso-wrap-distance-left:0;mso-wrap-distance-right:0" type="#_x0000_t202" filled="false" stroked="false">
            <v:textbox inset="0,0,0,0">
              <w:txbxContent>
                <w:p>
                  <w:pPr>
                    <w:spacing w:line="151" w:lineRule="exact" w:before="0"/>
                    <w:ind w:left="0" w:right="0" w:firstLine="0"/>
                    <w:jc w:val="left"/>
                    <w:rPr>
                      <w:sz w:val="15"/>
                    </w:rPr>
                  </w:pPr>
                  <w:r>
                    <w:rPr>
                      <w:sz w:val="15"/>
                    </w:rPr>
                    <w:t>13. 酒后驾驶</w:t>
                  </w:r>
                </w:p>
              </w:txbxContent>
            </v:textbox>
            <w10:wrap type="topAndBottom"/>
          </v:shape>
        </w:pict>
      </w:r>
      <w:r>
        <w:rPr/>
        <w:pict>
          <v:shape style="position:absolute;margin-left:69.959869pt;margin-top:288.646973pt;width:46.15pt;height:7.6pt;mso-position-horizontal-relative:page;mso-position-vertical-relative:paragraph;z-index:2032;mso-wrap-distance-left:0;mso-wrap-distance-right:0" type="#_x0000_t202" filled="false" stroked="false">
            <v:textbox inset="0,0,0,0">
              <w:txbxContent>
                <w:p>
                  <w:pPr>
                    <w:spacing w:line="151" w:lineRule="exact" w:before="0"/>
                    <w:ind w:left="0" w:right="0" w:firstLine="0"/>
                    <w:jc w:val="left"/>
                    <w:rPr>
                      <w:sz w:val="15"/>
                    </w:rPr>
                  </w:pPr>
                  <w:r>
                    <w:rPr>
                      <w:sz w:val="15"/>
                    </w:rPr>
                    <w:t>4.5 诉讼时效</w:t>
                  </w:r>
                </w:p>
              </w:txbxContent>
            </v:textbox>
            <w10:wrap type="topAndBottom"/>
          </v:shape>
        </w:pict>
      </w:r>
      <w:r>
        <w:rPr/>
        <w:pict>
          <v:shape style="position:absolute;margin-left:230.159927pt;margin-top:288.646973pt;width:91.5pt;height:7.6pt;mso-position-horizontal-relative:page;mso-position-vertical-relative:paragraph;z-index:2056;mso-wrap-distance-left:0;mso-wrap-distance-right:0" type="#_x0000_t202" filled="false" stroked="false">
            <v:textbox inset="0,0,0,0">
              <w:txbxContent>
                <w:p>
                  <w:pPr>
                    <w:spacing w:line="151" w:lineRule="exact" w:before="0"/>
                    <w:ind w:left="0" w:right="0" w:firstLine="0"/>
                    <w:jc w:val="left"/>
                    <w:rPr>
                      <w:sz w:val="15"/>
                    </w:rPr>
                  </w:pPr>
                  <w:r>
                    <w:rPr>
                      <w:sz w:val="15"/>
                    </w:rPr>
                    <w:t>14. 无合法有效驾驶证驾驶</w:t>
                  </w:r>
                </w:p>
              </w:txbxContent>
            </v:textbox>
            <w10:wrap type="topAndBottom"/>
          </v:shape>
        </w:pict>
      </w:r>
      <w:r>
        <w:rPr/>
        <w:t>条款目录</w:t>
      </w: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spacing w:after="0"/>
        <w:rPr>
          <w:rFonts w:ascii="微软雅黑"/>
          <w:sz w:val="7"/>
        </w:rPr>
        <w:sectPr>
          <w:type w:val="continuous"/>
          <w:pgSz w:w="11900" w:h="16840"/>
          <w:pgMar w:top="660" w:bottom="1020" w:left="880" w:right="900"/>
        </w:sectPr>
      </w:pPr>
    </w:p>
    <w:p>
      <w:pPr>
        <w:spacing w:line="534" w:lineRule="exact" w:before="0"/>
        <w:ind w:left="2507" w:right="2592" w:firstLine="0"/>
        <w:jc w:val="center"/>
        <w:rPr>
          <w:rFonts w:ascii="微软雅黑" w:eastAsia="微软雅黑" w:hint="eastAsia"/>
          <w:b/>
          <w:sz w:val="40"/>
        </w:rPr>
      </w:pPr>
      <w:r>
        <w:rPr>
          <w:rFonts w:ascii="微软雅黑" w:eastAsia="微软雅黑" w:hint="eastAsia"/>
          <w:b/>
          <w:sz w:val="40"/>
        </w:rPr>
        <w:t>中德安联人寿保险有限公司</w:t>
      </w:r>
    </w:p>
    <w:p>
      <w:pPr>
        <w:pStyle w:val="BodyText"/>
        <w:rPr>
          <w:rFonts w:ascii="微软雅黑"/>
          <w:b/>
          <w:sz w:val="22"/>
        </w:rPr>
      </w:pPr>
    </w:p>
    <w:p>
      <w:pPr>
        <w:spacing w:before="0"/>
        <w:ind w:left="2507" w:right="2592" w:firstLine="0"/>
        <w:jc w:val="center"/>
        <w:rPr>
          <w:rFonts w:ascii="微软雅黑" w:eastAsia="微软雅黑" w:hint="eastAsia"/>
          <w:b/>
          <w:sz w:val="28"/>
        </w:rPr>
      </w:pPr>
      <w:r>
        <w:rPr>
          <w:rFonts w:ascii="微软雅黑" w:eastAsia="微软雅黑" w:hint="eastAsia"/>
          <w:b/>
          <w:sz w:val="28"/>
        </w:rPr>
        <w:t>安联附加安康福至长期重大疾病保险条款</w:t>
      </w:r>
    </w:p>
    <w:p>
      <w:pPr>
        <w:pStyle w:val="BodyText"/>
        <w:spacing w:before="17"/>
        <w:rPr>
          <w:rFonts w:ascii="微软雅黑"/>
          <w:b/>
          <w:sz w:val="21"/>
        </w:rPr>
      </w:pPr>
    </w:p>
    <w:p>
      <w:pPr>
        <w:pStyle w:val="Heading2"/>
        <w:spacing w:line="329" w:lineRule="exact"/>
        <w:ind w:left="212"/>
      </w:pPr>
      <w:r>
        <w:rPr>
          <w:u w:val="single"/>
        </w:rPr>
        <w:t>请您务必仔细阅读本条款，并特别关注加黑字体部分。</w:t>
      </w:r>
    </w:p>
    <w:p>
      <w:pPr>
        <w:spacing w:line="312"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在本条款中，“您”指投保人，“我们”指中德安联人寿保险有限公司。</w:t>
      </w:r>
    </w:p>
    <w:p>
      <w:pPr>
        <w:spacing w:line="329"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本条款中带有右上标标注的用词具有特定含义，您可参阅本条款尾部的“释义”获取相关解释。</w:t>
      </w:r>
    </w:p>
    <w:p>
      <w:pPr>
        <w:pStyle w:val="BodyText"/>
        <w:spacing w:before="8"/>
        <w:rPr>
          <w:rFonts w:ascii="微软雅黑"/>
          <w:b/>
          <w:sz w:val="27"/>
        </w:rPr>
      </w:pPr>
    </w:p>
    <w:p>
      <w:pPr>
        <w:tabs>
          <w:tab w:pos="1472" w:val="left" w:leader="none"/>
        </w:tabs>
        <w:spacing w:before="1"/>
        <w:ind w:left="392" w:right="0" w:firstLine="0"/>
        <w:jc w:val="left"/>
        <w:rPr>
          <w:rFonts w:ascii="微软雅黑" w:eastAsia="微软雅黑" w:hint="eastAsia"/>
          <w:b/>
          <w:sz w:val="20"/>
        </w:rPr>
      </w:pPr>
      <w:r>
        <w:rPr/>
        <w:pict>
          <v:group style="position:absolute;margin-left:51.239998pt;margin-top:20.943331pt;width:498pt;height:.5pt;mso-position-horizontal-relative:page;mso-position-vertical-relative:paragraph;z-index:2104;mso-wrap-distance-left:0;mso-wrap-distance-right:0" coordorigin="1025,419" coordsize="9960,10">
            <v:line style="position:absolute" from="1025,424" to="1687,424" stroked="true" strokeweight=".48pt" strokecolor="#000000">
              <v:stroke dashstyle="solid"/>
            </v:line>
            <v:rect style="position:absolute;left:1687;top:418;width:10;height:10" filled="true" fillcolor="#000000" stroked="false">
              <v:fill type="solid"/>
            </v:rect>
            <v:line style="position:absolute" from="1697,424" to="3048,424" stroked="true" strokeweight=".48pt" strokecolor="#000000">
              <v:stroke dashstyle="solid"/>
            </v:line>
            <v:rect style="position:absolute;left:3048;top:418;width:10;height:10" filled="true" fillcolor="#000000" stroked="false">
              <v:fill type="solid"/>
            </v:rect>
            <v:line style="position:absolute" from="3058,424" to="10985,424" stroked="true" strokeweight=".48pt" strokecolor="#000000">
              <v:stroke dashstyle="solid"/>
            </v:line>
            <w10:wrap type="topAndBottom"/>
          </v:group>
        </w:pict>
      </w:r>
      <w:r>
        <w:rPr>
          <w:rFonts w:ascii="微软雅黑" w:eastAsia="微软雅黑" w:hint="eastAsia"/>
          <w:b/>
          <w:sz w:val="20"/>
        </w:rPr>
        <w:t>第一部分</w:t>
        <w:tab/>
        <w:t>您与我们的合同</w:t>
      </w:r>
    </w:p>
    <w:p>
      <w:pPr>
        <w:pStyle w:val="BodyText"/>
        <w:spacing w:before="1"/>
        <w:rPr>
          <w:rFonts w:ascii="微软雅黑"/>
          <w:b/>
          <w:sz w:val="7"/>
        </w:rPr>
      </w:pPr>
    </w:p>
    <w:p>
      <w:pPr>
        <w:spacing w:after="0"/>
        <w:rPr>
          <w:rFonts w:ascii="微软雅黑"/>
          <w:sz w:val="7"/>
        </w:rPr>
        <w:sectPr>
          <w:pgSz w:w="11900" w:h="16840"/>
          <w:pgMar w:header="0" w:footer="834" w:top="1440" w:bottom="1100" w:left="920" w:right="800"/>
        </w:sectPr>
      </w:pPr>
    </w:p>
    <w:p>
      <w:pPr>
        <w:pStyle w:val="ListParagraph"/>
        <w:numPr>
          <w:ilvl w:val="1"/>
          <w:numId w:val="2"/>
        </w:numPr>
        <w:tabs>
          <w:tab w:pos="875" w:val="left" w:leader="none"/>
          <w:tab w:pos="876" w:val="left" w:leader="none"/>
        </w:tabs>
        <w:spacing w:line="324" w:lineRule="exact" w:before="0" w:after="0"/>
        <w:ind w:left="2236" w:right="0" w:hanging="2024"/>
        <w:jc w:val="left"/>
        <w:rPr>
          <w:rFonts w:ascii="微软雅黑" w:eastAsia="微软雅黑" w:hint="eastAsia"/>
          <w:b/>
          <w:sz w:val="20"/>
        </w:rPr>
      </w:pPr>
      <w:r>
        <w:rPr>
          <w:rFonts w:ascii="微软雅黑" w:eastAsia="微软雅黑" w:hint="eastAsia"/>
          <w:b/>
          <w:spacing w:val="-13"/>
          <w:sz w:val="20"/>
        </w:rPr>
        <w:t>附 加 合 同 的</w:t>
      </w:r>
    </w:p>
    <w:p>
      <w:pPr>
        <w:spacing w:before="43"/>
        <w:ind w:left="855" w:right="724" w:firstLine="0"/>
        <w:jc w:val="center"/>
        <w:rPr>
          <w:rFonts w:ascii="微软雅黑" w:eastAsia="微软雅黑" w:hint="eastAsia"/>
          <w:b/>
          <w:sz w:val="20"/>
        </w:rPr>
      </w:pPr>
      <w:r>
        <w:rPr>
          <w:rFonts w:ascii="微软雅黑" w:eastAsia="微软雅黑" w:hint="eastAsia"/>
          <w:b/>
          <w:sz w:val="20"/>
        </w:rPr>
        <w:t>构成</w:t>
      </w:r>
    </w:p>
    <w:p>
      <w:pPr>
        <w:spacing w:line="278" w:lineRule="auto" w:before="37"/>
        <w:ind w:left="176" w:right="125" w:firstLine="0"/>
        <w:jc w:val="left"/>
        <w:rPr>
          <w:rFonts w:ascii="微软雅黑" w:hAnsi="微软雅黑" w:eastAsia="微软雅黑" w:hint="eastAsia"/>
          <w:b/>
          <w:sz w:val="20"/>
        </w:rPr>
      </w:pPr>
      <w:r>
        <w:rPr/>
        <w:br w:type="column"/>
      </w:r>
      <w:r>
        <w:rPr>
          <w:spacing w:val="-5"/>
          <w:sz w:val="20"/>
        </w:rPr>
        <w:t>本《安联附加安康福至长期重大疾病保险》合同</w:t>
      </w:r>
      <w:r>
        <w:rPr>
          <w:sz w:val="20"/>
        </w:rPr>
        <w:t>（</w:t>
      </w:r>
      <w:r>
        <w:rPr>
          <w:spacing w:val="-3"/>
          <w:sz w:val="20"/>
        </w:rPr>
        <w:t>以下简称“本附加合同</w:t>
      </w:r>
      <w:r>
        <w:rPr>
          <w:spacing w:val="-12"/>
          <w:sz w:val="20"/>
        </w:rPr>
        <w:t>”）</w:t>
      </w:r>
      <w:r>
        <w:rPr>
          <w:sz w:val="20"/>
        </w:rPr>
        <w:t>由本附加合</w:t>
      </w:r>
      <w:r>
        <w:rPr>
          <w:spacing w:val="-3"/>
          <w:sz w:val="20"/>
        </w:rPr>
        <w:t>同条款、保险单或其他保险凭证、</w:t>
      </w:r>
      <w:r>
        <w:rPr>
          <w:rFonts w:ascii="微软雅黑" w:hAnsi="微软雅黑" w:eastAsia="微软雅黑" w:hint="eastAsia"/>
          <w:b/>
          <w:sz w:val="20"/>
        </w:rPr>
        <w:t>现金价值</w:t>
      </w:r>
      <w:r>
        <w:rPr>
          <w:rFonts w:ascii="微软雅黑" w:hAnsi="微软雅黑" w:eastAsia="微软雅黑" w:hint="eastAsia"/>
          <w:b/>
          <w:position w:val="10"/>
          <w:sz w:val="10"/>
        </w:rPr>
        <w:t>[1]</w:t>
      </w:r>
      <w:r>
        <w:rPr>
          <w:spacing w:val="-4"/>
          <w:sz w:val="20"/>
        </w:rPr>
        <w:t>表、投保单或其他投保文件、合法有效的声明、批注、附贴批单及其他书面协议构成。</w:t>
      </w:r>
      <w:r>
        <w:rPr>
          <w:rFonts w:ascii="微软雅黑" w:hAnsi="微软雅黑" w:eastAsia="微软雅黑" w:hint="eastAsia"/>
          <w:b/>
          <w:spacing w:val="-4"/>
          <w:sz w:val="20"/>
        </w:rPr>
        <w:t>本附加合同需要与《安联安康福至两全保险》合同（以下简称“主合同”）一起订立，同时生效，同时终止。</w:t>
      </w:r>
    </w:p>
    <w:p>
      <w:pPr>
        <w:pStyle w:val="BodyText"/>
        <w:spacing w:before="11"/>
        <w:rPr>
          <w:rFonts w:ascii="微软雅黑"/>
          <w:b/>
          <w:sz w:val="12"/>
        </w:rPr>
      </w:pPr>
    </w:p>
    <w:p>
      <w:pPr>
        <w:pStyle w:val="BodyText"/>
        <w:spacing w:line="357" w:lineRule="auto"/>
        <w:ind w:left="176" w:right="221"/>
      </w:pPr>
      <w:r>
        <w:rPr>
          <w:spacing w:val="-4"/>
          <w:w w:val="95"/>
        </w:rPr>
        <w:t>本附加合同若未在主合同的保险单或批注中加以记载，则不产生效力；未经您书面申请并   经我们在保险单上批注，本附加合同内容的变更也不产生效力。</w:t>
      </w:r>
    </w:p>
    <w:p>
      <w:pPr>
        <w:spacing w:after="0" w:line="357" w:lineRule="auto"/>
        <w:sectPr>
          <w:type w:val="continuous"/>
          <w:pgSz w:w="11900" w:h="16840"/>
          <w:pgMar w:top="660" w:bottom="1020" w:left="920" w:right="800"/>
          <w:cols w:num="2" w:equalWidth="0">
            <w:col w:w="2020" w:space="40"/>
            <w:col w:w="8120"/>
          </w:cols>
        </w:sectPr>
      </w:pPr>
    </w:p>
    <w:p>
      <w:pPr>
        <w:pStyle w:val="BodyText"/>
        <w:spacing w:before="10"/>
        <w:rPr>
          <w:sz w:val="29"/>
        </w:rPr>
      </w:pPr>
    </w:p>
    <w:p>
      <w:pPr>
        <w:spacing w:after="0"/>
        <w:rPr>
          <w:sz w:val="29"/>
        </w:rPr>
        <w:sectPr>
          <w:type w:val="continuous"/>
          <w:pgSz w:w="11900" w:h="16840"/>
          <w:pgMar w:top="660" w:bottom="1020" w:left="920" w:right="800"/>
        </w:sectPr>
      </w:pPr>
    </w:p>
    <w:p>
      <w:pPr>
        <w:pStyle w:val="Heading2"/>
        <w:numPr>
          <w:ilvl w:val="1"/>
          <w:numId w:val="2"/>
        </w:numPr>
        <w:tabs>
          <w:tab w:pos="875" w:val="left" w:leader="none"/>
          <w:tab w:pos="876" w:val="left" w:leader="none"/>
        </w:tabs>
        <w:spacing w:line="324" w:lineRule="exact" w:before="0" w:after="0"/>
        <w:ind w:left="2236" w:right="0" w:hanging="2024"/>
        <w:jc w:val="left"/>
      </w:pPr>
      <w:r>
        <w:rPr>
          <w:spacing w:val="-13"/>
        </w:rPr>
        <w:t>附 加 合 同 成</w:t>
      </w:r>
    </w:p>
    <w:p>
      <w:pPr>
        <w:spacing w:before="43"/>
        <w:ind w:left="875" w:right="0" w:firstLine="0"/>
        <w:jc w:val="left"/>
        <w:rPr>
          <w:rFonts w:ascii="微软雅黑" w:eastAsia="微软雅黑" w:hint="eastAsia"/>
          <w:b/>
          <w:sz w:val="20"/>
        </w:rPr>
      </w:pPr>
      <w:r>
        <w:rPr>
          <w:rFonts w:ascii="微软雅黑" w:eastAsia="微软雅黑" w:hint="eastAsia"/>
          <w:b/>
          <w:sz w:val="20"/>
        </w:rPr>
        <w:t>立与生效</w:t>
      </w:r>
    </w:p>
    <w:p>
      <w:pPr>
        <w:pStyle w:val="BodyText"/>
        <w:spacing w:before="38"/>
        <w:ind w:left="176"/>
      </w:pPr>
      <w:r>
        <w:rPr/>
        <w:br w:type="column"/>
      </w:r>
      <w:r>
        <w:rPr>
          <w:w w:val="95"/>
        </w:rPr>
        <w:t>本附加合同由主合同投保人申请，我们同意承保,本附加合同成立。</w:t>
      </w:r>
    </w:p>
    <w:p>
      <w:pPr>
        <w:pStyle w:val="BodyText"/>
        <w:rPr>
          <w:sz w:val="28"/>
        </w:rPr>
      </w:pPr>
    </w:p>
    <w:p>
      <w:pPr>
        <w:pStyle w:val="BodyText"/>
        <w:spacing w:line="357" w:lineRule="auto"/>
        <w:ind w:left="176" w:right="221"/>
      </w:pPr>
      <w:r>
        <w:rPr>
          <w:spacing w:val="-5"/>
          <w:w w:val="95"/>
        </w:rPr>
        <w:t>本附加合同须附加于主合同方可生效。本附加合同附属于主合同，主合同的相关条款也适   用于本附加合同；若主合同与本附加合同的条款互有冲突，则以本附加合同为准。</w:t>
      </w:r>
    </w:p>
    <w:p>
      <w:pPr>
        <w:pStyle w:val="BodyText"/>
        <w:spacing w:before="12"/>
        <w:rPr>
          <w:sz w:val="15"/>
        </w:rPr>
      </w:pPr>
    </w:p>
    <w:p>
      <w:pPr>
        <w:spacing w:line="312" w:lineRule="auto" w:before="0"/>
        <w:ind w:left="176" w:right="221" w:firstLine="0"/>
        <w:jc w:val="left"/>
        <w:rPr>
          <w:sz w:val="20"/>
        </w:rPr>
      </w:pPr>
      <w:r>
        <w:rPr>
          <w:sz w:val="20"/>
        </w:rPr>
        <w:t>本附加合同</w:t>
      </w:r>
      <w:r>
        <w:rPr>
          <w:rFonts w:ascii="微软雅黑" w:eastAsia="微软雅黑" w:hint="eastAsia"/>
          <w:b/>
          <w:sz w:val="20"/>
        </w:rPr>
        <w:t>保单生效日</w:t>
      </w:r>
      <w:r>
        <w:rPr>
          <w:rFonts w:ascii="微软雅黑" w:eastAsia="微软雅黑" w:hint="eastAsia"/>
          <w:b/>
          <w:position w:val="10"/>
          <w:sz w:val="10"/>
        </w:rPr>
        <w:t>[2]</w:t>
      </w:r>
      <w:r>
        <w:rPr>
          <w:sz w:val="20"/>
        </w:rPr>
        <w:t>于保险单中载明。</w:t>
      </w:r>
      <w:r>
        <w:rPr>
          <w:rFonts w:ascii="微软雅黑" w:eastAsia="微软雅黑" w:hint="eastAsia"/>
          <w:b/>
          <w:sz w:val="20"/>
        </w:rPr>
        <w:t>保单周年日</w:t>
      </w:r>
      <w:r>
        <w:rPr>
          <w:rFonts w:ascii="微软雅黑" w:eastAsia="微软雅黑" w:hint="eastAsia"/>
          <w:b/>
          <w:position w:val="10"/>
          <w:sz w:val="10"/>
        </w:rPr>
        <w:t>[3] </w:t>
      </w:r>
      <w:r>
        <w:rPr>
          <w:sz w:val="20"/>
        </w:rPr>
        <w:t>、</w:t>
      </w:r>
      <w:r>
        <w:rPr>
          <w:rFonts w:ascii="微软雅黑" w:eastAsia="微软雅黑" w:hint="eastAsia"/>
          <w:b/>
          <w:sz w:val="20"/>
        </w:rPr>
        <w:t>保单年度</w:t>
      </w:r>
      <w:r>
        <w:rPr>
          <w:rFonts w:ascii="微软雅黑" w:eastAsia="微软雅黑" w:hint="eastAsia"/>
          <w:b/>
          <w:position w:val="10"/>
          <w:sz w:val="10"/>
        </w:rPr>
        <w:t>[4] </w:t>
      </w:r>
      <w:r>
        <w:rPr>
          <w:sz w:val="20"/>
        </w:rPr>
        <w:t>以及保险费约定支</w:t>
      </w:r>
      <w:r>
        <w:rPr>
          <w:w w:val="95"/>
          <w:sz w:val="20"/>
        </w:rPr>
        <w:t>付日均以该日期计算。</w:t>
      </w:r>
    </w:p>
    <w:p>
      <w:pPr>
        <w:spacing w:after="0" w:line="312" w:lineRule="auto"/>
        <w:jc w:val="left"/>
        <w:rPr>
          <w:sz w:val="20"/>
        </w:rPr>
        <w:sectPr>
          <w:type w:val="continuous"/>
          <w:pgSz w:w="11900" w:h="16840"/>
          <w:pgMar w:top="660" w:bottom="1020" w:left="920" w:right="800"/>
          <w:cols w:num="2" w:equalWidth="0">
            <w:col w:w="2020" w:space="40"/>
            <w:col w:w="8120"/>
          </w:cols>
        </w:sectPr>
      </w:pPr>
    </w:p>
    <w:p>
      <w:pPr>
        <w:pStyle w:val="BodyText"/>
      </w:pPr>
    </w:p>
    <w:p>
      <w:pPr>
        <w:pStyle w:val="ListParagraph"/>
        <w:numPr>
          <w:ilvl w:val="1"/>
          <w:numId w:val="2"/>
        </w:numPr>
        <w:tabs>
          <w:tab w:pos="875" w:val="left" w:leader="none"/>
          <w:tab w:pos="876" w:val="left" w:leader="none"/>
          <w:tab w:pos="2235" w:val="left" w:leader="none"/>
        </w:tabs>
        <w:spacing w:line="312" w:lineRule="auto" w:before="141" w:after="0"/>
        <w:ind w:left="2236" w:right="221" w:hanging="2024"/>
        <w:jc w:val="left"/>
        <w:rPr>
          <w:sz w:val="20"/>
        </w:rPr>
      </w:pPr>
      <w:r>
        <w:rPr>
          <w:rFonts w:ascii="微软雅黑" w:eastAsia="微软雅黑" w:hint="eastAsia"/>
          <w:b/>
          <w:sz w:val="20"/>
        </w:rPr>
        <w:t>投保范围</w:t>
        <w:tab/>
      </w:r>
      <w:r>
        <w:rPr>
          <w:spacing w:val="-1"/>
          <w:sz w:val="20"/>
        </w:rPr>
        <w:t>投保时年龄在出生后满</w:t>
      </w:r>
      <w:r>
        <w:rPr>
          <w:sz w:val="20"/>
        </w:rPr>
        <w:t>七天至五十五</w:t>
      </w:r>
      <w:r>
        <w:rPr>
          <w:rFonts w:ascii="微软雅黑" w:eastAsia="微软雅黑" w:hint="eastAsia"/>
          <w:b/>
          <w:sz w:val="20"/>
        </w:rPr>
        <w:t>周岁</w:t>
      </w:r>
      <w:r>
        <w:rPr>
          <w:rFonts w:ascii="微软雅黑" w:eastAsia="微软雅黑" w:hint="eastAsia"/>
          <w:b/>
          <w:position w:val="10"/>
          <w:sz w:val="10"/>
        </w:rPr>
        <w:t>[5]</w:t>
      </w:r>
      <w:r>
        <w:rPr>
          <w:sz w:val="20"/>
        </w:rPr>
        <w:t>（含五十五周岁</w:t>
      </w:r>
      <w:r>
        <w:rPr>
          <w:spacing w:val="-10"/>
          <w:sz w:val="20"/>
        </w:rPr>
        <w:t>）</w:t>
      </w:r>
      <w:r>
        <w:rPr>
          <w:sz w:val="20"/>
        </w:rPr>
        <w:t>之间者</w:t>
      </w:r>
      <w:r>
        <w:rPr>
          <w:spacing w:val="-10"/>
          <w:sz w:val="20"/>
        </w:rPr>
        <w:t>，</w:t>
      </w:r>
      <w:r>
        <w:rPr>
          <w:sz w:val="20"/>
        </w:rPr>
        <w:t>可作为本附加合同</w:t>
      </w:r>
      <w:r>
        <w:rPr>
          <w:w w:val="95"/>
          <w:sz w:val="20"/>
        </w:rPr>
        <w:t>的被保险人。</w:t>
      </w:r>
    </w:p>
    <w:p>
      <w:pPr>
        <w:pStyle w:val="ListParagraph"/>
        <w:numPr>
          <w:ilvl w:val="1"/>
          <w:numId w:val="2"/>
        </w:numPr>
        <w:tabs>
          <w:tab w:pos="875" w:val="left" w:leader="none"/>
          <w:tab w:pos="876" w:val="left" w:leader="none"/>
          <w:tab w:pos="2235" w:val="left" w:leader="none"/>
        </w:tabs>
        <w:spacing w:line="240" w:lineRule="auto" w:before="163" w:after="0"/>
        <w:ind w:left="2236" w:right="0" w:hanging="2024"/>
        <w:jc w:val="left"/>
        <w:rPr>
          <w:sz w:val="20"/>
        </w:rPr>
      </w:pPr>
      <w:r>
        <w:rPr>
          <w:rFonts w:ascii="微软雅黑" w:eastAsia="微软雅黑" w:hint="eastAsia"/>
          <w:b/>
          <w:sz w:val="20"/>
        </w:rPr>
        <w:t>保险期间</w:t>
        <w:tab/>
      </w:r>
      <w:r>
        <w:rPr>
          <w:w w:val="95"/>
          <w:sz w:val="20"/>
        </w:rPr>
        <w:t>若您选择一次交清的付费方式</w:t>
      </w:r>
      <w:r>
        <w:rPr>
          <w:spacing w:val="-39"/>
          <w:w w:val="95"/>
          <w:sz w:val="20"/>
        </w:rPr>
        <w:t>，</w:t>
      </w:r>
      <w:r>
        <w:rPr>
          <w:w w:val="95"/>
          <w:sz w:val="20"/>
        </w:rPr>
        <w:t>我们在同意承保并收取全部保险费后</w:t>
      </w:r>
      <w:r>
        <w:rPr>
          <w:spacing w:val="-39"/>
          <w:w w:val="95"/>
          <w:sz w:val="20"/>
        </w:rPr>
        <w:t>，</w:t>
      </w:r>
      <w:r>
        <w:rPr>
          <w:w w:val="95"/>
          <w:sz w:val="20"/>
        </w:rPr>
        <w:t>自本附加合同生效</w:t>
      </w:r>
    </w:p>
    <w:p>
      <w:pPr>
        <w:pStyle w:val="BodyText"/>
        <w:spacing w:line="357" w:lineRule="auto" w:before="105"/>
        <w:ind w:left="2235" w:right="221"/>
      </w:pPr>
      <w:r>
        <w:rPr>
          <w:spacing w:val="-5"/>
          <w:w w:val="95"/>
        </w:rPr>
        <w:t>日的零时起承担保险责任；若您选择分期支付保险费方式，我们在同意承保并收取首期保   险费后，自本附加合同生效日的零时起承担保险责任。</w:t>
      </w:r>
    </w:p>
    <w:p>
      <w:pPr>
        <w:pStyle w:val="BodyText"/>
        <w:spacing w:line="312" w:lineRule="auto" w:before="128"/>
        <w:ind w:left="2235" w:right="173"/>
      </w:pPr>
      <w:r>
        <w:rPr/>
        <w:t>本附加合同的保险期间于保险单中载明，自本附加合同生效日的零时起至</w:t>
      </w:r>
      <w:r>
        <w:rPr>
          <w:rFonts w:ascii="微软雅黑" w:eastAsia="微软雅黑" w:hint="eastAsia"/>
          <w:b/>
        </w:rPr>
        <w:t>满期日</w:t>
      </w:r>
      <w:r>
        <w:rPr>
          <w:rFonts w:ascii="微软雅黑" w:eastAsia="微软雅黑" w:hint="eastAsia"/>
          <w:b/>
          <w:position w:val="10"/>
          <w:sz w:val="10"/>
        </w:rPr>
        <w:t>[6]</w:t>
      </w:r>
      <w:r>
        <w:rPr/>
        <w:t>二十四</w:t>
      </w:r>
      <w:r>
        <w:rPr>
          <w:w w:val="95"/>
        </w:rPr>
        <w:t>时止。</w:t>
      </w:r>
    </w:p>
    <w:p>
      <w:pPr>
        <w:pStyle w:val="BodyText"/>
        <w:spacing w:before="4"/>
        <w:rPr>
          <w:sz w:val="14"/>
        </w:rPr>
      </w:pPr>
    </w:p>
    <w:p>
      <w:pPr>
        <w:spacing w:after="0"/>
        <w:rPr>
          <w:sz w:val="14"/>
        </w:rPr>
        <w:sectPr>
          <w:type w:val="continuous"/>
          <w:pgSz w:w="11900" w:h="16840"/>
          <w:pgMar w:top="660" w:bottom="1020" w:left="920" w:right="800"/>
        </w:sectPr>
      </w:pPr>
    </w:p>
    <w:p>
      <w:pPr>
        <w:pStyle w:val="Heading2"/>
        <w:numPr>
          <w:ilvl w:val="1"/>
          <w:numId w:val="2"/>
        </w:numPr>
        <w:tabs>
          <w:tab w:pos="875" w:val="left" w:leader="none"/>
          <w:tab w:pos="876" w:val="left" w:leader="none"/>
        </w:tabs>
        <w:spacing w:line="324" w:lineRule="exact" w:before="0" w:after="0"/>
        <w:ind w:left="2236" w:right="0" w:hanging="2024"/>
        <w:jc w:val="left"/>
      </w:pPr>
      <w:r>
        <w:rPr>
          <w:spacing w:val="-13"/>
        </w:rPr>
        <w:t>附 加 合 同 终</w:t>
      </w:r>
    </w:p>
    <w:p>
      <w:pPr>
        <w:spacing w:before="43"/>
        <w:ind w:left="0" w:right="68" w:firstLine="0"/>
        <w:jc w:val="center"/>
        <w:rPr>
          <w:rFonts w:ascii="微软雅黑" w:eastAsia="微软雅黑" w:hint="eastAsia"/>
          <w:b/>
          <w:sz w:val="20"/>
        </w:rPr>
      </w:pPr>
      <w:r>
        <w:rPr>
          <w:rFonts w:ascii="微软雅黑" w:eastAsia="微软雅黑" w:hint="eastAsia"/>
          <w:b/>
          <w:w w:val="99"/>
          <w:sz w:val="20"/>
        </w:rPr>
        <w:t>止</w:t>
      </w:r>
    </w:p>
    <w:p>
      <w:pPr>
        <w:pStyle w:val="BodyText"/>
        <w:spacing w:before="38"/>
        <w:ind w:left="176"/>
      </w:pPr>
      <w:r>
        <w:rPr/>
        <w:br w:type="column"/>
      </w:r>
      <w:r>
        <w:rPr>
          <w:w w:val="95"/>
        </w:rPr>
        <w:t>若发生下列情况之一，本附加合同终止：</w:t>
      </w:r>
    </w:p>
    <w:p>
      <w:pPr>
        <w:pStyle w:val="BodyText"/>
        <w:spacing w:before="8"/>
        <w:rPr>
          <w:sz w:val="21"/>
        </w:rPr>
      </w:pPr>
    </w:p>
    <w:p>
      <w:pPr>
        <w:pStyle w:val="ListParagraph"/>
        <w:numPr>
          <w:ilvl w:val="0"/>
          <w:numId w:val="3"/>
        </w:numPr>
        <w:tabs>
          <w:tab w:pos="597" w:val="left" w:leader="none"/>
        </w:tabs>
        <w:spacing w:line="240" w:lineRule="auto" w:before="0" w:after="0"/>
        <w:ind w:left="2655" w:right="0" w:hanging="2479"/>
        <w:jc w:val="left"/>
        <w:rPr>
          <w:sz w:val="20"/>
        </w:rPr>
      </w:pPr>
      <w:r>
        <w:rPr>
          <w:w w:val="95"/>
          <w:sz w:val="20"/>
        </w:rPr>
        <w:t>您在本附加合同保险期间内向我们申请撤销或解除本附加合同；</w:t>
      </w:r>
    </w:p>
    <w:p>
      <w:pPr>
        <w:pStyle w:val="BodyText"/>
        <w:spacing w:before="10"/>
        <w:rPr>
          <w:sz w:val="21"/>
        </w:rPr>
      </w:pPr>
    </w:p>
    <w:p>
      <w:pPr>
        <w:pStyle w:val="ListParagraph"/>
        <w:numPr>
          <w:ilvl w:val="0"/>
          <w:numId w:val="3"/>
        </w:numPr>
        <w:tabs>
          <w:tab w:pos="597" w:val="left" w:leader="none"/>
        </w:tabs>
        <w:spacing w:line="240" w:lineRule="auto" w:before="0" w:after="0"/>
        <w:ind w:left="2655" w:right="0" w:hanging="2479"/>
        <w:jc w:val="left"/>
        <w:rPr>
          <w:sz w:val="20"/>
        </w:rPr>
      </w:pPr>
      <w:r>
        <w:rPr>
          <w:w w:val="95"/>
          <w:sz w:val="20"/>
        </w:rPr>
        <w:t>本附加合同保险期间届满；</w:t>
      </w:r>
    </w:p>
    <w:p>
      <w:pPr>
        <w:spacing w:after="0" w:line="240" w:lineRule="auto"/>
        <w:jc w:val="left"/>
        <w:rPr>
          <w:sz w:val="20"/>
        </w:rPr>
        <w:sectPr>
          <w:type w:val="continuous"/>
          <w:pgSz w:w="11900" w:h="16840"/>
          <w:pgMar w:top="660" w:bottom="1020" w:left="920" w:right="800"/>
          <w:cols w:num="2" w:equalWidth="0">
            <w:col w:w="2020" w:space="40"/>
            <w:col w:w="8120"/>
          </w:cols>
        </w:sectPr>
      </w:pPr>
    </w:p>
    <w:p>
      <w:pPr>
        <w:pStyle w:val="ListParagraph"/>
        <w:numPr>
          <w:ilvl w:val="0"/>
          <w:numId w:val="3"/>
        </w:numPr>
        <w:tabs>
          <w:tab w:pos="2656" w:val="left" w:leader="none"/>
        </w:tabs>
        <w:spacing w:line="357" w:lineRule="auto" w:before="21" w:after="0"/>
        <w:ind w:left="2655" w:right="247" w:hanging="419"/>
        <w:jc w:val="left"/>
        <w:rPr>
          <w:sz w:val="20"/>
        </w:rPr>
      </w:pPr>
      <w:r>
        <w:rPr>
          <w:sz w:val="20"/>
        </w:rPr>
        <w:t>本附加合同效力中止后两年内（含两年），您未与我们就本附加合同效力恢复达成</w:t>
      </w:r>
      <w:r>
        <w:rPr>
          <w:w w:val="95"/>
          <w:sz w:val="20"/>
        </w:rPr>
        <w:t>一致的；</w:t>
      </w:r>
    </w:p>
    <w:p>
      <w:pPr>
        <w:pStyle w:val="BodyText"/>
        <w:spacing w:before="1"/>
        <w:rPr>
          <w:sz w:val="14"/>
        </w:rPr>
      </w:pPr>
    </w:p>
    <w:p>
      <w:pPr>
        <w:pStyle w:val="ListParagraph"/>
        <w:numPr>
          <w:ilvl w:val="0"/>
          <w:numId w:val="3"/>
        </w:numPr>
        <w:tabs>
          <w:tab w:pos="2656" w:val="left" w:leader="none"/>
        </w:tabs>
        <w:spacing w:line="240" w:lineRule="auto" w:before="0" w:after="0"/>
        <w:ind w:left="2655" w:right="0" w:hanging="420"/>
        <w:jc w:val="left"/>
        <w:rPr>
          <w:sz w:val="20"/>
        </w:rPr>
      </w:pPr>
      <w:r>
        <w:rPr>
          <w:w w:val="95"/>
          <w:sz w:val="20"/>
        </w:rPr>
        <w:t>因本附加合同约定或法律法规规定的其他情况导致本附加合同终止的。</w:t>
      </w:r>
    </w:p>
    <w:p>
      <w:pPr>
        <w:pStyle w:val="BodyText"/>
      </w:pPr>
    </w:p>
    <w:p>
      <w:pPr>
        <w:pStyle w:val="BodyText"/>
      </w:pPr>
    </w:p>
    <w:p>
      <w:pPr>
        <w:pStyle w:val="BodyText"/>
        <w:spacing w:before="11"/>
        <w:rPr>
          <w:sz w:val="18"/>
        </w:rPr>
      </w:pPr>
    </w:p>
    <w:p>
      <w:pPr>
        <w:pStyle w:val="Heading2"/>
        <w:tabs>
          <w:tab w:pos="1472" w:val="left" w:leader="none"/>
        </w:tabs>
        <w:ind w:left="392"/>
      </w:pPr>
      <w:r>
        <w:rPr/>
        <w:pict>
          <v:group style="position:absolute;margin-left:51.239998pt;margin-top:20.893286pt;width:498pt;height:.5pt;mso-position-horizontal-relative:page;mso-position-vertical-relative:paragraph;z-index:2128;mso-wrap-distance-left:0;mso-wrap-distance-right:0" coordorigin="1025,418" coordsize="9960,10">
            <v:line style="position:absolute" from="1025,423" to="1658,423" stroked="true" strokeweight=".48pt" strokecolor="#000000">
              <v:stroke dashstyle="solid"/>
            </v:line>
            <v:rect style="position:absolute;left:1658;top:417;width:10;height:10" filled="true" fillcolor="#000000" stroked="false">
              <v:fill type="solid"/>
            </v:rect>
            <v:line style="position:absolute" from="1668,423" to="3048,423" stroked="true" strokeweight=".48pt" strokecolor="#000000">
              <v:stroke dashstyle="solid"/>
            </v:line>
            <v:rect style="position:absolute;left:3048;top:417;width:10;height:10" filled="true" fillcolor="#000000" stroked="false">
              <v:fill type="solid"/>
            </v:rect>
            <v:line style="position:absolute" from="3058,423" to="10985,423" stroked="true" strokeweight=".48pt" strokecolor="#000000">
              <v:stroke dashstyle="solid"/>
            </v:line>
            <w10:wrap type="topAndBottom"/>
          </v:group>
        </w:pict>
      </w:r>
      <w:r>
        <w:rPr/>
        <w:t>第二部分</w:t>
        <w:tab/>
        <w:t>我们提供的保障</w:t>
      </w:r>
    </w:p>
    <w:p>
      <w:pPr>
        <w:pStyle w:val="ListParagraph"/>
        <w:numPr>
          <w:ilvl w:val="1"/>
          <w:numId w:val="4"/>
        </w:numPr>
        <w:tabs>
          <w:tab w:pos="846" w:val="left" w:leader="none"/>
          <w:tab w:pos="847" w:val="left" w:leader="none"/>
          <w:tab w:pos="2235" w:val="left" w:leader="none"/>
        </w:tabs>
        <w:spacing w:line="240" w:lineRule="auto" w:before="100" w:after="0"/>
        <w:ind w:left="2136" w:right="0" w:hanging="1924"/>
        <w:jc w:val="left"/>
        <w:rPr>
          <w:rFonts w:ascii="微软雅黑" w:eastAsia="微软雅黑" w:hint="eastAsia"/>
          <w:b/>
          <w:sz w:val="20"/>
        </w:rPr>
      </w:pPr>
      <w:r>
        <w:rPr>
          <w:rFonts w:ascii="微软雅黑" w:eastAsia="微软雅黑" w:hint="eastAsia"/>
          <w:b/>
          <w:sz w:val="20"/>
        </w:rPr>
        <w:t>等待期</w:t>
        <w:tab/>
        <w:t>本附加合同生效日零时起九十日及本附加合同效力恢复日零时起九十日为等待期。</w:t>
      </w:r>
    </w:p>
    <w:p>
      <w:pPr>
        <w:pStyle w:val="BodyText"/>
        <w:spacing w:before="16"/>
        <w:rPr>
          <w:rFonts w:ascii="微软雅黑"/>
          <w:b/>
          <w:sz w:val="12"/>
        </w:rPr>
      </w:pPr>
    </w:p>
    <w:p>
      <w:pPr>
        <w:pStyle w:val="ListParagraph"/>
        <w:numPr>
          <w:ilvl w:val="1"/>
          <w:numId w:val="4"/>
        </w:numPr>
        <w:tabs>
          <w:tab w:pos="846" w:val="left" w:leader="none"/>
          <w:tab w:pos="847" w:val="left" w:leader="none"/>
          <w:tab w:pos="2235" w:val="left" w:leader="none"/>
        </w:tabs>
        <w:spacing w:line="324" w:lineRule="exact" w:before="0" w:after="0"/>
        <w:ind w:left="2136" w:right="0" w:hanging="1924"/>
        <w:jc w:val="left"/>
        <w:rPr>
          <w:rFonts w:ascii="微软雅黑" w:eastAsia="微软雅黑" w:hint="eastAsia"/>
          <w:b/>
          <w:sz w:val="20"/>
        </w:rPr>
      </w:pPr>
      <w:r>
        <w:rPr>
          <w:rFonts w:ascii="微软雅黑" w:eastAsia="微软雅黑" w:hint="eastAsia"/>
          <w:b/>
          <w:sz w:val="20"/>
        </w:rPr>
        <w:t>保险责任</w:t>
        <w:tab/>
        <w:t>一</w:t>
      </w:r>
      <w:r>
        <w:rPr>
          <w:rFonts w:ascii="微软雅黑" w:eastAsia="微软雅黑" w:hint="eastAsia"/>
          <w:b/>
          <w:spacing w:val="17"/>
          <w:sz w:val="20"/>
        </w:rPr>
        <w:t>、</w:t>
      </w:r>
      <w:r>
        <w:rPr>
          <w:rFonts w:ascii="微软雅黑" w:eastAsia="微软雅黑" w:hint="eastAsia"/>
          <w:b/>
          <w:sz w:val="20"/>
        </w:rPr>
        <w:t>在本附加合同保险期间内，我们承担以下保险责任：</w:t>
      </w:r>
    </w:p>
    <w:p>
      <w:pPr>
        <w:pStyle w:val="BodyText"/>
        <w:spacing w:before="9"/>
        <w:rPr>
          <w:rFonts w:ascii="微软雅黑"/>
          <w:b/>
          <w:sz w:val="11"/>
        </w:rPr>
      </w:pPr>
    </w:p>
    <w:p>
      <w:pPr>
        <w:spacing w:before="0"/>
        <w:ind w:left="2235" w:right="0" w:firstLine="0"/>
        <w:jc w:val="left"/>
        <w:rPr>
          <w:rFonts w:ascii="微软雅黑" w:eastAsia="微软雅黑" w:hint="eastAsia"/>
          <w:b/>
          <w:sz w:val="20"/>
        </w:rPr>
      </w:pPr>
      <w:r>
        <w:rPr>
          <w:rFonts w:ascii="微软雅黑" w:eastAsia="微软雅黑" w:hint="eastAsia"/>
          <w:b/>
          <w:sz w:val="20"/>
        </w:rPr>
        <w:t>(一)重大疾病给付</w:t>
      </w:r>
    </w:p>
    <w:p>
      <w:pPr>
        <w:pStyle w:val="BodyText"/>
        <w:spacing w:before="11"/>
        <w:rPr>
          <w:rFonts w:ascii="微软雅黑"/>
          <w:b/>
          <w:sz w:val="11"/>
        </w:rPr>
      </w:pPr>
    </w:p>
    <w:p>
      <w:pPr>
        <w:pStyle w:val="ListParagraph"/>
        <w:numPr>
          <w:ilvl w:val="2"/>
          <w:numId w:val="4"/>
        </w:numPr>
        <w:tabs>
          <w:tab w:pos="2656" w:val="left" w:leader="none"/>
        </w:tabs>
        <w:spacing w:line="240" w:lineRule="auto" w:before="0" w:after="0"/>
        <w:ind w:left="2655" w:right="0" w:hanging="420"/>
        <w:jc w:val="left"/>
        <w:rPr>
          <w:rFonts w:ascii="微软雅黑" w:eastAsia="微软雅黑" w:hint="eastAsia"/>
          <w:b/>
          <w:sz w:val="20"/>
        </w:rPr>
      </w:pPr>
      <w:r>
        <w:rPr>
          <w:rFonts w:ascii="微软雅黑" w:eastAsia="微软雅黑" w:hint="eastAsia"/>
          <w:b/>
          <w:sz w:val="20"/>
        </w:rPr>
        <w:t>首次重大疾病给付</w:t>
      </w:r>
    </w:p>
    <w:p>
      <w:pPr>
        <w:pStyle w:val="BodyText"/>
        <w:spacing w:before="8"/>
        <w:rPr>
          <w:rFonts w:ascii="微软雅黑"/>
          <w:b/>
          <w:sz w:val="11"/>
        </w:rPr>
      </w:pPr>
    </w:p>
    <w:p>
      <w:pPr>
        <w:spacing w:line="271" w:lineRule="auto" w:before="1"/>
        <w:ind w:left="2655" w:right="216" w:firstLine="0"/>
        <w:jc w:val="both"/>
        <w:rPr>
          <w:rFonts w:ascii="微软雅黑" w:eastAsia="微软雅黑" w:hint="eastAsia"/>
          <w:b/>
          <w:sz w:val="20"/>
        </w:rPr>
      </w:pPr>
      <w:r>
        <w:rPr>
          <w:rFonts w:ascii="微软雅黑" w:eastAsia="微软雅黑" w:hint="eastAsia"/>
          <w:b/>
          <w:sz w:val="20"/>
        </w:rPr>
        <w:t>若被保险人于等待期满后首次出现本附加合同约定的重大疾病的症状或体征，并且按本附加合同对重大疾病的定义和诊断标准被我们指定或认可的医院</w:t>
      </w:r>
      <w:r>
        <w:rPr>
          <w:rFonts w:ascii="微软雅黑" w:eastAsia="微软雅黑" w:hint="eastAsia"/>
          <w:b/>
          <w:position w:val="10"/>
          <w:sz w:val="10"/>
        </w:rPr>
        <w:t>[7]</w:t>
      </w:r>
      <w:r>
        <w:rPr>
          <w:rFonts w:ascii="微软雅黑" w:eastAsia="微软雅黑" w:hint="eastAsia"/>
          <w:b/>
          <w:sz w:val="20"/>
        </w:rPr>
        <w:t>初次确诊为患有本附加合同所列的重大疾病，我们按以下两者之较大者给付首次重大疾病保险金：</w:t>
      </w:r>
    </w:p>
    <w:p>
      <w:pPr>
        <w:pStyle w:val="ListParagraph"/>
        <w:numPr>
          <w:ilvl w:val="3"/>
          <w:numId w:val="4"/>
        </w:numPr>
        <w:tabs>
          <w:tab w:pos="3495" w:val="left" w:leader="none"/>
          <w:tab w:pos="3497" w:val="left" w:leader="none"/>
        </w:tabs>
        <w:spacing w:line="240" w:lineRule="auto" w:before="165" w:after="0"/>
        <w:ind w:left="3496" w:right="0" w:hanging="420"/>
        <w:jc w:val="left"/>
        <w:rPr>
          <w:rFonts w:ascii="微软雅黑" w:eastAsia="微软雅黑" w:hint="eastAsia"/>
          <w:b/>
          <w:sz w:val="20"/>
        </w:rPr>
      </w:pPr>
      <w:r>
        <w:rPr>
          <w:rFonts w:ascii="微软雅黑" w:eastAsia="微软雅黑" w:hint="eastAsia"/>
          <w:b/>
          <w:sz w:val="20"/>
        </w:rPr>
        <w:t>被保险人确诊时本附加合同及主合同累计应交保险费；</w:t>
      </w:r>
    </w:p>
    <w:p>
      <w:pPr>
        <w:pStyle w:val="BodyText"/>
        <w:spacing w:before="11"/>
        <w:rPr>
          <w:rFonts w:ascii="微软雅黑"/>
          <w:b/>
          <w:sz w:val="11"/>
        </w:rPr>
      </w:pPr>
    </w:p>
    <w:p>
      <w:pPr>
        <w:pStyle w:val="ListParagraph"/>
        <w:numPr>
          <w:ilvl w:val="3"/>
          <w:numId w:val="4"/>
        </w:numPr>
        <w:tabs>
          <w:tab w:pos="3497" w:val="left" w:leader="none"/>
        </w:tabs>
        <w:spacing w:line="240" w:lineRule="auto" w:before="0" w:after="0"/>
        <w:ind w:left="3496" w:right="0" w:hanging="420"/>
        <w:jc w:val="left"/>
        <w:rPr>
          <w:rFonts w:ascii="微软雅黑" w:eastAsia="微软雅黑" w:hint="eastAsia"/>
          <w:b/>
          <w:sz w:val="20"/>
        </w:rPr>
      </w:pPr>
      <w:r>
        <w:rPr>
          <w:rFonts w:ascii="微软雅黑" w:eastAsia="微软雅黑" w:hint="eastAsia"/>
          <w:b/>
          <w:sz w:val="20"/>
        </w:rPr>
        <w:t>被保险人确诊时该保单年度对应的年度保额</w:t>
      </w:r>
      <w:r>
        <w:rPr>
          <w:rFonts w:ascii="微软雅黑" w:eastAsia="微软雅黑" w:hint="eastAsia"/>
          <w:b/>
          <w:position w:val="10"/>
          <w:sz w:val="10"/>
        </w:rPr>
        <w:t>[8]</w:t>
      </w:r>
      <w:r>
        <w:rPr>
          <w:rFonts w:ascii="微软雅黑" w:eastAsia="微软雅黑" w:hint="eastAsia"/>
          <w:b/>
          <w:sz w:val="20"/>
        </w:rPr>
        <w:t>。</w:t>
      </w:r>
    </w:p>
    <w:p>
      <w:pPr>
        <w:pStyle w:val="BodyText"/>
        <w:spacing w:before="8"/>
        <w:rPr>
          <w:rFonts w:ascii="微软雅黑"/>
          <w:b/>
          <w:sz w:val="11"/>
        </w:rPr>
      </w:pPr>
    </w:p>
    <w:p>
      <w:pPr>
        <w:spacing w:before="0"/>
        <w:ind w:left="2655" w:right="0" w:hanging="1"/>
        <w:jc w:val="both"/>
        <w:rPr>
          <w:rFonts w:ascii="微软雅黑" w:eastAsia="微软雅黑" w:hint="eastAsia"/>
          <w:b/>
          <w:sz w:val="20"/>
        </w:rPr>
      </w:pPr>
      <w:r>
        <w:rPr>
          <w:rFonts w:ascii="微软雅黑" w:eastAsia="微软雅黑" w:hint="eastAsia"/>
          <w:b/>
          <w:sz w:val="20"/>
        </w:rPr>
        <w:t>若被保险人因意外事故</w:t>
      </w:r>
      <w:r>
        <w:rPr>
          <w:rFonts w:ascii="微软雅黑" w:eastAsia="微软雅黑" w:hint="eastAsia"/>
          <w:b/>
          <w:position w:val="10"/>
          <w:sz w:val="10"/>
        </w:rPr>
        <w:t>[9]</w:t>
      </w:r>
      <w:r>
        <w:rPr>
          <w:rFonts w:ascii="微软雅黑" w:eastAsia="微软雅黑" w:hint="eastAsia"/>
          <w:b/>
          <w:sz w:val="20"/>
        </w:rPr>
        <w:t>而患有本附加合同所列的重大疾病，则不受等待期的限制。</w:t>
      </w:r>
    </w:p>
    <w:p>
      <w:pPr>
        <w:pStyle w:val="BodyText"/>
        <w:spacing w:before="11"/>
        <w:rPr>
          <w:rFonts w:ascii="微软雅黑"/>
          <w:b/>
          <w:sz w:val="11"/>
        </w:rPr>
      </w:pPr>
    </w:p>
    <w:p>
      <w:pPr>
        <w:spacing w:line="271" w:lineRule="auto" w:before="0"/>
        <w:ind w:left="2655" w:right="216" w:firstLine="0"/>
        <w:jc w:val="both"/>
        <w:rPr>
          <w:rFonts w:ascii="微软雅黑" w:eastAsia="微软雅黑" w:hint="eastAsia"/>
          <w:b/>
          <w:sz w:val="20"/>
        </w:rPr>
      </w:pPr>
      <w:r>
        <w:rPr>
          <w:rFonts w:ascii="微软雅黑" w:eastAsia="微软雅黑" w:hint="eastAsia"/>
          <w:b/>
          <w:sz w:val="20"/>
        </w:rPr>
        <w:t>若被保险人在等待期内首次出现本附加合同约定的重大疾病的症状或体征，或者在等待期内按本附加合同对重大疾病的定义和诊断标准被我们指定或认可的医院初次确诊为患有本附加合同所列的重大疾病，我们不承担给付保险金的责任，但将无息退还被保险人确认时本附加合同及主合同累计应交保险费，本附加合同终止。</w:t>
      </w:r>
    </w:p>
    <w:p>
      <w:pPr>
        <w:spacing w:line="271" w:lineRule="auto" w:before="167"/>
        <w:ind w:left="2656" w:right="216" w:hanging="1"/>
        <w:jc w:val="both"/>
        <w:rPr>
          <w:rFonts w:ascii="微软雅黑" w:eastAsia="微软雅黑" w:hint="eastAsia"/>
          <w:b/>
          <w:sz w:val="20"/>
        </w:rPr>
      </w:pPr>
      <w:r>
        <w:rPr>
          <w:rFonts w:ascii="微软雅黑" w:eastAsia="微软雅黑" w:hint="eastAsia"/>
          <w:b/>
          <w:sz w:val="20"/>
        </w:rPr>
        <w:t>我们给付首次重大疾病保险金后，本附加合同的现金价值降为零，并同时豁免本附加合同及主合同在首次重大疾病确诊日以后的各期保险费，并不再承担给付轻症重疾保险金的责任。</w:t>
      </w:r>
    </w:p>
    <w:p>
      <w:pPr>
        <w:pStyle w:val="ListParagraph"/>
        <w:numPr>
          <w:ilvl w:val="2"/>
          <w:numId w:val="4"/>
        </w:numPr>
        <w:tabs>
          <w:tab w:pos="2657" w:val="left" w:leader="none"/>
        </w:tabs>
        <w:spacing w:line="240" w:lineRule="auto" w:before="164" w:after="0"/>
        <w:ind w:left="2656" w:right="0" w:hanging="420"/>
        <w:jc w:val="left"/>
        <w:rPr>
          <w:rFonts w:ascii="微软雅黑" w:eastAsia="微软雅黑" w:hint="eastAsia"/>
          <w:b/>
          <w:sz w:val="20"/>
        </w:rPr>
      </w:pPr>
      <w:r>
        <w:rPr>
          <w:rFonts w:ascii="微软雅黑" w:eastAsia="微软雅黑" w:hint="eastAsia"/>
          <w:b/>
          <w:sz w:val="20"/>
        </w:rPr>
        <w:t>第二次重大疾病给付</w:t>
      </w:r>
    </w:p>
    <w:p>
      <w:pPr>
        <w:pStyle w:val="BodyText"/>
        <w:spacing w:before="11"/>
        <w:rPr>
          <w:rFonts w:ascii="微软雅黑"/>
          <w:b/>
          <w:sz w:val="11"/>
        </w:rPr>
      </w:pPr>
    </w:p>
    <w:p>
      <w:pPr>
        <w:spacing w:line="271" w:lineRule="auto" w:before="0"/>
        <w:ind w:left="2656" w:right="216" w:firstLine="0"/>
        <w:jc w:val="both"/>
        <w:rPr>
          <w:rFonts w:ascii="微软雅黑" w:eastAsia="微软雅黑" w:hint="eastAsia"/>
          <w:b/>
          <w:sz w:val="20"/>
        </w:rPr>
      </w:pPr>
      <w:r>
        <w:rPr>
          <w:rFonts w:ascii="微软雅黑" w:eastAsia="微软雅黑" w:hint="eastAsia"/>
          <w:b/>
          <w:sz w:val="20"/>
        </w:rPr>
        <w:t>我们给付首次重大疾病保险金后，若被保险人自首次重大疾病确诊之日起三百六十五日后，初次出现首次重大疾病所属组别以外的其他组别中的任何一种重大疾病的症状或体征，并且按本附加合同对重大疾病的定义和诊断标准被我们指定或认可的医院初次确诊为患有该重大疾病，我们按本附加合同的基本保险金额</w:t>
      </w:r>
      <w:r>
        <w:rPr>
          <w:rFonts w:ascii="微软雅黑" w:eastAsia="微软雅黑" w:hint="eastAsia"/>
          <w:b/>
          <w:position w:val="10"/>
          <w:sz w:val="10"/>
        </w:rPr>
        <w:t>[10]</w:t>
      </w:r>
      <w:r>
        <w:rPr>
          <w:rFonts w:ascii="微软雅黑" w:eastAsia="微软雅黑" w:hint="eastAsia"/>
          <w:b/>
          <w:sz w:val="20"/>
        </w:rPr>
        <w:t>给付第二次重大疾病保险金。</w:t>
      </w:r>
    </w:p>
    <w:p>
      <w:pPr>
        <w:spacing w:after="0" w:line="271" w:lineRule="auto"/>
        <w:jc w:val="both"/>
        <w:rPr>
          <w:rFonts w:ascii="微软雅黑" w:eastAsia="微软雅黑" w:hint="eastAsia"/>
          <w:sz w:val="20"/>
        </w:rPr>
        <w:sectPr>
          <w:pgSz w:w="11900" w:h="16840"/>
          <w:pgMar w:header="0" w:footer="834" w:top="1300" w:bottom="1100" w:left="920" w:right="800"/>
        </w:sectPr>
      </w:pPr>
    </w:p>
    <w:p>
      <w:pPr>
        <w:pStyle w:val="ListParagraph"/>
        <w:numPr>
          <w:ilvl w:val="2"/>
          <w:numId w:val="4"/>
        </w:numPr>
        <w:tabs>
          <w:tab w:pos="2556" w:val="left" w:leader="none"/>
        </w:tabs>
        <w:spacing w:line="308" w:lineRule="exact" w:before="0" w:after="0"/>
        <w:ind w:left="2556" w:right="0" w:hanging="420"/>
        <w:jc w:val="left"/>
        <w:rPr>
          <w:rFonts w:ascii="微软雅黑" w:eastAsia="微软雅黑" w:hint="eastAsia"/>
          <w:b/>
          <w:sz w:val="20"/>
        </w:rPr>
      </w:pPr>
      <w:r>
        <w:rPr>
          <w:rFonts w:ascii="微软雅黑" w:eastAsia="微软雅黑" w:hint="eastAsia"/>
          <w:b/>
          <w:sz w:val="20"/>
        </w:rPr>
        <w:t>第三次重大疾病给付</w:t>
      </w:r>
    </w:p>
    <w:p>
      <w:pPr>
        <w:pStyle w:val="BodyText"/>
        <w:spacing w:before="11"/>
        <w:rPr>
          <w:rFonts w:ascii="微软雅黑"/>
          <w:b/>
          <w:sz w:val="11"/>
        </w:rPr>
      </w:pPr>
    </w:p>
    <w:p>
      <w:pPr>
        <w:spacing w:line="271" w:lineRule="auto" w:before="0"/>
        <w:ind w:left="2555" w:right="116" w:firstLine="0"/>
        <w:jc w:val="both"/>
        <w:rPr>
          <w:rFonts w:ascii="微软雅黑" w:eastAsia="微软雅黑" w:hint="eastAsia"/>
          <w:b/>
          <w:sz w:val="20"/>
        </w:rPr>
      </w:pPr>
      <w:r>
        <w:rPr>
          <w:rFonts w:ascii="微软雅黑" w:eastAsia="微软雅黑" w:hint="eastAsia"/>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附加合同对重大疾病的定义和诊断标准被我们指定或认可的医院初次确诊为患有该重大疾病，我们按本附加合同的基本保险金额给付第三次重大疾病保险金，本附加合同终止。</w:t>
      </w:r>
    </w:p>
    <w:p>
      <w:pPr>
        <w:spacing w:before="164"/>
        <w:ind w:left="2136" w:right="0" w:firstLine="0"/>
        <w:jc w:val="left"/>
        <w:rPr>
          <w:rFonts w:ascii="微软雅黑" w:eastAsia="微软雅黑" w:hint="eastAsia"/>
          <w:b/>
          <w:sz w:val="20"/>
        </w:rPr>
      </w:pPr>
      <w:r>
        <w:rPr>
          <w:rFonts w:ascii="微软雅黑" w:eastAsia="微软雅黑" w:hint="eastAsia"/>
          <w:b/>
          <w:sz w:val="20"/>
        </w:rPr>
        <w:t>(二)轻症重疾给付及保险费豁免</w:t>
      </w:r>
    </w:p>
    <w:p>
      <w:pPr>
        <w:pStyle w:val="BodyText"/>
        <w:spacing w:before="11"/>
        <w:rPr>
          <w:rFonts w:ascii="微软雅黑"/>
          <w:b/>
          <w:sz w:val="11"/>
        </w:rPr>
      </w:pPr>
    </w:p>
    <w:p>
      <w:pPr>
        <w:spacing w:line="271" w:lineRule="auto" w:before="0"/>
        <w:ind w:left="2556" w:right="116" w:hanging="1"/>
        <w:jc w:val="both"/>
        <w:rPr>
          <w:rFonts w:ascii="微软雅黑" w:eastAsia="微软雅黑" w:hint="eastAsia"/>
          <w:b/>
          <w:sz w:val="20"/>
        </w:rPr>
      </w:pPr>
      <w:r>
        <w:rPr>
          <w:rFonts w:ascii="微软雅黑" w:eastAsia="微软雅黑" w:hint="eastAsia"/>
          <w:b/>
          <w:sz w:val="20"/>
        </w:rPr>
        <w:t>若被保险人于等待期满后首次出现本附加合同约定的轻症重疾的症状或体征，并且按本附加合同对轻症重疾的定义和诊断标准被我们指定或认可的医院初次确诊为患有本附加合同所列的轻症重疾，我们按被保险人确诊时该保单年度对应的年度保额</w:t>
      </w:r>
      <w:r>
        <w:rPr>
          <w:rFonts w:ascii="微软雅黑" w:eastAsia="微软雅黑" w:hint="eastAsia"/>
          <w:b/>
          <w:spacing w:val="-2"/>
          <w:w w:val="95"/>
          <w:sz w:val="20"/>
        </w:rPr>
        <w:t>的百分之二十</w:t>
      </w:r>
      <w:r>
        <w:rPr>
          <w:rFonts w:ascii="微软雅黑" w:eastAsia="微软雅黑" w:hint="eastAsia"/>
          <w:b/>
          <w:w w:val="95"/>
          <w:sz w:val="20"/>
        </w:rPr>
        <w:t>（20%）</w:t>
      </w:r>
      <w:r>
        <w:rPr>
          <w:rFonts w:ascii="微软雅黑" w:eastAsia="微软雅黑" w:hint="eastAsia"/>
          <w:b/>
          <w:spacing w:val="-1"/>
          <w:w w:val="95"/>
          <w:sz w:val="20"/>
        </w:rPr>
        <w:t>给付轻症重疾保险金，并同时豁免本附加合同及主合同在轻症  </w:t>
      </w:r>
      <w:r>
        <w:rPr>
          <w:rFonts w:ascii="微软雅黑" w:eastAsia="微软雅黑" w:hint="eastAsia"/>
          <w:b/>
          <w:sz w:val="20"/>
        </w:rPr>
        <w:t>重疾确诊日以后的各期保险费，本附加合同继续有效，但此后我们不再承担给付轻症重疾保险金的责任。</w:t>
      </w:r>
    </w:p>
    <w:p>
      <w:pPr>
        <w:spacing w:before="167"/>
        <w:ind w:left="2556" w:right="0" w:firstLine="0"/>
        <w:jc w:val="left"/>
        <w:rPr>
          <w:rFonts w:ascii="微软雅黑" w:eastAsia="微软雅黑" w:hint="eastAsia"/>
          <w:b/>
          <w:sz w:val="20"/>
        </w:rPr>
      </w:pPr>
      <w:r>
        <w:rPr>
          <w:rFonts w:ascii="微软雅黑" w:eastAsia="微软雅黑" w:hint="eastAsia"/>
          <w:b/>
          <w:sz w:val="20"/>
        </w:rPr>
        <w:t>若被保险人因意外事故而患有本附加合同所列的轻症重疾，则不受等待期的限制。</w:t>
      </w:r>
    </w:p>
    <w:p>
      <w:pPr>
        <w:pStyle w:val="BodyText"/>
        <w:spacing w:before="9"/>
        <w:rPr>
          <w:rFonts w:ascii="微软雅黑"/>
          <w:b/>
          <w:sz w:val="11"/>
        </w:rPr>
      </w:pPr>
    </w:p>
    <w:p>
      <w:pPr>
        <w:spacing w:line="271" w:lineRule="auto" w:before="0"/>
        <w:ind w:left="2556" w:right="116" w:firstLine="0"/>
        <w:jc w:val="both"/>
        <w:rPr>
          <w:rFonts w:ascii="微软雅黑" w:eastAsia="微软雅黑" w:hint="eastAsia"/>
          <w:b/>
          <w:sz w:val="20"/>
        </w:rPr>
      </w:pPr>
      <w:r>
        <w:rPr>
          <w:rFonts w:ascii="微软雅黑" w:eastAsia="微软雅黑" w:hint="eastAsia"/>
          <w:b/>
          <w:sz w:val="20"/>
        </w:rPr>
        <w:t>若被保险人在等待期内首次出现本附加合同约定的轻症重疾的症状或体征，或者在等待期内按本附加合同对轻症重疾的定义和诊断标准被我们指定或认可的医院初次确诊为患有本附加合同所列的轻症重疾，我们不承担给付轻症重疾保险金及豁免保险费的责任，但将无息退还被保险人确诊时本附加合同及主合同累计应交保险费， 本附加合同终止。</w:t>
      </w:r>
    </w:p>
    <w:p>
      <w:pPr>
        <w:spacing w:line="271" w:lineRule="auto" w:before="167"/>
        <w:ind w:left="2556" w:right="116" w:hanging="421"/>
        <w:jc w:val="left"/>
        <w:rPr>
          <w:rFonts w:ascii="微软雅黑" w:eastAsia="微软雅黑" w:hint="eastAsia"/>
          <w:b/>
          <w:sz w:val="20"/>
        </w:rPr>
      </w:pPr>
      <w:r>
        <w:rPr>
          <w:rFonts w:ascii="微软雅黑" w:eastAsia="微软雅黑" w:hint="eastAsia"/>
          <w:b/>
          <w:sz w:val="20"/>
        </w:rPr>
        <w:t>二、在本附加合同终止、撤销、解除后或效力中止期间，我们不再承担本附加合同的保险责任。</w:t>
      </w:r>
    </w:p>
    <w:p>
      <w:pPr>
        <w:pStyle w:val="ListParagraph"/>
        <w:numPr>
          <w:ilvl w:val="1"/>
          <w:numId w:val="4"/>
        </w:numPr>
        <w:tabs>
          <w:tab w:pos="746" w:val="left" w:leader="none"/>
          <w:tab w:pos="747" w:val="left" w:leader="none"/>
          <w:tab w:pos="2135" w:val="left" w:leader="none"/>
        </w:tabs>
        <w:spacing w:line="271" w:lineRule="auto" w:before="167" w:after="0"/>
        <w:ind w:left="2136" w:right="121" w:hanging="2024"/>
        <w:jc w:val="left"/>
        <w:rPr>
          <w:rFonts w:ascii="微软雅黑" w:eastAsia="微软雅黑" w:hint="eastAsia"/>
          <w:b/>
          <w:sz w:val="20"/>
        </w:rPr>
      </w:pPr>
      <w:r>
        <w:rPr>
          <w:rFonts w:ascii="微软雅黑" w:eastAsia="微软雅黑" w:hint="eastAsia"/>
          <w:b/>
          <w:sz w:val="20"/>
        </w:rPr>
        <w:t>责任免除</w:t>
        <w:tab/>
      </w:r>
      <w:r>
        <w:rPr>
          <w:rFonts w:ascii="微软雅黑" w:eastAsia="微软雅黑" w:hint="eastAsia"/>
          <w:b/>
          <w:spacing w:val="2"/>
          <w:sz w:val="20"/>
        </w:rPr>
        <w:t>因下列情</w:t>
      </w:r>
      <w:r>
        <w:rPr>
          <w:rFonts w:ascii="微软雅黑" w:eastAsia="微软雅黑" w:hint="eastAsia"/>
          <w:b/>
          <w:sz w:val="20"/>
        </w:rPr>
        <w:t>形</w:t>
      </w:r>
      <w:r>
        <w:rPr>
          <w:rFonts w:ascii="微软雅黑" w:eastAsia="微软雅黑" w:hint="eastAsia"/>
          <w:b/>
          <w:spacing w:val="2"/>
          <w:sz w:val="20"/>
        </w:rPr>
        <w:t>之一</w:t>
      </w:r>
      <w:r>
        <w:rPr>
          <w:rFonts w:ascii="微软雅黑" w:eastAsia="微软雅黑" w:hint="eastAsia"/>
          <w:b/>
          <w:sz w:val="20"/>
        </w:rPr>
        <w:t>导</w:t>
      </w:r>
      <w:r>
        <w:rPr>
          <w:rFonts w:ascii="微软雅黑" w:eastAsia="微软雅黑" w:hint="eastAsia"/>
          <w:b/>
          <w:spacing w:val="2"/>
          <w:sz w:val="20"/>
        </w:rPr>
        <w:t>致被</w:t>
      </w:r>
      <w:r>
        <w:rPr>
          <w:rFonts w:ascii="微软雅黑" w:eastAsia="微软雅黑" w:hint="eastAsia"/>
          <w:b/>
          <w:sz w:val="20"/>
        </w:rPr>
        <w:t>保险</w:t>
      </w:r>
      <w:r>
        <w:rPr>
          <w:rFonts w:ascii="微软雅黑" w:eastAsia="微软雅黑" w:hint="eastAsia"/>
          <w:b/>
          <w:spacing w:val="2"/>
          <w:sz w:val="20"/>
        </w:rPr>
        <w:t>人患有疾</w:t>
      </w:r>
      <w:r>
        <w:rPr>
          <w:rFonts w:ascii="微软雅黑" w:eastAsia="微软雅黑" w:hint="eastAsia"/>
          <w:b/>
          <w:sz w:val="20"/>
        </w:rPr>
        <w:t>病</w:t>
      </w:r>
      <w:r>
        <w:rPr>
          <w:rFonts w:ascii="微软雅黑" w:eastAsia="微软雅黑" w:hint="eastAsia"/>
          <w:b/>
          <w:spacing w:val="2"/>
          <w:sz w:val="20"/>
        </w:rPr>
        <w:t>、达</w:t>
      </w:r>
      <w:r>
        <w:rPr>
          <w:rFonts w:ascii="微软雅黑" w:eastAsia="微软雅黑" w:hint="eastAsia"/>
          <w:b/>
          <w:sz w:val="20"/>
        </w:rPr>
        <w:t>到</w:t>
      </w:r>
      <w:r>
        <w:rPr>
          <w:rFonts w:ascii="微软雅黑" w:eastAsia="微软雅黑" w:hint="eastAsia"/>
          <w:b/>
          <w:spacing w:val="2"/>
          <w:sz w:val="20"/>
        </w:rPr>
        <w:t>疾病</w:t>
      </w:r>
      <w:r>
        <w:rPr>
          <w:rFonts w:ascii="微软雅黑" w:eastAsia="微软雅黑" w:hint="eastAsia"/>
          <w:b/>
          <w:sz w:val="20"/>
        </w:rPr>
        <w:t>状态</w:t>
      </w:r>
      <w:r>
        <w:rPr>
          <w:rFonts w:ascii="微软雅黑" w:eastAsia="微软雅黑" w:hint="eastAsia"/>
          <w:b/>
          <w:spacing w:val="2"/>
          <w:sz w:val="20"/>
        </w:rPr>
        <w:t>或进行手</w:t>
      </w:r>
      <w:r>
        <w:rPr>
          <w:rFonts w:ascii="微软雅黑" w:eastAsia="微软雅黑" w:hint="eastAsia"/>
          <w:b/>
          <w:sz w:val="20"/>
        </w:rPr>
        <w:t>术</w:t>
      </w:r>
      <w:r>
        <w:rPr>
          <w:rFonts w:ascii="微软雅黑" w:eastAsia="微软雅黑" w:hint="eastAsia"/>
          <w:b/>
          <w:spacing w:val="2"/>
          <w:sz w:val="20"/>
        </w:rPr>
        <w:t>的，</w:t>
      </w:r>
      <w:r>
        <w:rPr>
          <w:rFonts w:ascii="微软雅黑" w:eastAsia="微软雅黑" w:hint="eastAsia"/>
          <w:b/>
          <w:sz w:val="20"/>
        </w:rPr>
        <w:t>我</w:t>
      </w:r>
      <w:r>
        <w:rPr>
          <w:rFonts w:ascii="微软雅黑" w:eastAsia="微软雅黑" w:hint="eastAsia"/>
          <w:b/>
          <w:spacing w:val="2"/>
          <w:sz w:val="20"/>
        </w:rPr>
        <w:t>们不</w:t>
      </w:r>
      <w:r>
        <w:rPr>
          <w:rFonts w:ascii="微软雅黑" w:eastAsia="微软雅黑" w:hint="eastAsia"/>
          <w:b/>
          <w:sz w:val="20"/>
        </w:rPr>
        <w:t>承担</w:t>
      </w:r>
      <w:r>
        <w:rPr>
          <w:rFonts w:ascii="微软雅黑" w:eastAsia="微软雅黑" w:hint="eastAsia"/>
          <w:b/>
          <w:spacing w:val="5"/>
          <w:sz w:val="20"/>
        </w:rPr>
        <w:t>重</w:t>
      </w:r>
      <w:r>
        <w:rPr>
          <w:rFonts w:ascii="微软雅黑" w:eastAsia="微软雅黑" w:hint="eastAsia"/>
          <w:b/>
          <w:sz w:val="20"/>
        </w:rPr>
        <w:t>大 疾病给付、轻症重疾给付及保险费豁免的责任：</w:t>
      </w:r>
    </w:p>
    <w:p>
      <w:pPr>
        <w:pStyle w:val="ListParagraph"/>
        <w:numPr>
          <w:ilvl w:val="0"/>
          <w:numId w:val="5"/>
        </w:numPr>
        <w:tabs>
          <w:tab w:pos="2816" w:val="left" w:leader="none"/>
        </w:tabs>
        <w:spacing w:line="240" w:lineRule="auto" w:before="167" w:after="0"/>
        <w:ind w:left="2815" w:right="0" w:hanging="427"/>
        <w:jc w:val="left"/>
        <w:rPr>
          <w:rFonts w:ascii="微软雅黑" w:eastAsia="微软雅黑" w:hint="eastAsia"/>
          <w:b/>
          <w:sz w:val="20"/>
        </w:rPr>
      </w:pPr>
      <w:r>
        <w:rPr>
          <w:rFonts w:ascii="微软雅黑" w:eastAsia="微软雅黑" w:hint="eastAsia"/>
          <w:b/>
          <w:sz w:val="20"/>
        </w:rPr>
        <w:t>投保人对被保险人的故意杀害、故意伤害；</w:t>
      </w:r>
    </w:p>
    <w:p>
      <w:pPr>
        <w:pStyle w:val="BodyText"/>
        <w:spacing w:before="9"/>
        <w:rPr>
          <w:rFonts w:ascii="微软雅黑"/>
          <w:b/>
          <w:sz w:val="11"/>
        </w:rPr>
      </w:pPr>
    </w:p>
    <w:p>
      <w:pPr>
        <w:pStyle w:val="ListParagraph"/>
        <w:numPr>
          <w:ilvl w:val="0"/>
          <w:numId w:val="5"/>
        </w:numPr>
        <w:tabs>
          <w:tab w:pos="2816" w:val="left" w:leader="none"/>
        </w:tabs>
        <w:spacing w:line="240" w:lineRule="auto" w:before="0" w:after="0"/>
        <w:ind w:left="2815" w:right="0" w:hanging="427"/>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BodyText"/>
        <w:spacing w:before="11"/>
        <w:rPr>
          <w:rFonts w:ascii="微软雅黑"/>
          <w:b/>
          <w:sz w:val="11"/>
        </w:rPr>
      </w:pPr>
    </w:p>
    <w:p>
      <w:pPr>
        <w:pStyle w:val="ListParagraph"/>
        <w:numPr>
          <w:ilvl w:val="0"/>
          <w:numId w:val="5"/>
        </w:numPr>
        <w:tabs>
          <w:tab w:pos="2816" w:val="left" w:leader="none"/>
        </w:tabs>
        <w:spacing w:line="271" w:lineRule="auto" w:before="0" w:after="0"/>
        <w:ind w:left="2815" w:right="150" w:hanging="427"/>
        <w:jc w:val="left"/>
        <w:rPr>
          <w:rFonts w:ascii="微软雅黑" w:eastAsia="微软雅黑" w:hint="eastAsia"/>
          <w:b/>
          <w:sz w:val="20"/>
        </w:rPr>
      </w:pPr>
      <w:r>
        <w:rPr>
          <w:rFonts w:ascii="微软雅黑" w:eastAsia="微软雅黑" w:hint="eastAsia"/>
          <w:b/>
          <w:spacing w:val="5"/>
          <w:sz w:val="20"/>
        </w:rPr>
        <w:t>被保险人患艾滋病或感染艾滋病病毒</w:t>
      </w:r>
      <w:r>
        <w:rPr>
          <w:rFonts w:ascii="微软雅黑" w:eastAsia="微软雅黑" w:hint="eastAsia"/>
          <w:b/>
          <w:position w:val="10"/>
          <w:sz w:val="10"/>
        </w:rPr>
        <w:t>[11]</w:t>
      </w:r>
      <w:r>
        <w:rPr>
          <w:rFonts w:ascii="微软雅黑" w:eastAsia="微软雅黑" w:hint="eastAsia"/>
          <w:b/>
          <w:spacing w:val="5"/>
          <w:sz w:val="20"/>
        </w:rPr>
        <w:t>后患病（</w:t>
      </w:r>
      <w:r>
        <w:rPr>
          <w:rFonts w:ascii="微软雅黑" w:eastAsia="微软雅黑" w:hint="eastAsia"/>
          <w:b/>
          <w:spacing w:val="5"/>
          <w:sz w:val="20"/>
        </w:rPr>
        <w:t>因输血或者工作原因导致的除外）；</w:t>
      </w:r>
    </w:p>
    <w:p>
      <w:pPr>
        <w:pStyle w:val="ListParagraph"/>
        <w:numPr>
          <w:ilvl w:val="0"/>
          <w:numId w:val="5"/>
        </w:numPr>
        <w:tabs>
          <w:tab w:pos="2816" w:val="left" w:leader="none"/>
        </w:tabs>
        <w:spacing w:line="240" w:lineRule="auto" w:before="167" w:after="0"/>
        <w:ind w:left="2815" w:right="0" w:hanging="427"/>
        <w:jc w:val="left"/>
        <w:rPr>
          <w:rFonts w:ascii="微软雅黑" w:eastAsia="微软雅黑" w:hint="eastAsia"/>
          <w:b/>
          <w:sz w:val="20"/>
        </w:rPr>
      </w:pPr>
      <w:r>
        <w:rPr>
          <w:rFonts w:ascii="微软雅黑" w:eastAsia="微软雅黑" w:hint="eastAsia"/>
          <w:b/>
          <w:sz w:val="20"/>
        </w:rPr>
        <w:t>被保险人主动吸食或注射毒品</w:t>
      </w:r>
      <w:r>
        <w:rPr>
          <w:rFonts w:ascii="微软雅黑" w:eastAsia="微软雅黑" w:hint="eastAsia"/>
          <w:b/>
          <w:position w:val="10"/>
          <w:sz w:val="10"/>
        </w:rPr>
        <w:t>[12]</w:t>
      </w:r>
      <w:r>
        <w:rPr>
          <w:rFonts w:ascii="微软雅黑" w:eastAsia="微软雅黑" w:hint="eastAsia"/>
          <w:b/>
          <w:sz w:val="20"/>
        </w:rPr>
        <w:t>；</w:t>
      </w:r>
    </w:p>
    <w:p>
      <w:pPr>
        <w:pStyle w:val="BodyText"/>
        <w:spacing w:before="9"/>
        <w:rPr>
          <w:rFonts w:ascii="微软雅黑"/>
          <w:b/>
          <w:sz w:val="11"/>
        </w:rPr>
      </w:pPr>
    </w:p>
    <w:p>
      <w:pPr>
        <w:pStyle w:val="ListParagraph"/>
        <w:numPr>
          <w:ilvl w:val="0"/>
          <w:numId w:val="5"/>
        </w:numPr>
        <w:tabs>
          <w:tab w:pos="2816" w:val="left" w:leader="none"/>
        </w:tabs>
        <w:spacing w:line="271" w:lineRule="auto" w:before="0" w:after="0"/>
        <w:ind w:left="2815" w:right="147" w:hanging="428"/>
        <w:jc w:val="left"/>
        <w:rPr>
          <w:rFonts w:ascii="微软雅黑" w:eastAsia="微软雅黑" w:hint="eastAsia"/>
          <w:b/>
          <w:sz w:val="20"/>
        </w:rPr>
      </w:pPr>
      <w:r>
        <w:rPr>
          <w:rFonts w:ascii="微软雅黑" w:eastAsia="微软雅黑" w:hint="eastAsia"/>
          <w:b/>
          <w:spacing w:val="-1"/>
          <w:sz w:val="20"/>
        </w:rPr>
        <w:t>被保险人酒后驾驶</w:t>
      </w:r>
      <w:r>
        <w:rPr>
          <w:rFonts w:ascii="微软雅黑" w:eastAsia="微软雅黑" w:hint="eastAsia"/>
          <w:b/>
          <w:spacing w:val="-1"/>
          <w:position w:val="10"/>
          <w:sz w:val="10"/>
        </w:rPr>
        <w:t>[13]</w:t>
      </w:r>
      <w:r>
        <w:rPr>
          <w:rFonts w:ascii="微软雅黑" w:eastAsia="微软雅黑" w:hint="eastAsia"/>
          <w:b/>
          <w:spacing w:val="-1"/>
          <w:sz w:val="20"/>
        </w:rPr>
        <w:t>，无合法有效驾驶证驾驶</w:t>
      </w:r>
      <w:r>
        <w:rPr>
          <w:rFonts w:ascii="微软雅黑" w:eastAsia="微软雅黑" w:hint="eastAsia"/>
          <w:b/>
          <w:position w:val="10"/>
          <w:sz w:val="10"/>
        </w:rPr>
        <w:t>[14]</w:t>
      </w:r>
      <w:r>
        <w:rPr>
          <w:rFonts w:ascii="微软雅黑" w:eastAsia="微软雅黑" w:hint="eastAsia"/>
          <w:b/>
          <w:sz w:val="20"/>
        </w:rPr>
        <w:t>，或驾驶无有效行驶证</w:t>
      </w:r>
      <w:r>
        <w:rPr>
          <w:rFonts w:ascii="微软雅黑" w:eastAsia="微软雅黑" w:hint="eastAsia"/>
          <w:b/>
          <w:position w:val="10"/>
          <w:sz w:val="10"/>
        </w:rPr>
        <w:t>[15]</w:t>
      </w:r>
      <w:r>
        <w:rPr>
          <w:rFonts w:ascii="微软雅黑" w:eastAsia="微软雅黑" w:hint="eastAsia"/>
          <w:b/>
          <w:sz w:val="20"/>
        </w:rPr>
        <w:t>的机动车；</w:t>
      </w:r>
    </w:p>
    <w:p>
      <w:pPr>
        <w:pStyle w:val="Heading2"/>
        <w:numPr>
          <w:ilvl w:val="0"/>
          <w:numId w:val="5"/>
        </w:numPr>
        <w:tabs>
          <w:tab w:pos="2816" w:val="left" w:leader="none"/>
        </w:tabs>
        <w:spacing w:line="240" w:lineRule="auto" w:before="164" w:after="0"/>
        <w:ind w:left="2815" w:right="0" w:hanging="428"/>
        <w:jc w:val="left"/>
      </w:pPr>
      <w:r>
        <w:rPr/>
        <w:t>战争、军事冲突、暴乱、武装叛乱或恐怖主义行为；</w:t>
      </w:r>
    </w:p>
    <w:p>
      <w:pPr>
        <w:spacing w:after="0" w:line="240" w:lineRule="auto"/>
        <w:jc w:val="left"/>
        <w:sectPr>
          <w:pgSz w:w="11900" w:h="16840"/>
          <w:pgMar w:header="0" w:footer="834" w:top="1300" w:bottom="1100" w:left="1020" w:right="900"/>
        </w:sectPr>
      </w:pPr>
    </w:p>
    <w:p>
      <w:pPr>
        <w:pStyle w:val="ListParagraph"/>
        <w:numPr>
          <w:ilvl w:val="0"/>
          <w:numId w:val="5"/>
        </w:numPr>
        <w:tabs>
          <w:tab w:pos="2916" w:val="left" w:leader="none"/>
        </w:tabs>
        <w:spacing w:line="308" w:lineRule="exact" w:before="0" w:after="0"/>
        <w:ind w:left="2915" w:right="0" w:hanging="427"/>
        <w:jc w:val="left"/>
        <w:rPr>
          <w:rFonts w:ascii="微软雅黑" w:eastAsia="微软雅黑" w:hint="eastAsia"/>
          <w:b/>
          <w:sz w:val="20"/>
        </w:rPr>
      </w:pPr>
      <w:r>
        <w:rPr>
          <w:rFonts w:ascii="微软雅黑" w:eastAsia="微软雅黑" w:hint="eastAsia"/>
          <w:b/>
          <w:sz w:val="20"/>
        </w:rPr>
        <w:t>核爆炸、核辐射或核污染；</w:t>
      </w:r>
    </w:p>
    <w:p>
      <w:pPr>
        <w:pStyle w:val="BodyText"/>
        <w:spacing w:before="11"/>
        <w:rPr>
          <w:rFonts w:ascii="微软雅黑"/>
          <w:b/>
          <w:sz w:val="11"/>
        </w:rPr>
      </w:pPr>
    </w:p>
    <w:p>
      <w:pPr>
        <w:pStyle w:val="ListParagraph"/>
        <w:numPr>
          <w:ilvl w:val="0"/>
          <w:numId w:val="5"/>
        </w:numPr>
        <w:tabs>
          <w:tab w:pos="2916" w:val="left" w:leader="none"/>
        </w:tabs>
        <w:spacing w:line="240" w:lineRule="auto" w:before="0" w:after="0"/>
        <w:ind w:left="2915" w:right="0" w:hanging="427"/>
        <w:jc w:val="left"/>
        <w:rPr>
          <w:rFonts w:ascii="微软雅黑" w:eastAsia="微软雅黑" w:hint="eastAsia"/>
          <w:b/>
          <w:sz w:val="20"/>
        </w:rPr>
      </w:pPr>
      <w:r>
        <w:rPr>
          <w:rFonts w:ascii="微软雅黑" w:eastAsia="微软雅黑" w:hint="eastAsia"/>
          <w:b/>
          <w:sz w:val="20"/>
        </w:rPr>
        <w:t>遗传性疾病</w:t>
      </w:r>
      <w:r>
        <w:rPr>
          <w:rFonts w:ascii="微软雅黑" w:eastAsia="微软雅黑" w:hint="eastAsia"/>
          <w:b/>
          <w:position w:val="10"/>
          <w:sz w:val="10"/>
        </w:rPr>
        <w:t>[16]</w:t>
      </w:r>
      <w:r>
        <w:rPr>
          <w:rFonts w:ascii="微软雅黑" w:eastAsia="微软雅黑" w:hint="eastAsia"/>
          <w:b/>
          <w:sz w:val="20"/>
        </w:rPr>
        <w:t>（不包括肌营养不良症），先天性畸形、变形或染色体异常</w:t>
      </w:r>
      <w:r>
        <w:rPr>
          <w:rFonts w:ascii="微软雅黑" w:eastAsia="微软雅黑" w:hint="eastAsia"/>
          <w:b/>
          <w:position w:val="10"/>
          <w:sz w:val="10"/>
        </w:rPr>
        <w:t>[17]</w:t>
      </w:r>
      <w:r>
        <w:rPr>
          <w:rFonts w:ascii="微软雅黑" w:eastAsia="微软雅黑" w:hint="eastAsia"/>
          <w:b/>
          <w:sz w:val="20"/>
        </w:rPr>
        <w:t>。</w:t>
      </w:r>
    </w:p>
    <w:p>
      <w:pPr>
        <w:pStyle w:val="BodyText"/>
        <w:spacing w:before="8"/>
        <w:rPr>
          <w:rFonts w:ascii="微软雅黑"/>
          <w:b/>
          <w:sz w:val="11"/>
        </w:rPr>
      </w:pPr>
    </w:p>
    <w:p>
      <w:pPr>
        <w:spacing w:line="271" w:lineRule="auto" w:before="0"/>
        <w:ind w:left="2235" w:right="245" w:hanging="1"/>
        <w:jc w:val="both"/>
        <w:rPr>
          <w:rFonts w:ascii="微软雅黑" w:eastAsia="微软雅黑" w:hint="eastAsia"/>
          <w:b/>
          <w:sz w:val="20"/>
        </w:rPr>
      </w:pPr>
      <w:r>
        <w:rPr>
          <w:rFonts w:ascii="微软雅黑" w:eastAsia="微软雅黑" w:hint="eastAsia"/>
          <w:b/>
          <w:sz w:val="20"/>
        </w:rPr>
        <w:t>发生上述第 1)项情形的，本附加合同终止，您已交足两年以上（含两年）保险费的，我们向受益人退还本附加合同及主合同的现金价值；发生上述其他情形的，本附加合同终止，我们向您退还本附加合同及主合同的现金价值。</w:t>
      </w:r>
    </w:p>
    <w:p>
      <w:pPr>
        <w:pStyle w:val="BodyText"/>
        <w:rPr>
          <w:rFonts w:ascii="微软雅黑"/>
          <w:b/>
        </w:rPr>
      </w:pPr>
    </w:p>
    <w:p>
      <w:pPr>
        <w:pStyle w:val="BodyText"/>
        <w:spacing w:before="3"/>
        <w:rPr>
          <w:rFonts w:ascii="微软雅黑"/>
          <w:b/>
          <w:sz w:val="21"/>
        </w:rPr>
      </w:pPr>
    </w:p>
    <w:p>
      <w:pPr>
        <w:tabs>
          <w:tab w:pos="1472" w:val="left" w:leader="none"/>
        </w:tabs>
        <w:spacing w:before="0"/>
        <w:ind w:left="392" w:right="0" w:firstLine="0"/>
        <w:jc w:val="left"/>
        <w:rPr>
          <w:rFonts w:ascii="微软雅黑" w:eastAsia="微软雅黑" w:hint="eastAsia"/>
          <w:b/>
          <w:sz w:val="20"/>
        </w:rPr>
      </w:pPr>
      <w:r>
        <w:rPr/>
        <w:pict>
          <v:group style="position:absolute;margin-left:51.239998pt;margin-top:20.893297pt;width:498pt;height:.5pt;mso-position-horizontal-relative:page;mso-position-vertical-relative:paragraph;z-index:2152;mso-wrap-distance-left:0;mso-wrap-distance-right:0" coordorigin="1025,418" coordsize="9960,10">
            <v:line style="position:absolute" from="1025,423" to="1687,423" stroked="true" strokeweight=".48pt" strokecolor="#000000">
              <v:stroke dashstyle="solid"/>
            </v:line>
            <v:rect style="position:absolute;left:1687;top:417;width:10;height:10" filled="true" fillcolor="#000000" stroked="false">
              <v:fill type="solid"/>
            </v:rect>
            <v:line style="position:absolute" from="1697,423" to="3048,423" stroked="true" strokeweight=".48pt" strokecolor="#000000">
              <v:stroke dashstyle="solid"/>
            </v:line>
            <v:rect style="position:absolute;left:3048;top:417;width:10;height:10" filled="true" fillcolor="#000000" stroked="false">
              <v:fill type="solid"/>
            </v:rect>
            <v:line style="position:absolute" from="3058,423" to="10985,423" stroked="true" strokeweight=".48pt" strokecolor="#000000">
              <v:stroke dashstyle="solid"/>
            </v:line>
            <w10:wrap type="topAndBottom"/>
          </v:group>
        </w:pict>
      </w:r>
      <w:r>
        <w:rPr>
          <w:rFonts w:ascii="微软雅黑" w:eastAsia="微软雅黑" w:hint="eastAsia"/>
          <w:b/>
          <w:sz w:val="20"/>
        </w:rPr>
        <w:t>第三部分</w:t>
        <w:tab/>
        <w:t>如何支付保险费</w:t>
      </w:r>
    </w:p>
    <w:p>
      <w:pPr>
        <w:pStyle w:val="BodyText"/>
        <w:spacing w:before="1"/>
        <w:rPr>
          <w:rFonts w:ascii="微软雅黑"/>
          <w:b/>
          <w:sz w:val="7"/>
        </w:rPr>
      </w:pPr>
    </w:p>
    <w:p>
      <w:pPr>
        <w:spacing w:after="0"/>
        <w:rPr>
          <w:rFonts w:ascii="微软雅黑"/>
          <w:sz w:val="7"/>
        </w:rPr>
        <w:sectPr>
          <w:pgSz w:w="11900" w:h="16840"/>
          <w:pgMar w:header="0" w:footer="834" w:top="1300" w:bottom="1100" w:left="920" w:right="800"/>
        </w:sectPr>
      </w:pPr>
    </w:p>
    <w:p>
      <w:pPr>
        <w:tabs>
          <w:tab w:pos="875" w:val="left" w:leader="none"/>
        </w:tabs>
        <w:spacing w:line="324" w:lineRule="exact" w:before="0"/>
        <w:ind w:left="212" w:right="0" w:firstLine="0"/>
        <w:jc w:val="left"/>
        <w:rPr>
          <w:rFonts w:ascii="微软雅黑" w:eastAsia="微软雅黑" w:hint="eastAsia"/>
          <w:b/>
          <w:sz w:val="20"/>
        </w:rPr>
      </w:pPr>
      <w:r>
        <w:rPr>
          <w:rFonts w:ascii="微软雅黑" w:eastAsia="微软雅黑" w:hint="eastAsia"/>
          <w:b/>
          <w:spacing w:val="0"/>
          <w:w w:val="80"/>
          <w:sz w:val="20"/>
        </w:rPr>
        <w:t>3</w:t>
      </w:r>
      <w:r>
        <w:rPr>
          <w:rFonts w:ascii="微软雅黑" w:eastAsia="微软雅黑" w:hint="eastAsia"/>
          <w:b/>
          <w:spacing w:val="0"/>
          <w:w w:val="174"/>
          <w:sz w:val="20"/>
        </w:rPr>
        <w:t>.</w:t>
      </w:r>
      <w:r>
        <w:rPr>
          <w:rFonts w:ascii="微软雅黑" w:eastAsia="微软雅黑" w:hint="eastAsia"/>
          <w:b/>
          <w:w w:val="80"/>
          <w:sz w:val="20"/>
        </w:rPr>
        <w:t>1</w:t>
      </w:r>
      <w:r>
        <w:rPr>
          <w:rFonts w:ascii="微软雅黑" w:eastAsia="微软雅黑" w:hint="eastAsia"/>
          <w:b/>
          <w:sz w:val="20"/>
        </w:rPr>
        <w:tab/>
      </w:r>
      <w:r>
        <w:rPr>
          <w:rFonts w:ascii="微软雅黑" w:eastAsia="微软雅黑" w:hint="eastAsia"/>
          <w:b/>
          <w:w w:val="99"/>
          <w:sz w:val="20"/>
        </w:rPr>
        <w:t>保</w:t>
      </w:r>
      <w:r>
        <w:rPr>
          <w:rFonts w:ascii="微软雅黑" w:eastAsia="微软雅黑" w:hint="eastAsia"/>
          <w:b/>
          <w:spacing w:val="-22"/>
          <w:sz w:val="20"/>
        </w:rPr>
        <w:t> </w:t>
      </w:r>
      <w:r>
        <w:rPr>
          <w:rFonts w:ascii="微软雅黑" w:eastAsia="微软雅黑" w:hint="eastAsia"/>
          <w:b/>
          <w:w w:val="99"/>
          <w:sz w:val="20"/>
        </w:rPr>
        <w:t>险</w:t>
      </w:r>
      <w:r>
        <w:rPr>
          <w:rFonts w:ascii="微软雅黑" w:eastAsia="微软雅黑" w:hint="eastAsia"/>
          <w:b/>
          <w:spacing w:val="-24"/>
          <w:sz w:val="20"/>
        </w:rPr>
        <w:t> </w:t>
      </w:r>
      <w:r>
        <w:rPr>
          <w:rFonts w:ascii="微软雅黑" w:eastAsia="微软雅黑" w:hint="eastAsia"/>
          <w:b/>
          <w:w w:val="99"/>
          <w:sz w:val="20"/>
        </w:rPr>
        <w:t>费</w:t>
      </w:r>
      <w:r>
        <w:rPr>
          <w:rFonts w:ascii="微软雅黑" w:eastAsia="微软雅黑" w:hint="eastAsia"/>
          <w:b/>
          <w:spacing w:val="-24"/>
          <w:sz w:val="20"/>
        </w:rPr>
        <w:t> </w:t>
      </w:r>
      <w:r>
        <w:rPr>
          <w:rFonts w:ascii="微软雅黑" w:eastAsia="微软雅黑" w:hint="eastAsia"/>
          <w:b/>
          <w:w w:val="99"/>
          <w:sz w:val="20"/>
        </w:rPr>
        <w:t>的</w:t>
      </w:r>
      <w:r>
        <w:rPr>
          <w:rFonts w:ascii="微软雅黑" w:eastAsia="微软雅黑" w:hint="eastAsia"/>
          <w:b/>
          <w:spacing w:val="-22"/>
          <w:sz w:val="20"/>
        </w:rPr>
        <w:t> </w:t>
      </w:r>
      <w:r>
        <w:rPr>
          <w:rFonts w:ascii="微软雅黑" w:eastAsia="微软雅黑" w:hint="eastAsia"/>
          <w:b/>
          <w:w w:val="99"/>
          <w:sz w:val="20"/>
        </w:rPr>
        <w:t>支</w:t>
      </w:r>
    </w:p>
    <w:p>
      <w:pPr>
        <w:spacing w:before="45"/>
        <w:ind w:left="875" w:right="0" w:firstLine="0"/>
        <w:jc w:val="left"/>
        <w:rPr>
          <w:rFonts w:ascii="微软雅黑" w:eastAsia="微软雅黑" w:hint="eastAsia"/>
          <w:b/>
          <w:sz w:val="20"/>
        </w:rPr>
      </w:pPr>
      <w:r>
        <w:rPr>
          <w:rFonts w:ascii="微软雅黑" w:eastAsia="微软雅黑" w:hint="eastAsia"/>
          <w:b/>
          <w:sz w:val="20"/>
        </w:rPr>
        <w:t>付及宽限期</w:t>
      </w:r>
    </w:p>
    <w:p>
      <w:pPr>
        <w:pStyle w:val="BodyText"/>
        <w:spacing w:line="357" w:lineRule="auto" w:before="37"/>
        <w:ind w:left="176" w:right="221"/>
      </w:pPr>
      <w:r>
        <w:rPr/>
        <w:br w:type="column"/>
      </w:r>
      <w:r>
        <w:rPr>
          <w:spacing w:val="-3"/>
          <w:w w:val="95"/>
        </w:rPr>
        <w:t>主合同有关保险费支付及宽限期的规定适用于本附加合同，但若本附加合同另有关于附加   合同保险费支付及宽限期的特别规定，则以该规定为准。</w:t>
      </w:r>
    </w:p>
    <w:p>
      <w:pPr>
        <w:spacing w:after="0" w:line="357" w:lineRule="auto"/>
        <w:sectPr>
          <w:type w:val="continuous"/>
          <w:pgSz w:w="11900" w:h="16840"/>
          <w:pgMar w:top="660" w:bottom="1020" w:left="920" w:right="800"/>
          <w:cols w:num="2" w:equalWidth="0">
            <w:col w:w="2020" w:space="40"/>
            <w:col w:w="8120"/>
          </w:cols>
        </w:sectPr>
      </w:pPr>
    </w:p>
    <w:p>
      <w:pPr>
        <w:pStyle w:val="BodyText"/>
      </w:pPr>
    </w:p>
    <w:p>
      <w:pPr>
        <w:pStyle w:val="BodyText"/>
      </w:pPr>
    </w:p>
    <w:p>
      <w:pPr>
        <w:pStyle w:val="Heading2"/>
        <w:tabs>
          <w:tab w:pos="1472" w:val="left" w:leader="none"/>
        </w:tabs>
        <w:spacing w:before="148"/>
        <w:ind w:left="392"/>
      </w:pPr>
      <w:r>
        <w:rPr/>
        <w:pict>
          <v:group style="position:absolute;margin-left:51.239998pt;margin-top:28.173355pt;width:498pt;height:.5pt;mso-position-horizontal-relative:page;mso-position-vertical-relative:paragraph;z-index:2176;mso-wrap-distance-left:0;mso-wrap-distance-right:0" coordorigin="1025,563" coordsize="9960,10">
            <v:line style="position:absolute" from="1025,568" to="1687,568" stroked="true" strokeweight=".48pt" strokecolor="#000000">
              <v:stroke dashstyle="solid"/>
            </v:line>
            <v:rect style="position:absolute;left:1687;top:563;width:10;height:10" filled="true" fillcolor="#000000" stroked="false">
              <v:fill type="solid"/>
            </v:rect>
            <v:line style="position:absolute" from="1697,568" to="3048,568" stroked="true" strokeweight=".48pt" strokecolor="#000000">
              <v:stroke dashstyle="solid"/>
            </v:line>
            <v:rect style="position:absolute;left:3048;top:563;width:10;height:10" filled="true" fillcolor="#000000" stroked="false">
              <v:fill type="solid"/>
            </v:rect>
            <v:line style="position:absolute" from="3058,568" to="10985,568" stroked="true" strokeweight=".48pt" strokecolor="#000000">
              <v:stroke dashstyle="solid"/>
            </v:line>
            <w10:wrap type="topAndBottom"/>
          </v:group>
        </w:pict>
      </w:r>
      <w:r>
        <w:rPr/>
        <w:t>第四部分</w:t>
        <w:tab/>
        <w:t>如何申请领取保险金</w:t>
      </w:r>
    </w:p>
    <w:p>
      <w:pPr>
        <w:pStyle w:val="ListParagraph"/>
        <w:numPr>
          <w:ilvl w:val="1"/>
          <w:numId w:val="6"/>
        </w:numPr>
        <w:tabs>
          <w:tab w:pos="875" w:val="left" w:leader="none"/>
          <w:tab w:pos="876" w:val="left" w:leader="none"/>
          <w:tab w:pos="2235" w:val="left" w:leader="none"/>
        </w:tabs>
        <w:spacing w:line="240" w:lineRule="auto" w:before="100" w:after="0"/>
        <w:ind w:left="2135" w:right="0" w:hanging="1923"/>
        <w:jc w:val="left"/>
        <w:rPr>
          <w:sz w:val="20"/>
        </w:rPr>
      </w:pPr>
      <w:r>
        <w:rPr>
          <w:rFonts w:ascii="微软雅黑" w:eastAsia="微软雅黑" w:hint="eastAsia"/>
          <w:b/>
          <w:sz w:val="20"/>
        </w:rPr>
        <w:t>受益人</w:t>
        <w:tab/>
      </w:r>
      <w:r>
        <w:rPr>
          <w:sz w:val="20"/>
        </w:rPr>
        <w:t>本附加合同的各项保险金的受益人均为被保险人本人。</w:t>
      </w:r>
    </w:p>
    <w:p>
      <w:pPr>
        <w:pStyle w:val="BodyText"/>
        <w:spacing w:before="1"/>
        <w:rPr>
          <w:sz w:val="17"/>
        </w:rPr>
      </w:pPr>
    </w:p>
    <w:p>
      <w:pPr>
        <w:spacing w:after="0"/>
        <w:rPr>
          <w:sz w:val="17"/>
        </w:rPr>
        <w:sectPr>
          <w:type w:val="continuous"/>
          <w:pgSz w:w="11900" w:h="16840"/>
          <w:pgMar w:top="660" w:bottom="1020" w:left="920" w:right="800"/>
        </w:sectPr>
      </w:pPr>
    </w:p>
    <w:p>
      <w:pPr>
        <w:pStyle w:val="Heading2"/>
        <w:numPr>
          <w:ilvl w:val="1"/>
          <w:numId w:val="6"/>
        </w:numPr>
        <w:tabs>
          <w:tab w:pos="875" w:val="left" w:leader="none"/>
          <w:tab w:pos="876" w:val="left" w:leader="none"/>
        </w:tabs>
        <w:spacing w:line="324" w:lineRule="exact" w:before="0" w:after="0"/>
        <w:ind w:left="2135" w:right="0" w:hanging="1923"/>
        <w:jc w:val="left"/>
      </w:pPr>
      <w:r>
        <w:rPr>
          <w:spacing w:val="-13"/>
        </w:rPr>
        <w:t>保 险 事 故 通</w:t>
      </w:r>
    </w:p>
    <w:p>
      <w:pPr>
        <w:spacing w:before="43"/>
        <w:ind w:left="0" w:right="68" w:firstLine="0"/>
        <w:jc w:val="center"/>
        <w:rPr>
          <w:rFonts w:ascii="微软雅黑" w:eastAsia="微软雅黑" w:hint="eastAsia"/>
          <w:b/>
          <w:sz w:val="20"/>
        </w:rPr>
      </w:pPr>
      <w:r>
        <w:rPr>
          <w:rFonts w:ascii="微软雅黑" w:eastAsia="微软雅黑" w:hint="eastAsia"/>
          <w:b/>
          <w:w w:val="99"/>
          <w:sz w:val="20"/>
        </w:rPr>
        <w:t>知</w:t>
      </w:r>
    </w:p>
    <w:p>
      <w:pPr>
        <w:pStyle w:val="BodyText"/>
        <w:spacing w:before="37"/>
        <w:ind w:left="176"/>
      </w:pPr>
      <w:r>
        <w:rPr/>
        <w:br w:type="column"/>
      </w:r>
      <w:r>
        <w:rPr>
          <w:w w:val="95"/>
        </w:rPr>
        <w:t>您或受益人知道保险事故后应当在十日内通知我们。</w:t>
      </w:r>
    </w:p>
    <w:p>
      <w:pPr>
        <w:pStyle w:val="BodyText"/>
        <w:spacing w:before="7"/>
        <w:rPr>
          <w:sz w:val="21"/>
        </w:rPr>
      </w:pPr>
    </w:p>
    <w:p>
      <w:pPr>
        <w:pStyle w:val="BodyText"/>
        <w:spacing w:line="357" w:lineRule="auto"/>
        <w:ind w:left="176" w:right="218"/>
        <w:jc w:val="both"/>
      </w:pPr>
      <w:r>
        <w:rPr>
          <w:spacing w:val="-4"/>
        </w:rPr>
        <w:t>如果您或受益人故意或者因重大过失未及时通知，致使保险事故的性质、原因、损失程度</w:t>
      </w:r>
      <w:r>
        <w:rPr>
          <w:spacing w:val="-9"/>
          <w:w w:val="95"/>
        </w:rPr>
        <w:t>等难以确定的，我们对无法确定的部分，不承担给付保险金的责任，但我们通过其他途径   </w:t>
      </w:r>
      <w:r>
        <w:rPr/>
        <w:t>已经及时知道或者应当及时知道保险事故发生或者虽未及时通知但不影响我们确定保险</w:t>
      </w:r>
      <w:r>
        <w:rPr>
          <w:w w:val="95"/>
        </w:rPr>
        <w:t>事故的性质、原因、损失程度的除外。</w:t>
      </w:r>
    </w:p>
    <w:p>
      <w:pPr>
        <w:spacing w:after="0" w:line="357" w:lineRule="auto"/>
        <w:jc w:val="both"/>
        <w:sectPr>
          <w:type w:val="continuous"/>
          <w:pgSz w:w="11900" w:h="16840"/>
          <w:pgMar w:top="660" w:bottom="1020" w:left="920" w:right="800"/>
          <w:cols w:num="2" w:equalWidth="0">
            <w:col w:w="2020" w:space="40"/>
            <w:col w:w="8120"/>
          </w:cols>
        </w:sectPr>
      </w:pPr>
    </w:p>
    <w:p>
      <w:pPr>
        <w:pStyle w:val="BodyText"/>
        <w:spacing w:before="2"/>
        <w:rPr>
          <w:sz w:val="11"/>
        </w:rPr>
      </w:pPr>
    </w:p>
    <w:p>
      <w:pPr>
        <w:pStyle w:val="Heading2"/>
        <w:numPr>
          <w:ilvl w:val="1"/>
          <w:numId w:val="6"/>
        </w:numPr>
        <w:tabs>
          <w:tab w:pos="875" w:val="left" w:leader="none"/>
          <w:tab w:pos="876" w:val="left" w:leader="none"/>
          <w:tab w:pos="2235" w:val="left" w:leader="none"/>
        </w:tabs>
        <w:spacing w:line="324" w:lineRule="exact" w:before="0" w:after="0"/>
        <w:ind w:left="2135" w:right="0" w:hanging="1923"/>
        <w:jc w:val="left"/>
      </w:pPr>
      <w:r>
        <w:rPr>
          <w:w w:val="110"/>
        </w:rPr>
        <w:t>保险金申请</w:t>
        <w:tab/>
        <w:t>(</w:t>
      </w:r>
      <w:r>
        <w:rPr/>
        <w:t>一</w:t>
      </w:r>
      <w:r>
        <w:rPr>
          <w:spacing w:val="16"/>
        </w:rPr>
        <w:t>)</w:t>
      </w:r>
      <w:r>
        <w:rPr/>
        <w:t>重大疾病保险金以及轻症重疾保险金</w:t>
      </w:r>
    </w:p>
    <w:p>
      <w:pPr>
        <w:pStyle w:val="BodyText"/>
        <w:spacing w:before="2"/>
        <w:rPr>
          <w:rFonts w:ascii="微软雅黑"/>
          <w:b/>
          <w:sz w:val="15"/>
        </w:rPr>
      </w:pPr>
    </w:p>
    <w:p>
      <w:pPr>
        <w:pStyle w:val="BodyText"/>
        <w:spacing w:line="357" w:lineRule="auto"/>
        <w:ind w:left="2656" w:right="218" w:hanging="1"/>
      </w:pPr>
      <w:r>
        <w:rPr>
          <w:spacing w:val="-5"/>
          <w:w w:val="95"/>
        </w:rPr>
        <w:t>在申请重大疾病或者轻症重疾保险金时，申请人需填写保险金给付申请书，并提供下  列证明和资料：</w:t>
      </w:r>
    </w:p>
    <w:p>
      <w:pPr>
        <w:pStyle w:val="BodyText"/>
        <w:spacing w:before="4"/>
        <w:rPr>
          <w:sz w:val="14"/>
        </w:rPr>
      </w:pPr>
    </w:p>
    <w:p>
      <w:pPr>
        <w:pStyle w:val="ListParagraph"/>
        <w:numPr>
          <w:ilvl w:val="2"/>
          <w:numId w:val="6"/>
        </w:numPr>
        <w:tabs>
          <w:tab w:pos="3075" w:val="left" w:leader="none"/>
          <w:tab w:pos="3077" w:val="left" w:leader="none"/>
        </w:tabs>
        <w:spacing w:line="240" w:lineRule="auto" w:before="0" w:after="0"/>
        <w:ind w:left="3076" w:right="0" w:hanging="420"/>
        <w:jc w:val="left"/>
        <w:rPr>
          <w:sz w:val="20"/>
        </w:rPr>
      </w:pPr>
      <w:r>
        <w:rPr>
          <w:w w:val="95"/>
          <w:sz w:val="20"/>
        </w:rPr>
        <w:t>主合同及本附加合同；</w:t>
      </w:r>
    </w:p>
    <w:p>
      <w:pPr>
        <w:pStyle w:val="BodyText"/>
        <w:spacing w:before="8"/>
        <w:rPr>
          <w:sz w:val="21"/>
        </w:rPr>
      </w:pPr>
    </w:p>
    <w:p>
      <w:pPr>
        <w:pStyle w:val="ListParagraph"/>
        <w:numPr>
          <w:ilvl w:val="2"/>
          <w:numId w:val="6"/>
        </w:numPr>
        <w:tabs>
          <w:tab w:pos="3075" w:val="left" w:leader="none"/>
          <w:tab w:pos="3077" w:val="left" w:leader="none"/>
        </w:tabs>
        <w:spacing w:line="240" w:lineRule="auto" w:before="0" w:after="0"/>
        <w:ind w:left="3076" w:right="0" w:hanging="420"/>
        <w:jc w:val="left"/>
        <w:rPr>
          <w:sz w:val="20"/>
        </w:rPr>
      </w:pPr>
      <w:r>
        <w:rPr>
          <w:w w:val="95"/>
          <w:sz w:val="20"/>
        </w:rPr>
        <w:t>申请人的有效身份证件；</w:t>
      </w:r>
    </w:p>
    <w:p>
      <w:pPr>
        <w:pStyle w:val="BodyText"/>
        <w:spacing w:before="10"/>
        <w:rPr>
          <w:sz w:val="21"/>
        </w:rPr>
      </w:pPr>
    </w:p>
    <w:p>
      <w:pPr>
        <w:pStyle w:val="ListParagraph"/>
        <w:numPr>
          <w:ilvl w:val="2"/>
          <w:numId w:val="6"/>
        </w:numPr>
        <w:tabs>
          <w:tab w:pos="3077" w:val="left" w:leader="none"/>
        </w:tabs>
        <w:spacing w:line="357" w:lineRule="auto" w:before="0" w:after="0"/>
        <w:ind w:left="3076" w:right="250" w:hanging="420"/>
        <w:jc w:val="both"/>
        <w:rPr>
          <w:sz w:val="20"/>
        </w:rPr>
      </w:pPr>
      <w:r>
        <w:rPr>
          <w:sz w:val="20"/>
        </w:rPr>
        <w:t>我们指定或认可的医院出具的附有病理显微镜检查、血液检验及其他科学方法检验报告的疾病诊断证明书（以上证明皆需原件或加盖医院公章的复印件）， </w:t>
      </w:r>
      <w:r>
        <w:rPr>
          <w:w w:val="95"/>
          <w:sz w:val="20"/>
        </w:rPr>
        <w:t>我们保留对被保险人的病情做进一步会诊的权利；</w:t>
      </w:r>
    </w:p>
    <w:p>
      <w:pPr>
        <w:pStyle w:val="BodyText"/>
        <w:spacing w:before="1"/>
        <w:rPr>
          <w:sz w:val="14"/>
        </w:rPr>
      </w:pPr>
    </w:p>
    <w:p>
      <w:pPr>
        <w:pStyle w:val="ListParagraph"/>
        <w:numPr>
          <w:ilvl w:val="2"/>
          <w:numId w:val="6"/>
        </w:numPr>
        <w:tabs>
          <w:tab w:pos="3075" w:val="left" w:leader="none"/>
          <w:tab w:pos="3077" w:val="left" w:leader="none"/>
        </w:tabs>
        <w:spacing w:line="501" w:lineRule="auto" w:before="0" w:after="0"/>
        <w:ind w:left="2236" w:right="504" w:firstLine="420"/>
        <w:jc w:val="left"/>
        <w:rPr>
          <w:sz w:val="20"/>
        </w:rPr>
      </w:pPr>
      <w:r>
        <w:rPr>
          <w:w w:val="95"/>
          <w:sz w:val="20"/>
        </w:rPr>
        <w:t>申请人所能提供的与确认保险事故的性质、原因等有关的其他证明和资料。  </w:t>
      </w:r>
      <w:r>
        <w:rPr>
          <w:sz w:val="20"/>
        </w:rPr>
        <w:t>若申请人为代理人，还需提供由受益人出具的授权委托书、代理人本人身份证明； 保险金作为被保险人遗产时，申请人必须提供可证明其享有合法继承权的相关文件。</w:t>
      </w:r>
      <w:r>
        <w:rPr>
          <w:w w:val="95"/>
          <w:sz w:val="20"/>
        </w:rPr>
        <w:t>以上证明和资料不完整的，我们将及时一次性通知申请人补充提供有关证明和资料。</w:t>
      </w:r>
    </w:p>
    <w:p>
      <w:pPr>
        <w:spacing w:after="0" w:line="501" w:lineRule="auto"/>
        <w:jc w:val="left"/>
        <w:rPr>
          <w:sz w:val="20"/>
        </w:rPr>
        <w:sectPr>
          <w:type w:val="continuous"/>
          <w:pgSz w:w="11900" w:h="16840"/>
          <w:pgMar w:top="660" w:bottom="1020" w:left="920" w:right="800"/>
        </w:sectPr>
      </w:pPr>
    </w:p>
    <w:p>
      <w:pPr>
        <w:pStyle w:val="ListParagraph"/>
        <w:numPr>
          <w:ilvl w:val="1"/>
          <w:numId w:val="6"/>
        </w:numPr>
        <w:tabs>
          <w:tab w:pos="775" w:val="left" w:leader="none"/>
          <w:tab w:pos="776" w:val="left" w:leader="none"/>
          <w:tab w:pos="2135" w:val="left" w:leader="none"/>
        </w:tabs>
        <w:spacing w:line="308" w:lineRule="exact" w:before="0" w:after="0"/>
        <w:ind w:left="775" w:right="0" w:hanging="663"/>
        <w:jc w:val="left"/>
        <w:rPr>
          <w:sz w:val="20"/>
        </w:rPr>
      </w:pPr>
      <w:r>
        <w:rPr>
          <w:rFonts w:ascii="微软雅黑" w:eastAsia="微软雅黑" w:hint="eastAsia"/>
          <w:b/>
          <w:sz w:val="20"/>
        </w:rPr>
        <w:t>保险金给付</w:t>
        <w:tab/>
      </w:r>
      <w:r>
        <w:rPr>
          <w:w w:val="95"/>
          <w:sz w:val="20"/>
        </w:rPr>
        <w:t>我们在收到保险金给付申请书及合同约定的证明和资料后，将在五个工作日内作出核定；</w:t>
      </w:r>
    </w:p>
    <w:p>
      <w:pPr>
        <w:pStyle w:val="BodyText"/>
        <w:spacing w:before="105"/>
        <w:ind w:left="2135"/>
      </w:pPr>
      <w:r>
        <w:rPr>
          <w:w w:val="95"/>
        </w:rPr>
        <w:t>情形复杂的，在三十日内作出核定。</w:t>
      </w:r>
    </w:p>
    <w:p>
      <w:pPr>
        <w:pStyle w:val="BodyText"/>
        <w:spacing w:before="8"/>
        <w:rPr>
          <w:sz w:val="21"/>
        </w:rPr>
      </w:pPr>
    </w:p>
    <w:p>
      <w:pPr>
        <w:pStyle w:val="BodyText"/>
        <w:spacing w:line="357" w:lineRule="auto"/>
        <w:ind w:left="2135" w:right="181"/>
        <w:jc w:val="both"/>
      </w:pPr>
      <w:r>
        <w:rPr>
          <w:spacing w:val="-9"/>
          <w:w w:val="95"/>
        </w:rPr>
        <w:t>对属于保险责任的，我们在与受益人或被保险人的继承人达成给付保险金的协议后十日内   </w:t>
      </w:r>
      <w:r>
        <w:rPr>
          <w:spacing w:val="-12"/>
          <w:w w:val="95"/>
        </w:rPr>
        <w:t>履行给付保险金义务；我们未及时履行前款规定的义务的，除支付保险金外，还应当赔偿   受益人或被保险人的继承人因此受到的损失。</w:t>
      </w:r>
    </w:p>
    <w:p>
      <w:pPr>
        <w:pStyle w:val="BodyText"/>
        <w:spacing w:before="4"/>
        <w:rPr>
          <w:sz w:val="14"/>
        </w:rPr>
      </w:pPr>
    </w:p>
    <w:p>
      <w:pPr>
        <w:pStyle w:val="BodyText"/>
        <w:spacing w:line="357" w:lineRule="auto"/>
        <w:ind w:left="2136" w:right="181"/>
        <w:jc w:val="both"/>
      </w:pPr>
      <w:r>
        <w:rPr>
          <w:spacing w:val="-8"/>
          <w:w w:val="95"/>
        </w:rPr>
        <w:t>对不属于保险责任的，我们自作出核定之日起三个工作日内向受益人或被保险人的继承人   发出拒绝给付保险金通知书并说明理由。</w:t>
      </w:r>
    </w:p>
    <w:p>
      <w:pPr>
        <w:pStyle w:val="BodyText"/>
        <w:spacing w:before="4"/>
        <w:rPr>
          <w:sz w:val="14"/>
        </w:rPr>
      </w:pPr>
    </w:p>
    <w:p>
      <w:pPr>
        <w:pStyle w:val="BodyText"/>
        <w:spacing w:line="357" w:lineRule="auto"/>
        <w:ind w:left="2135" w:right="181"/>
        <w:jc w:val="both"/>
      </w:pPr>
      <w:r>
        <w:rPr>
          <w:spacing w:val="-3"/>
          <w:w w:val="95"/>
        </w:rPr>
        <w:t>我们在收到保险金给付申请书及有关证明和资料之日起六十日内，对给付保险金的数额不   </w:t>
      </w:r>
      <w:r>
        <w:rPr>
          <w:spacing w:val="-9"/>
          <w:w w:val="95"/>
        </w:rPr>
        <w:t>能确定的，根据已有证明和资料可以确定的数额先予支付；我们最终确定给付保险金的数   额后，将支付相应的差额。</w:t>
      </w:r>
    </w:p>
    <w:p>
      <w:pPr>
        <w:pStyle w:val="ListParagraph"/>
        <w:numPr>
          <w:ilvl w:val="1"/>
          <w:numId w:val="6"/>
        </w:numPr>
        <w:tabs>
          <w:tab w:pos="775" w:val="left" w:leader="none"/>
          <w:tab w:pos="776" w:val="left" w:leader="none"/>
          <w:tab w:pos="2135" w:val="left" w:leader="none"/>
        </w:tabs>
        <w:spacing w:line="312" w:lineRule="auto" w:before="125" w:after="0"/>
        <w:ind w:left="2135" w:right="181" w:hanging="2023"/>
        <w:jc w:val="left"/>
        <w:rPr>
          <w:sz w:val="20"/>
        </w:rPr>
      </w:pPr>
      <w:r>
        <w:rPr>
          <w:rFonts w:ascii="微软雅黑" w:eastAsia="微软雅黑" w:hint="eastAsia"/>
          <w:b/>
          <w:sz w:val="20"/>
        </w:rPr>
        <w:t>诉讼时效</w:t>
        <w:tab/>
      </w:r>
      <w:r>
        <w:rPr>
          <w:w w:val="95"/>
          <w:sz w:val="20"/>
        </w:rPr>
        <w:t>受益人向我们请求给付重大疾病保险金以及轻症重疾保险金的诉讼时效期间为两年</w:t>
      </w:r>
      <w:r>
        <w:rPr>
          <w:spacing w:val="-80"/>
          <w:w w:val="95"/>
          <w:sz w:val="20"/>
        </w:rPr>
        <w:t>，</w:t>
      </w:r>
      <w:r>
        <w:rPr>
          <w:w w:val="95"/>
          <w:sz w:val="20"/>
        </w:rPr>
        <w:t>自其    知道或者应当知道保险事故发生之日起计算。</w:t>
      </w:r>
    </w:p>
    <w:p>
      <w:pPr>
        <w:spacing w:after="0" w:line="312" w:lineRule="auto"/>
        <w:jc w:val="left"/>
        <w:rPr>
          <w:sz w:val="20"/>
        </w:rPr>
        <w:sectPr>
          <w:pgSz w:w="11900" w:h="16840"/>
          <w:pgMar w:header="0" w:footer="834" w:top="1300" w:bottom="1100" w:left="1020" w:right="840"/>
        </w:sectPr>
      </w:pPr>
    </w:p>
    <w:p>
      <w:pPr>
        <w:pStyle w:val="Heading1"/>
      </w:pPr>
      <w:r>
        <w:rPr/>
        <w:pict>
          <v:line style="position:absolute;mso-position-horizontal-relative:page;mso-position-vertical-relative:paragraph;z-index:2200;mso-wrap-distance-left:0;mso-wrap-distance-right:0" from="55.199997pt,19.559618pt" to="539.519986pt,19.559618pt" stroked="true" strokeweight=".48pt" strokecolor="#000000">
            <v:stroke dashstyle="solid"/>
            <w10:wrap type="topAndBottom"/>
          </v:line>
        </w:pict>
      </w:r>
      <w:r>
        <w:rPr/>
        <w:t>附录一 本合同承保的重大疾病列表</w:t>
      </w:r>
    </w:p>
    <w:p>
      <w:pPr>
        <w:pStyle w:val="BodyText"/>
        <w:spacing w:before="12"/>
        <w:rPr>
          <w:rFonts w:ascii="微软雅黑"/>
          <w:b/>
          <w:sz w:val="4"/>
        </w:rPr>
      </w:pPr>
    </w:p>
    <w:p>
      <w:pPr>
        <w:pStyle w:val="BodyText"/>
        <w:spacing w:before="37"/>
        <w:ind w:left="132"/>
      </w:pPr>
      <w:r>
        <w:rPr>
          <w:spacing w:val="10"/>
        </w:rPr>
        <w:t>以下第</w:t>
      </w:r>
      <w:r>
        <w:rPr/>
        <w:t>1</w:t>
      </w:r>
      <w:r>
        <w:rPr>
          <w:spacing w:val="-23"/>
        </w:rPr>
        <w:t> 至</w:t>
      </w:r>
      <w:r>
        <w:rPr/>
        <w:t>24</w:t>
      </w:r>
      <w:r>
        <w:rPr>
          <w:spacing w:val="-15"/>
        </w:rPr>
        <w:t> 种重大疾病的名称及定义均出自中国保险行业协会颁布的《重大疾病保险的疾病定义使用规范》；</w:t>
      </w:r>
    </w:p>
    <w:p>
      <w:pPr>
        <w:pStyle w:val="BodyText"/>
        <w:spacing w:before="49"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307"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3167" w:hRule="atLeast"/>
        </w:trPr>
        <w:tc>
          <w:tcPr>
            <w:tcW w:w="1860" w:type="dxa"/>
          </w:tcPr>
          <w:p>
            <w:pPr>
              <w:pStyle w:val="TableParagraph"/>
              <w:spacing w:before="11"/>
              <w:rPr>
                <w:sz w:val="20"/>
              </w:rPr>
            </w:pPr>
            <w:r>
              <w:rPr>
                <w:sz w:val="20"/>
              </w:rPr>
              <w:t>1. 恶性肿瘤</w:t>
            </w:r>
          </w:p>
        </w:tc>
        <w:tc>
          <w:tcPr>
            <w:tcW w:w="7932" w:type="dxa"/>
          </w:tcPr>
          <w:p>
            <w:pPr>
              <w:pStyle w:val="TableParagraph"/>
              <w:spacing w:line="285" w:lineRule="auto" w:before="11"/>
              <w:ind w:right="101"/>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原位癌；</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pacing w:val="0"/>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8"/>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numPr>
                <w:ilvl w:val="0"/>
                <w:numId w:val="7"/>
              </w:numPr>
              <w:tabs>
                <w:tab w:pos="528" w:val="left" w:leader="none"/>
              </w:tabs>
              <w:spacing w:line="312" w:lineRule="exact" w:before="0" w:after="0"/>
              <w:ind w:left="527" w:right="0" w:hanging="420"/>
              <w:jc w:val="both"/>
              <w:rPr>
                <w:rFonts w:ascii="微软雅黑" w:hAnsi="微软雅黑" w:eastAsia="微软雅黑" w:hint="eastAsia"/>
                <w:b/>
                <w:sz w:val="20"/>
              </w:rPr>
            </w:pPr>
            <w:r>
              <w:rPr>
                <w:rFonts w:ascii="微软雅黑" w:hAnsi="微软雅黑" w:eastAsia="微软雅黑" w:hint="eastAsia"/>
                <w:b/>
                <w:spacing w:val="-5"/>
                <w:sz w:val="20"/>
              </w:rPr>
              <w:t>相当于 </w:t>
            </w:r>
            <w:r>
              <w:rPr>
                <w:rFonts w:ascii="微软雅黑" w:hAnsi="微软雅黑" w:eastAsia="微软雅黑" w:hint="eastAsia"/>
                <w:b/>
                <w:sz w:val="20"/>
              </w:rPr>
              <w:t>Ann</w:t>
            </w:r>
            <w:r>
              <w:rPr>
                <w:rFonts w:ascii="微软雅黑" w:hAnsi="微软雅黑" w:eastAsia="微软雅黑" w:hint="eastAsia"/>
                <w:b/>
                <w:spacing w:val="21"/>
                <w:sz w:val="20"/>
              </w:rPr>
              <w:t> </w:t>
            </w:r>
            <w:r>
              <w:rPr>
                <w:rFonts w:ascii="微软雅黑" w:hAnsi="微软雅黑" w:eastAsia="微软雅黑" w:hint="eastAsia"/>
                <w:b/>
                <w:sz w:val="20"/>
              </w:rPr>
              <w:t>Arbor</w:t>
            </w:r>
            <w:r>
              <w:rPr>
                <w:rFonts w:ascii="微软雅黑" w:hAnsi="微软雅黑" w:eastAsia="微软雅黑" w:hint="eastAsia"/>
                <w:b/>
                <w:spacing w:val="-7"/>
                <w:sz w:val="20"/>
              </w:rPr>
              <w:t> 分期方案 </w:t>
            </w:r>
            <w:r>
              <w:rPr>
                <w:rFonts w:ascii="微软雅黑" w:hAnsi="微软雅黑" w:eastAsia="微软雅黑" w:hint="eastAsia"/>
                <w:b/>
                <w:sz w:val="20"/>
              </w:rPr>
              <w:t>Ι</w:t>
            </w:r>
            <w:r>
              <w:rPr>
                <w:rFonts w:ascii="微软雅黑" w:hAnsi="微软雅黑" w:eastAsia="微软雅黑" w:hint="eastAsia"/>
                <w:b/>
                <w:spacing w:val="-4"/>
                <w:sz w:val="20"/>
              </w:rPr>
              <w:t> 期程度的何杰金氏病；</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皮肤癌（不包括恶性黑色素瘤及已发生转移的皮肤癌）；</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w w:val="90"/>
                <w:position w:val="1"/>
                <w:sz w:val="20"/>
              </w:rPr>
              <w:t>TNM</w:t>
            </w:r>
            <w:r>
              <w:rPr>
                <w:rFonts w:ascii="微软雅黑" w:eastAsia="微软雅黑" w:hint="eastAsia"/>
                <w:b/>
                <w:spacing w:val="5"/>
                <w:w w:val="90"/>
                <w:position w:val="1"/>
                <w:sz w:val="20"/>
              </w:rPr>
              <w:t> 分期为 </w:t>
            </w:r>
            <w:r>
              <w:rPr>
                <w:rFonts w:ascii="微软雅黑" w:eastAsia="微软雅黑" w:hint="eastAsia"/>
                <w:b/>
                <w:w w:val="90"/>
                <w:position w:val="1"/>
                <w:sz w:val="20"/>
              </w:rPr>
              <w:t>T</w:t>
            </w:r>
            <w:r>
              <w:rPr>
                <w:rFonts w:ascii="微软雅黑" w:eastAsia="微软雅黑" w:hint="eastAsia"/>
                <w:b/>
                <w:w w:val="90"/>
                <w:sz w:val="10"/>
              </w:rPr>
              <w:t>1</w:t>
            </w:r>
            <w:r>
              <w:rPr>
                <w:rFonts w:ascii="微软雅黑" w:eastAsia="微软雅黑" w:hint="eastAsia"/>
                <w:b/>
                <w:w w:val="90"/>
                <w:position w:val="1"/>
                <w:sz w:val="20"/>
              </w:rPr>
              <w:t>N</w:t>
            </w:r>
            <w:r>
              <w:rPr>
                <w:rFonts w:ascii="微软雅黑" w:eastAsia="微软雅黑" w:hint="eastAsia"/>
                <w:b/>
                <w:w w:val="90"/>
                <w:sz w:val="10"/>
              </w:rPr>
              <w:t>0</w:t>
            </w:r>
            <w:r>
              <w:rPr>
                <w:rFonts w:ascii="微软雅黑" w:eastAsia="微软雅黑" w:hint="eastAsia"/>
                <w:b/>
                <w:w w:val="90"/>
                <w:position w:val="1"/>
                <w:sz w:val="20"/>
              </w:rPr>
              <w:t>M</w:t>
            </w:r>
            <w:r>
              <w:rPr>
                <w:rFonts w:ascii="微软雅黑" w:eastAsia="微软雅黑" w:hint="eastAsia"/>
                <w:b/>
                <w:w w:val="90"/>
                <w:sz w:val="10"/>
              </w:rPr>
              <w:t>0</w:t>
            </w:r>
            <w:r>
              <w:rPr>
                <w:rFonts w:ascii="微软雅黑" w:eastAsia="微软雅黑" w:hint="eastAsia"/>
                <w:b/>
                <w:spacing w:val="-3"/>
                <w:w w:val="90"/>
                <w:sz w:val="10"/>
              </w:rPr>
              <w:t> </w:t>
            </w:r>
            <w:r>
              <w:rPr>
                <w:rFonts w:ascii="微软雅黑" w:eastAsia="微软雅黑" w:hint="eastAsia"/>
                <w:b/>
                <w:w w:val="90"/>
                <w:position w:val="1"/>
                <w:sz w:val="20"/>
              </w:rPr>
              <w:t>期或更轻分期的前列腺癌；</w:t>
            </w:r>
          </w:p>
          <w:p>
            <w:pPr>
              <w:pStyle w:val="TableParagraph"/>
              <w:numPr>
                <w:ilvl w:val="0"/>
                <w:numId w:val="7"/>
              </w:numPr>
              <w:tabs>
                <w:tab w:pos="528" w:val="left" w:leader="none"/>
              </w:tabs>
              <w:spacing w:line="329" w:lineRule="exact" w:before="0" w:after="0"/>
              <w:ind w:left="527" w:right="0" w:hanging="420"/>
              <w:jc w:val="both"/>
              <w:rPr>
                <w:rFonts w:ascii="微软雅黑" w:eastAsia="微软雅黑" w:hint="eastAsia"/>
                <w:b/>
                <w:sz w:val="20"/>
              </w:rPr>
            </w:pPr>
            <w:r>
              <w:rPr>
                <w:rFonts w:ascii="微软雅黑" w:eastAsia="微软雅黑" w:hint="eastAsia"/>
                <w:b/>
                <w:sz w:val="20"/>
              </w:rPr>
              <w:t>感染艾滋病病毒或患艾滋病期间所患恶性肿瘤。</w:t>
            </w:r>
          </w:p>
        </w:tc>
      </w:tr>
      <w:tr>
        <w:trPr>
          <w:trHeight w:val="1917" w:hRule="atLeast"/>
        </w:trPr>
        <w:tc>
          <w:tcPr>
            <w:tcW w:w="1860" w:type="dxa"/>
          </w:tcPr>
          <w:p>
            <w:pPr>
              <w:pStyle w:val="TableParagraph"/>
              <w:spacing w:before="8"/>
              <w:rPr>
                <w:sz w:val="20"/>
              </w:rPr>
            </w:pPr>
            <w:r>
              <w:rPr>
                <w:sz w:val="20"/>
              </w:rPr>
              <w:t>2. 急性心肌梗塞</w:t>
            </w:r>
          </w:p>
        </w:tc>
        <w:tc>
          <w:tcPr>
            <w:tcW w:w="7932" w:type="dxa"/>
          </w:tcPr>
          <w:p>
            <w:pPr>
              <w:pStyle w:val="TableParagraph"/>
              <w:spacing w:line="285" w:lineRule="auto" w:before="8"/>
              <w:ind w:right="96"/>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8"/>
              </w:numPr>
              <w:tabs>
                <w:tab w:pos="528" w:val="left" w:leader="none"/>
              </w:tabs>
              <w:spacing w:line="240" w:lineRule="auto" w:before="11" w:after="0"/>
              <w:ind w:left="527" w:right="0" w:hanging="420"/>
              <w:jc w:val="left"/>
              <w:rPr>
                <w:sz w:val="20"/>
              </w:rPr>
            </w:pPr>
            <w:r>
              <w:rPr>
                <w:w w:val="95"/>
                <w:sz w:val="20"/>
              </w:rPr>
              <w:t>典型临床表现，例如急性胸痛等；</w:t>
            </w:r>
          </w:p>
          <w:p>
            <w:pPr>
              <w:pStyle w:val="TableParagraph"/>
              <w:numPr>
                <w:ilvl w:val="0"/>
                <w:numId w:val="8"/>
              </w:numPr>
              <w:tabs>
                <w:tab w:pos="528" w:val="left" w:leader="none"/>
              </w:tabs>
              <w:spacing w:line="240" w:lineRule="auto" w:before="49" w:after="0"/>
              <w:ind w:left="527" w:right="0" w:hanging="420"/>
              <w:jc w:val="left"/>
              <w:rPr>
                <w:sz w:val="20"/>
              </w:rPr>
            </w:pPr>
            <w:r>
              <w:rPr>
                <w:w w:val="95"/>
                <w:sz w:val="20"/>
              </w:rPr>
              <w:t>新近的心电图改变提示急性心肌梗塞；</w:t>
            </w:r>
          </w:p>
          <w:p>
            <w:pPr>
              <w:pStyle w:val="TableParagraph"/>
              <w:numPr>
                <w:ilvl w:val="0"/>
                <w:numId w:val="8"/>
              </w:numPr>
              <w:tabs>
                <w:tab w:pos="528" w:val="left" w:leader="none"/>
              </w:tabs>
              <w:spacing w:line="240" w:lineRule="auto" w:before="49" w:after="0"/>
              <w:ind w:left="527" w:right="0" w:hanging="420"/>
              <w:jc w:val="left"/>
              <w:rPr>
                <w:sz w:val="20"/>
              </w:rPr>
            </w:pPr>
            <w:r>
              <w:rPr>
                <w:w w:val="95"/>
                <w:sz w:val="20"/>
              </w:rPr>
              <w:t>心肌酶或肌钙蛋白有诊断意义的升高，或呈符合急性心肌梗塞的动态性变化；</w:t>
            </w:r>
          </w:p>
          <w:p>
            <w:pPr>
              <w:pStyle w:val="TableParagraph"/>
              <w:numPr>
                <w:ilvl w:val="0"/>
                <w:numId w:val="8"/>
              </w:numPr>
              <w:tabs>
                <w:tab w:pos="528" w:val="left" w:leader="none"/>
              </w:tabs>
              <w:spacing w:line="240" w:lineRule="auto" w:before="49" w:after="0"/>
              <w:ind w:left="527" w:right="0" w:hanging="42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917" w:hRule="atLeast"/>
        </w:trPr>
        <w:tc>
          <w:tcPr>
            <w:tcW w:w="1860" w:type="dxa"/>
          </w:tcPr>
          <w:p>
            <w:pPr>
              <w:pStyle w:val="TableParagraph"/>
              <w:spacing w:before="11"/>
              <w:rPr>
                <w:sz w:val="20"/>
              </w:rPr>
            </w:pPr>
            <w:r>
              <w:rPr>
                <w:sz w:val="20"/>
              </w:rPr>
              <w:t>3. 脑中风后遗症</w:t>
            </w:r>
          </w:p>
        </w:tc>
        <w:tc>
          <w:tcPr>
            <w:tcW w:w="7932" w:type="dxa"/>
          </w:tcPr>
          <w:p>
            <w:pPr>
              <w:pStyle w:val="TableParagraph"/>
              <w:spacing w:line="285" w:lineRule="auto" w:before="11"/>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9"/>
              </w:numPr>
              <w:tabs>
                <w:tab w:pos="528" w:val="left" w:leader="none"/>
              </w:tabs>
              <w:spacing w:line="282" w:lineRule="exact" w:before="0" w:after="0"/>
              <w:ind w:left="527" w:right="0" w:hanging="420"/>
              <w:jc w:val="left"/>
              <w:rPr>
                <w:sz w:val="20"/>
              </w:rPr>
            </w:pPr>
            <w:r>
              <w:rPr>
                <w:sz w:val="20"/>
              </w:rPr>
              <w:t>一肢或一肢以上</w:t>
            </w:r>
            <w:r>
              <w:rPr>
                <w:rFonts w:ascii="微软雅黑" w:eastAsia="微软雅黑" w:hint="eastAsia"/>
                <w:b/>
                <w:sz w:val="20"/>
              </w:rPr>
              <w:t>肢体机能完全丧失</w:t>
            </w:r>
            <w:r>
              <w:rPr>
                <w:rFonts w:ascii="微软雅黑" w:eastAsia="微软雅黑" w:hint="eastAsia"/>
                <w:b/>
                <w:position w:val="10"/>
                <w:sz w:val="10"/>
              </w:rPr>
              <w:t>[18]</w:t>
            </w:r>
            <w:r>
              <w:rPr>
                <w:sz w:val="20"/>
              </w:rPr>
              <w:t>；</w:t>
            </w:r>
          </w:p>
          <w:p>
            <w:pPr>
              <w:pStyle w:val="TableParagraph"/>
              <w:numPr>
                <w:ilvl w:val="0"/>
                <w:numId w:val="9"/>
              </w:numPr>
              <w:tabs>
                <w:tab w:pos="528" w:val="left" w:leader="none"/>
              </w:tabs>
              <w:spacing w:line="312" w:lineRule="exact" w:before="0" w:after="0"/>
              <w:ind w:left="527" w:right="0" w:hanging="420"/>
              <w:jc w:val="left"/>
              <w:rPr>
                <w:sz w:val="20"/>
              </w:rPr>
            </w:pPr>
            <w:r>
              <w:rPr>
                <w:rFonts w:ascii="微软雅黑" w:eastAsia="微软雅黑" w:hint="eastAsia"/>
                <w:b/>
                <w:sz w:val="20"/>
              </w:rPr>
              <w:t>语言能力或咀嚼吞咽能力完全丧失</w:t>
            </w:r>
            <w:r>
              <w:rPr>
                <w:rFonts w:ascii="微软雅黑" w:eastAsia="微软雅黑" w:hint="eastAsia"/>
                <w:b/>
                <w:position w:val="10"/>
                <w:sz w:val="10"/>
              </w:rPr>
              <w:t>[19]</w:t>
            </w:r>
            <w:r>
              <w:rPr>
                <w:sz w:val="20"/>
              </w:rPr>
              <w:t>；</w:t>
            </w:r>
          </w:p>
          <w:p>
            <w:pPr>
              <w:pStyle w:val="TableParagraph"/>
              <w:numPr>
                <w:ilvl w:val="0"/>
                <w:numId w:val="9"/>
              </w:numPr>
              <w:tabs>
                <w:tab w:pos="528" w:val="left" w:leader="none"/>
              </w:tabs>
              <w:spacing w:line="312" w:lineRule="exact" w:before="26" w:after="0"/>
              <w:ind w:left="527" w:right="98" w:hanging="420"/>
              <w:jc w:val="left"/>
              <w:rPr>
                <w:sz w:val="20"/>
              </w:rPr>
            </w:pPr>
            <w:r>
              <w:rPr>
                <w:sz w:val="20"/>
              </w:rPr>
              <w:t>自主生活能力完全丧失，无法独立完成</w:t>
            </w:r>
            <w:r>
              <w:rPr>
                <w:rFonts w:ascii="微软雅黑" w:eastAsia="微软雅黑" w:hint="eastAsia"/>
                <w:b/>
                <w:spacing w:val="0"/>
                <w:sz w:val="20"/>
              </w:rPr>
              <w:t>六项基本日常生活活动</w:t>
            </w:r>
            <w:r>
              <w:rPr>
                <w:rFonts w:ascii="微软雅黑" w:eastAsia="微软雅黑" w:hint="eastAsia"/>
                <w:b/>
                <w:position w:val="10"/>
                <w:sz w:val="10"/>
              </w:rPr>
              <w:t>[20]</w:t>
            </w:r>
            <w:r>
              <w:rPr>
                <w:sz w:val="20"/>
              </w:rPr>
              <w:t>中的三项或三项以</w:t>
            </w:r>
            <w:r>
              <w:rPr>
                <w:w w:val="95"/>
                <w:sz w:val="20"/>
              </w:rPr>
              <w:t>上。</w:t>
            </w:r>
          </w:p>
        </w:tc>
      </w:tr>
      <w:tr>
        <w:trPr>
          <w:trHeight w:val="1295" w:hRule="atLeast"/>
        </w:trPr>
        <w:tc>
          <w:tcPr>
            <w:tcW w:w="1860" w:type="dxa"/>
          </w:tcPr>
          <w:p>
            <w:pPr>
              <w:pStyle w:val="TableParagraph"/>
              <w:spacing w:line="285" w:lineRule="auto" w:before="11"/>
              <w:ind w:right="96"/>
              <w:jc w:val="both"/>
              <w:rPr>
                <w:sz w:val="20"/>
              </w:rPr>
            </w:pPr>
            <w:r>
              <w:rPr>
                <w:sz w:val="20"/>
              </w:rPr>
              <w:t>4. 重大器官移植术或造血干细胞移</w:t>
            </w:r>
            <w:r>
              <w:rPr>
                <w:w w:val="95"/>
                <w:sz w:val="20"/>
              </w:rPr>
              <w:t>植术</w:t>
            </w:r>
          </w:p>
        </w:tc>
        <w:tc>
          <w:tcPr>
            <w:tcW w:w="7932" w:type="dxa"/>
          </w:tcPr>
          <w:p>
            <w:pPr>
              <w:pStyle w:val="TableParagraph"/>
              <w:spacing w:line="285" w:lineRule="auto" w:before="11"/>
              <w:ind w:right="101" w:hanging="1"/>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1"/>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right="96"/>
              <w:jc w:val="both"/>
              <w:rPr>
                <w:sz w:val="20"/>
              </w:rPr>
            </w:pPr>
            <w:r>
              <w:rPr>
                <w:sz w:val="20"/>
              </w:rPr>
              <w:t>5. 冠状动脉搭桥术（或称冠状动脉</w:t>
            </w:r>
            <w:r>
              <w:rPr>
                <w:w w:val="95"/>
                <w:sz w:val="20"/>
              </w:rPr>
              <w:t>旁路移植术）</w:t>
            </w:r>
          </w:p>
        </w:tc>
        <w:tc>
          <w:tcPr>
            <w:tcW w:w="7932" w:type="dxa"/>
          </w:tcPr>
          <w:p>
            <w:pPr>
              <w:pStyle w:val="TableParagraph"/>
              <w:spacing w:line="278" w:lineRule="exact"/>
              <w:rPr>
                <w:rFonts w:ascii="微软雅黑" w:eastAsia="微软雅黑" w:hint="eastAsia"/>
                <w:b/>
                <w:sz w:val="20"/>
              </w:rPr>
            </w:pPr>
            <w:r>
              <w:rPr>
                <w:w w:val="95"/>
                <w:sz w:val="20"/>
              </w:rPr>
              <w:t>指为治疗严重的冠心病，实际实施了开胸进行的冠状动脉血管旁路移植的手术</w:t>
            </w:r>
            <w:r>
              <w:rPr>
                <w:rFonts w:ascii="微软雅黑" w:eastAsia="微软雅黑" w:hint="eastAsia"/>
                <w:b/>
                <w:w w:val="95"/>
                <w:sz w:val="20"/>
              </w:rPr>
              <w:t>。冠状动脉</w:t>
            </w:r>
          </w:p>
          <w:p>
            <w:pPr>
              <w:pStyle w:val="TableParagraph"/>
              <w:spacing w:line="216" w:lineRule="auto" w:before="18"/>
              <w:ind w:right="93"/>
              <w:rPr>
                <w:rFonts w:ascii="微软雅黑" w:eastAsia="微软雅黑" w:hint="eastAsia"/>
                <w:b/>
                <w:sz w:val="20"/>
              </w:rPr>
            </w:pPr>
            <w:r>
              <w:rPr>
                <w:rFonts w:ascii="微软雅黑" w:eastAsia="微软雅黑" w:hint="eastAsia"/>
                <w:b/>
                <w:sz w:val="20"/>
              </w:rPr>
              <w:t>支架植入术、心导管球囊扩张术、激光射频技术及其它非开胸的介入手术、腔镜手术不在保障范围内。</w:t>
            </w:r>
          </w:p>
        </w:tc>
      </w:tr>
      <w:tr>
        <w:trPr>
          <w:trHeight w:val="981" w:hRule="atLeast"/>
        </w:trPr>
        <w:tc>
          <w:tcPr>
            <w:tcW w:w="1860" w:type="dxa"/>
          </w:tcPr>
          <w:p>
            <w:pPr>
              <w:pStyle w:val="TableParagraph"/>
              <w:spacing w:line="285" w:lineRule="auto" w:before="11"/>
              <w:ind w:right="96"/>
              <w:jc w:val="both"/>
              <w:rPr>
                <w:sz w:val="20"/>
              </w:rPr>
            </w:pPr>
            <w:r>
              <w:rPr>
                <w:sz w:val="20"/>
              </w:rPr>
              <w:t>6</w:t>
            </w:r>
            <w:r>
              <w:rPr>
                <w:spacing w:val="-10"/>
                <w:sz w:val="20"/>
              </w:rPr>
              <w:t>. 终末期肾病</w:t>
            </w:r>
            <w:r>
              <w:rPr>
                <w:sz w:val="20"/>
              </w:rPr>
              <w:t>（或</w:t>
            </w:r>
            <w:r>
              <w:rPr>
                <w:spacing w:val="5"/>
                <w:sz w:val="20"/>
              </w:rPr>
              <w:t>称慢性肾功能衰竭</w:t>
            </w:r>
            <w:r>
              <w:rPr>
                <w:spacing w:val="5"/>
                <w:w w:val="95"/>
                <w:sz w:val="20"/>
              </w:rPr>
              <w:t>尿毒症期）</w:t>
            </w:r>
          </w:p>
        </w:tc>
        <w:tc>
          <w:tcPr>
            <w:tcW w:w="7932" w:type="dxa"/>
          </w:tcPr>
          <w:p>
            <w:pPr>
              <w:pStyle w:val="TableParagraph"/>
              <w:spacing w:line="285" w:lineRule="auto" w:before="11"/>
              <w:ind w:right="101" w:hanging="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1" w:hRule="atLeast"/>
        </w:trPr>
        <w:tc>
          <w:tcPr>
            <w:tcW w:w="1860" w:type="dxa"/>
          </w:tcPr>
          <w:p>
            <w:pPr>
              <w:pStyle w:val="TableParagraph"/>
              <w:spacing w:before="11"/>
              <w:rPr>
                <w:sz w:val="20"/>
              </w:rPr>
            </w:pPr>
            <w:r>
              <w:rPr>
                <w:sz w:val="20"/>
              </w:rPr>
              <w:t>7. 多个肢体缺失</w:t>
            </w:r>
          </w:p>
        </w:tc>
        <w:tc>
          <w:tcPr>
            <w:tcW w:w="7932" w:type="dxa"/>
          </w:tcPr>
          <w:p>
            <w:pPr>
              <w:pStyle w:val="TableParagraph"/>
              <w:spacing w:line="285" w:lineRule="auto" w:before="11"/>
              <w:ind w:right="101"/>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right="98"/>
              <w:rPr>
                <w:sz w:val="20"/>
              </w:rPr>
            </w:pPr>
            <w:r>
              <w:rPr>
                <w:sz w:val="20"/>
              </w:rPr>
              <w:t>8. 急性或亚急性</w:t>
            </w:r>
            <w:r>
              <w:rPr>
                <w:w w:val="95"/>
                <w:sz w:val="20"/>
              </w:rPr>
              <w:t>重症肝炎</w:t>
            </w:r>
          </w:p>
        </w:tc>
        <w:tc>
          <w:tcPr>
            <w:tcW w:w="7932" w:type="dxa"/>
          </w:tcPr>
          <w:p>
            <w:pPr>
              <w:pStyle w:val="TableParagraph"/>
              <w:spacing w:line="285" w:lineRule="auto" w:before="8"/>
              <w:ind w:right="101"/>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10"/>
              </w:numPr>
              <w:tabs>
                <w:tab w:pos="528" w:val="left" w:leader="none"/>
              </w:tabs>
              <w:spacing w:line="240" w:lineRule="auto" w:before="11" w:after="0"/>
              <w:ind w:left="527" w:right="0" w:hanging="420"/>
              <w:jc w:val="left"/>
              <w:rPr>
                <w:sz w:val="20"/>
              </w:rPr>
            </w:pPr>
            <w:r>
              <w:rPr>
                <w:w w:val="95"/>
                <w:sz w:val="20"/>
              </w:rPr>
              <w:t>重度黄疸或黄疸迅速加重；</w:t>
            </w:r>
          </w:p>
          <w:p>
            <w:pPr>
              <w:pStyle w:val="TableParagraph"/>
              <w:numPr>
                <w:ilvl w:val="0"/>
                <w:numId w:val="10"/>
              </w:numPr>
              <w:tabs>
                <w:tab w:pos="528" w:val="left" w:leader="none"/>
              </w:tabs>
              <w:spacing w:line="240" w:lineRule="auto" w:before="49" w:after="0"/>
              <w:ind w:left="527" w:right="0" w:hanging="420"/>
              <w:jc w:val="left"/>
              <w:rPr>
                <w:sz w:val="20"/>
              </w:rPr>
            </w:pPr>
            <w:r>
              <w:rPr>
                <w:w w:val="95"/>
                <w:sz w:val="20"/>
              </w:rPr>
              <w:t>肝性脑病；</w:t>
            </w:r>
          </w:p>
          <w:p>
            <w:pPr>
              <w:pStyle w:val="TableParagraph"/>
              <w:numPr>
                <w:ilvl w:val="0"/>
                <w:numId w:val="10"/>
              </w:numPr>
              <w:tabs>
                <w:tab w:pos="528" w:val="left" w:leader="none"/>
              </w:tabs>
              <w:spacing w:line="240" w:lineRule="auto" w:before="49" w:after="0"/>
              <w:ind w:left="527" w:right="0" w:hanging="420"/>
              <w:jc w:val="left"/>
              <w:rPr>
                <w:sz w:val="20"/>
              </w:rPr>
            </w:pPr>
            <w:r>
              <w:rPr>
                <w:sz w:val="20"/>
              </w:rPr>
              <w:t>B</w:t>
            </w:r>
            <w:r>
              <w:rPr>
                <w:spacing w:val="-3"/>
                <w:sz w:val="20"/>
              </w:rPr>
              <w:t> 超或其他影像学检查显示肝脏体积急速萎缩；</w:t>
            </w:r>
          </w:p>
          <w:p>
            <w:pPr>
              <w:pStyle w:val="TableParagraph"/>
              <w:numPr>
                <w:ilvl w:val="0"/>
                <w:numId w:val="10"/>
              </w:numPr>
              <w:tabs>
                <w:tab w:pos="528" w:val="left" w:leader="none"/>
              </w:tabs>
              <w:spacing w:line="240" w:lineRule="auto" w:before="49" w:after="0"/>
              <w:ind w:left="527" w:right="0" w:hanging="420"/>
              <w:jc w:val="left"/>
              <w:rPr>
                <w:sz w:val="20"/>
              </w:rPr>
            </w:pPr>
            <w:r>
              <w:rPr>
                <w:w w:val="95"/>
                <w:sz w:val="20"/>
              </w:rPr>
              <w:t>肝功能指标进行性恶化。</w:t>
            </w:r>
          </w:p>
        </w:tc>
      </w:tr>
    </w:tbl>
    <w:p>
      <w:pPr>
        <w:spacing w:after="0" w:line="240" w:lineRule="auto"/>
        <w:jc w:val="left"/>
        <w:rPr>
          <w:sz w:val="20"/>
        </w:rPr>
        <w:sectPr>
          <w:pgSz w:w="11900" w:h="16840"/>
          <w:pgMar w:header="0" w:footer="834" w:top="1080" w:bottom="110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917" w:hRule="atLeast"/>
        </w:trPr>
        <w:tc>
          <w:tcPr>
            <w:tcW w:w="1860" w:type="dxa"/>
          </w:tcPr>
          <w:p>
            <w:pPr>
              <w:pStyle w:val="TableParagraph"/>
              <w:spacing w:before="4"/>
              <w:rPr>
                <w:sz w:val="20"/>
              </w:rPr>
            </w:pPr>
            <w:r>
              <w:rPr>
                <w:sz w:val="20"/>
              </w:rPr>
              <w:t>9. 良性脑肿瘤</w:t>
            </w:r>
          </w:p>
        </w:tc>
        <w:tc>
          <w:tcPr>
            <w:tcW w:w="7932" w:type="dxa"/>
          </w:tcPr>
          <w:p>
            <w:pPr>
              <w:pStyle w:val="TableParagraph"/>
              <w:spacing w:line="285" w:lineRule="auto" w:before="4"/>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11"/>
              </w:numPr>
              <w:tabs>
                <w:tab w:pos="528" w:val="left" w:leader="none"/>
              </w:tabs>
              <w:spacing w:line="240" w:lineRule="auto" w:before="12" w:after="0"/>
              <w:ind w:left="527" w:right="0" w:hanging="420"/>
              <w:jc w:val="both"/>
              <w:rPr>
                <w:sz w:val="20"/>
              </w:rPr>
            </w:pPr>
            <w:r>
              <w:rPr>
                <w:w w:val="95"/>
                <w:sz w:val="20"/>
              </w:rPr>
              <w:t>实际实施了开颅进行的脑肿瘤完全切除或部分切除的手术；</w:t>
            </w:r>
          </w:p>
          <w:p>
            <w:pPr>
              <w:pStyle w:val="TableParagraph"/>
              <w:numPr>
                <w:ilvl w:val="0"/>
                <w:numId w:val="11"/>
              </w:numPr>
              <w:tabs>
                <w:tab w:pos="528" w:val="left" w:leader="none"/>
              </w:tabs>
              <w:spacing w:line="257" w:lineRule="exact" w:before="50" w:after="0"/>
              <w:ind w:left="527" w:right="0" w:hanging="420"/>
              <w:jc w:val="both"/>
              <w:rPr>
                <w:sz w:val="20"/>
              </w:rPr>
            </w:pPr>
            <w:r>
              <w:rPr>
                <w:w w:val="95"/>
                <w:sz w:val="20"/>
              </w:rPr>
              <w:t>实际实施了对脑肿瘤进行的放射治疗。</w:t>
            </w:r>
          </w:p>
          <w:p>
            <w:pPr>
              <w:pStyle w:val="TableParagraph"/>
              <w:spacing w:line="341" w:lineRule="exact"/>
              <w:jc w:val="both"/>
              <w:rPr>
                <w:rFonts w:ascii="微软雅黑" w:eastAsia="微软雅黑" w:hint="eastAsia"/>
                <w:b/>
                <w:sz w:val="20"/>
              </w:rPr>
            </w:pPr>
            <w:r>
              <w:rPr>
                <w:rFonts w:ascii="微软雅黑" w:eastAsia="微软雅黑" w:hint="eastAsia"/>
                <w:b/>
                <w:sz w:val="20"/>
              </w:rPr>
              <w:t>脑垂体瘤、脑囊肿、脑血管性疾病不在保障范围内。</w:t>
            </w:r>
          </w:p>
        </w:tc>
      </w:tr>
      <w:tr>
        <w:trPr>
          <w:trHeight w:val="1919" w:hRule="atLeast"/>
        </w:trPr>
        <w:tc>
          <w:tcPr>
            <w:tcW w:w="1860" w:type="dxa"/>
          </w:tcPr>
          <w:p>
            <w:pPr>
              <w:pStyle w:val="TableParagraph"/>
              <w:spacing w:line="285" w:lineRule="auto" w:before="4"/>
              <w:ind w:right="98"/>
              <w:rPr>
                <w:sz w:val="20"/>
              </w:rPr>
            </w:pPr>
            <w:r>
              <w:rPr>
                <w:sz w:val="20"/>
              </w:rPr>
              <w:t>10. 慢性肝功能衰</w:t>
            </w:r>
            <w:r>
              <w:rPr>
                <w:w w:val="95"/>
                <w:sz w:val="20"/>
              </w:rPr>
              <w:t>竭失代偿期</w:t>
            </w:r>
          </w:p>
        </w:tc>
        <w:tc>
          <w:tcPr>
            <w:tcW w:w="7932" w:type="dxa"/>
          </w:tcPr>
          <w:p>
            <w:pPr>
              <w:pStyle w:val="TableParagraph"/>
              <w:spacing w:before="4"/>
              <w:rPr>
                <w:sz w:val="20"/>
              </w:rPr>
            </w:pPr>
            <w:r>
              <w:rPr>
                <w:w w:val="95"/>
                <w:sz w:val="20"/>
              </w:rPr>
              <w:t>指因慢性肝脏疾病导致肝功能衰竭。须满足下列全部条件：</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持续性黄疸；</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腹水；</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肝性脑病；</w:t>
            </w:r>
          </w:p>
          <w:p>
            <w:pPr>
              <w:pStyle w:val="TableParagraph"/>
              <w:numPr>
                <w:ilvl w:val="0"/>
                <w:numId w:val="12"/>
              </w:numPr>
              <w:tabs>
                <w:tab w:pos="528" w:val="left" w:leader="none"/>
              </w:tabs>
              <w:spacing w:line="232" w:lineRule="auto" w:before="57" w:after="0"/>
              <w:ind w:left="107" w:right="2993" w:firstLine="0"/>
              <w:jc w:val="left"/>
              <w:rPr>
                <w:rFonts w:ascii="微软雅黑" w:eastAsia="微软雅黑" w:hint="eastAsia"/>
                <w:b/>
                <w:sz w:val="20"/>
              </w:rPr>
            </w:pPr>
            <w:r>
              <w:rPr>
                <w:w w:val="95"/>
                <w:sz w:val="20"/>
              </w:rPr>
              <w:t>充血性脾肿大伴脾功能亢进或食管胃底静脉曲张。 </w:t>
            </w:r>
            <w:r>
              <w:rPr>
                <w:rFonts w:ascii="微软雅黑" w:eastAsia="微软雅黑" w:hint="eastAsia"/>
                <w:b/>
                <w:sz w:val="20"/>
              </w:rPr>
              <w:t>因酗酒或药物滥用导致的肝功能衰竭不在保障范围内。</w:t>
            </w:r>
          </w:p>
        </w:tc>
      </w:tr>
      <w:tr>
        <w:trPr>
          <w:trHeight w:val="1605" w:hRule="atLeast"/>
        </w:trPr>
        <w:tc>
          <w:tcPr>
            <w:tcW w:w="1860" w:type="dxa"/>
          </w:tcPr>
          <w:p>
            <w:pPr>
              <w:pStyle w:val="TableParagraph"/>
              <w:spacing w:line="285" w:lineRule="auto" w:before="1"/>
              <w:ind w:right="98"/>
              <w:rPr>
                <w:sz w:val="20"/>
              </w:rPr>
            </w:pPr>
            <w:r>
              <w:rPr>
                <w:sz w:val="20"/>
              </w:rPr>
              <w:t>11. 脑炎后遗症或</w:t>
            </w:r>
            <w:r>
              <w:rPr>
                <w:w w:val="95"/>
                <w:sz w:val="20"/>
              </w:rPr>
              <w:t>脑膜炎后遗症</w:t>
            </w:r>
          </w:p>
        </w:tc>
        <w:tc>
          <w:tcPr>
            <w:tcW w:w="7932" w:type="dxa"/>
          </w:tcPr>
          <w:p>
            <w:pPr>
              <w:pStyle w:val="TableParagraph"/>
              <w:spacing w:line="285" w:lineRule="auto" w:before="1"/>
              <w:ind w:right="101" w:hanging="1"/>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13"/>
              </w:numPr>
              <w:tabs>
                <w:tab w:pos="528" w:val="left" w:leader="none"/>
              </w:tabs>
              <w:spacing w:line="240" w:lineRule="auto" w:before="12" w:after="0"/>
              <w:ind w:left="527" w:right="0" w:hanging="420"/>
              <w:jc w:val="left"/>
              <w:rPr>
                <w:sz w:val="20"/>
              </w:rPr>
            </w:pPr>
            <w:r>
              <w:rPr>
                <w:w w:val="95"/>
                <w:sz w:val="20"/>
              </w:rPr>
              <w:t>一肢或一肢以上肢体机能完全丧失；</w:t>
            </w:r>
          </w:p>
          <w:p>
            <w:pPr>
              <w:pStyle w:val="TableParagraph"/>
              <w:numPr>
                <w:ilvl w:val="0"/>
                <w:numId w:val="13"/>
              </w:numPr>
              <w:tabs>
                <w:tab w:pos="528" w:val="left" w:leader="none"/>
              </w:tabs>
              <w:spacing w:line="240" w:lineRule="auto" w:before="50" w:after="0"/>
              <w:ind w:left="527" w:right="0" w:hanging="420"/>
              <w:jc w:val="left"/>
              <w:rPr>
                <w:sz w:val="20"/>
              </w:rPr>
            </w:pPr>
            <w:r>
              <w:rPr>
                <w:w w:val="95"/>
                <w:sz w:val="20"/>
              </w:rPr>
              <w:t>语言能力或咀嚼吞咽能力完全丧失；</w:t>
            </w:r>
          </w:p>
          <w:p>
            <w:pPr>
              <w:pStyle w:val="TableParagraph"/>
              <w:numPr>
                <w:ilvl w:val="0"/>
                <w:numId w:val="13"/>
              </w:numPr>
              <w:tabs>
                <w:tab w:pos="528" w:val="left" w:leader="none"/>
              </w:tabs>
              <w:spacing w:line="240" w:lineRule="auto" w:before="50" w:after="0"/>
              <w:ind w:left="527" w:right="-15" w:hanging="420"/>
              <w:jc w:val="left"/>
              <w:rPr>
                <w:sz w:val="20"/>
              </w:rPr>
            </w:pPr>
            <w:r>
              <w:rPr>
                <w:spacing w:val="-1"/>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4"/>
              <w:rPr>
                <w:sz w:val="20"/>
              </w:rPr>
            </w:pPr>
            <w:r>
              <w:rPr>
                <w:w w:val="95"/>
                <w:sz w:val="20"/>
              </w:rPr>
              <w:t>12.双耳失聪</w:t>
            </w:r>
          </w:p>
        </w:tc>
        <w:tc>
          <w:tcPr>
            <w:tcW w:w="7932" w:type="dxa"/>
          </w:tcPr>
          <w:p>
            <w:pPr>
              <w:pStyle w:val="TableParagraph"/>
              <w:spacing w:line="290" w:lineRule="exact"/>
              <w:rPr>
                <w:sz w:val="20"/>
              </w:rPr>
            </w:pPr>
            <w:r>
              <w:rPr>
                <w:sz w:val="20"/>
              </w:rPr>
              <w:t>指因疾病或意外伤害导致双耳听力</w:t>
            </w:r>
            <w:r>
              <w:rPr>
                <w:rFonts w:ascii="微软雅黑" w:eastAsia="微软雅黑" w:hint="eastAsia"/>
                <w:b/>
                <w:sz w:val="20"/>
              </w:rPr>
              <w:t>永久不可逆</w:t>
            </w:r>
            <w:r>
              <w:rPr>
                <w:rFonts w:ascii="微软雅黑" w:eastAsia="微软雅黑" w:hint="eastAsia"/>
                <w:b/>
                <w:position w:val="10"/>
                <w:sz w:val="10"/>
              </w:rPr>
              <w:t>[21]</w:t>
            </w:r>
            <w:r>
              <w:rPr>
                <w:spacing w:val="-17"/>
                <w:sz w:val="20"/>
              </w:rPr>
              <w:t>性丧失，在 </w:t>
            </w:r>
            <w:r>
              <w:rPr>
                <w:sz w:val="20"/>
              </w:rPr>
              <w:t>500</w:t>
            </w:r>
            <w:r>
              <w:rPr>
                <w:spacing w:val="-13"/>
                <w:sz w:val="20"/>
              </w:rPr>
              <w:t> 赫兹、</w:t>
            </w:r>
            <w:r>
              <w:rPr>
                <w:sz w:val="20"/>
              </w:rPr>
              <w:t>1000</w:t>
            </w:r>
            <w:r>
              <w:rPr>
                <w:spacing w:val="-12"/>
                <w:sz w:val="20"/>
              </w:rPr>
              <w:t> 赫兹和 </w:t>
            </w:r>
            <w:r>
              <w:rPr>
                <w:sz w:val="20"/>
              </w:rPr>
              <w:t>2000</w:t>
            </w:r>
          </w:p>
          <w:p>
            <w:pPr>
              <w:pStyle w:val="TableParagraph"/>
              <w:spacing w:line="285" w:lineRule="auto" w:before="26"/>
              <w:ind w:right="101"/>
              <w:rPr>
                <w:sz w:val="20"/>
              </w:rPr>
            </w:pPr>
            <w:r>
              <w:rPr>
                <w:spacing w:val="-6"/>
                <w:sz w:val="20"/>
              </w:rPr>
              <w:t>赫兹语音频率下，平均听阈大于 </w:t>
            </w:r>
            <w:r>
              <w:rPr>
                <w:sz w:val="20"/>
              </w:rPr>
              <w:t>90</w:t>
            </w:r>
            <w:r>
              <w:rPr>
                <w:spacing w:val="-6"/>
                <w:sz w:val="20"/>
              </w:rPr>
              <w:t> 分贝，且经纯音听力测试、声导抗检测或听觉诱发电</w:t>
            </w:r>
            <w:r>
              <w:rPr>
                <w:spacing w:val="-6"/>
                <w:w w:val="95"/>
                <w:sz w:val="20"/>
              </w:rPr>
              <w:t>位检测等证实。</w:t>
            </w:r>
          </w:p>
        </w:tc>
      </w:tr>
      <w:tr>
        <w:trPr>
          <w:trHeight w:val="1607" w:hRule="atLeast"/>
        </w:trPr>
        <w:tc>
          <w:tcPr>
            <w:tcW w:w="1860" w:type="dxa"/>
          </w:tcPr>
          <w:p>
            <w:pPr>
              <w:pStyle w:val="TableParagraph"/>
              <w:spacing w:before="4"/>
              <w:rPr>
                <w:sz w:val="20"/>
              </w:rPr>
            </w:pPr>
            <w:r>
              <w:rPr>
                <w:w w:val="95"/>
                <w:sz w:val="20"/>
              </w:rPr>
              <w:t>13.双目失明</w:t>
            </w:r>
          </w:p>
        </w:tc>
        <w:tc>
          <w:tcPr>
            <w:tcW w:w="7932" w:type="dxa"/>
          </w:tcPr>
          <w:p>
            <w:pPr>
              <w:pStyle w:val="TableParagraph"/>
              <w:spacing w:line="285" w:lineRule="auto" w:before="4"/>
              <w:ind w:right="98" w:hanging="1"/>
              <w:rPr>
                <w:sz w:val="20"/>
              </w:rPr>
            </w:pPr>
            <w:r>
              <w:rPr>
                <w:spacing w:val="-4"/>
                <w:w w:val="95"/>
                <w:sz w:val="20"/>
              </w:rPr>
              <w:t>指因疾病或意外伤害导致双眼视力永久不可逆性丧失，双眼中较好眼须满足下列至少一项   条件：</w:t>
            </w:r>
          </w:p>
          <w:p>
            <w:pPr>
              <w:pStyle w:val="TableParagraph"/>
              <w:numPr>
                <w:ilvl w:val="0"/>
                <w:numId w:val="14"/>
              </w:numPr>
              <w:tabs>
                <w:tab w:pos="528" w:val="left" w:leader="none"/>
              </w:tabs>
              <w:spacing w:line="240" w:lineRule="auto" w:before="12" w:after="0"/>
              <w:ind w:left="527" w:right="0" w:hanging="420"/>
              <w:jc w:val="left"/>
              <w:rPr>
                <w:sz w:val="20"/>
              </w:rPr>
            </w:pPr>
            <w:r>
              <w:rPr>
                <w:w w:val="95"/>
                <w:sz w:val="20"/>
              </w:rPr>
              <w:t>眼球缺失或摘除；</w:t>
            </w:r>
          </w:p>
          <w:p>
            <w:pPr>
              <w:pStyle w:val="TableParagraph"/>
              <w:numPr>
                <w:ilvl w:val="0"/>
                <w:numId w:val="14"/>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14"/>
              </w:numPr>
              <w:tabs>
                <w:tab w:pos="528" w:val="left" w:leader="none"/>
              </w:tabs>
              <w:spacing w:line="240" w:lineRule="auto" w:before="50" w:after="0"/>
              <w:ind w:left="527" w:right="0" w:hanging="420"/>
              <w:jc w:val="left"/>
              <w:rPr>
                <w:sz w:val="20"/>
              </w:rPr>
            </w:pPr>
            <w:r>
              <w:rPr>
                <w:spacing w:val="-8"/>
                <w:sz w:val="20"/>
              </w:rPr>
              <w:t>视野半径小于 </w:t>
            </w:r>
            <w:r>
              <w:rPr>
                <w:sz w:val="20"/>
              </w:rPr>
              <w:t>5</w:t>
            </w:r>
            <w:r>
              <w:rPr>
                <w:spacing w:val="-1"/>
                <w:sz w:val="20"/>
              </w:rPr>
              <w:t> 度。</w:t>
            </w:r>
          </w:p>
        </w:tc>
      </w:tr>
      <w:tr>
        <w:trPr>
          <w:trHeight w:val="981" w:hRule="atLeast"/>
        </w:trPr>
        <w:tc>
          <w:tcPr>
            <w:tcW w:w="1860" w:type="dxa"/>
          </w:tcPr>
          <w:p>
            <w:pPr>
              <w:pStyle w:val="TableParagraph"/>
              <w:spacing w:before="1"/>
              <w:rPr>
                <w:sz w:val="20"/>
              </w:rPr>
            </w:pPr>
            <w:r>
              <w:rPr>
                <w:w w:val="95"/>
                <w:sz w:val="20"/>
              </w:rPr>
              <w:t>14.瘫痪</w:t>
            </w:r>
          </w:p>
        </w:tc>
        <w:tc>
          <w:tcPr>
            <w:tcW w:w="7932" w:type="dxa"/>
          </w:tcPr>
          <w:p>
            <w:pPr>
              <w:pStyle w:val="TableParagraph"/>
              <w:spacing w:line="285" w:lineRule="auto" w:before="1"/>
              <w:ind w:right="96"/>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6"/>
                <w:sz w:val="20"/>
              </w:rPr>
              <w:t> 天后或意外伤害发生 </w:t>
            </w:r>
            <w:r>
              <w:rPr>
                <w:sz w:val="20"/>
              </w:rPr>
              <w:t>180</w:t>
            </w:r>
            <w:r>
              <w:rPr>
                <w:spacing w:val="-2"/>
                <w:sz w:val="20"/>
              </w:rPr>
              <w:t> 天后，每肢三大关节中的两大关节仍然完</w:t>
            </w:r>
            <w:r>
              <w:rPr>
                <w:spacing w:val="-2"/>
                <w:w w:val="95"/>
                <w:sz w:val="20"/>
              </w:rPr>
              <w:t>全僵硬，或不能随意识活动。</w:t>
            </w:r>
          </w:p>
        </w:tc>
      </w:tr>
      <w:tr>
        <w:trPr>
          <w:trHeight w:val="357" w:hRule="atLeast"/>
        </w:trPr>
        <w:tc>
          <w:tcPr>
            <w:tcW w:w="1860" w:type="dxa"/>
          </w:tcPr>
          <w:p>
            <w:pPr>
              <w:pStyle w:val="TableParagraph"/>
              <w:spacing w:before="4"/>
              <w:rPr>
                <w:sz w:val="20"/>
              </w:rPr>
            </w:pPr>
            <w:r>
              <w:rPr>
                <w:w w:val="95"/>
                <w:sz w:val="20"/>
              </w:rPr>
              <w:t>15.心脏瓣膜手术</w:t>
            </w:r>
          </w:p>
        </w:tc>
        <w:tc>
          <w:tcPr>
            <w:tcW w:w="7932" w:type="dxa"/>
          </w:tcPr>
          <w:p>
            <w:pPr>
              <w:pStyle w:val="TableParagraph"/>
              <w:spacing w:before="4"/>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4"/>
              <w:ind w:right="98"/>
              <w:rPr>
                <w:sz w:val="20"/>
              </w:rPr>
            </w:pPr>
            <w:r>
              <w:rPr>
                <w:sz w:val="20"/>
              </w:rPr>
              <w:t>16. 严重阿尔茨海</w:t>
            </w:r>
            <w:r>
              <w:rPr>
                <w:w w:val="95"/>
                <w:sz w:val="20"/>
              </w:rPr>
              <w:t>默病</w:t>
            </w:r>
          </w:p>
        </w:tc>
        <w:tc>
          <w:tcPr>
            <w:tcW w:w="7932" w:type="dxa"/>
          </w:tcPr>
          <w:p>
            <w:pPr>
              <w:pStyle w:val="TableParagraph"/>
              <w:spacing w:line="285" w:lineRule="auto" w:before="4"/>
              <w:ind w:right="96"/>
              <w:rPr>
                <w:sz w:val="20"/>
              </w:rPr>
            </w:pPr>
            <w:r>
              <w:rPr>
                <w:spacing w:val="-8"/>
                <w:sz w:val="20"/>
              </w:rPr>
              <w:t>指因大脑进行性、不可逆性改变导致智能严重衰退或丧失，临床表现为明显的认知能力障</w:t>
            </w:r>
            <w:r>
              <w:rPr>
                <w:spacing w:val="-1"/>
                <w:sz w:val="20"/>
              </w:rPr>
              <w:t>碍、行为异常和社交能力减退，其日常生活必须持续受到他人监护。须由头颅断层扫描</w:t>
            </w:r>
          </w:p>
          <w:p>
            <w:pPr>
              <w:pStyle w:val="TableParagraph"/>
              <w:spacing w:line="285" w:lineRule="auto" w:before="12"/>
              <w:ind w:right="101"/>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line="298" w:lineRule="exact"/>
              <w:rPr>
                <w:rFonts w:ascii="微软雅黑" w:eastAsia="微软雅黑" w:hint="eastAsia"/>
                <w:b/>
                <w:sz w:val="20"/>
              </w:rPr>
            </w:pPr>
            <w:r>
              <w:rPr>
                <w:rFonts w:ascii="微软雅黑" w:eastAsia="微软雅黑" w:hint="eastAsia"/>
                <w:b/>
                <w:sz w:val="20"/>
              </w:rPr>
              <w:t>神经官能症和精神疾病不在保障范围内。</w:t>
            </w:r>
          </w:p>
        </w:tc>
      </w:tr>
      <w:tr>
        <w:trPr>
          <w:trHeight w:val="2229" w:hRule="atLeast"/>
        </w:trPr>
        <w:tc>
          <w:tcPr>
            <w:tcW w:w="1860" w:type="dxa"/>
          </w:tcPr>
          <w:p>
            <w:pPr>
              <w:pStyle w:val="TableParagraph"/>
              <w:spacing w:before="1"/>
              <w:rPr>
                <w:sz w:val="20"/>
              </w:rPr>
            </w:pPr>
            <w:r>
              <w:rPr>
                <w:w w:val="95"/>
                <w:sz w:val="20"/>
              </w:rPr>
              <w:t>17.严重脑损伤</w:t>
            </w:r>
          </w:p>
        </w:tc>
        <w:tc>
          <w:tcPr>
            <w:tcW w:w="7932" w:type="dxa"/>
          </w:tcPr>
          <w:p>
            <w:pPr>
              <w:pStyle w:val="TableParagraph"/>
              <w:spacing w:line="285" w:lineRule="auto" w:before="1"/>
              <w:ind w:right="101"/>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pacing w:val="-1"/>
                <w:sz w:val="20"/>
              </w:rPr>
              <w:t>证实。神经系统永久性的功能障碍，指脑损伤 </w:t>
            </w:r>
            <w:r>
              <w:rPr>
                <w:sz w:val="20"/>
              </w:rPr>
              <w:t>180 天后，仍遗留下列一种或一种以上障</w:t>
            </w:r>
            <w:r>
              <w:rPr>
                <w:w w:val="95"/>
                <w:sz w:val="20"/>
              </w:rPr>
              <w:t>碍：</w:t>
            </w:r>
          </w:p>
          <w:p>
            <w:pPr>
              <w:pStyle w:val="TableParagraph"/>
              <w:numPr>
                <w:ilvl w:val="0"/>
                <w:numId w:val="15"/>
              </w:numPr>
              <w:tabs>
                <w:tab w:pos="511" w:val="left" w:leader="none"/>
              </w:tabs>
              <w:spacing w:line="240" w:lineRule="auto" w:before="12" w:after="0"/>
              <w:ind w:left="510" w:right="0" w:hanging="403"/>
              <w:jc w:val="both"/>
              <w:rPr>
                <w:sz w:val="20"/>
              </w:rPr>
            </w:pPr>
            <w:r>
              <w:rPr>
                <w:w w:val="95"/>
                <w:sz w:val="20"/>
              </w:rPr>
              <w:t>一肢或一肢以上肢体机能完全丧失；</w:t>
            </w:r>
          </w:p>
          <w:p>
            <w:pPr>
              <w:pStyle w:val="TableParagraph"/>
              <w:numPr>
                <w:ilvl w:val="0"/>
                <w:numId w:val="15"/>
              </w:numPr>
              <w:tabs>
                <w:tab w:pos="511" w:val="left" w:leader="none"/>
              </w:tabs>
              <w:spacing w:line="240" w:lineRule="auto" w:before="50" w:after="0"/>
              <w:ind w:left="510" w:right="0" w:hanging="403"/>
              <w:jc w:val="both"/>
              <w:rPr>
                <w:sz w:val="20"/>
              </w:rPr>
            </w:pPr>
            <w:r>
              <w:rPr>
                <w:w w:val="95"/>
                <w:sz w:val="20"/>
              </w:rPr>
              <w:t>语言能力或咀嚼吞咽能力完全丧失；</w:t>
            </w:r>
          </w:p>
          <w:p>
            <w:pPr>
              <w:pStyle w:val="TableParagraph"/>
              <w:numPr>
                <w:ilvl w:val="0"/>
                <w:numId w:val="15"/>
              </w:numPr>
              <w:tabs>
                <w:tab w:pos="511" w:val="left" w:leader="none"/>
              </w:tabs>
              <w:spacing w:line="240" w:lineRule="auto" w:before="50" w:after="0"/>
              <w:ind w:left="510"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3"/>
              <w:rPr>
                <w:sz w:val="20"/>
              </w:rPr>
            </w:pPr>
            <w:r>
              <w:rPr>
                <w:w w:val="95"/>
                <w:sz w:val="20"/>
              </w:rPr>
              <w:t>18.严重帕金森病</w:t>
            </w:r>
          </w:p>
        </w:tc>
        <w:tc>
          <w:tcPr>
            <w:tcW w:w="7932" w:type="dxa"/>
          </w:tcPr>
          <w:p>
            <w:pPr>
              <w:pStyle w:val="TableParagraph"/>
              <w:spacing w:line="285" w:lineRule="auto" w:before="3"/>
              <w:ind w:right="101"/>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16"/>
              </w:numPr>
              <w:tabs>
                <w:tab w:pos="511" w:val="left" w:leader="none"/>
              </w:tabs>
              <w:spacing w:line="240" w:lineRule="auto" w:before="4" w:after="0"/>
              <w:ind w:left="107" w:right="0" w:firstLine="0"/>
              <w:jc w:val="left"/>
              <w:rPr>
                <w:sz w:val="20"/>
              </w:rPr>
            </w:pPr>
            <w:r>
              <w:rPr>
                <w:w w:val="95"/>
                <w:sz w:val="20"/>
              </w:rPr>
              <w:t>药物治疗无法控制病情；</w:t>
            </w:r>
          </w:p>
          <w:p>
            <w:pPr>
              <w:pStyle w:val="TableParagraph"/>
              <w:numPr>
                <w:ilvl w:val="0"/>
                <w:numId w:val="16"/>
              </w:numPr>
              <w:tabs>
                <w:tab w:pos="511" w:val="left" w:leader="none"/>
              </w:tabs>
              <w:spacing w:line="232" w:lineRule="auto" w:before="58" w:after="0"/>
              <w:ind w:left="107" w:right="14" w:firstLine="0"/>
              <w:jc w:val="left"/>
              <w:rPr>
                <w:rFonts w:ascii="微软雅黑" w:eastAsia="微软雅黑" w:hint="eastAsia"/>
                <w:b/>
                <w:sz w:val="20"/>
              </w:rPr>
            </w:pPr>
            <w:r>
              <w:rPr>
                <w:w w:val="95"/>
                <w:sz w:val="20"/>
              </w:rPr>
              <w:t>自主生活能力完全丧失，无法独立完成六项基本日常生活活动中的三项或三项以上。  </w:t>
            </w:r>
            <w:r>
              <w:rPr>
                <w:rFonts w:ascii="微软雅黑" w:eastAsia="微软雅黑" w:hint="eastAsia"/>
                <w:b/>
                <w:sz w:val="20"/>
              </w:rPr>
              <w:t>继发性帕金森综合征不在保障范围内。</w:t>
            </w:r>
          </w:p>
        </w:tc>
      </w:tr>
      <w:tr>
        <w:trPr>
          <w:trHeight w:val="671" w:hRule="atLeast"/>
        </w:trPr>
        <w:tc>
          <w:tcPr>
            <w:tcW w:w="1860" w:type="dxa"/>
          </w:tcPr>
          <w:p>
            <w:pPr>
              <w:pStyle w:val="TableParagraph"/>
              <w:spacing w:before="4"/>
              <w:rPr>
                <w:sz w:val="20"/>
              </w:rPr>
            </w:pPr>
            <w:r>
              <w:rPr>
                <w:w w:val="95"/>
                <w:sz w:val="20"/>
              </w:rPr>
              <w:t>19.严重Ⅲ度烧伤</w:t>
            </w:r>
          </w:p>
        </w:tc>
        <w:tc>
          <w:tcPr>
            <w:tcW w:w="7932" w:type="dxa"/>
          </w:tcPr>
          <w:p>
            <w:pPr>
              <w:pStyle w:val="TableParagraph"/>
              <w:spacing w:line="285" w:lineRule="auto" w:before="4"/>
              <w:ind w:right="98" w:hanging="1"/>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1"/>
              <w:ind w:right="98"/>
              <w:rPr>
                <w:sz w:val="20"/>
              </w:rPr>
            </w:pPr>
            <w:r>
              <w:rPr>
                <w:sz w:val="20"/>
              </w:rPr>
              <w:t>20. 严重原发性肺</w:t>
            </w:r>
            <w:r>
              <w:rPr>
                <w:w w:val="95"/>
                <w:sz w:val="20"/>
              </w:rPr>
              <w:t>动脉高压</w:t>
            </w:r>
          </w:p>
        </w:tc>
        <w:tc>
          <w:tcPr>
            <w:tcW w:w="7932" w:type="dxa"/>
          </w:tcPr>
          <w:p>
            <w:pPr>
              <w:pStyle w:val="TableParagraph"/>
              <w:spacing w:line="285" w:lineRule="auto" w:before="1"/>
              <w:ind w:right="98"/>
              <w:jc w:val="both"/>
              <w:rPr>
                <w:sz w:val="20"/>
              </w:rPr>
            </w:pPr>
            <w:r>
              <w:rPr>
                <w:spacing w:val="-5"/>
                <w:w w:val="95"/>
                <w:sz w:val="20"/>
              </w:rPr>
              <w:t>指不明原因的肺动脉压力持续性增高，进行性发展而导致的慢性疾病，已经造成永久不可   </w:t>
            </w:r>
            <w:r>
              <w:rPr>
                <w:spacing w:val="-8"/>
                <w:sz w:val="20"/>
              </w:rPr>
              <w:t>逆性的体力活动能力受限，达到美国纽约心脏病学会心功能状态分级 </w:t>
            </w:r>
            <w:r>
              <w:rPr>
                <w:sz w:val="20"/>
              </w:rPr>
              <w:t>IV</w:t>
            </w:r>
            <w:r>
              <w:rPr>
                <w:spacing w:val="-5"/>
                <w:sz w:val="20"/>
              </w:rPr>
              <w:t> 级，且静息状态</w:t>
            </w:r>
            <w:r>
              <w:rPr>
                <w:spacing w:val="-11"/>
                <w:sz w:val="20"/>
              </w:rPr>
              <w:t>下肺动脉平均压超过 </w:t>
            </w:r>
            <w:r>
              <w:rPr>
                <w:sz w:val="20"/>
              </w:rPr>
              <w:t>30mmHg。</w:t>
            </w:r>
          </w:p>
        </w:tc>
      </w:tr>
      <w:tr>
        <w:trPr>
          <w:trHeight w:val="981" w:hRule="atLeast"/>
        </w:trPr>
        <w:tc>
          <w:tcPr>
            <w:tcW w:w="1860" w:type="dxa"/>
          </w:tcPr>
          <w:p>
            <w:pPr>
              <w:pStyle w:val="TableParagraph"/>
              <w:spacing w:line="285" w:lineRule="auto" w:before="4"/>
              <w:ind w:right="98"/>
              <w:rPr>
                <w:sz w:val="20"/>
              </w:rPr>
            </w:pPr>
            <w:r>
              <w:rPr>
                <w:sz w:val="20"/>
              </w:rPr>
              <w:t>21. 严重运动神经</w:t>
            </w:r>
            <w:r>
              <w:rPr>
                <w:w w:val="95"/>
                <w:sz w:val="20"/>
              </w:rPr>
              <w:t>元病</w:t>
            </w:r>
          </w:p>
        </w:tc>
        <w:tc>
          <w:tcPr>
            <w:tcW w:w="7932" w:type="dxa"/>
          </w:tcPr>
          <w:p>
            <w:pPr>
              <w:pStyle w:val="TableParagraph"/>
              <w:spacing w:line="285" w:lineRule="auto" w:before="4"/>
              <w:ind w:right="101"/>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3" w:hRule="atLeast"/>
        </w:trPr>
        <w:tc>
          <w:tcPr>
            <w:tcW w:w="1860" w:type="dxa"/>
          </w:tcPr>
          <w:p>
            <w:pPr>
              <w:pStyle w:val="TableParagraph"/>
              <w:spacing w:before="4"/>
              <w:rPr>
                <w:sz w:val="20"/>
              </w:rPr>
            </w:pPr>
            <w:r>
              <w:rPr>
                <w:w w:val="95"/>
                <w:sz w:val="20"/>
              </w:rPr>
              <w:t>22.语言能力丧失</w:t>
            </w:r>
          </w:p>
        </w:tc>
        <w:tc>
          <w:tcPr>
            <w:tcW w:w="7932" w:type="dxa"/>
          </w:tcPr>
          <w:p>
            <w:pPr>
              <w:pStyle w:val="TableParagraph"/>
              <w:spacing w:line="285" w:lineRule="auto" w:before="4"/>
              <w:ind w:right="98" w:hanging="1"/>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line="298" w:lineRule="exact"/>
              <w:rPr>
                <w:rFonts w:ascii="微软雅黑" w:eastAsia="微软雅黑" w:hint="eastAsia"/>
                <w:b/>
                <w:sz w:val="20"/>
              </w:rPr>
            </w:pPr>
            <w:r>
              <w:rPr>
                <w:rFonts w:ascii="微软雅黑" w:eastAsia="微软雅黑" w:hint="eastAsia"/>
                <w:b/>
                <w:sz w:val="20"/>
              </w:rPr>
              <w:t>精神心理因素所致的语言能力丧失不在保障范围内。</w:t>
            </w:r>
          </w:p>
        </w:tc>
      </w:tr>
      <w:tr>
        <w:trPr>
          <w:trHeight w:val="2229" w:hRule="atLeast"/>
        </w:trPr>
        <w:tc>
          <w:tcPr>
            <w:tcW w:w="1860" w:type="dxa"/>
          </w:tcPr>
          <w:p>
            <w:pPr>
              <w:pStyle w:val="TableParagraph"/>
              <w:spacing w:line="285" w:lineRule="auto" w:before="1"/>
              <w:ind w:right="98"/>
              <w:rPr>
                <w:sz w:val="20"/>
              </w:rPr>
            </w:pPr>
            <w:r>
              <w:rPr>
                <w:sz w:val="20"/>
              </w:rPr>
              <w:t>23. 重型再生障碍</w:t>
            </w:r>
            <w:r>
              <w:rPr>
                <w:w w:val="95"/>
                <w:sz w:val="20"/>
              </w:rPr>
              <w:t>性贫血</w:t>
            </w:r>
          </w:p>
        </w:tc>
        <w:tc>
          <w:tcPr>
            <w:tcW w:w="7932" w:type="dxa"/>
          </w:tcPr>
          <w:p>
            <w:pPr>
              <w:pStyle w:val="TableParagraph"/>
              <w:spacing w:line="285" w:lineRule="auto" w:before="1"/>
              <w:ind w:right="101"/>
              <w:rPr>
                <w:sz w:val="20"/>
              </w:rPr>
            </w:pPr>
            <w:r>
              <w:rPr>
                <w:spacing w:val="-4"/>
                <w:w w:val="95"/>
                <w:sz w:val="20"/>
              </w:rPr>
              <w:t>指因骨髓造血功能慢性持续性衰竭导致的贫血、中性粒细胞减少及血小板减少。须满足下   列全部条件：</w:t>
            </w:r>
          </w:p>
          <w:p>
            <w:pPr>
              <w:pStyle w:val="TableParagraph"/>
              <w:numPr>
                <w:ilvl w:val="0"/>
                <w:numId w:val="17"/>
              </w:numPr>
              <w:tabs>
                <w:tab w:pos="511" w:val="left" w:leader="none"/>
              </w:tabs>
              <w:spacing w:line="240" w:lineRule="auto" w:before="12" w:after="0"/>
              <w:ind w:left="511" w:right="0" w:hanging="404"/>
              <w:jc w:val="left"/>
              <w:rPr>
                <w:sz w:val="20"/>
              </w:rPr>
            </w:pPr>
            <w:r>
              <w:rPr>
                <w:w w:val="95"/>
                <w:sz w:val="20"/>
              </w:rPr>
              <w:t>骨髓穿刺检查或骨髓活检结果支持诊断；</w:t>
            </w:r>
          </w:p>
          <w:p>
            <w:pPr>
              <w:pStyle w:val="TableParagraph"/>
              <w:numPr>
                <w:ilvl w:val="0"/>
                <w:numId w:val="17"/>
              </w:numPr>
              <w:tabs>
                <w:tab w:pos="511" w:val="left" w:leader="none"/>
              </w:tabs>
              <w:spacing w:line="240" w:lineRule="auto" w:before="50" w:after="0"/>
              <w:ind w:left="511" w:right="0" w:hanging="404"/>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4"/>
              <w:rPr>
                <w:sz w:val="20"/>
              </w:rPr>
            </w:pPr>
            <w:r>
              <w:rPr>
                <w:w w:val="95"/>
                <w:sz w:val="20"/>
              </w:rPr>
              <w:t>24.主动脉手术</w:t>
            </w:r>
          </w:p>
        </w:tc>
        <w:tc>
          <w:tcPr>
            <w:tcW w:w="7932" w:type="dxa"/>
          </w:tcPr>
          <w:p>
            <w:pPr>
              <w:pStyle w:val="TableParagraph"/>
              <w:spacing w:line="285" w:lineRule="auto" w:before="4"/>
              <w:ind w:right="101" w:hanging="1"/>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line="298" w:lineRule="exact"/>
              <w:rPr>
                <w:rFonts w:ascii="微软雅黑" w:eastAsia="微软雅黑" w:hint="eastAsia"/>
                <w:b/>
                <w:sz w:val="20"/>
              </w:rPr>
            </w:pPr>
            <w:r>
              <w:rPr>
                <w:rFonts w:ascii="微软雅黑" w:eastAsia="微软雅黑" w:hint="eastAsia"/>
                <w:b/>
                <w:sz w:val="20"/>
              </w:rPr>
              <w:t>动脉内血管成形术不在保障范围内。</w:t>
            </w:r>
          </w:p>
        </w:tc>
      </w:tr>
      <w:tr>
        <w:trPr>
          <w:trHeight w:val="2231" w:hRule="atLeast"/>
        </w:trPr>
        <w:tc>
          <w:tcPr>
            <w:tcW w:w="1860" w:type="dxa"/>
          </w:tcPr>
          <w:p>
            <w:pPr>
              <w:pStyle w:val="TableParagraph"/>
              <w:spacing w:before="4"/>
              <w:rPr>
                <w:sz w:val="20"/>
              </w:rPr>
            </w:pPr>
            <w:r>
              <w:rPr>
                <w:w w:val="95"/>
                <w:sz w:val="20"/>
              </w:rPr>
              <w:t>25.原发性心肌病</w:t>
            </w:r>
          </w:p>
        </w:tc>
        <w:tc>
          <w:tcPr>
            <w:tcW w:w="7932" w:type="dxa"/>
          </w:tcPr>
          <w:p>
            <w:pPr>
              <w:pStyle w:val="TableParagraph"/>
              <w:spacing w:line="285" w:lineRule="auto" w:before="4"/>
              <w:ind w:right="96"/>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10"/>
                <w:sz w:val="20"/>
              </w:rPr>
              <w:t> 级)，且有相关住院医疗记录显示 </w:t>
            </w:r>
            <w:r>
              <w:rPr>
                <w:sz w:val="20"/>
              </w:rPr>
              <w:t>IV</w:t>
            </w:r>
            <w:r>
              <w:rPr>
                <w:spacing w:val="-14"/>
                <w:sz w:val="20"/>
              </w:rPr>
              <w:t> 级心功</w:t>
            </w:r>
          </w:p>
          <w:p>
            <w:pPr>
              <w:pStyle w:val="TableParagraph"/>
              <w:spacing w:line="298" w:lineRule="exact"/>
              <w:rPr>
                <w:sz w:val="20"/>
              </w:rPr>
            </w:pPr>
            <w:r>
              <w:rPr>
                <w:w w:val="95"/>
                <w:sz w:val="20"/>
              </w:rPr>
              <w:t>能衰竭状态持续至少一百八十天。该疾病索赔时须要经心内科</w:t>
            </w:r>
            <w:r>
              <w:rPr>
                <w:rFonts w:ascii="微软雅黑" w:eastAsia="微软雅黑" w:hint="eastAsia"/>
                <w:b/>
                <w:w w:val="95"/>
                <w:sz w:val="20"/>
              </w:rPr>
              <w:t>专科医生</w:t>
            </w:r>
            <w:r>
              <w:rPr>
                <w:rFonts w:ascii="微软雅黑" w:eastAsia="微软雅黑" w:hint="eastAsia"/>
                <w:b/>
                <w:w w:val="95"/>
                <w:position w:val="10"/>
                <w:sz w:val="10"/>
              </w:rPr>
              <w:t>[22]</w:t>
            </w:r>
            <w:r>
              <w:rPr>
                <w:w w:val="95"/>
                <w:sz w:val="20"/>
              </w:rPr>
              <w:t>做出明确诊断。</w:t>
            </w:r>
          </w:p>
          <w:p>
            <w:pPr>
              <w:pStyle w:val="TableParagraph"/>
              <w:spacing w:line="285" w:lineRule="auto" w:before="26"/>
              <w:ind w:right="96"/>
              <w:jc w:val="both"/>
              <w:rPr>
                <w:sz w:val="20"/>
              </w:rPr>
            </w:pPr>
            <w:r>
              <w:rPr>
                <w:sz w:val="20"/>
              </w:rPr>
              <w:t>继发于全身性疾病或其它器官系统疾病以及由于酒精和药物滥用导致的心肌病不在保障</w:t>
            </w:r>
            <w:r>
              <w:rPr>
                <w:spacing w:val="-3"/>
                <w:sz w:val="20"/>
              </w:rPr>
              <w:t>范围内。美国纽约心脏协会分类标准心功能 </w:t>
            </w:r>
            <w:r>
              <w:rPr>
                <w:sz w:val="20"/>
              </w:rPr>
              <w:t>IV</w:t>
            </w:r>
            <w:r>
              <w:rPr>
                <w:spacing w:val="-7"/>
                <w:sz w:val="20"/>
              </w:rPr>
              <w:t> 级是指有医院的医疗记录显示病人不能进</w:t>
            </w:r>
            <w:r>
              <w:rPr>
                <w:spacing w:val="-7"/>
                <w:w w:val="95"/>
                <w:sz w:val="20"/>
              </w:rPr>
              <w:t>行任何活动，休息时仍有心悸、呼吸困难等心力衰竭表现。</w:t>
            </w:r>
          </w:p>
        </w:tc>
      </w:tr>
      <w:tr>
        <w:trPr>
          <w:trHeight w:val="1293" w:hRule="atLeast"/>
        </w:trPr>
        <w:tc>
          <w:tcPr>
            <w:tcW w:w="1860" w:type="dxa"/>
          </w:tcPr>
          <w:p>
            <w:pPr>
              <w:pStyle w:val="TableParagraph"/>
              <w:spacing w:before="1"/>
              <w:rPr>
                <w:sz w:val="20"/>
              </w:rPr>
            </w:pPr>
            <w:r>
              <w:rPr>
                <w:w w:val="95"/>
                <w:sz w:val="20"/>
              </w:rPr>
              <w:t>26.脊髓灰质炎</w:t>
            </w:r>
          </w:p>
        </w:tc>
        <w:tc>
          <w:tcPr>
            <w:tcW w:w="7932" w:type="dxa"/>
          </w:tcPr>
          <w:p>
            <w:pPr>
              <w:pStyle w:val="TableParagraph"/>
              <w:spacing w:line="285" w:lineRule="auto" w:before="1"/>
              <w:ind w:right="14"/>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before="4"/>
              <w:ind w:right="96"/>
              <w:jc w:val="both"/>
              <w:rPr>
                <w:sz w:val="20"/>
              </w:rPr>
            </w:pPr>
            <w:r>
              <w:rPr>
                <w:sz w:val="20"/>
              </w:rPr>
              <w:t>27. 经输血导致的人类免疫缺陷病毒</w:t>
            </w:r>
            <w:r>
              <w:rPr>
                <w:w w:val="95"/>
                <w:sz w:val="20"/>
              </w:rPr>
              <w:t>感染</w:t>
            </w:r>
          </w:p>
        </w:tc>
        <w:tc>
          <w:tcPr>
            <w:tcW w:w="7932" w:type="dxa"/>
          </w:tcPr>
          <w:p>
            <w:pPr>
              <w:pStyle w:val="TableParagraph"/>
              <w:spacing w:before="4"/>
              <w:rPr>
                <w:sz w:val="20"/>
              </w:rPr>
            </w:pPr>
            <w:r>
              <w:rPr>
                <w:w w:val="95"/>
                <w:sz w:val="20"/>
              </w:rPr>
              <w:t>被保险人感染上人类免疫缺陷病毒（HIV）并且符合下列所有条件：</w:t>
            </w:r>
          </w:p>
          <w:p>
            <w:pPr>
              <w:pStyle w:val="TableParagraph"/>
              <w:numPr>
                <w:ilvl w:val="0"/>
                <w:numId w:val="18"/>
              </w:numPr>
              <w:tabs>
                <w:tab w:pos="511" w:val="left" w:leader="none"/>
              </w:tabs>
              <w:spacing w:line="285" w:lineRule="auto" w:before="50" w:after="0"/>
              <w:ind w:left="107" w:right="101"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18"/>
              </w:numPr>
              <w:tabs>
                <w:tab w:pos="511" w:val="left" w:leader="none"/>
              </w:tabs>
              <w:spacing w:line="285" w:lineRule="auto" w:before="12" w:after="0"/>
              <w:ind w:left="107" w:right="98"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18"/>
              </w:numPr>
              <w:tabs>
                <w:tab w:pos="511" w:val="left" w:leader="none"/>
              </w:tabs>
              <w:spacing w:line="240" w:lineRule="auto" w:before="12" w:after="0"/>
              <w:ind w:left="107" w:right="0" w:firstLine="0"/>
              <w:jc w:val="left"/>
              <w:rPr>
                <w:sz w:val="20"/>
              </w:rPr>
            </w:pPr>
            <w:r>
              <w:rPr>
                <w:w w:val="95"/>
                <w:sz w:val="20"/>
              </w:rPr>
              <w:t>提供输血治疗的输血中心或医院必须拥有合法经营执照；</w:t>
            </w:r>
          </w:p>
          <w:p>
            <w:pPr>
              <w:pStyle w:val="TableParagraph"/>
              <w:numPr>
                <w:ilvl w:val="0"/>
                <w:numId w:val="18"/>
              </w:numPr>
              <w:tabs>
                <w:tab w:pos="511" w:val="left" w:leader="none"/>
              </w:tabs>
              <w:spacing w:line="240" w:lineRule="auto" w:before="50" w:after="0"/>
              <w:ind w:left="107" w:right="0" w:firstLine="0"/>
              <w:jc w:val="left"/>
              <w:rPr>
                <w:sz w:val="20"/>
              </w:rPr>
            </w:pPr>
            <w:r>
              <w:rPr>
                <w:w w:val="95"/>
                <w:sz w:val="20"/>
              </w:rPr>
              <w:t>受感染的被保险人不是血友病患者。</w:t>
            </w:r>
          </w:p>
          <w:p>
            <w:pPr>
              <w:pStyle w:val="TableParagraph"/>
              <w:spacing w:before="50"/>
              <w:rPr>
                <w:sz w:val="20"/>
              </w:rPr>
            </w:pPr>
            <w:r>
              <w:rPr>
                <w:spacing w:val="-4"/>
                <w:sz w:val="20"/>
              </w:rPr>
              <w:t>在任何治愈艾滋病</w:t>
            </w:r>
            <w:r>
              <w:rPr>
                <w:spacing w:val="-5"/>
                <w:sz w:val="20"/>
              </w:rPr>
              <w:t>（AIDS）</w:t>
            </w:r>
            <w:r>
              <w:rPr>
                <w:spacing w:val="-14"/>
                <w:sz w:val="20"/>
              </w:rPr>
              <w:t>或阻止 </w:t>
            </w:r>
            <w:r>
              <w:rPr>
                <w:sz w:val="20"/>
              </w:rPr>
              <w:t>HIV</w:t>
            </w:r>
            <w:r>
              <w:rPr>
                <w:spacing w:val="-7"/>
                <w:sz w:val="20"/>
              </w:rPr>
              <w:t> 病毒作用的疗法被发现以后，或能防止 </w:t>
            </w:r>
            <w:r>
              <w:rPr>
                <w:sz w:val="20"/>
              </w:rPr>
              <w:t>AIDS</w:t>
            </w:r>
            <w:r>
              <w:rPr>
                <w:spacing w:val="-2"/>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5"/>
                <w:w w:val="99"/>
                <w:sz w:val="20"/>
              </w:rPr>
              <w:t>任何因其他传播方式</w:t>
            </w:r>
            <w:r>
              <w:rPr>
                <w:rFonts w:ascii="微软雅黑" w:eastAsia="微软雅黑" w:hint="eastAsia"/>
                <w:b/>
                <w:spacing w:val="1"/>
                <w:w w:val="99"/>
                <w:sz w:val="20"/>
              </w:rPr>
              <w:t>（</w:t>
            </w:r>
            <w:r>
              <w:rPr>
                <w:rFonts w:ascii="微软雅黑" w:eastAsia="微软雅黑" w:hint="eastAsia"/>
                <w:b/>
                <w:spacing w:val="-6"/>
                <w:w w:val="99"/>
                <w:sz w:val="20"/>
              </w:rPr>
              <w:t>包括：性传播或静脉注射毒品</w:t>
            </w:r>
            <w:r>
              <w:rPr>
                <w:rFonts w:ascii="微软雅黑" w:eastAsia="微软雅黑" w:hint="eastAsia"/>
                <w:b/>
                <w:spacing w:val="-39"/>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4"/>
              <w:rPr>
                <w:sz w:val="20"/>
              </w:rPr>
            </w:pPr>
            <w:r>
              <w:rPr>
                <w:w w:val="95"/>
                <w:sz w:val="20"/>
              </w:rPr>
              <w:t>28.肌营养不良症</w:t>
            </w:r>
          </w:p>
        </w:tc>
        <w:tc>
          <w:tcPr>
            <w:tcW w:w="7932" w:type="dxa"/>
          </w:tcPr>
          <w:p>
            <w:pPr>
              <w:pStyle w:val="TableParagraph"/>
              <w:spacing w:line="285" w:lineRule="auto" w:before="4"/>
              <w:ind w:right="98"/>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19"/>
              </w:numPr>
              <w:tabs>
                <w:tab w:pos="511" w:val="left" w:leader="none"/>
              </w:tabs>
              <w:spacing w:line="240" w:lineRule="auto" w:before="12" w:after="0"/>
              <w:ind w:left="107" w:right="0" w:firstLine="0"/>
              <w:jc w:val="left"/>
              <w:rPr>
                <w:sz w:val="20"/>
              </w:rPr>
            </w:pPr>
            <w:r>
              <w:rPr>
                <w:w w:val="95"/>
                <w:sz w:val="20"/>
              </w:rPr>
              <w:t>肌电图显示典型肌营养不良症的阳性改变；</w:t>
            </w:r>
          </w:p>
          <w:p>
            <w:pPr>
              <w:pStyle w:val="TableParagraph"/>
              <w:numPr>
                <w:ilvl w:val="0"/>
                <w:numId w:val="19"/>
              </w:numPr>
              <w:tabs>
                <w:tab w:pos="511" w:val="left" w:leader="none"/>
              </w:tabs>
              <w:spacing w:line="240" w:lineRule="auto" w:before="50" w:after="0"/>
              <w:ind w:left="107" w:right="0" w:firstLine="0"/>
              <w:jc w:val="left"/>
              <w:rPr>
                <w:sz w:val="20"/>
              </w:rPr>
            </w:pPr>
            <w:r>
              <w:rPr>
                <w:w w:val="95"/>
                <w:sz w:val="20"/>
              </w:rPr>
              <w:t>肌肉活检的病理学诊断符合肌营养不良症的肌肉细胞变性、坏死等阳性改变；</w:t>
            </w:r>
          </w:p>
          <w:p>
            <w:pPr>
              <w:pStyle w:val="TableParagraph"/>
              <w:numPr>
                <w:ilvl w:val="0"/>
                <w:numId w:val="19"/>
              </w:numPr>
              <w:tabs>
                <w:tab w:pos="514" w:val="left" w:leader="none"/>
              </w:tabs>
              <w:spacing w:line="285" w:lineRule="auto" w:before="50" w:after="0"/>
              <w:ind w:left="107" w:right="98"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1"/>
              <w:rPr>
                <w:sz w:val="20"/>
              </w:rPr>
            </w:pPr>
            <w:r>
              <w:rPr>
                <w:w w:val="95"/>
                <w:sz w:val="20"/>
              </w:rPr>
              <w:t>29.多发性硬化症</w:t>
            </w:r>
          </w:p>
        </w:tc>
        <w:tc>
          <w:tcPr>
            <w:tcW w:w="7932" w:type="dxa"/>
          </w:tcPr>
          <w:p>
            <w:pPr>
              <w:pStyle w:val="TableParagraph"/>
              <w:spacing w:line="285" w:lineRule="auto" w:before="1"/>
              <w:ind w:right="98" w:hanging="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4"/>
              <w:ind w:right="98"/>
              <w:rPr>
                <w:sz w:val="20"/>
              </w:rPr>
            </w:pPr>
            <w:r>
              <w:rPr>
                <w:sz w:val="20"/>
              </w:rPr>
              <w:t>30. 系统性红斑狼疮</w:t>
            </w:r>
          </w:p>
        </w:tc>
        <w:tc>
          <w:tcPr>
            <w:tcW w:w="7932" w:type="dxa"/>
          </w:tcPr>
          <w:p>
            <w:pPr>
              <w:pStyle w:val="TableParagraph"/>
              <w:spacing w:line="285" w:lineRule="auto" w:before="4"/>
              <w:ind w:right="96"/>
              <w:jc w:val="both"/>
              <w:rPr>
                <w:sz w:val="20"/>
              </w:rPr>
            </w:pPr>
            <w:r>
              <w:rPr>
                <w:sz w:val="20"/>
              </w:rPr>
              <w:t>由于病理性自身抗体和免疫复合物的沉积破坏了血管和细胞而导致的一种自体免疫性疾</w:t>
            </w:r>
            <w:r>
              <w:rPr>
                <w:spacing w:val="-9"/>
                <w:sz w:val="20"/>
              </w:rPr>
              <w:t>病。由于系统性红斑狼疮会损害肾功能而导致狼疮肾炎，世界卫生组织根据肾脏活检结果</w:t>
            </w:r>
            <w:r>
              <w:rPr>
                <w:spacing w:val="-14"/>
                <w:sz w:val="20"/>
              </w:rPr>
              <w:t>将狼疮肾炎分成 </w:t>
            </w:r>
            <w:r>
              <w:rPr>
                <w:sz w:val="20"/>
              </w:rPr>
              <w:t>I</w:t>
            </w:r>
            <w:r>
              <w:rPr>
                <w:spacing w:val="-13"/>
                <w:sz w:val="20"/>
              </w:rPr>
              <w:t> 型到 </w:t>
            </w:r>
            <w:r>
              <w:rPr>
                <w:sz w:val="20"/>
              </w:rPr>
              <w:t>VI</w:t>
            </w:r>
            <w:r>
              <w:rPr>
                <w:spacing w:val="-2"/>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before="12"/>
              <w:rPr>
                <w:sz w:val="20"/>
              </w:rPr>
            </w:pPr>
            <w:r>
              <w:rPr>
                <w:sz w:val="20"/>
              </w:rPr>
              <w:t>WHO I 型： 正常肾小球；</w:t>
            </w:r>
          </w:p>
          <w:p>
            <w:pPr>
              <w:pStyle w:val="TableParagraph"/>
              <w:spacing w:before="50"/>
              <w:rPr>
                <w:sz w:val="20"/>
              </w:rPr>
            </w:pPr>
            <w:r>
              <w:rPr>
                <w:sz w:val="20"/>
              </w:rPr>
              <w:t>WHO II 型：单纯系膜增生型；</w:t>
            </w:r>
          </w:p>
          <w:p>
            <w:pPr>
              <w:pStyle w:val="TableParagraph"/>
              <w:spacing w:line="285" w:lineRule="auto" w:before="50"/>
              <w:ind w:right="359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line="257" w:lineRule="exact" w:before="50"/>
              <w:rPr>
                <w:sz w:val="20"/>
              </w:rPr>
            </w:pPr>
            <w:r>
              <w:rPr>
                <w:sz w:val="20"/>
              </w:rPr>
              <w:t>WHO VI 型：进行性硬化性肾小球肾炎。</w:t>
            </w:r>
          </w:p>
          <w:p>
            <w:pPr>
              <w:pStyle w:val="TableParagraph"/>
              <w:spacing w:line="216" w:lineRule="auto" w:before="29"/>
              <w:ind w:right="93"/>
              <w:rPr>
                <w:rFonts w:ascii="微软雅黑" w:eastAsia="微软雅黑" w:hint="eastAsia"/>
                <w:b/>
                <w:sz w:val="20"/>
              </w:rPr>
            </w:pPr>
            <w:r>
              <w:rPr>
                <w:rFonts w:ascii="微软雅黑" w:eastAsia="微软雅黑" w:hint="eastAsia"/>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4"/>
              <w:rPr>
                <w:sz w:val="20"/>
              </w:rPr>
            </w:pPr>
            <w:r>
              <w:rPr>
                <w:w w:val="95"/>
                <w:sz w:val="20"/>
              </w:rPr>
              <w:t>31.系统性硬化病</w:t>
            </w:r>
          </w:p>
        </w:tc>
        <w:tc>
          <w:tcPr>
            <w:tcW w:w="7932" w:type="dxa"/>
          </w:tcPr>
          <w:p>
            <w:pPr>
              <w:pStyle w:val="TableParagraph"/>
              <w:spacing w:line="285" w:lineRule="auto" w:before="4"/>
              <w:ind w:right="101"/>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20"/>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局限性硬皮病（包括带状硬皮病、硬斑病）；</w:t>
            </w:r>
          </w:p>
          <w:p>
            <w:pPr>
              <w:pStyle w:val="TableParagraph"/>
              <w:numPr>
                <w:ilvl w:val="0"/>
                <w:numId w:val="20"/>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嗜酸细胞性筋膜炎；</w:t>
            </w:r>
          </w:p>
          <w:p>
            <w:pPr>
              <w:pStyle w:val="TableParagraph"/>
              <w:numPr>
                <w:ilvl w:val="0"/>
                <w:numId w:val="20"/>
              </w:numPr>
              <w:tabs>
                <w:tab w:pos="511" w:val="left" w:leader="none"/>
              </w:tabs>
              <w:spacing w:line="329" w:lineRule="exact" w:before="0" w:after="0"/>
              <w:ind w:left="510" w:right="0" w:hanging="403"/>
              <w:jc w:val="both"/>
              <w:rPr>
                <w:rFonts w:ascii="微软雅黑" w:eastAsia="微软雅黑" w:hint="eastAsia"/>
                <w:b/>
                <w:sz w:val="20"/>
              </w:rPr>
            </w:pPr>
            <w:r>
              <w:rPr>
                <w:rFonts w:ascii="微软雅黑" w:eastAsia="微软雅黑" w:hint="eastAsia"/>
                <w:b/>
                <w:w w:val="90"/>
                <w:sz w:val="20"/>
              </w:rPr>
              <w:t>CREST</w:t>
            </w:r>
            <w:r>
              <w:rPr>
                <w:rFonts w:ascii="微软雅黑" w:eastAsia="微软雅黑" w:hint="eastAsia"/>
                <w:b/>
                <w:spacing w:val="0"/>
                <w:w w:val="90"/>
                <w:sz w:val="20"/>
              </w:rPr>
              <w:t> 综合征。</w:t>
            </w:r>
          </w:p>
        </w:tc>
      </w:tr>
      <w:tr>
        <w:trPr>
          <w:trHeight w:val="669" w:hRule="atLeast"/>
        </w:trPr>
        <w:tc>
          <w:tcPr>
            <w:tcW w:w="1860" w:type="dxa"/>
          </w:tcPr>
          <w:p>
            <w:pPr>
              <w:pStyle w:val="TableParagraph"/>
              <w:spacing w:before="1"/>
              <w:rPr>
                <w:sz w:val="20"/>
              </w:rPr>
            </w:pPr>
            <w:r>
              <w:rPr>
                <w:w w:val="95"/>
                <w:sz w:val="20"/>
              </w:rPr>
              <w:t>32.严重克隆病</w:t>
            </w:r>
          </w:p>
        </w:tc>
        <w:tc>
          <w:tcPr>
            <w:tcW w:w="7932" w:type="dxa"/>
          </w:tcPr>
          <w:p>
            <w:pPr>
              <w:pStyle w:val="TableParagraph"/>
              <w:spacing w:line="285" w:lineRule="auto" w:before="1"/>
              <w:ind w:right="101"/>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4"/>
              <w:ind w:right="98"/>
              <w:rPr>
                <w:sz w:val="20"/>
              </w:rPr>
            </w:pPr>
            <w:r>
              <w:rPr>
                <w:sz w:val="20"/>
              </w:rPr>
              <w:t>33. 严重溃疡性结</w:t>
            </w:r>
            <w:r>
              <w:rPr>
                <w:w w:val="95"/>
                <w:sz w:val="20"/>
              </w:rPr>
              <w:t>肠炎</w:t>
            </w:r>
          </w:p>
        </w:tc>
        <w:tc>
          <w:tcPr>
            <w:tcW w:w="7932" w:type="dxa"/>
          </w:tcPr>
          <w:p>
            <w:pPr>
              <w:pStyle w:val="TableParagraph"/>
              <w:spacing w:line="285" w:lineRule="auto" w:before="4"/>
              <w:ind w:right="101"/>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4"/>
              <w:ind w:right="98"/>
              <w:rPr>
                <w:sz w:val="20"/>
              </w:rPr>
            </w:pPr>
            <w:r>
              <w:rPr>
                <w:sz w:val="20"/>
              </w:rPr>
              <w:t>34. 急性坏死性胰</w:t>
            </w:r>
            <w:r>
              <w:rPr>
                <w:w w:val="95"/>
                <w:sz w:val="20"/>
              </w:rPr>
              <w:t>腺炎</w:t>
            </w:r>
          </w:p>
        </w:tc>
        <w:tc>
          <w:tcPr>
            <w:tcW w:w="7932" w:type="dxa"/>
          </w:tcPr>
          <w:p>
            <w:pPr>
              <w:pStyle w:val="TableParagraph"/>
              <w:spacing w:line="285" w:lineRule="auto" w:before="4"/>
              <w:ind w:right="101"/>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line="298" w:lineRule="exact"/>
              <w:rPr>
                <w:rFonts w:ascii="微软雅黑" w:eastAsia="微软雅黑" w:hint="eastAsia"/>
                <w:b/>
                <w:sz w:val="20"/>
              </w:rPr>
            </w:pPr>
            <w:r>
              <w:rPr>
                <w:rFonts w:ascii="微软雅黑" w:eastAsia="微软雅黑" w:hint="eastAsia"/>
                <w:b/>
                <w:sz w:val="20"/>
              </w:rPr>
              <w:t>因饮酒所致的急性出血坏死性胰腺炎或经腹腔镜手术进行的治疗不在保障范围内。</w:t>
            </w:r>
          </w:p>
        </w:tc>
      </w:tr>
      <w:tr>
        <w:trPr>
          <w:trHeight w:val="357" w:hRule="atLeast"/>
        </w:trPr>
        <w:tc>
          <w:tcPr>
            <w:tcW w:w="1860" w:type="dxa"/>
          </w:tcPr>
          <w:p>
            <w:pPr>
              <w:pStyle w:val="TableParagraph"/>
              <w:spacing w:before="1"/>
              <w:rPr>
                <w:sz w:val="20"/>
              </w:rPr>
            </w:pPr>
            <w:r>
              <w:rPr>
                <w:sz w:val="20"/>
              </w:rPr>
              <w:t>35. 慢性复发性胰</w:t>
            </w:r>
          </w:p>
        </w:tc>
        <w:tc>
          <w:tcPr>
            <w:tcW w:w="7932" w:type="dxa"/>
          </w:tcPr>
          <w:p>
            <w:pPr>
              <w:pStyle w:val="TableParagraph"/>
              <w:spacing w:before="1"/>
              <w:ind w:left="238" w:right="231"/>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footerReference w:type="default" r:id="rId8"/>
          <w:pgSz w:w="11900" w:h="16840"/>
          <w:pgMar w:footer="834" w:header="0" w:top="1140" w:bottom="1020" w:left="1000" w:right="880"/>
          <w:pgNumType w:start="1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669" w:hRule="atLeast"/>
        </w:trPr>
        <w:tc>
          <w:tcPr>
            <w:tcW w:w="1860" w:type="dxa"/>
          </w:tcPr>
          <w:p>
            <w:pPr>
              <w:pStyle w:val="TableParagraph"/>
              <w:spacing w:before="4"/>
              <w:rPr>
                <w:sz w:val="20"/>
              </w:rPr>
            </w:pPr>
            <w:r>
              <w:rPr>
                <w:w w:val="95"/>
                <w:sz w:val="20"/>
              </w:rPr>
              <w:t>腺炎</w:t>
            </w:r>
          </w:p>
        </w:tc>
        <w:tc>
          <w:tcPr>
            <w:tcW w:w="7932" w:type="dxa"/>
          </w:tcPr>
          <w:p>
            <w:pPr>
              <w:pStyle w:val="TableParagraph"/>
              <w:spacing w:line="232" w:lineRule="auto" w:before="11"/>
              <w:ind w:right="463"/>
              <w:rPr>
                <w:rFonts w:ascii="微软雅黑" w:eastAsia="微软雅黑" w:hint="eastAsia"/>
                <w:b/>
                <w:sz w:val="20"/>
              </w:rPr>
            </w:pPr>
            <w:r>
              <w:rPr>
                <w:sz w:val="20"/>
              </w:rPr>
              <w:t>180</w:t>
            </w:r>
            <w:r>
              <w:rPr>
                <w:spacing w:val="-8"/>
                <w:sz w:val="20"/>
              </w:rPr>
              <w:t> 天以上。诊断必须有消化科专科医生确认并且有内窥镜逆行胰胆管造影所证实。</w:t>
            </w:r>
            <w:r>
              <w:rPr>
                <w:rFonts w:ascii="微软雅黑" w:eastAsia="微软雅黑" w:hint="eastAsia"/>
                <w:b/>
                <w:spacing w:val="-8"/>
                <w:sz w:val="20"/>
              </w:rPr>
              <w:t>因酒精所致的慢性复发性胰腺炎不在保障范围内。</w:t>
            </w:r>
          </w:p>
        </w:tc>
      </w:tr>
      <w:tr>
        <w:trPr>
          <w:trHeight w:val="2231" w:hRule="atLeast"/>
        </w:trPr>
        <w:tc>
          <w:tcPr>
            <w:tcW w:w="1860" w:type="dxa"/>
          </w:tcPr>
          <w:p>
            <w:pPr>
              <w:pStyle w:val="TableParagraph"/>
              <w:spacing w:line="285" w:lineRule="auto" w:before="4"/>
              <w:ind w:right="98"/>
              <w:rPr>
                <w:sz w:val="20"/>
              </w:rPr>
            </w:pPr>
            <w:r>
              <w:rPr>
                <w:sz w:val="20"/>
              </w:rPr>
              <w:t>36. 原发性硬化性</w:t>
            </w:r>
            <w:r>
              <w:rPr>
                <w:w w:val="95"/>
                <w:sz w:val="20"/>
              </w:rPr>
              <w:t>胆管炎</w:t>
            </w:r>
          </w:p>
        </w:tc>
        <w:tc>
          <w:tcPr>
            <w:tcW w:w="7932" w:type="dxa"/>
          </w:tcPr>
          <w:p>
            <w:pPr>
              <w:pStyle w:val="TableParagraph"/>
              <w:spacing w:line="285" w:lineRule="auto" w:before="4"/>
              <w:ind w:right="101"/>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numPr>
                <w:ilvl w:val="0"/>
                <w:numId w:val="21"/>
              </w:numPr>
              <w:tabs>
                <w:tab w:pos="528" w:val="left" w:leader="none"/>
              </w:tabs>
              <w:spacing w:line="240" w:lineRule="auto" w:before="12" w:after="0"/>
              <w:ind w:left="527" w:right="0" w:hanging="420"/>
              <w:jc w:val="both"/>
              <w:rPr>
                <w:sz w:val="20"/>
              </w:rPr>
            </w:pPr>
            <w:r>
              <w:rPr>
                <w:spacing w:val="-4"/>
                <w:sz w:val="20"/>
              </w:rPr>
              <w:t>总胆红素和直接胆红素同时升高，血清 </w:t>
            </w:r>
            <w:r>
              <w:rPr>
                <w:sz w:val="20"/>
              </w:rPr>
              <w:t>ALP&gt;200U/L；</w:t>
            </w:r>
          </w:p>
          <w:p>
            <w:pPr>
              <w:pStyle w:val="TableParagraph"/>
              <w:numPr>
                <w:ilvl w:val="0"/>
                <w:numId w:val="21"/>
              </w:numPr>
              <w:tabs>
                <w:tab w:pos="528" w:val="left" w:leader="none"/>
              </w:tabs>
              <w:spacing w:line="240" w:lineRule="auto" w:before="50" w:after="0"/>
              <w:ind w:left="527" w:right="0" w:hanging="420"/>
              <w:jc w:val="both"/>
              <w:rPr>
                <w:sz w:val="20"/>
              </w:rPr>
            </w:pPr>
            <w:r>
              <w:rPr>
                <w:w w:val="95"/>
                <w:sz w:val="20"/>
              </w:rPr>
              <w:t>持续性黄疸病史；</w:t>
            </w:r>
          </w:p>
          <w:p>
            <w:pPr>
              <w:pStyle w:val="TableParagraph"/>
              <w:numPr>
                <w:ilvl w:val="0"/>
                <w:numId w:val="21"/>
              </w:numPr>
              <w:tabs>
                <w:tab w:pos="528" w:val="left" w:leader="none"/>
              </w:tabs>
              <w:spacing w:line="257" w:lineRule="exact" w:before="50" w:after="0"/>
              <w:ind w:left="527" w:right="0" w:hanging="420"/>
              <w:jc w:val="both"/>
              <w:rPr>
                <w:sz w:val="20"/>
              </w:rPr>
            </w:pPr>
            <w:r>
              <w:rPr>
                <w:w w:val="95"/>
                <w:sz w:val="20"/>
              </w:rPr>
              <w:t>出现胆汁性肝硬化或门脉高压。</w:t>
            </w:r>
          </w:p>
          <w:p>
            <w:pPr>
              <w:pStyle w:val="TableParagraph"/>
              <w:spacing w:line="341" w:lineRule="exact"/>
              <w:jc w:val="both"/>
              <w:rPr>
                <w:rFonts w:ascii="微软雅黑" w:eastAsia="微软雅黑" w:hint="eastAsia"/>
                <w:b/>
                <w:sz w:val="20"/>
              </w:rPr>
            </w:pPr>
            <w:r>
              <w:rPr>
                <w:rFonts w:ascii="微软雅黑" w:eastAsia="微软雅黑" w:hint="eastAsia"/>
                <w:b/>
                <w:sz w:val="20"/>
              </w:rPr>
              <w:t>因肿瘤或胆管损伤等继发性的硬化性胆管炎不在保障范围内。</w:t>
            </w:r>
          </w:p>
        </w:tc>
      </w:tr>
      <w:tr>
        <w:trPr>
          <w:trHeight w:val="1605" w:hRule="atLeast"/>
        </w:trPr>
        <w:tc>
          <w:tcPr>
            <w:tcW w:w="1860" w:type="dxa"/>
          </w:tcPr>
          <w:p>
            <w:pPr>
              <w:pStyle w:val="TableParagraph"/>
              <w:spacing w:before="1"/>
              <w:rPr>
                <w:sz w:val="20"/>
              </w:rPr>
            </w:pPr>
            <w:r>
              <w:rPr>
                <w:w w:val="95"/>
                <w:sz w:val="20"/>
              </w:rPr>
              <w:t>37.坏死性筋膜炎</w:t>
            </w:r>
          </w:p>
        </w:tc>
        <w:tc>
          <w:tcPr>
            <w:tcW w:w="7932" w:type="dxa"/>
          </w:tcPr>
          <w:p>
            <w:pPr>
              <w:pStyle w:val="TableParagraph"/>
              <w:spacing w:before="1"/>
              <w:rPr>
                <w:sz w:val="20"/>
              </w:rPr>
            </w:pPr>
            <w:r>
              <w:rPr>
                <w:w w:val="95"/>
                <w:sz w:val="20"/>
              </w:rPr>
              <w:t>坏死性筋膜炎的诊断须同时符合下列要求：</w:t>
            </w:r>
          </w:p>
          <w:p>
            <w:pPr>
              <w:pStyle w:val="TableParagraph"/>
              <w:numPr>
                <w:ilvl w:val="0"/>
                <w:numId w:val="22"/>
              </w:numPr>
              <w:tabs>
                <w:tab w:pos="528" w:val="left" w:leader="none"/>
              </w:tabs>
              <w:spacing w:line="240" w:lineRule="auto" w:before="50" w:after="0"/>
              <w:ind w:left="107" w:right="0" w:firstLine="0"/>
              <w:jc w:val="left"/>
              <w:rPr>
                <w:sz w:val="20"/>
              </w:rPr>
            </w:pPr>
            <w:r>
              <w:rPr>
                <w:w w:val="95"/>
                <w:sz w:val="20"/>
              </w:rPr>
              <w:t>符合坏死性筋膜炎的一般临床表现；</w:t>
            </w:r>
          </w:p>
          <w:p>
            <w:pPr>
              <w:pStyle w:val="TableParagraph"/>
              <w:numPr>
                <w:ilvl w:val="0"/>
                <w:numId w:val="22"/>
              </w:numPr>
              <w:tabs>
                <w:tab w:pos="528" w:val="left" w:leader="none"/>
              </w:tabs>
              <w:spacing w:line="240" w:lineRule="auto" w:before="50" w:after="0"/>
              <w:ind w:left="107" w:right="0" w:firstLine="0"/>
              <w:jc w:val="left"/>
              <w:rPr>
                <w:sz w:val="20"/>
              </w:rPr>
            </w:pPr>
            <w:r>
              <w:rPr>
                <w:w w:val="95"/>
                <w:sz w:val="20"/>
              </w:rPr>
              <w:t>细菌培养检出致病菌；</w:t>
            </w:r>
          </w:p>
          <w:p>
            <w:pPr>
              <w:pStyle w:val="TableParagraph"/>
              <w:numPr>
                <w:ilvl w:val="0"/>
                <w:numId w:val="22"/>
              </w:numPr>
              <w:tabs>
                <w:tab w:pos="528" w:val="left" w:leader="none"/>
              </w:tabs>
              <w:spacing w:line="232" w:lineRule="auto" w:before="57" w:after="0"/>
              <w:ind w:left="107" w:right="194" w:firstLine="0"/>
              <w:jc w:val="left"/>
              <w:rPr>
                <w:rFonts w:ascii="微软雅黑" w:eastAsia="微软雅黑" w:hint="eastAsia"/>
                <w:b/>
                <w:sz w:val="20"/>
              </w:rPr>
            </w:pPr>
            <w:r>
              <w:rPr>
                <w:w w:val="95"/>
                <w:sz w:val="20"/>
              </w:rPr>
              <w:t>出现广泛性肌肉及组织坏死，并确实实施了坏死组织和筋膜以及肌肉的切除手术。  </w:t>
            </w:r>
            <w:r>
              <w:rPr>
                <w:rFonts w:ascii="微软雅黑" w:eastAsia="微软雅黑" w:hint="eastAsia"/>
                <w:b/>
                <w:sz w:val="20"/>
              </w:rPr>
              <w:t>清创术不在保障范围内。</w:t>
            </w:r>
          </w:p>
        </w:tc>
      </w:tr>
      <w:tr>
        <w:trPr>
          <w:trHeight w:val="2229" w:hRule="atLeast"/>
        </w:trPr>
        <w:tc>
          <w:tcPr>
            <w:tcW w:w="1860" w:type="dxa"/>
          </w:tcPr>
          <w:p>
            <w:pPr>
              <w:pStyle w:val="TableParagraph"/>
              <w:spacing w:line="285" w:lineRule="auto" w:before="4"/>
              <w:ind w:right="98"/>
              <w:rPr>
                <w:sz w:val="20"/>
              </w:rPr>
            </w:pPr>
            <w:r>
              <w:rPr>
                <w:sz w:val="20"/>
              </w:rPr>
              <w:t>38. 慢性肾上腺皮</w:t>
            </w:r>
            <w:r>
              <w:rPr>
                <w:w w:val="95"/>
                <w:sz w:val="20"/>
              </w:rPr>
              <w:t>质功能衰竭</w:t>
            </w:r>
          </w:p>
        </w:tc>
        <w:tc>
          <w:tcPr>
            <w:tcW w:w="7932" w:type="dxa"/>
          </w:tcPr>
          <w:p>
            <w:pPr>
              <w:pStyle w:val="TableParagraph"/>
              <w:spacing w:line="285" w:lineRule="auto" w:before="4"/>
              <w:ind w:right="101"/>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numPr>
                <w:ilvl w:val="0"/>
                <w:numId w:val="23"/>
              </w:numPr>
              <w:tabs>
                <w:tab w:pos="528" w:val="left" w:leader="none"/>
              </w:tabs>
              <w:spacing w:line="240" w:lineRule="auto" w:before="12" w:after="0"/>
              <w:ind w:left="527" w:right="0" w:hanging="420"/>
              <w:jc w:val="left"/>
              <w:rPr>
                <w:sz w:val="20"/>
              </w:rPr>
            </w:pPr>
            <w:r>
              <w:rPr>
                <w:w w:val="95"/>
                <w:sz w:val="20"/>
              </w:rPr>
              <w:t>促肾上腺皮质激素(ACTH</w:t>
            </w:r>
            <w:r>
              <w:rPr>
                <w:spacing w:val="-2"/>
                <w:w w:val="95"/>
                <w:sz w:val="20"/>
              </w:rPr>
              <w:t>)刺激试验；</w:t>
            </w:r>
          </w:p>
          <w:p>
            <w:pPr>
              <w:pStyle w:val="TableParagraph"/>
              <w:numPr>
                <w:ilvl w:val="0"/>
                <w:numId w:val="23"/>
              </w:numPr>
              <w:tabs>
                <w:tab w:pos="528" w:val="left" w:leader="none"/>
              </w:tabs>
              <w:spacing w:line="240" w:lineRule="auto" w:before="50" w:after="0"/>
              <w:ind w:left="527" w:right="0" w:hanging="420"/>
              <w:jc w:val="left"/>
              <w:rPr>
                <w:sz w:val="20"/>
              </w:rPr>
            </w:pPr>
            <w:r>
              <w:rPr>
                <w:w w:val="95"/>
                <w:sz w:val="20"/>
              </w:rPr>
              <w:t>胰岛素血糖减少测试；</w:t>
            </w:r>
          </w:p>
          <w:p>
            <w:pPr>
              <w:pStyle w:val="TableParagraph"/>
              <w:numPr>
                <w:ilvl w:val="0"/>
                <w:numId w:val="23"/>
              </w:numPr>
              <w:tabs>
                <w:tab w:pos="528" w:val="left" w:leader="none"/>
              </w:tabs>
              <w:spacing w:line="240" w:lineRule="auto" w:before="50" w:after="0"/>
              <w:ind w:left="527" w:right="0" w:hanging="420"/>
              <w:jc w:val="left"/>
              <w:rPr>
                <w:sz w:val="20"/>
              </w:rPr>
            </w:pPr>
            <w:r>
              <w:rPr>
                <w:w w:val="95"/>
                <w:sz w:val="20"/>
              </w:rPr>
              <w:t>血浆促肾上腺皮质激素(ACTH)水平测定；</w:t>
            </w:r>
          </w:p>
          <w:p>
            <w:pPr>
              <w:pStyle w:val="TableParagraph"/>
              <w:numPr>
                <w:ilvl w:val="0"/>
                <w:numId w:val="23"/>
              </w:numPr>
              <w:tabs>
                <w:tab w:pos="528" w:val="left" w:leader="none"/>
              </w:tabs>
              <w:spacing w:line="257" w:lineRule="exact" w:before="50" w:after="0"/>
              <w:ind w:left="527" w:right="0" w:hanging="420"/>
              <w:jc w:val="left"/>
              <w:rPr>
                <w:sz w:val="20"/>
              </w:rPr>
            </w:pPr>
            <w:r>
              <w:rPr>
                <w:w w:val="95"/>
                <w:sz w:val="20"/>
              </w:rPr>
              <w:t>血浆肾素活性(PRA)测定。</w:t>
            </w:r>
          </w:p>
          <w:p>
            <w:pPr>
              <w:pStyle w:val="TableParagraph"/>
              <w:spacing w:line="341" w:lineRule="exact"/>
              <w:rPr>
                <w:rFonts w:ascii="微软雅黑" w:eastAsia="微软雅黑" w:hint="eastAsia"/>
                <w:b/>
                <w:sz w:val="20"/>
              </w:rPr>
            </w:pPr>
            <w:r>
              <w:rPr>
                <w:rFonts w:ascii="微软雅黑" w:eastAsia="微软雅黑" w:hint="eastAsia"/>
                <w:b/>
                <w:sz w:val="20"/>
              </w:rPr>
              <w:t>非由自身免疫功能紊乱引起的慢性肾上腺皮质功能衰竭不在保障范围内。</w:t>
            </w:r>
          </w:p>
        </w:tc>
      </w:tr>
      <w:tr>
        <w:trPr>
          <w:trHeight w:val="1919" w:hRule="atLeast"/>
        </w:trPr>
        <w:tc>
          <w:tcPr>
            <w:tcW w:w="1860" w:type="dxa"/>
          </w:tcPr>
          <w:p>
            <w:pPr>
              <w:pStyle w:val="TableParagraph"/>
              <w:spacing w:line="285" w:lineRule="auto" w:before="4"/>
              <w:ind w:right="98"/>
              <w:rPr>
                <w:sz w:val="20"/>
              </w:rPr>
            </w:pPr>
            <w:r>
              <w:rPr>
                <w:sz w:val="20"/>
              </w:rPr>
              <w:t>39. 慢性呼吸功能</w:t>
            </w:r>
            <w:r>
              <w:rPr>
                <w:w w:val="95"/>
                <w:sz w:val="20"/>
              </w:rPr>
              <w:t>衰竭</w:t>
            </w:r>
          </w:p>
        </w:tc>
        <w:tc>
          <w:tcPr>
            <w:tcW w:w="7932" w:type="dxa"/>
          </w:tcPr>
          <w:p>
            <w:pPr>
              <w:pStyle w:val="TableParagraph"/>
              <w:spacing w:line="285" w:lineRule="auto" w:before="4"/>
              <w:ind w:right="98"/>
              <w:rPr>
                <w:sz w:val="20"/>
              </w:rPr>
            </w:pPr>
            <w:r>
              <w:rPr>
                <w:spacing w:val="-4"/>
                <w:w w:val="95"/>
                <w:sz w:val="20"/>
              </w:rPr>
              <w:t>慢性肺部疾病导致永久不可逆性的慢性呼吸功能衰竭，必须由呼吸专科医师确认并符合下   列所有条件：</w:t>
            </w:r>
          </w:p>
          <w:p>
            <w:pPr>
              <w:pStyle w:val="TableParagraph"/>
              <w:numPr>
                <w:ilvl w:val="0"/>
                <w:numId w:val="24"/>
              </w:numPr>
              <w:tabs>
                <w:tab w:pos="528" w:val="left" w:leader="none"/>
              </w:tabs>
              <w:spacing w:line="240" w:lineRule="auto" w:before="12" w:after="0"/>
              <w:ind w:left="527" w:right="0" w:hanging="420"/>
              <w:jc w:val="left"/>
              <w:rPr>
                <w:sz w:val="20"/>
              </w:rPr>
            </w:pPr>
            <w:r>
              <w:rPr>
                <w:w w:val="95"/>
                <w:sz w:val="20"/>
              </w:rPr>
              <w:t>休息时出现呼吸困难；</w:t>
            </w:r>
          </w:p>
          <w:p>
            <w:pPr>
              <w:pStyle w:val="TableParagraph"/>
              <w:numPr>
                <w:ilvl w:val="0"/>
                <w:numId w:val="24"/>
              </w:numPr>
              <w:tabs>
                <w:tab w:pos="528" w:val="left" w:leader="none"/>
              </w:tabs>
              <w:spacing w:line="240" w:lineRule="auto" w:before="49" w:after="0"/>
              <w:ind w:left="527" w:right="0" w:hanging="420"/>
              <w:jc w:val="left"/>
              <w:rPr>
                <w:sz w:val="20"/>
              </w:rPr>
            </w:pPr>
            <w:r>
              <w:rPr>
                <w:position w:val="1"/>
                <w:sz w:val="20"/>
              </w:rPr>
              <w:t>动脉氧分压（PaO</w:t>
            </w:r>
            <w:r>
              <w:rPr>
                <w:sz w:val="10"/>
              </w:rPr>
              <w:t>2</w:t>
            </w:r>
            <w:r>
              <w:rPr>
                <w:position w:val="1"/>
                <w:sz w:val="20"/>
              </w:rPr>
              <w:t>）&lt;</w:t>
            </w:r>
            <w:r>
              <w:rPr>
                <w:spacing w:val="-5"/>
                <w:position w:val="1"/>
                <w:sz w:val="20"/>
              </w:rPr>
              <w:t> </w:t>
            </w:r>
            <w:r>
              <w:rPr>
                <w:position w:val="1"/>
                <w:sz w:val="20"/>
              </w:rPr>
              <w:t>50mmHg；</w:t>
            </w:r>
          </w:p>
          <w:p>
            <w:pPr>
              <w:pStyle w:val="TableParagraph"/>
              <w:numPr>
                <w:ilvl w:val="0"/>
                <w:numId w:val="24"/>
              </w:numPr>
              <w:tabs>
                <w:tab w:pos="528" w:val="left" w:leader="none"/>
              </w:tabs>
              <w:spacing w:line="240" w:lineRule="auto" w:before="50" w:after="0"/>
              <w:ind w:left="527" w:right="0" w:hanging="420"/>
              <w:jc w:val="left"/>
              <w:rPr>
                <w:sz w:val="20"/>
              </w:rPr>
            </w:pPr>
            <w:r>
              <w:rPr>
                <w:position w:val="1"/>
                <w:sz w:val="20"/>
              </w:rPr>
              <w:t>动脉血氧饱和度（SaO</w:t>
            </w:r>
            <w:r>
              <w:rPr>
                <w:sz w:val="10"/>
              </w:rPr>
              <w:t>2</w:t>
            </w:r>
            <w:r>
              <w:rPr>
                <w:position w:val="1"/>
                <w:sz w:val="20"/>
              </w:rPr>
              <w:t>）&lt;</w:t>
            </w:r>
            <w:r>
              <w:rPr>
                <w:spacing w:val="-5"/>
                <w:position w:val="1"/>
                <w:sz w:val="20"/>
              </w:rPr>
              <w:t> </w:t>
            </w:r>
            <w:r>
              <w:rPr>
                <w:position w:val="1"/>
                <w:sz w:val="20"/>
              </w:rPr>
              <w:t>80％；</w:t>
            </w:r>
          </w:p>
          <w:p>
            <w:pPr>
              <w:pStyle w:val="TableParagraph"/>
              <w:numPr>
                <w:ilvl w:val="0"/>
                <w:numId w:val="24"/>
              </w:numPr>
              <w:tabs>
                <w:tab w:pos="528" w:val="left" w:leader="none"/>
              </w:tabs>
              <w:spacing w:line="240" w:lineRule="auto" w:before="51" w:after="0"/>
              <w:ind w:left="527" w:right="0" w:hanging="420"/>
              <w:jc w:val="left"/>
              <w:rPr>
                <w:sz w:val="20"/>
              </w:rPr>
            </w:pPr>
            <w:r>
              <w:rPr>
                <w:w w:val="95"/>
                <w:sz w:val="20"/>
              </w:rPr>
              <w:t>因缺氧必须接受持续的输氧治疗。</w:t>
            </w:r>
          </w:p>
        </w:tc>
      </w:tr>
      <w:tr>
        <w:trPr>
          <w:trHeight w:val="981" w:hRule="atLeast"/>
        </w:trPr>
        <w:tc>
          <w:tcPr>
            <w:tcW w:w="1860" w:type="dxa"/>
          </w:tcPr>
          <w:p>
            <w:pPr>
              <w:pStyle w:val="TableParagraph"/>
              <w:spacing w:before="1"/>
              <w:rPr>
                <w:sz w:val="20"/>
              </w:rPr>
            </w:pPr>
            <w:r>
              <w:rPr>
                <w:w w:val="95"/>
                <w:sz w:val="20"/>
              </w:rPr>
              <w:t>40.象皮病</w:t>
            </w:r>
          </w:p>
        </w:tc>
        <w:tc>
          <w:tcPr>
            <w:tcW w:w="7932" w:type="dxa"/>
          </w:tcPr>
          <w:p>
            <w:pPr>
              <w:pStyle w:val="TableParagraph"/>
              <w:spacing w:line="285" w:lineRule="auto" w:before="1"/>
              <w:ind w:right="101"/>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4"/>
              <w:ind w:right="98"/>
              <w:rPr>
                <w:sz w:val="20"/>
              </w:rPr>
            </w:pPr>
            <w:r>
              <w:rPr>
                <w:sz w:val="20"/>
              </w:rPr>
              <w:t>41. 全身性重症肌</w:t>
            </w:r>
            <w:r>
              <w:rPr>
                <w:w w:val="95"/>
                <w:sz w:val="20"/>
              </w:rPr>
              <w:t>无力</w:t>
            </w:r>
          </w:p>
        </w:tc>
        <w:tc>
          <w:tcPr>
            <w:tcW w:w="7932" w:type="dxa"/>
          </w:tcPr>
          <w:p>
            <w:pPr>
              <w:pStyle w:val="TableParagraph"/>
              <w:spacing w:line="285" w:lineRule="auto" w:before="4"/>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numPr>
                <w:ilvl w:val="0"/>
                <w:numId w:val="25"/>
              </w:numPr>
              <w:tabs>
                <w:tab w:pos="528" w:val="left" w:leader="none"/>
              </w:tabs>
              <w:spacing w:line="240" w:lineRule="auto" w:before="12" w:after="0"/>
              <w:ind w:left="527" w:right="0" w:hanging="420"/>
              <w:jc w:val="both"/>
              <w:rPr>
                <w:sz w:val="20"/>
              </w:rPr>
            </w:pPr>
            <w:r>
              <w:rPr>
                <w:w w:val="95"/>
                <w:sz w:val="20"/>
              </w:rPr>
              <w:t>经药物治疗和胸腺切除治疗一年以上仍无法控制病情；</w:t>
            </w:r>
          </w:p>
          <w:p>
            <w:pPr>
              <w:pStyle w:val="TableParagraph"/>
              <w:numPr>
                <w:ilvl w:val="0"/>
                <w:numId w:val="25"/>
              </w:numPr>
              <w:tabs>
                <w:tab w:pos="528" w:val="left" w:leader="none"/>
              </w:tabs>
              <w:spacing w:line="240" w:lineRule="auto" w:before="50" w:after="0"/>
              <w:ind w:left="527" w:right="0" w:hanging="420"/>
              <w:jc w:val="both"/>
              <w:rPr>
                <w:sz w:val="20"/>
              </w:rPr>
            </w:pPr>
            <w:r>
              <w:rPr>
                <w:spacing w:val="-1"/>
                <w:w w:val="95"/>
                <w:sz w:val="20"/>
              </w:rPr>
              <w:t>自主生活能力完全丧失，无法独立完成六项基本日常生活活动中的三项或三项以上。</w:t>
            </w:r>
          </w:p>
        </w:tc>
      </w:tr>
      <w:tr>
        <w:trPr>
          <w:trHeight w:val="2231" w:hRule="atLeast"/>
        </w:trPr>
        <w:tc>
          <w:tcPr>
            <w:tcW w:w="1860" w:type="dxa"/>
          </w:tcPr>
          <w:p>
            <w:pPr>
              <w:pStyle w:val="TableParagraph"/>
              <w:spacing w:before="4"/>
              <w:rPr>
                <w:sz w:val="20"/>
              </w:rPr>
            </w:pPr>
            <w:r>
              <w:rPr>
                <w:w w:val="95"/>
                <w:sz w:val="20"/>
              </w:rPr>
              <w:t>42.疯牛病</w:t>
            </w:r>
          </w:p>
        </w:tc>
        <w:tc>
          <w:tcPr>
            <w:tcW w:w="7932" w:type="dxa"/>
          </w:tcPr>
          <w:p>
            <w:pPr>
              <w:pStyle w:val="TableParagraph"/>
              <w:spacing w:before="4"/>
              <w:rPr>
                <w:sz w:val="20"/>
              </w:rPr>
            </w:pPr>
            <w:r>
              <w:rPr>
                <w:w w:val="95"/>
                <w:sz w:val="20"/>
              </w:rPr>
              <w:t>神经系统疾病及致命的成胶质状脑病，并有以下症状：</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不能控制的肌肉痉挛及震颤；</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逐渐痴呆；</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小脑功能不良，共济失调；</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50"/>
              <w:rPr>
                <w:sz w:val="20"/>
              </w:rPr>
            </w:pPr>
            <w:r>
              <w:rPr>
                <w:w w:val="95"/>
                <w:sz w:val="20"/>
              </w:rPr>
              <w:t>(CT)及核磁共振(MRI)。</w:t>
            </w:r>
          </w:p>
        </w:tc>
      </w:tr>
      <w:tr>
        <w:trPr>
          <w:trHeight w:val="357" w:hRule="atLeast"/>
        </w:trPr>
        <w:tc>
          <w:tcPr>
            <w:tcW w:w="1860" w:type="dxa"/>
          </w:tcPr>
          <w:p>
            <w:pPr>
              <w:pStyle w:val="TableParagraph"/>
              <w:spacing w:before="1"/>
              <w:rPr>
                <w:sz w:val="20"/>
              </w:rPr>
            </w:pPr>
            <w:r>
              <w:rPr>
                <w:sz w:val="20"/>
              </w:rPr>
              <w:t>43. 严重类风湿性</w:t>
            </w:r>
          </w:p>
        </w:tc>
        <w:tc>
          <w:tcPr>
            <w:tcW w:w="7932" w:type="dxa"/>
          </w:tcPr>
          <w:p>
            <w:pPr>
              <w:pStyle w:val="TableParagraph"/>
              <w:spacing w:before="1"/>
              <w:ind w:left="236" w:right="232"/>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2853" w:hRule="atLeast"/>
        </w:trPr>
        <w:tc>
          <w:tcPr>
            <w:tcW w:w="1860" w:type="dxa"/>
          </w:tcPr>
          <w:p>
            <w:pPr>
              <w:pStyle w:val="TableParagraph"/>
              <w:spacing w:before="4"/>
              <w:rPr>
                <w:sz w:val="20"/>
              </w:rPr>
            </w:pPr>
            <w:r>
              <w:rPr>
                <w:w w:val="95"/>
                <w:sz w:val="20"/>
              </w:rPr>
              <w:t>关节炎</w:t>
            </w:r>
          </w:p>
        </w:tc>
        <w:tc>
          <w:tcPr>
            <w:tcW w:w="7932" w:type="dxa"/>
          </w:tcPr>
          <w:p>
            <w:pPr>
              <w:pStyle w:val="TableParagraph"/>
              <w:spacing w:line="285" w:lineRule="auto" w:before="4"/>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numPr>
                <w:ilvl w:val="0"/>
                <w:numId w:val="27"/>
              </w:numPr>
              <w:tabs>
                <w:tab w:pos="528" w:val="left" w:leader="none"/>
              </w:tabs>
              <w:spacing w:line="240" w:lineRule="auto" w:before="12" w:after="0"/>
              <w:ind w:left="527" w:right="0" w:hanging="420"/>
              <w:jc w:val="both"/>
              <w:rPr>
                <w:sz w:val="20"/>
              </w:rPr>
            </w:pPr>
            <w:r>
              <w:rPr>
                <w:w w:val="95"/>
                <w:sz w:val="20"/>
              </w:rPr>
              <w:t>晨僵；</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对称性关节炎；</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类风湿性皮下结节；</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类风湿因子滴度升高；</w:t>
            </w:r>
          </w:p>
          <w:p>
            <w:pPr>
              <w:pStyle w:val="TableParagraph"/>
              <w:numPr>
                <w:ilvl w:val="0"/>
                <w:numId w:val="27"/>
              </w:numPr>
              <w:tabs>
                <w:tab w:pos="528" w:val="left" w:leader="none"/>
              </w:tabs>
              <w:spacing w:line="240" w:lineRule="auto" w:before="50" w:after="0"/>
              <w:ind w:left="527" w:right="0" w:hanging="420"/>
              <w:jc w:val="both"/>
              <w:rPr>
                <w:sz w:val="20"/>
              </w:rPr>
            </w:pPr>
            <w:r>
              <w:rPr>
                <w:sz w:val="20"/>
              </w:rPr>
              <w:t>X</w:t>
            </w:r>
            <w:r>
              <w:rPr>
                <w:spacing w:val="-8"/>
                <w:sz w:val="20"/>
              </w:rPr>
              <w:t> 线显示严重的关节(软骨和骨)破坏和关节畸形。</w:t>
            </w:r>
          </w:p>
        </w:tc>
      </w:tr>
      <w:tr>
        <w:trPr>
          <w:trHeight w:val="671" w:hRule="atLeast"/>
        </w:trPr>
        <w:tc>
          <w:tcPr>
            <w:tcW w:w="1860" w:type="dxa"/>
          </w:tcPr>
          <w:p>
            <w:pPr>
              <w:pStyle w:val="TableParagraph"/>
              <w:spacing w:before="4"/>
              <w:rPr>
                <w:sz w:val="20"/>
              </w:rPr>
            </w:pPr>
            <w:r>
              <w:rPr>
                <w:w w:val="95"/>
                <w:sz w:val="20"/>
              </w:rPr>
              <w:t>44.严重心肌炎</w:t>
            </w:r>
          </w:p>
        </w:tc>
        <w:tc>
          <w:tcPr>
            <w:tcW w:w="7932" w:type="dxa"/>
          </w:tcPr>
          <w:p>
            <w:pPr>
              <w:pStyle w:val="TableParagraph"/>
              <w:spacing w:line="285" w:lineRule="auto" w:before="4"/>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2"/>
                <w:sz w:val="20"/>
              </w:rPr>
              <w:t> 天。</w:t>
            </w:r>
          </w:p>
        </w:tc>
      </w:tr>
      <w:tr>
        <w:trPr>
          <w:trHeight w:val="1293" w:hRule="atLeast"/>
        </w:trPr>
        <w:tc>
          <w:tcPr>
            <w:tcW w:w="1860" w:type="dxa"/>
          </w:tcPr>
          <w:p>
            <w:pPr>
              <w:pStyle w:val="TableParagraph"/>
              <w:spacing w:line="285" w:lineRule="auto" w:before="1"/>
              <w:ind w:right="98"/>
              <w:rPr>
                <w:sz w:val="20"/>
              </w:rPr>
            </w:pPr>
            <w:r>
              <w:rPr>
                <w:sz w:val="20"/>
              </w:rPr>
              <w:t>45. 严重肺源性心</w:t>
            </w:r>
            <w:r>
              <w:rPr>
                <w:w w:val="95"/>
                <w:sz w:val="20"/>
              </w:rPr>
              <w:t>脏病</w:t>
            </w:r>
          </w:p>
        </w:tc>
        <w:tc>
          <w:tcPr>
            <w:tcW w:w="7932" w:type="dxa"/>
          </w:tcPr>
          <w:p>
            <w:pPr>
              <w:pStyle w:val="TableParagraph"/>
              <w:spacing w:line="285" w:lineRule="auto" w:before="1"/>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4"/>
              <w:rPr>
                <w:sz w:val="20"/>
              </w:rPr>
            </w:pPr>
            <w:r>
              <w:rPr>
                <w:w w:val="95"/>
                <w:sz w:val="20"/>
              </w:rPr>
              <w:t>46.植物人状态</w:t>
            </w:r>
          </w:p>
        </w:tc>
        <w:tc>
          <w:tcPr>
            <w:tcW w:w="7932" w:type="dxa"/>
          </w:tcPr>
          <w:p>
            <w:pPr>
              <w:pStyle w:val="TableParagraph"/>
              <w:spacing w:line="285" w:lineRule="auto" w:before="4"/>
              <w:ind w:right="98"/>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line="298" w:lineRule="exact"/>
              <w:jc w:val="both"/>
              <w:rPr>
                <w:rFonts w:ascii="微软雅黑" w:eastAsia="微软雅黑" w:hint="eastAsia"/>
                <w:b/>
                <w:sz w:val="20"/>
              </w:rPr>
            </w:pPr>
            <w:r>
              <w:rPr>
                <w:rFonts w:ascii="微软雅黑" w:eastAsia="微软雅黑" w:hint="eastAsia"/>
                <w:b/>
                <w:sz w:val="20"/>
              </w:rPr>
              <w:t>由于酗酒或滥用药物所致的植物人状态不在保障范围内。</w:t>
            </w:r>
          </w:p>
        </w:tc>
      </w:tr>
      <w:tr>
        <w:trPr>
          <w:trHeight w:val="1919" w:hRule="atLeast"/>
        </w:trPr>
        <w:tc>
          <w:tcPr>
            <w:tcW w:w="1860" w:type="dxa"/>
          </w:tcPr>
          <w:p>
            <w:pPr>
              <w:pStyle w:val="TableParagraph"/>
              <w:spacing w:line="285" w:lineRule="auto" w:before="4"/>
              <w:ind w:right="98"/>
              <w:rPr>
                <w:sz w:val="20"/>
              </w:rPr>
            </w:pPr>
            <w:r>
              <w:rPr>
                <w:sz w:val="20"/>
              </w:rPr>
              <w:t>47. 非阿尔茨海默</w:t>
            </w:r>
            <w:r>
              <w:rPr>
                <w:w w:val="95"/>
                <w:sz w:val="20"/>
              </w:rPr>
              <w:t>病所致严重痴呆</w:t>
            </w:r>
          </w:p>
        </w:tc>
        <w:tc>
          <w:tcPr>
            <w:tcW w:w="7932" w:type="dxa"/>
          </w:tcPr>
          <w:p>
            <w:pPr>
              <w:pStyle w:val="TableParagraph"/>
              <w:spacing w:line="285" w:lineRule="auto" w:before="4"/>
              <w:ind w:right="14"/>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line="298" w:lineRule="exact"/>
              <w:rPr>
                <w:rFonts w:ascii="微软雅黑" w:eastAsia="微软雅黑" w:hint="eastAsia"/>
                <w:b/>
                <w:sz w:val="20"/>
              </w:rPr>
            </w:pPr>
            <w:r>
              <w:rPr>
                <w:rFonts w:ascii="微软雅黑" w:eastAsia="微软雅黑" w:hint="eastAsia"/>
                <w:b/>
                <w:sz w:val="20"/>
              </w:rPr>
              <w:t>神经官能症，精神疾病及酒精中毒所致脑损害不在保障范围内。</w:t>
            </w:r>
          </w:p>
        </w:tc>
      </w:tr>
      <w:tr>
        <w:trPr>
          <w:trHeight w:val="669" w:hRule="atLeast"/>
        </w:trPr>
        <w:tc>
          <w:tcPr>
            <w:tcW w:w="1860" w:type="dxa"/>
          </w:tcPr>
          <w:p>
            <w:pPr>
              <w:pStyle w:val="TableParagraph"/>
              <w:spacing w:line="285" w:lineRule="auto" w:before="1"/>
              <w:ind w:right="242"/>
              <w:rPr>
                <w:sz w:val="20"/>
              </w:rPr>
            </w:pPr>
            <w:r>
              <w:rPr>
                <w:w w:val="95"/>
                <w:sz w:val="20"/>
              </w:rPr>
              <w:t>48.埃博拉病毒感</w:t>
            </w:r>
            <w:r>
              <w:rPr>
                <w:sz w:val="20"/>
              </w:rPr>
              <w:t>染</w:t>
            </w:r>
          </w:p>
        </w:tc>
        <w:tc>
          <w:tcPr>
            <w:tcW w:w="7932" w:type="dxa"/>
          </w:tcPr>
          <w:p>
            <w:pPr>
              <w:pStyle w:val="TableParagraph"/>
              <w:spacing w:line="285" w:lineRule="auto" w:before="1"/>
              <w:ind w:right="101"/>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4"/>
              <w:rPr>
                <w:sz w:val="20"/>
              </w:rPr>
            </w:pPr>
            <w:r>
              <w:rPr>
                <w:w w:val="95"/>
                <w:sz w:val="20"/>
              </w:rPr>
              <w:t>49.胰腺移植</w:t>
            </w:r>
          </w:p>
        </w:tc>
        <w:tc>
          <w:tcPr>
            <w:tcW w:w="7932" w:type="dxa"/>
          </w:tcPr>
          <w:p>
            <w:pPr>
              <w:pStyle w:val="TableParagraph"/>
              <w:spacing w:line="232" w:lineRule="auto" w:before="11"/>
              <w:ind w:right="813" w:hanging="1"/>
              <w:rPr>
                <w:rFonts w:ascii="微软雅黑" w:eastAsia="微软雅黑" w:hint="eastAsia"/>
                <w:b/>
                <w:sz w:val="20"/>
              </w:rPr>
            </w:pPr>
            <w:r>
              <w:rPr>
                <w:w w:val="95"/>
                <w:sz w:val="20"/>
              </w:rPr>
              <w:t>指因胰腺功能衰竭，已经实施了在全身麻醉下进行的胰腺的异体器官移植手术。  </w:t>
            </w:r>
            <w:r>
              <w:rPr>
                <w:rFonts w:ascii="微软雅黑" w:eastAsia="微软雅黑" w:hint="eastAsia"/>
                <w:b/>
                <w:sz w:val="20"/>
              </w:rPr>
              <w:t>单纯胰岛移植、部分胰腺组织或细胞的移植不在保障范围内。</w:t>
            </w:r>
          </w:p>
        </w:tc>
      </w:tr>
      <w:tr>
        <w:trPr>
          <w:trHeight w:val="2543" w:hRule="atLeast"/>
        </w:trPr>
        <w:tc>
          <w:tcPr>
            <w:tcW w:w="1860" w:type="dxa"/>
          </w:tcPr>
          <w:p>
            <w:pPr>
              <w:pStyle w:val="TableParagraph"/>
              <w:spacing w:line="285" w:lineRule="auto" w:before="4"/>
              <w:ind w:right="98"/>
              <w:rPr>
                <w:sz w:val="20"/>
              </w:rPr>
            </w:pPr>
            <w:r>
              <w:rPr>
                <w:sz w:val="20"/>
              </w:rPr>
              <w:t>50. 严重自身免疫</w:t>
            </w:r>
            <w:r>
              <w:rPr>
                <w:w w:val="95"/>
                <w:sz w:val="20"/>
              </w:rPr>
              <w:t>性肝炎</w:t>
            </w:r>
          </w:p>
        </w:tc>
        <w:tc>
          <w:tcPr>
            <w:tcW w:w="7932" w:type="dxa"/>
          </w:tcPr>
          <w:p>
            <w:pPr>
              <w:pStyle w:val="TableParagraph"/>
              <w:spacing w:line="285" w:lineRule="auto" w:before="4"/>
              <w:ind w:right="101"/>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numPr>
                <w:ilvl w:val="0"/>
                <w:numId w:val="28"/>
              </w:numPr>
              <w:tabs>
                <w:tab w:pos="528" w:val="left" w:leader="none"/>
              </w:tabs>
              <w:spacing w:line="240" w:lineRule="auto" w:before="12" w:after="0"/>
              <w:ind w:left="527" w:right="0" w:hanging="420"/>
              <w:jc w:val="left"/>
              <w:rPr>
                <w:sz w:val="20"/>
              </w:rPr>
            </w:pPr>
            <w:r>
              <w:rPr>
                <w:spacing w:val="-27"/>
                <w:sz w:val="20"/>
              </w:rPr>
              <w:t>高 </w:t>
            </w:r>
            <w:r>
              <w:rPr>
                <w:sz w:val="20"/>
              </w:rPr>
              <w:t>γ</w:t>
            </w:r>
            <w:r>
              <w:rPr>
                <w:spacing w:val="-9"/>
                <w:sz w:val="20"/>
              </w:rPr>
              <w:t> 球蛋白血症；</w:t>
            </w:r>
          </w:p>
          <w:p>
            <w:pPr>
              <w:pStyle w:val="TableParagraph"/>
              <w:numPr>
                <w:ilvl w:val="0"/>
                <w:numId w:val="28"/>
              </w:numPr>
              <w:tabs>
                <w:tab w:pos="528" w:val="left" w:leader="none"/>
              </w:tabs>
              <w:spacing w:line="285" w:lineRule="auto" w:before="50" w:after="0"/>
              <w:ind w:left="527" w:right="98" w:hanging="420"/>
              <w:jc w:val="left"/>
              <w:rPr>
                <w:sz w:val="20"/>
              </w:rPr>
            </w:pPr>
            <w:r>
              <w:rPr>
                <w:spacing w:val="-1"/>
                <w:sz w:val="20"/>
              </w:rPr>
              <w:t>血液中存在高水平的自身免疫抗体，如 </w:t>
            </w:r>
            <w:r>
              <w:rPr>
                <w:sz w:val="20"/>
              </w:rPr>
              <w:t>ANA（抗核抗体）、SMA（抗平滑肌抗体）、</w:t>
            </w:r>
            <w:r>
              <w:rPr>
                <w:spacing w:val="-27"/>
                <w:sz w:val="20"/>
              </w:rPr>
              <w:t>抗 </w:t>
            </w:r>
            <w:r>
              <w:rPr>
                <w:sz w:val="20"/>
              </w:rPr>
              <w:t>LKM1</w:t>
            </w:r>
            <w:r>
              <w:rPr>
                <w:spacing w:val="-10"/>
                <w:sz w:val="20"/>
              </w:rPr>
              <w:t> 抗体或抗-</w:t>
            </w:r>
            <w:r>
              <w:rPr>
                <w:sz w:val="20"/>
              </w:rPr>
              <w:t>SLA/LP</w:t>
            </w:r>
            <w:r>
              <w:rPr>
                <w:spacing w:val="-15"/>
                <w:sz w:val="20"/>
              </w:rPr>
              <w:t> 抗体；</w:t>
            </w:r>
          </w:p>
          <w:p>
            <w:pPr>
              <w:pStyle w:val="TableParagraph"/>
              <w:numPr>
                <w:ilvl w:val="0"/>
                <w:numId w:val="28"/>
              </w:numPr>
              <w:tabs>
                <w:tab w:pos="528" w:val="left" w:leader="none"/>
              </w:tabs>
              <w:spacing w:line="240" w:lineRule="auto" w:before="12" w:after="0"/>
              <w:ind w:left="527" w:right="0" w:hanging="420"/>
              <w:jc w:val="both"/>
              <w:rPr>
                <w:sz w:val="20"/>
              </w:rPr>
            </w:pPr>
            <w:r>
              <w:rPr>
                <w:w w:val="95"/>
                <w:sz w:val="20"/>
              </w:rPr>
              <w:t>肝脏活检证实免疫性肝炎；</w:t>
            </w:r>
          </w:p>
          <w:p>
            <w:pPr>
              <w:pStyle w:val="TableParagraph"/>
              <w:numPr>
                <w:ilvl w:val="0"/>
                <w:numId w:val="28"/>
              </w:numPr>
              <w:tabs>
                <w:tab w:pos="528" w:val="left" w:leader="none"/>
              </w:tabs>
              <w:spacing w:line="240" w:lineRule="auto" w:before="50" w:after="0"/>
              <w:ind w:left="527" w:right="0" w:hanging="420"/>
              <w:jc w:val="both"/>
              <w:rPr>
                <w:sz w:val="20"/>
              </w:rPr>
            </w:pPr>
            <w:r>
              <w:rPr>
                <w:w w:val="95"/>
                <w:sz w:val="20"/>
              </w:rPr>
              <w:t>临床已经出现腹水、食道静脉曲张和脾肿大等肝硬化表现。</w:t>
            </w:r>
          </w:p>
        </w:tc>
      </w:tr>
      <w:tr>
        <w:trPr>
          <w:trHeight w:val="1293" w:hRule="atLeast"/>
        </w:trPr>
        <w:tc>
          <w:tcPr>
            <w:tcW w:w="1860" w:type="dxa"/>
          </w:tcPr>
          <w:p>
            <w:pPr>
              <w:pStyle w:val="TableParagraph"/>
              <w:spacing w:before="1"/>
              <w:rPr>
                <w:sz w:val="20"/>
              </w:rPr>
            </w:pPr>
            <w:r>
              <w:rPr>
                <w:w w:val="95"/>
                <w:sz w:val="20"/>
              </w:rPr>
              <w:t>51.骨髓纤维化</w:t>
            </w:r>
          </w:p>
        </w:tc>
        <w:tc>
          <w:tcPr>
            <w:tcW w:w="7932" w:type="dxa"/>
          </w:tcPr>
          <w:p>
            <w:pPr>
              <w:pStyle w:val="TableParagraph"/>
              <w:spacing w:line="285" w:lineRule="auto" w:before="1"/>
              <w:ind w:right="96"/>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3"/>
              <w:ind w:right="98"/>
              <w:rPr>
                <w:sz w:val="20"/>
              </w:rPr>
            </w:pPr>
            <w:r>
              <w:rPr>
                <w:sz w:val="20"/>
              </w:rPr>
              <w:t>52. 进行性核上性</w:t>
            </w:r>
            <w:r>
              <w:rPr>
                <w:w w:val="95"/>
                <w:sz w:val="20"/>
              </w:rPr>
              <w:t>麻痹</w:t>
            </w:r>
          </w:p>
        </w:tc>
        <w:tc>
          <w:tcPr>
            <w:tcW w:w="7932" w:type="dxa"/>
          </w:tcPr>
          <w:p>
            <w:pPr>
              <w:pStyle w:val="TableParagraph"/>
              <w:spacing w:line="285" w:lineRule="auto" w:before="3"/>
              <w:ind w:right="101"/>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29"/>
              </w:numPr>
              <w:tabs>
                <w:tab w:pos="528" w:val="left" w:leader="none"/>
              </w:tabs>
              <w:spacing w:line="240" w:lineRule="auto" w:before="4" w:after="0"/>
              <w:ind w:left="527" w:right="0" w:hanging="420"/>
              <w:jc w:val="left"/>
              <w:rPr>
                <w:sz w:val="20"/>
              </w:rPr>
            </w:pPr>
            <w:r>
              <w:rPr>
                <w:w w:val="95"/>
                <w:sz w:val="20"/>
              </w:rPr>
              <w:t>步态共济失调；</w:t>
            </w:r>
          </w:p>
          <w:p>
            <w:pPr>
              <w:pStyle w:val="TableParagraph"/>
              <w:numPr>
                <w:ilvl w:val="0"/>
                <w:numId w:val="29"/>
              </w:numPr>
              <w:tabs>
                <w:tab w:pos="528" w:val="left" w:leader="none"/>
              </w:tabs>
              <w:spacing w:line="240" w:lineRule="auto" w:before="50" w:after="0"/>
              <w:ind w:left="527" w:right="0" w:hanging="420"/>
              <w:jc w:val="left"/>
              <w:rPr>
                <w:sz w:val="20"/>
              </w:rPr>
            </w:pPr>
            <w:r>
              <w:rPr>
                <w:w w:val="95"/>
                <w:sz w:val="20"/>
              </w:rPr>
              <w:t>对称性眼球垂直运动障碍；</w:t>
            </w:r>
          </w:p>
          <w:p>
            <w:pPr>
              <w:pStyle w:val="TableParagraph"/>
              <w:numPr>
                <w:ilvl w:val="0"/>
                <w:numId w:val="29"/>
              </w:numPr>
              <w:tabs>
                <w:tab w:pos="528" w:val="left" w:leader="none"/>
              </w:tabs>
              <w:spacing w:line="240" w:lineRule="auto" w:before="50" w:after="0"/>
              <w:ind w:left="527" w:right="0" w:hanging="42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4"/>
              <w:ind w:right="98"/>
              <w:rPr>
                <w:sz w:val="20"/>
              </w:rPr>
            </w:pPr>
            <w:r>
              <w:rPr>
                <w:sz w:val="20"/>
              </w:rPr>
              <w:t>53. 一肢及单眼缺失</w:t>
            </w:r>
          </w:p>
        </w:tc>
        <w:tc>
          <w:tcPr>
            <w:tcW w:w="7932" w:type="dxa"/>
          </w:tcPr>
          <w:p>
            <w:pPr>
              <w:pStyle w:val="TableParagraph"/>
              <w:spacing w:line="285" w:lineRule="auto" w:before="4"/>
              <w:ind w:right="101"/>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numPr>
                <w:ilvl w:val="0"/>
                <w:numId w:val="30"/>
              </w:numPr>
              <w:tabs>
                <w:tab w:pos="528" w:val="left" w:leader="none"/>
              </w:tabs>
              <w:spacing w:line="240" w:lineRule="auto" w:before="50" w:after="0"/>
              <w:ind w:left="527" w:right="0" w:hanging="420"/>
              <w:jc w:val="left"/>
              <w:rPr>
                <w:sz w:val="20"/>
              </w:rPr>
            </w:pPr>
            <w:r>
              <w:rPr>
                <w:w w:val="95"/>
                <w:sz w:val="20"/>
              </w:rPr>
              <w:t>眼球缺失或摘除；</w:t>
            </w:r>
          </w:p>
          <w:p>
            <w:pPr>
              <w:pStyle w:val="TableParagraph"/>
              <w:numPr>
                <w:ilvl w:val="0"/>
                <w:numId w:val="30"/>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30"/>
              </w:numPr>
              <w:tabs>
                <w:tab w:pos="528" w:val="left" w:leader="none"/>
              </w:tabs>
              <w:spacing w:line="257" w:lineRule="exact" w:before="50" w:after="0"/>
              <w:ind w:left="527" w:right="0" w:hanging="420"/>
              <w:jc w:val="left"/>
              <w:rPr>
                <w:sz w:val="20"/>
              </w:rPr>
            </w:pPr>
            <w:r>
              <w:rPr>
                <w:spacing w:val="-8"/>
                <w:sz w:val="20"/>
              </w:rPr>
              <w:t>视野半径小于 </w:t>
            </w:r>
            <w:r>
              <w:rPr>
                <w:sz w:val="20"/>
              </w:rPr>
              <w:t>5</w:t>
            </w:r>
            <w:r>
              <w:rPr>
                <w:spacing w:val="-1"/>
                <w:sz w:val="20"/>
              </w:rPr>
              <w:t> 度。</w:t>
            </w:r>
          </w:p>
          <w:p>
            <w:pPr>
              <w:pStyle w:val="TableParagraph"/>
              <w:spacing w:line="341" w:lineRule="exact"/>
              <w:rPr>
                <w:rFonts w:ascii="微软雅黑" w:eastAsia="微软雅黑" w:hint="eastAsia"/>
                <w:b/>
                <w:sz w:val="20"/>
              </w:rPr>
            </w:pPr>
            <w:r>
              <w:rPr>
                <w:rFonts w:ascii="微软雅黑" w:eastAsia="微软雅黑" w:hint="eastAsia"/>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1"/>
              <w:ind w:right="96"/>
              <w:jc w:val="both"/>
              <w:rPr>
                <w:sz w:val="20"/>
              </w:rPr>
            </w:pPr>
            <w:r>
              <w:rPr>
                <w:sz w:val="20"/>
              </w:rPr>
              <w:t>54. 严重获得性或继发性肺泡蛋白质</w:t>
            </w:r>
            <w:r>
              <w:rPr>
                <w:w w:val="95"/>
                <w:sz w:val="20"/>
              </w:rPr>
              <w:t>沉积症</w:t>
            </w:r>
          </w:p>
        </w:tc>
        <w:tc>
          <w:tcPr>
            <w:tcW w:w="7932" w:type="dxa"/>
          </w:tcPr>
          <w:p>
            <w:pPr>
              <w:pStyle w:val="TableParagraph"/>
              <w:spacing w:line="285" w:lineRule="auto" w:before="1"/>
              <w:ind w:right="98"/>
              <w:rPr>
                <w:sz w:val="20"/>
              </w:rPr>
            </w:pPr>
            <w:r>
              <w:rPr>
                <w:spacing w:val="-3"/>
                <w:w w:val="95"/>
                <w:sz w:val="20"/>
              </w:rPr>
              <w:t>因获得性或继发性原因导致双肺肺泡和细支气管腔内充满不可溶性富磷脂蛋白的疾病。理   赔时须满足下列所有条件：</w:t>
            </w:r>
          </w:p>
          <w:p>
            <w:pPr>
              <w:pStyle w:val="TableParagraph"/>
              <w:numPr>
                <w:ilvl w:val="0"/>
                <w:numId w:val="31"/>
              </w:numPr>
              <w:tabs>
                <w:tab w:pos="528" w:val="left" w:leader="none"/>
              </w:tabs>
              <w:spacing w:line="285" w:lineRule="auto" w:before="12" w:after="0"/>
              <w:ind w:left="527" w:right="98" w:hanging="420"/>
              <w:jc w:val="left"/>
              <w:rPr>
                <w:sz w:val="20"/>
              </w:rPr>
            </w:pPr>
            <w:r>
              <w:rPr>
                <w:spacing w:val="-1"/>
                <w:w w:val="95"/>
                <w:sz w:val="20"/>
              </w:rPr>
              <w:t>支气管镜活检或开胸肺活检病理检查证实肺泡内充满有过碘酸雪夫</w:t>
            </w:r>
            <w:r>
              <w:rPr>
                <w:w w:val="95"/>
                <w:sz w:val="20"/>
              </w:rPr>
              <w:t>（PAS）染色阳性  的蛋白样物质；</w:t>
            </w:r>
          </w:p>
          <w:p>
            <w:pPr>
              <w:pStyle w:val="TableParagraph"/>
              <w:numPr>
                <w:ilvl w:val="0"/>
                <w:numId w:val="31"/>
              </w:numPr>
              <w:tabs>
                <w:tab w:pos="528" w:val="left" w:leader="none"/>
              </w:tabs>
              <w:spacing w:line="240" w:lineRule="auto" w:before="12" w:after="0"/>
              <w:ind w:left="527" w:right="0" w:hanging="420"/>
              <w:jc w:val="left"/>
              <w:rPr>
                <w:sz w:val="20"/>
              </w:rPr>
            </w:pPr>
            <w:r>
              <w:rPr>
                <w:w w:val="95"/>
                <w:sz w:val="20"/>
              </w:rPr>
              <w:t>被保险人因中重度呼吸困难或低氧血症而实际已行全身麻醉下的全肺灌洗治疗。</w:t>
            </w:r>
          </w:p>
        </w:tc>
      </w:tr>
      <w:tr>
        <w:trPr>
          <w:trHeight w:val="1605" w:hRule="atLeast"/>
        </w:trPr>
        <w:tc>
          <w:tcPr>
            <w:tcW w:w="1860" w:type="dxa"/>
          </w:tcPr>
          <w:p>
            <w:pPr>
              <w:pStyle w:val="TableParagraph"/>
              <w:spacing w:line="285" w:lineRule="auto" w:before="4"/>
              <w:ind w:right="98"/>
              <w:rPr>
                <w:sz w:val="20"/>
              </w:rPr>
            </w:pPr>
            <w:r>
              <w:rPr>
                <w:sz w:val="20"/>
              </w:rPr>
              <w:t>55. 肺淋巴管肌瘤病</w:t>
            </w:r>
          </w:p>
        </w:tc>
        <w:tc>
          <w:tcPr>
            <w:tcW w:w="7932" w:type="dxa"/>
          </w:tcPr>
          <w:p>
            <w:pPr>
              <w:pStyle w:val="TableParagraph"/>
              <w:spacing w:line="285" w:lineRule="auto" w:before="4"/>
              <w:ind w:right="101"/>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19" w:hRule="atLeast"/>
        </w:trPr>
        <w:tc>
          <w:tcPr>
            <w:tcW w:w="1860" w:type="dxa"/>
          </w:tcPr>
          <w:p>
            <w:pPr>
              <w:pStyle w:val="TableParagraph"/>
              <w:spacing w:line="285" w:lineRule="auto" w:before="4"/>
              <w:ind w:right="98"/>
              <w:rPr>
                <w:sz w:val="20"/>
              </w:rPr>
            </w:pPr>
            <w:r>
              <w:rPr>
                <w:sz w:val="20"/>
              </w:rPr>
              <w:t>56. 感染性心内膜炎</w:t>
            </w:r>
          </w:p>
        </w:tc>
        <w:tc>
          <w:tcPr>
            <w:tcW w:w="7932" w:type="dxa"/>
          </w:tcPr>
          <w:p>
            <w:pPr>
              <w:pStyle w:val="TableParagraph"/>
              <w:spacing w:before="4"/>
              <w:rPr>
                <w:sz w:val="20"/>
                <w:szCs w:val="20"/>
              </w:rPr>
            </w:pPr>
            <w:r>
              <w:rPr>
                <w:w w:val="99"/>
                <w:sz w:val="20"/>
                <w:szCs w:val="20"/>
              </w:rPr>
              <w:t>是指由感染性微生物导致的心脏内膜炎症，并须符合下</w:t>
            </w:r>
            <w:r>
              <w:rPr>
                <w:rFonts w:ascii="Times New Roman" w:cs="Times New Roman" w:eastAsia="Times New Roman"/>
                <w:w w:val="99"/>
                <w:sz w:val="20"/>
                <w:szCs w:val="20"/>
                <w:rtl/>
              </w:rPr>
              <w:t>ٝ</w:t>
            </w:r>
            <w:r>
              <w:rPr>
                <w:w w:val="99"/>
                <w:sz w:val="20"/>
                <w:szCs w:val="20"/>
              </w:rPr>
              <w:t>所有条件</w:t>
            </w:r>
            <w:r>
              <w:rPr>
                <w:w w:val="99"/>
                <w:sz w:val="20"/>
                <w:szCs w:val="20"/>
              </w:rPr>
              <w:t>：</w:t>
            </w:r>
          </w:p>
          <w:p>
            <w:pPr>
              <w:pStyle w:val="TableParagraph"/>
              <w:numPr>
                <w:ilvl w:val="0"/>
                <w:numId w:val="32"/>
              </w:numPr>
              <w:tabs>
                <w:tab w:pos="512" w:val="left" w:leader="none"/>
              </w:tabs>
              <w:spacing w:line="240" w:lineRule="auto" w:before="35" w:after="0"/>
              <w:ind w:left="107" w:right="0" w:firstLine="0"/>
              <w:jc w:val="left"/>
              <w:rPr>
                <w:sz w:val="20"/>
              </w:rPr>
            </w:pPr>
            <w:r>
              <w:rPr>
                <w:w w:val="95"/>
                <w:sz w:val="20"/>
              </w:rPr>
              <w:t>血液细菌培养结果呈阳性，证明感染性微生物的存在；</w:t>
            </w:r>
          </w:p>
          <w:p>
            <w:pPr>
              <w:pStyle w:val="TableParagraph"/>
              <w:numPr>
                <w:ilvl w:val="0"/>
                <w:numId w:val="32"/>
              </w:numPr>
              <w:tabs>
                <w:tab w:pos="512" w:val="left" w:leader="none"/>
              </w:tabs>
              <w:spacing w:line="271" w:lineRule="auto" w:before="50" w:after="0"/>
              <w:ind w:left="107" w:right="65" w:firstLine="0"/>
              <w:jc w:val="left"/>
              <w:rPr>
                <w:sz w:val="20"/>
              </w:rPr>
            </w:pPr>
            <w:r>
              <w:rPr>
                <w:sz w:val="20"/>
              </w:rPr>
              <w:t>感染性心内膜炎导致至少中度的心脏瓣膜关闭</w:t>
            </w:r>
            <w:r>
              <w:rPr>
                <w:rFonts w:ascii="Times New Roman" w:hAnsi="Times New Roman" w:eastAsia="Times New Roman"/>
                <w:sz w:val="20"/>
              </w:rPr>
              <w:t>˺</w:t>
            </w:r>
            <w:r>
              <w:rPr>
                <w:sz w:val="20"/>
              </w:rPr>
              <w:t>全（</w:t>
            </w:r>
            <w:r>
              <w:rPr>
                <w:spacing w:val="5"/>
                <w:sz w:val="20"/>
              </w:rPr>
              <w:t>即返流部分面积达 </w:t>
            </w:r>
            <w:r>
              <w:rPr>
                <w:sz w:val="20"/>
              </w:rPr>
              <w:t>20%或以上） 或中度的心脏瓣膜狭窄（</w:t>
            </w:r>
            <w:r>
              <w:rPr>
                <w:spacing w:val="-5"/>
                <w:sz w:val="20"/>
              </w:rPr>
              <w:t>即心脏瓣膜面积为正常值的 </w:t>
            </w:r>
            <w:r>
              <w:rPr>
                <w:sz w:val="20"/>
              </w:rPr>
              <w:t>30%或以下）；</w:t>
            </w:r>
          </w:p>
          <w:p>
            <w:pPr>
              <w:pStyle w:val="TableParagraph"/>
              <w:numPr>
                <w:ilvl w:val="0"/>
                <w:numId w:val="32"/>
              </w:numPr>
              <w:tabs>
                <w:tab w:pos="514" w:val="left" w:leader="none"/>
              </w:tabs>
              <w:spacing w:line="285" w:lineRule="auto" w:before="24" w:after="0"/>
              <w:ind w:left="107" w:right="98"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1"/>
              <w:rPr>
                <w:sz w:val="20"/>
              </w:rPr>
            </w:pPr>
            <w:r>
              <w:rPr>
                <w:sz w:val="20"/>
              </w:rPr>
              <w:t>57. 肝豆状核变性</w:t>
            </w:r>
          </w:p>
          <w:p>
            <w:pPr>
              <w:pStyle w:val="TableParagraph"/>
              <w:spacing w:before="50"/>
              <w:rPr>
                <w:sz w:val="20"/>
              </w:rPr>
            </w:pPr>
            <w:r>
              <w:rPr>
                <w:w w:val="95"/>
                <w:sz w:val="20"/>
              </w:rPr>
              <w:t>（威尔逊氏病)</w:t>
            </w:r>
          </w:p>
        </w:tc>
        <w:tc>
          <w:tcPr>
            <w:tcW w:w="7932" w:type="dxa"/>
          </w:tcPr>
          <w:p>
            <w:pPr>
              <w:pStyle w:val="TableParagraph"/>
              <w:spacing w:line="285" w:lineRule="auto" w:before="1"/>
              <w:ind w:right="98"/>
              <w:jc w:val="both"/>
              <w:rPr>
                <w:sz w:val="20"/>
              </w:rPr>
            </w:pPr>
            <w:r>
              <w:rPr>
                <w:spacing w:val="-4"/>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5"/>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4"/>
              <w:ind w:right="98"/>
              <w:rPr>
                <w:sz w:val="20"/>
              </w:rPr>
            </w:pPr>
            <w:r>
              <w:rPr>
                <w:sz w:val="20"/>
              </w:rPr>
              <w:t>58. 破裂脑动脉瘤</w:t>
            </w:r>
            <w:r>
              <w:rPr>
                <w:w w:val="95"/>
                <w:sz w:val="20"/>
              </w:rPr>
              <w:t>夹闭手术</w:t>
            </w:r>
          </w:p>
        </w:tc>
        <w:tc>
          <w:tcPr>
            <w:tcW w:w="7932" w:type="dxa"/>
          </w:tcPr>
          <w:p>
            <w:pPr>
              <w:pStyle w:val="TableParagraph"/>
              <w:spacing w:line="285" w:lineRule="auto" w:before="4"/>
              <w:ind w:right="98"/>
              <w:rPr>
                <w:sz w:val="20"/>
              </w:rPr>
            </w:pPr>
            <w:r>
              <w:rPr>
                <w:spacing w:val="-5"/>
                <w:w w:val="95"/>
                <w:sz w:val="20"/>
              </w:rPr>
              <w:t>指因脑动脉瘤破裂造成蛛网膜下腔出血，被保险人实际接受了在全身麻醉下进行的开颅动   脉瘤夹闭手术。</w:t>
            </w:r>
          </w:p>
          <w:p>
            <w:pPr>
              <w:pStyle w:val="TableParagraph"/>
              <w:spacing w:line="282" w:lineRule="exact"/>
              <w:rPr>
                <w:rFonts w:ascii="微软雅黑" w:eastAsia="微软雅黑" w:hint="eastAsia"/>
                <w:b/>
                <w:sz w:val="20"/>
              </w:rPr>
            </w:pPr>
            <w:r>
              <w:rPr>
                <w:rFonts w:ascii="微软雅黑" w:eastAsia="微软雅黑" w:hint="eastAsia"/>
                <w:b/>
                <w:sz w:val="20"/>
              </w:rPr>
              <w:t>脑动脉瘤（未破裂）预防性手术、颅骨打孔手术、动脉瘤栓塞手术、血管内手术及其他</w:t>
            </w:r>
          </w:p>
          <w:p>
            <w:pPr>
              <w:pStyle w:val="TableParagraph"/>
              <w:spacing w:line="329" w:lineRule="exact"/>
              <w:rPr>
                <w:rFonts w:ascii="微软雅黑" w:eastAsia="微软雅黑" w:hint="eastAsia"/>
                <w:b/>
                <w:sz w:val="20"/>
              </w:rPr>
            </w:pPr>
            <w:r>
              <w:rPr>
                <w:rFonts w:ascii="微软雅黑" w:eastAsia="微软雅黑" w:hint="eastAsia"/>
                <w:b/>
                <w:sz w:val="20"/>
              </w:rPr>
              <w:t>颅脑手术不在保障范围内。</w:t>
            </w:r>
          </w:p>
        </w:tc>
      </w:tr>
      <w:tr>
        <w:trPr>
          <w:trHeight w:val="3479" w:hRule="atLeast"/>
        </w:trPr>
        <w:tc>
          <w:tcPr>
            <w:tcW w:w="1860" w:type="dxa"/>
          </w:tcPr>
          <w:p>
            <w:pPr>
              <w:pStyle w:val="TableParagraph"/>
              <w:spacing w:line="285" w:lineRule="auto" w:before="4"/>
              <w:ind w:right="96"/>
              <w:jc w:val="both"/>
              <w:rPr>
                <w:sz w:val="20"/>
              </w:rPr>
            </w:pPr>
            <w:r>
              <w:rPr>
                <w:sz w:val="20"/>
              </w:rPr>
              <w:t>59. 因职业关系导致的人类免疫缺陷</w:t>
            </w:r>
            <w:r>
              <w:rPr>
                <w:w w:val="95"/>
                <w:sz w:val="20"/>
              </w:rPr>
              <w:t>病毒感染</w:t>
            </w:r>
          </w:p>
        </w:tc>
        <w:tc>
          <w:tcPr>
            <w:tcW w:w="7932" w:type="dxa"/>
          </w:tcPr>
          <w:p>
            <w:pPr>
              <w:pStyle w:val="TableParagraph"/>
              <w:spacing w:line="285" w:lineRule="auto" w:before="4"/>
              <w:ind w:right="98" w:hanging="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numPr>
                <w:ilvl w:val="0"/>
                <w:numId w:val="33"/>
              </w:numPr>
              <w:tabs>
                <w:tab w:pos="528" w:val="left" w:leader="none"/>
              </w:tabs>
              <w:spacing w:line="285" w:lineRule="auto" w:before="50" w:after="0"/>
              <w:ind w:left="527" w:right="-15" w:hanging="420"/>
              <w:jc w:val="left"/>
              <w:rPr>
                <w:sz w:val="20"/>
              </w:rPr>
            </w:pPr>
            <w:r>
              <w:rPr>
                <w:spacing w:val="-1"/>
                <w:sz w:val="20"/>
              </w:rPr>
              <w:t>感染必须是在被保险人正在从事其职业工作中发生，该职业必须属于以下职业之一： </w:t>
            </w:r>
            <w:r>
              <w:rPr>
                <w:sz w:val="20"/>
              </w:rPr>
              <w:t>医生和牙科医生、护士、医院化验室工作人员、医生助理和牙医助理、救护车工作</w:t>
            </w:r>
            <w:r>
              <w:rPr>
                <w:w w:val="95"/>
                <w:sz w:val="20"/>
              </w:rPr>
              <w:t>人员、助产士、消防队员、警察、狱警；</w:t>
            </w:r>
          </w:p>
          <w:p>
            <w:pPr>
              <w:pStyle w:val="TableParagraph"/>
              <w:numPr>
                <w:ilvl w:val="0"/>
                <w:numId w:val="33"/>
              </w:numPr>
              <w:tabs>
                <w:tab w:pos="528" w:val="left" w:leader="none"/>
              </w:tabs>
              <w:spacing w:line="240" w:lineRule="auto" w:before="12" w:after="0"/>
              <w:ind w:left="527" w:right="0" w:hanging="420"/>
              <w:jc w:val="left"/>
              <w:rPr>
                <w:sz w:val="20"/>
              </w:rPr>
            </w:pPr>
            <w:r>
              <w:rPr>
                <w:spacing w:val="-4"/>
                <w:sz w:val="20"/>
              </w:rPr>
              <w:t>血清转化必须出现在事故发生后的 </w:t>
            </w:r>
            <w:r>
              <w:rPr>
                <w:sz w:val="20"/>
              </w:rPr>
              <w:t>6</w:t>
            </w:r>
            <w:r>
              <w:rPr>
                <w:spacing w:val="-10"/>
                <w:sz w:val="20"/>
              </w:rPr>
              <w:t> 个月以内；</w:t>
            </w:r>
          </w:p>
          <w:p>
            <w:pPr>
              <w:pStyle w:val="TableParagraph"/>
              <w:numPr>
                <w:ilvl w:val="0"/>
                <w:numId w:val="33"/>
              </w:numPr>
              <w:tabs>
                <w:tab w:pos="528" w:val="left" w:leader="none"/>
              </w:tabs>
              <w:spacing w:line="285" w:lineRule="auto" w:before="50" w:after="0"/>
              <w:ind w:left="527" w:right="98" w:hanging="420"/>
              <w:jc w:val="left"/>
              <w:rPr>
                <w:sz w:val="20"/>
              </w:rPr>
            </w:pPr>
            <w:r>
              <w:rPr>
                <w:spacing w:val="-1"/>
                <w:sz w:val="20"/>
              </w:rPr>
              <w:t>必须提供被保险人在所报事故发生后的 </w:t>
            </w:r>
            <w:r>
              <w:rPr>
                <w:sz w:val="20"/>
              </w:rPr>
              <w:t>5</w:t>
            </w:r>
            <w:r>
              <w:rPr>
                <w:spacing w:val="-3"/>
                <w:sz w:val="20"/>
              </w:rPr>
              <w:t> 天以内进行的检查报告，该报告必须显示</w:t>
            </w:r>
            <w:r>
              <w:rPr>
                <w:spacing w:val="-11"/>
                <w:sz w:val="20"/>
              </w:rPr>
              <w:t>被保险人血液 </w:t>
            </w:r>
            <w:r>
              <w:rPr>
                <w:sz w:val="20"/>
              </w:rPr>
              <w:t>HIV</w:t>
            </w:r>
            <w:r>
              <w:rPr>
                <w:spacing w:val="-10"/>
                <w:sz w:val="20"/>
              </w:rPr>
              <w:t> 病毒阴性和</w:t>
            </w:r>
            <w:r>
              <w:rPr>
                <w:sz w:val="20"/>
              </w:rPr>
              <w:t>/</w:t>
            </w:r>
            <w:r>
              <w:rPr>
                <w:spacing w:val="-27"/>
                <w:sz w:val="20"/>
              </w:rPr>
              <w:t>或 </w:t>
            </w:r>
            <w:r>
              <w:rPr>
                <w:sz w:val="20"/>
              </w:rPr>
              <w:t>HIV</w:t>
            </w:r>
            <w:r>
              <w:rPr>
                <w:spacing w:val="-10"/>
                <w:sz w:val="20"/>
              </w:rPr>
              <w:t> 抗体阴性；</w:t>
            </w:r>
          </w:p>
          <w:p>
            <w:pPr>
              <w:pStyle w:val="TableParagraph"/>
              <w:numPr>
                <w:ilvl w:val="0"/>
                <w:numId w:val="33"/>
              </w:numPr>
              <w:tabs>
                <w:tab w:pos="528" w:val="left" w:leader="none"/>
              </w:tabs>
              <w:spacing w:line="240" w:lineRule="auto" w:before="12" w:after="0"/>
              <w:ind w:left="527" w:right="0" w:hanging="420"/>
              <w:jc w:val="left"/>
              <w:rPr>
                <w:sz w:val="20"/>
              </w:rPr>
            </w:pP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p>
          <w:p>
            <w:pPr>
              <w:pStyle w:val="TableParagraph"/>
              <w:spacing w:before="50"/>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9"/>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3"/>
                <w:w w:val="99"/>
                <w:sz w:val="20"/>
              </w:rPr>
              <w:t>任何因其他传播方式</w:t>
            </w:r>
            <w:r>
              <w:rPr>
                <w:rFonts w:ascii="微软雅黑" w:eastAsia="微软雅黑" w:hint="eastAsia"/>
                <w:b/>
                <w:spacing w:val="1"/>
                <w:w w:val="99"/>
                <w:sz w:val="20"/>
              </w:rPr>
              <w:t>（</w:t>
            </w:r>
            <w:r>
              <w:rPr>
                <w:rFonts w:ascii="微软雅黑" w:eastAsia="微软雅黑" w:hint="eastAsia"/>
                <w:b/>
                <w:spacing w:val="-3"/>
                <w:w w:val="99"/>
                <w:sz w:val="20"/>
              </w:rPr>
              <w:t>包括：性传播或静脉注射毒品</w:t>
            </w:r>
            <w:r>
              <w:rPr>
                <w:rFonts w:ascii="微软雅黑" w:eastAsia="微软雅黑" w:hint="eastAsia"/>
                <w:b/>
                <w:spacing w:val="-22"/>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4"/>
              <w:ind w:right="98"/>
              <w:rPr>
                <w:sz w:val="20"/>
              </w:rPr>
            </w:pPr>
            <w:r>
              <w:rPr>
                <w:sz w:val="20"/>
              </w:rPr>
              <w:t>60. 严重冠状动脉</w:t>
            </w:r>
            <w:r>
              <w:rPr>
                <w:w w:val="95"/>
                <w:sz w:val="20"/>
              </w:rPr>
              <w:t>粥样硬化性心脏病</w:t>
            </w:r>
          </w:p>
        </w:tc>
        <w:tc>
          <w:tcPr>
            <w:tcW w:w="7932" w:type="dxa"/>
          </w:tcPr>
          <w:p>
            <w:pPr>
              <w:pStyle w:val="TableParagraph"/>
              <w:spacing w:line="285" w:lineRule="auto" w:before="4"/>
              <w:ind w:right="98"/>
              <w:rPr>
                <w:sz w:val="20"/>
              </w:rPr>
            </w:pPr>
            <w:r>
              <w:rPr>
                <w:spacing w:val="-3"/>
                <w:w w:val="95"/>
                <w:sz w:val="20"/>
              </w:rPr>
              <w:t>指经心脏科专科医师根据冠状动脉造影检查结果确诊为主要血管严重狭窄性病变，须满足   下列至少一项条件：</w:t>
            </w:r>
          </w:p>
          <w:p>
            <w:pPr>
              <w:pStyle w:val="TableParagraph"/>
              <w:numPr>
                <w:ilvl w:val="0"/>
                <w:numId w:val="34"/>
              </w:numPr>
              <w:tabs>
                <w:tab w:pos="528" w:val="left" w:leader="none"/>
              </w:tabs>
              <w:spacing w:line="285" w:lineRule="auto" w:before="12" w:after="0"/>
              <w:ind w:left="527" w:right="96" w:hanging="420"/>
              <w:jc w:val="left"/>
              <w:rPr>
                <w:sz w:val="20"/>
              </w:rPr>
            </w:pPr>
            <w:r>
              <w:rPr>
                <w:sz w:val="20"/>
              </w:rPr>
              <w:t>左冠状动脉主干和右冠状动脉中，一支血管管腔堵塞≥75％，且另一支血管管腔堵</w:t>
            </w:r>
            <w:r>
              <w:rPr>
                <w:w w:val="95"/>
                <w:sz w:val="20"/>
              </w:rPr>
              <w:t>塞≥60％；</w:t>
            </w:r>
          </w:p>
          <w:p>
            <w:pPr>
              <w:pStyle w:val="TableParagraph"/>
              <w:numPr>
                <w:ilvl w:val="0"/>
                <w:numId w:val="34"/>
              </w:numPr>
              <w:tabs>
                <w:tab w:pos="528" w:val="left" w:leader="none"/>
              </w:tabs>
              <w:spacing w:line="285" w:lineRule="auto" w:before="12" w:after="0"/>
              <w:ind w:left="527" w:right="98" w:hanging="420"/>
              <w:jc w:val="left"/>
              <w:rPr>
                <w:sz w:val="20"/>
              </w:rPr>
            </w:pPr>
            <w:r>
              <w:rPr>
                <w:spacing w:val="-2"/>
                <w:w w:val="95"/>
                <w:sz w:val="20"/>
              </w:rPr>
              <w:t>左前降支、左回旋支和右冠状动脉中，至少一支血管管腔堵塞≥</w:t>
            </w:r>
            <w:r>
              <w:rPr>
                <w:w w:val="95"/>
                <w:sz w:val="20"/>
              </w:rPr>
              <w:t>75%，且其他两支血  管管腔堵塞均≥60%。</w:t>
            </w:r>
          </w:p>
          <w:p>
            <w:pPr>
              <w:pStyle w:val="TableParagraph"/>
              <w:spacing w:line="282" w:lineRule="exact"/>
              <w:rPr>
                <w:rFonts w:ascii="微软雅黑" w:eastAsia="微软雅黑" w:hint="eastAsia"/>
                <w:b/>
                <w:sz w:val="20"/>
              </w:rPr>
            </w:pPr>
            <w:r>
              <w:rPr>
                <w:rFonts w:ascii="微软雅黑" w:eastAsia="微软雅黑" w:hint="eastAsia"/>
                <w:b/>
                <w:sz w:val="20"/>
              </w:rPr>
              <w:t>左前降支的分支血管、左回旋支的分支血管及右冠状动脉的分支血管的狭窄不作为本保</w:t>
            </w:r>
          </w:p>
          <w:p>
            <w:pPr>
              <w:pStyle w:val="TableParagraph"/>
              <w:spacing w:line="329" w:lineRule="exact"/>
              <w:rPr>
                <w:rFonts w:ascii="微软雅黑" w:eastAsia="微软雅黑" w:hint="eastAsia"/>
                <w:b/>
                <w:sz w:val="20"/>
              </w:rPr>
            </w:pPr>
            <w:r>
              <w:rPr>
                <w:rFonts w:ascii="微软雅黑" w:eastAsia="微软雅黑" w:hint="eastAsia"/>
                <w:b/>
                <w:sz w:val="20"/>
              </w:rPr>
              <w:t>障的衡量指标。</w:t>
            </w:r>
          </w:p>
        </w:tc>
      </w:tr>
    </w:tbl>
    <w:p>
      <w:pPr>
        <w:spacing w:after="0" w:line="329" w:lineRule="exact"/>
        <w:rPr>
          <w:rFonts w:ascii="微软雅黑" w:eastAsia="微软雅黑" w:hint="eastAsia"/>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2224;mso-wrap-distance-left:0;mso-wrap-distance-right:0" from="55.199997pt,19.559618pt" to="539.519986pt,19.559618pt" stroked="true" strokeweight=".48pt" strokecolor="#000000">
            <v:stroke dashstyle="solid"/>
            <w10:wrap type="topAndBottom"/>
          </v:line>
        </w:pict>
      </w:r>
      <w:r>
        <w:rPr/>
        <w:t>附录二 本合同承保的轻症重疾列表</w:t>
      </w:r>
    </w:p>
    <w:p>
      <w:pPr>
        <w:pStyle w:val="BodyText"/>
        <w:spacing w:before="5" w:after="1"/>
        <w:rPr>
          <w:rFonts w:ascii="微软雅黑"/>
          <w:b/>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定义</w:t>
            </w:r>
          </w:p>
        </w:tc>
      </w:tr>
      <w:tr>
        <w:trPr>
          <w:trHeight w:val="2855" w:hRule="atLeast"/>
        </w:trPr>
        <w:tc>
          <w:tcPr>
            <w:tcW w:w="1860" w:type="dxa"/>
          </w:tcPr>
          <w:p>
            <w:pPr>
              <w:pStyle w:val="TableParagraph"/>
              <w:spacing w:line="285" w:lineRule="auto" w:before="11"/>
              <w:ind w:right="98"/>
              <w:rPr>
                <w:sz w:val="20"/>
              </w:rPr>
            </w:pPr>
            <w:r>
              <w:rPr>
                <w:w w:val="95"/>
                <w:sz w:val="20"/>
              </w:rPr>
              <w:t>1．极早期的恶性肿瘤或恶性病变</w:t>
            </w:r>
          </w:p>
        </w:tc>
        <w:tc>
          <w:tcPr>
            <w:tcW w:w="7932" w:type="dxa"/>
          </w:tcPr>
          <w:p>
            <w:pPr>
              <w:pStyle w:val="TableParagraph"/>
              <w:spacing w:before="11"/>
              <w:jc w:val="both"/>
              <w:rPr>
                <w:sz w:val="20"/>
              </w:rPr>
            </w:pPr>
            <w:r>
              <w:rPr>
                <w:w w:val="95"/>
                <w:sz w:val="20"/>
              </w:rPr>
              <w:t>指经组织病理学检查被明确诊断为下列恶性病变，并且接受了相应的治疗。</w:t>
            </w:r>
          </w:p>
          <w:p>
            <w:pPr>
              <w:pStyle w:val="TableParagraph"/>
              <w:spacing w:before="50"/>
              <w:jc w:val="both"/>
              <w:rPr>
                <w:sz w:val="20"/>
              </w:rPr>
            </w:pPr>
            <w:r>
              <w:rPr>
                <w:w w:val="95"/>
                <w:sz w:val="20"/>
              </w:rPr>
              <w:t>（1）原位癌；</w:t>
            </w:r>
          </w:p>
          <w:p>
            <w:pPr>
              <w:pStyle w:val="TableParagraph"/>
              <w:spacing w:before="50"/>
              <w:jc w:val="both"/>
              <w:rPr>
                <w:sz w:val="20"/>
              </w:rPr>
            </w:pPr>
            <w:r>
              <w:rPr>
                <w:sz w:val="20"/>
              </w:rPr>
              <w:t>（2）相当于 Binet 分期方案 A 期程度的慢性淋巴细胞白血病；</w:t>
            </w:r>
          </w:p>
          <w:p>
            <w:pPr>
              <w:pStyle w:val="TableParagraph"/>
              <w:spacing w:before="50"/>
              <w:jc w:val="both"/>
              <w:rPr>
                <w:sz w:val="20"/>
              </w:rPr>
            </w:pPr>
            <w:r>
              <w:rPr>
                <w:sz w:val="20"/>
              </w:rPr>
              <w:t>（3）相当于 Ann Arbor 分期方案 I 期程度的何杰金氏病；</w:t>
            </w:r>
          </w:p>
          <w:p>
            <w:pPr>
              <w:pStyle w:val="TableParagraph"/>
              <w:spacing w:before="50"/>
              <w:jc w:val="both"/>
              <w:rPr>
                <w:sz w:val="20"/>
              </w:rPr>
            </w:pPr>
            <w:r>
              <w:rPr>
                <w:w w:val="95"/>
                <w:sz w:val="20"/>
              </w:rPr>
              <w:t>（4）皮肤癌（不包括恶性黑色素瘤及已发生转移的皮肤癌）；</w:t>
            </w:r>
          </w:p>
          <w:p>
            <w:pPr>
              <w:pStyle w:val="TableParagraph"/>
              <w:spacing w:before="50"/>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1"/>
              <w:ind w:right="96"/>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8"/>
              <w:ind w:right="96"/>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2" w:type="dxa"/>
          </w:tcPr>
          <w:p>
            <w:pPr>
              <w:pStyle w:val="TableParagraph"/>
              <w:spacing w:line="285" w:lineRule="auto" w:before="8"/>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line="298" w:lineRule="exact"/>
              <w:rPr>
                <w:rFonts w:ascii="微软雅黑" w:hAnsi="微软雅黑" w:eastAsia="微软雅黑" w:hint="eastAsia"/>
                <w:b/>
                <w:sz w:val="20"/>
              </w:rPr>
            </w:pPr>
            <w:r>
              <w:rPr>
                <w:rFonts w:ascii="微软雅黑" w:hAnsi="微软雅黑" w:eastAsia="微软雅黑" w:hint="eastAsia"/>
                <w:b/>
                <w:w w:val="95"/>
                <w:sz w:val="20"/>
              </w:rPr>
              <w:t>面积达到全身体表面积的  20％或  20%以上的Ⅲ度烧伤不在保障范围内。</w:t>
            </w:r>
          </w:p>
        </w:tc>
      </w:tr>
      <w:tr>
        <w:trPr>
          <w:trHeight w:val="981" w:hRule="atLeast"/>
        </w:trPr>
        <w:tc>
          <w:tcPr>
            <w:tcW w:w="1860" w:type="dxa"/>
          </w:tcPr>
          <w:p>
            <w:pPr>
              <w:pStyle w:val="TableParagraph"/>
              <w:spacing w:before="11"/>
              <w:rPr>
                <w:sz w:val="20"/>
              </w:rPr>
            </w:pPr>
            <w:r>
              <w:rPr>
                <w:w w:val="95"/>
                <w:sz w:val="20"/>
              </w:rPr>
              <w:t>3．慢性肾功能不全</w:t>
            </w:r>
          </w:p>
        </w:tc>
        <w:tc>
          <w:tcPr>
            <w:tcW w:w="7932"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7" w:hRule="atLeast"/>
        </w:trPr>
        <w:tc>
          <w:tcPr>
            <w:tcW w:w="1860" w:type="dxa"/>
          </w:tcPr>
          <w:p>
            <w:pPr>
              <w:pStyle w:val="TableParagraph"/>
              <w:spacing w:line="285" w:lineRule="auto" w:before="11"/>
              <w:ind w:right="96"/>
              <w:jc w:val="both"/>
              <w:rPr>
                <w:sz w:val="20"/>
              </w:rPr>
            </w:pPr>
            <w:r>
              <w:rPr>
                <w:spacing w:val="-15"/>
                <w:sz w:val="20"/>
              </w:rPr>
              <w:t>4</w:t>
            </w:r>
            <w:r>
              <w:rPr>
                <w:spacing w:val="-7"/>
                <w:sz w:val="20"/>
              </w:rPr>
              <w:t>．脑垂体瘤、脑囊</w:t>
            </w:r>
            <w:r>
              <w:rPr>
                <w:spacing w:val="5"/>
                <w:sz w:val="20"/>
              </w:rPr>
              <w:t>肿、脑动脉瘤及脑</w:t>
            </w:r>
            <w:r>
              <w:rPr>
                <w:spacing w:val="5"/>
                <w:w w:val="95"/>
                <w:sz w:val="20"/>
              </w:rPr>
              <w:t>血管瘤</w:t>
            </w:r>
          </w:p>
        </w:tc>
        <w:tc>
          <w:tcPr>
            <w:tcW w:w="7932" w:type="dxa"/>
          </w:tcPr>
          <w:p>
            <w:pPr>
              <w:pStyle w:val="TableParagraph"/>
              <w:spacing w:line="285" w:lineRule="auto" w:before="11"/>
              <w:ind w:right="101"/>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2"/>
              <w:rPr>
                <w:sz w:val="20"/>
              </w:rPr>
            </w:pPr>
            <w:r>
              <w:rPr>
                <w:w w:val="95"/>
                <w:sz w:val="20"/>
              </w:rPr>
              <w:t>（1）脑垂体瘤；</w:t>
            </w:r>
          </w:p>
          <w:p>
            <w:pPr>
              <w:pStyle w:val="TableParagraph"/>
              <w:spacing w:before="50"/>
              <w:rPr>
                <w:sz w:val="20"/>
              </w:rPr>
            </w:pPr>
            <w:r>
              <w:rPr>
                <w:w w:val="95"/>
                <w:sz w:val="20"/>
              </w:rPr>
              <w:t>（2）脑囊肿；</w:t>
            </w:r>
          </w:p>
          <w:p>
            <w:pPr>
              <w:pStyle w:val="TableParagraph"/>
              <w:spacing w:before="50"/>
              <w:rPr>
                <w:sz w:val="20"/>
              </w:rPr>
            </w:pPr>
            <w:r>
              <w:rPr>
                <w:w w:val="95"/>
                <w:sz w:val="20"/>
              </w:rPr>
              <w:t>（3）脑动脉瘤、脑血管瘤。</w:t>
            </w:r>
          </w:p>
        </w:tc>
      </w:tr>
      <w:tr>
        <w:trPr>
          <w:trHeight w:val="2229" w:hRule="atLeast"/>
        </w:trPr>
        <w:tc>
          <w:tcPr>
            <w:tcW w:w="1860" w:type="dxa"/>
          </w:tcPr>
          <w:p>
            <w:pPr>
              <w:pStyle w:val="TableParagraph"/>
              <w:spacing w:before="8"/>
              <w:rPr>
                <w:sz w:val="20"/>
              </w:rPr>
            </w:pPr>
            <w:r>
              <w:rPr>
                <w:w w:val="95"/>
                <w:sz w:val="20"/>
              </w:rPr>
              <w:t>5．视力严重受损</w:t>
            </w:r>
          </w:p>
        </w:tc>
        <w:tc>
          <w:tcPr>
            <w:tcW w:w="7932" w:type="dxa"/>
          </w:tcPr>
          <w:p>
            <w:pPr>
              <w:pStyle w:val="TableParagraph"/>
              <w:spacing w:before="8"/>
              <w:rPr>
                <w:sz w:val="20"/>
              </w:rPr>
            </w:pPr>
            <w:r>
              <w:rPr>
                <w:w w:val="95"/>
                <w:sz w:val="20"/>
              </w:rPr>
              <w:t>指因疾病或意外伤害导致双目视力永久不可逆性丧失，须满足下列全部条件：</w:t>
            </w:r>
          </w:p>
          <w:p>
            <w:pPr>
              <w:pStyle w:val="TableParagraph"/>
              <w:spacing w:line="285" w:lineRule="auto" w:before="49"/>
              <w:ind w:right="101"/>
              <w:rPr>
                <w:sz w:val="20"/>
              </w:rPr>
            </w:pPr>
            <w:r>
              <w:rPr>
                <w:sz w:val="20"/>
              </w:rPr>
              <w:t>（1）双眼中较好眼矫正视力低于 0.1（采用国际标准视力表，如果使用其他视力表应进</w:t>
            </w:r>
            <w:r>
              <w:rPr>
                <w:w w:val="95"/>
                <w:sz w:val="20"/>
              </w:rPr>
              <w:t>行换算）；</w:t>
            </w:r>
          </w:p>
          <w:p>
            <w:pPr>
              <w:pStyle w:val="TableParagraph"/>
              <w:spacing w:line="257" w:lineRule="exact" w:before="11"/>
              <w:rPr>
                <w:sz w:val="20"/>
              </w:rPr>
            </w:pPr>
            <w:r>
              <w:rPr>
                <w:sz w:val="20"/>
              </w:rPr>
              <w:t>（2）视野半径小于 20 度。</w:t>
            </w:r>
          </w:p>
          <w:p>
            <w:pPr>
              <w:pStyle w:val="TableParagraph"/>
              <w:spacing w:line="341" w:lineRule="exact"/>
              <w:rPr>
                <w:rFonts w:ascii="微软雅黑" w:eastAsia="微软雅黑" w:hint="eastAsia"/>
                <w:b/>
                <w:sz w:val="20"/>
              </w:rPr>
            </w:pPr>
            <w:r>
              <w:rPr>
                <w:rFonts w:ascii="微软雅黑" w:eastAsia="微软雅黑" w:hint="eastAsia"/>
                <w:b/>
                <w:sz w:val="20"/>
              </w:rPr>
              <w:t>白内障导致的视力受损不在保障范围内。</w:t>
            </w:r>
          </w:p>
          <w:p>
            <w:pPr>
              <w:pStyle w:val="TableParagraph"/>
              <w:spacing w:line="285" w:lineRule="auto" w:before="26"/>
              <w:ind w:right="101"/>
              <w:rPr>
                <w:sz w:val="20"/>
              </w:rPr>
            </w:pPr>
            <w:r>
              <w:rPr>
                <w:spacing w:val="-10"/>
                <w:sz w:val="20"/>
              </w:rPr>
              <w:t>申请理赔时，被保险人年龄必须在 </w:t>
            </w:r>
            <w:r>
              <w:rPr>
                <w:sz w:val="20"/>
              </w:rPr>
              <w:t>3</w:t>
            </w:r>
            <w:r>
              <w:rPr>
                <w:spacing w:val="-11"/>
                <w:sz w:val="20"/>
              </w:rPr>
              <w:t> 周岁以上，并且须提供理赔当时的视力严重受损诊断</w:t>
            </w:r>
            <w:r>
              <w:rPr>
                <w:spacing w:val="-11"/>
                <w:w w:val="95"/>
                <w:sz w:val="20"/>
              </w:rPr>
              <w:t>及检查证据。</w:t>
            </w:r>
          </w:p>
        </w:tc>
      </w:tr>
      <w:tr>
        <w:trPr>
          <w:trHeight w:val="1917" w:hRule="atLeast"/>
        </w:trPr>
        <w:tc>
          <w:tcPr>
            <w:tcW w:w="1860" w:type="dxa"/>
          </w:tcPr>
          <w:p>
            <w:pPr>
              <w:pStyle w:val="TableParagraph"/>
              <w:spacing w:line="285" w:lineRule="auto" w:before="11"/>
              <w:ind w:right="98"/>
              <w:rPr>
                <w:sz w:val="20"/>
              </w:rPr>
            </w:pPr>
            <w:r>
              <w:rPr>
                <w:w w:val="95"/>
                <w:sz w:val="20"/>
              </w:rPr>
              <w:t>6．慢性肝功能衰竭失代偿期</w:t>
            </w:r>
          </w:p>
        </w:tc>
        <w:tc>
          <w:tcPr>
            <w:tcW w:w="7932" w:type="dxa"/>
          </w:tcPr>
          <w:p>
            <w:pPr>
              <w:pStyle w:val="TableParagraph"/>
              <w:spacing w:before="11"/>
              <w:rPr>
                <w:sz w:val="20"/>
              </w:rPr>
            </w:pPr>
            <w:r>
              <w:rPr>
                <w:w w:val="95"/>
                <w:sz w:val="20"/>
              </w:rPr>
              <w:t>指因慢性肝脏疾病导致肝功能衰竭失代偿期，须满足下列任意三个条件：</w:t>
            </w:r>
          </w:p>
          <w:p>
            <w:pPr>
              <w:pStyle w:val="TableParagraph"/>
              <w:spacing w:before="50"/>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32" w:lineRule="auto" w:before="58"/>
              <w:ind w:right="2913"/>
              <w:rPr>
                <w:rFonts w:ascii="微软雅黑" w:eastAsia="微软雅黑" w:hint="eastAsia"/>
                <w:b/>
                <w:sz w:val="20"/>
              </w:rPr>
            </w:pPr>
            <w:r>
              <w:rPr>
                <w:w w:val="95"/>
                <w:sz w:val="20"/>
              </w:rPr>
              <w:t>（4）充血性脾肿大伴脾功能亢进或食管胃底静脉曲张。 </w:t>
            </w:r>
            <w:r>
              <w:rPr>
                <w:rFonts w:ascii="微软雅黑" w:eastAsia="微软雅黑" w:hint="eastAsia"/>
                <w:b/>
                <w:sz w:val="20"/>
              </w:rPr>
              <w:t>因酗酒或药物滥用导致的肝功能衰竭不在保障范围内。</w:t>
            </w:r>
          </w:p>
        </w:tc>
      </w:tr>
      <w:tr>
        <w:trPr>
          <w:trHeight w:val="983" w:hRule="atLeast"/>
        </w:trPr>
        <w:tc>
          <w:tcPr>
            <w:tcW w:w="1860" w:type="dxa"/>
          </w:tcPr>
          <w:p>
            <w:pPr>
              <w:pStyle w:val="TableParagraph"/>
              <w:spacing w:before="11"/>
              <w:rPr>
                <w:sz w:val="20"/>
              </w:rPr>
            </w:pPr>
            <w:r>
              <w:rPr>
                <w:w w:val="95"/>
                <w:sz w:val="20"/>
              </w:rPr>
              <w:t>7．脑中风</w:t>
            </w:r>
          </w:p>
        </w:tc>
        <w:tc>
          <w:tcPr>
            <w:tcW w:w="7932" w:type="dxa"/>
          </w:tcPr>
          <w:p>
            <w:pPr>
              <w:pStyle w:val="TableParagraph"/>
              <w:spacing w:line="285" w:lineRule="auto" w:before="11"/>
              <w:ind w:right="98"/>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line="298" w:lineRule="exact"/>
              <w:rPr>
                <w:sz w:val="20"/>
              </w:rPr>
            </w:pPr>
            <w:r>
              <w:rPr>
                <w:rFonts w:ascii="微软雅黑" w:eastAsia="微软雅黑" w:hint="eastAsia"/>
                <w:b/>
                <w:w w:val="99"/>
                <w:sz w:val="20"/>
              </w:rPr>
              <w:t>短暂性脑缺血发作</w:t>
            </w:r>
            <w:r>
              <w:rPr>
                <w:rFonts w:ascii="微软雅黑" w:eastAsia="微软雅黑" w:hint="eastAsia"/>
                <w:b/>
                <w:spacing w:val="0"/>
                <w:w w:val="127"/>
                <w:sz w:val="20"/>
              </w:rPr>
              <w:t>(</w:t>
            </w:r>
            <w:r>
              <w:rPr>
                <w:rFonts w:ascii="微软雅黑" w:eastAsia="微软雅黑" w:hint="eastAsia"/>
                <w:b/>
                <w:spacing w:val="0"/>
                <w:w w:val="79"/>
                <w:sz w:val="20"/>
              </w:rPr>
              <w:t>T</w:t>
            </w:r>
            <w:r>
              <w:rPr>
                <w:rFonts w:ascii="微软雅黑" w:eastAsia="微软雅黑" w:hint="eastAsia"/>
                <w:b/>
                <w:spacing w:val="0"/>
                <w:w w:val="148"/>
                <w:sz w:val="20"/>
              </w:rPr>
              <w:t>I</w:t>
            </w:r>
            <w:r>
              <w:rPr>
                <w:rFonts w:ascii="微软雅黑" w:eastAsia="微软雅黑" w:hint="eastAsia"/>
                <w:b/>
                <w:spacing w:val="0"/>
                <w:w w:val="66"/>
                <w:sz w:val="20"/>
              </w:rPr>
              <w:t>A</w:t>
            </w:r>
            <w:r>
              <w:rPr>
                <w:rFonts w:ascii="微软雅黑" w:eastAsia="微软雅黑" w:hint="eastAsia"/>
                <w:b/>
                <w:w w:val="127"/>
                <w:sz w:val="20"/>
              </w:rPr>
              <w:t>)</w:t>
            </w:r>
            <w:r>
              <w:rPr>
                <w:rFonts w:ascii="微软雅黑" w:eastAsia="微软雅黑" w:hint="eastAsia"/>
                <w:b/>
                <w:spacing w:val="-8"/>
                <w:sz w:val="20"/>
              </w:rPr>
              <w:t>  </w:t>
            </w:r>
            <w:r>
              <w:rPr>
                <w:rFonts w:ascii="微软雅黑" w:eastAsia="微软雅黑" w:hint="eastAsia"/>
                <w:b/>
                <w:w w:val="99"/>
                <w:sz w:val="20"/>
              </w:rPr>
              <w:t>和腔隙性脑梗塞不在保障范围内</w:t>
            </w:r>
            <w:r>
              <w:rPr>
                <w:w w:val="99"/>
                <w:sz w:val="20"/>
              </w:rPr>
              <w:t>。</w:t>
            </w:r>
          </w:p>
        </w:tc>
      </w:tr>
      <w:tr>
        <w:trPr>
          <w:trHeight w:val="1605" w:hRule="atLeast"/>
        </w:trPr>
        <w:tc>
          <w:tcPr>
            <w:tcW w:w="1860" w:type="dxa"/>
          </w:tcPr>
          <w:p>
            <w:pPr>
              <w:pStyle w:val="TableParagraph"/>
              <w:spacing w:line="285" w:lineRule="auto" w:before="8"/>
              <w:ind w:right="98"/>
              <w:rPr>
                <w:sz w:val="20"/>
              </w:rPr>
            </w:pPr>
            <w:r>
              <w:rPr>
                <w:w w:val="95"/>
                <w:sz w:val="20"/>
              </w:rPr>
              <w:t>8．不典型的急性心肌梗塞</w:t>
            </w:r>
          </w:p>
        </w:tc>
        <w:tc>
          <w:tcPr>
            <w:tcW w:w="7932" w:type="dxa"/>
          </w:tcPr>
          <w:p>
            <w:pPr>
              <w:pStyle w:val="TableParagraph"/>
              <w:spacing w:before="8"/>
              <w:rPr>
                <w:sz w:val="20"/>
              </w:rPr>
            </w:pPr>
            <w:r>
              <w:rPr>
                <w:w w:val="95"/>
                <w:sz w:val="20"/>
              </w:rPr>
              <w:t>指被临床诊断为急性心肌梗塞并接受了急性心肌梗塞治疗，须满足下列全部条件：</w:t>
            </w:r>
          </w:p>
          <w:p>
            <w:pPr>
              <w:pStyle w:val="TableParagraph"/>
              <w:spacing w:before="49"/>
              <w:rPr>
                <w:sz w:val="20"/>
              </w:rPr>
            </w:pPr>
            <w:r>
              <w:rPr>
                <w:w w:val="95"/>
                <w:sz w:val="20"/>
              </w:rPr>
              <w:t>（1）肌钙蛋白有诊断意义的升高；</w:t>
            </w:r>
          </w:p>
          <w:p>
            <w:pPr>
              <w:pStyle w:val="TableParagraph"/>
              <w:spacing w:line="257" w:lineRule="exact" w:before="49"/>
              <w:rPr>
                <w:sz w:val="20"/>
              </w:rPr>
            </w:pPr>
            <w:r>
              <w:rPr>
                <w:sz w:val="20"/>
              </w:rPr>
              <w:t>（2）心电图有损伤性的 ST 段改变但未出现病理 Q 波。</w:t>
            </w:r>
          </w:p>
          <w:p>
            <w:pPr>
              <w:pStyle w:val="TableParagraph"/>
              <w:spacing w:line="216" w:lineRule="auto" w:before="29"/>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359" w:hRule="atLeast"/>
        </w:trPr>
        <w:tc>
          <w:tcPr>
            <w:tcW w:w="1860" w:type="dxa"/>
          </w:tcPr>
          <w:p>
            <w:pPr>
              <w:pStyle w:val="TableParagraph"/>
              <w:spacing w:before="11"/>
              <w:rPr>
                <w:sz w:val="20"/>
              </w:rPr>
            </w:pPr>
            <w:r>
              <w:rPr>
                <w:w w:val="95"/>
                <w:sz w:val="20"/>
              </w:rPr>
              <w:t>9．冠状动脉介入手</w:t>
            </w:r>
          </w:p>
        </w:tc>
        <w:tc>
          <w:tcPr>
            <w:tcW w:w="7932" w:type="dxa"/>
          </w:tcPr>
          <w:p>
            <w:pPr>
              <w:pStyle w:val="TableParagraph"/>
              <w:spacing w:before="11"/>
              <w:rPr>
                <w:sz w:val="20"/>
              </w:rPr>
            </w:pPr>
            <w:r>
              <w:rPr>
                <w:w w:val="95"/>
                <w:sz w:val="20"/>
              </w:rPr>
              <w:t>为了治疗明显的冠状动脉狭窄性疾病，首次实际实施的冠状动脉球囊扩张成形术、冠状动</w:t>
            </w:r>
          </w:p>
        </w:tc>
      </w:tr>
    </w:tbl>
    <w:p>
      <w:pPr>
        <w:spacing w:after="0"/>
        <w:rPr>
          <w:sz w:val="20"/>
        </w:rPr>
        <w:sectPr>
          <w:pgSz w:w="11900" w:h="16840"/>
          <w:pgMar w:header="0" w:footer="834"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spacing w:before="4"/>
              <w:rPr>
                <w:sz w:val="20"/>
              </w:rPr>
            </w:pPr>
            <w:r>
              <w:rPr>
                <w:w w:val="99"/>
                <w:sz w:val="20"/>
              </w:rPr>
              <w:t>术</w:t>
            </w:r>
          </w:p>
        </w:tc>
        <w:tc>
          <w:tcPr>
            <w:tcW w:w="7932" w:type="dxa"/>
          </w:tcPr>
          <w:p>
            <w:pPr>
              <w:pStyle w:val="TableParagraph"/>
              <w:spacing w:line="257" w:lineRule="exact" w:before="4"/>
              <w:rPr>
                <w:sz w:val="20"/>
              </w:rPr>
            </w:pPr>
            <w:r>
              <w:rPr>
                <w:w w:val="95"/>
                <w:sz w:val="20"/>
              </w:rPr>
              <w:t>脉支架植入术或激光冠状动脉成形术。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983" w:hRule="atLeast"/>
        </w:trPr>
        <w:tc>
          <w:tcPr>
            <w:tcW w:w="1860" w:type="dxa"/>
          </w:tcPr>
          <w:p>
            <w:pPr>
              <w:pStyle w:val="TableParagraph"/>
              <w:spacing w:line="285" w:lineRule="auto" w:before="4"/>
              <w:ind w:right="93"/>
              <w:rPr>
                <w:sz w:val="20"/>
              </w:rPr>
            </w:pPr>
            <w:r>
              <w:rPr>
                <w:sz w:val="20"/>
              </w:rPr>
              <w:t>10．胸腔镜下冠状</w:t>
            </w:r>
            <w:r>
              <w:rPr>
                <w:w w:val="95"/>
                <w:sz w:val="20"/>
              </w:rPr>
              <w:t>动脉搭桥手术</w:t>
            </w:r>
          </w:p>
        </w:tc>
        <w:tc>
          <w:tcPr>
            <w:tcW w:w="7932" w:type="dxa"/>
          </w:tcPr>
          <w:p>
            <w:pPr>
              <w:pStyle w:val="TableParagraph"/>
              <w:spacing w:line="257" w:lineRule="exact" w:before="4"/>
              <w:rPr>
                <w:sz w:val="20"/>
              </w:rPr>
            </w:pPr>
            <w:r>
              <w:rPr>
                <w:w w:val="95"/>
                <w:sz w:val="20"/>
              </w:rPr>
              <w:t>为了治疗明显的冠状动脉狭窄性疾病，首次实际实施的胸腔镜下冠状动脉搭桥手术。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669" w:hRule="atLeast"/>
        </w:trPr>
        <w:tc>
          <w:tcPr>
            <w:tcW w:w="1860" w:type="dxa"/>
          </w:tcPr>
          <w:p>
            <w:pPr>
              <w:pStyle w:val="TableParagraph"/>
              <w:spacing w:line="285" w:lineRule="auto" w:before="1"/>
              <w:ind w:right="93"/>
              <w:rPr>
                <w:sz w:val="20"/>
              </w:rPr>
            </w:pPr>
            <w:r>
              <w:rPr>
                <w:sz w:val="20"/>
              </w:rPr>
              <w:t>11．心脏瓣膜介入</w:t>
            </w:r>
            <w:r>
              <w:rPr>
                <w:w w:val="95"/>
                <w:sz w:val="20"/>
              </w:rPr>
              <w:t>手术</w:t>
            </w:r>
          </w:p>
        </w:tc>
        <w:tc>
          <w:tcPr>
            <w:tcW w:w="7932" w:type="dxa"/>
          </w:tcPr>
          <w:p>
            <w:pPr>
              <w:pStyle w:val="TableParagraph"/>
              <w:spacing w:line="285" w:lineRule="auto" w:before="1"/>
              <w:ind w:right="98"/>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4"/>
              <w:rPr>
                <w:sz w:val="20"/>
              </w:rPr>
            </w:pPr>
            <w:r>
              <w:rPr>
                <w:w w:val="95"/>
                <w:sz w:val="20"/>
              </w:rPr>
              <w:t>12．主动脉内手术</w:t>
            </w:r>
          </w:p>
        </w:tc>
        <w:tc>
          <w:tcPr>
            <w:tcW w:w="7932" w:type="dxa"/>
          </w:tcPr>
          <w:p>
            <w:pPr>
              <w:pStyle w:val="TableParagraph"/>
              <w:spacing w:line="232" w:lineRule="auto" w:before="11"/>
              <w:ind w:right="98"/>
              <w:rPr>
                <w:rFonts w:ascii="微软雅黑" w:eastAsia="微软雅黑" w:hint="eastAsia"/>
                <w:b/>
                <w:sz w:val="20"/>
              </w:rPr>
            </w:pPr>
            <w:r>
              <w:rPr>
                <w:spacing w:val="-3"/>
                <w:w w:val="95"/>
                <w:sz w:val="20"/>
              </w:rPr>
              <w:t>为了治疗主动脉疾病实际实施的经皮经导管进行的动脉内手术。主动脉指胸主动脉和腹主   </w:t>
            </w:r>
            <w:r>
              <w:rPr>
                <w:spacing w:val="-3"/>
                <w:sz w:val="20"/>
              </w:rPr>
              <w:t>动脉，</w:t>
            </w:r>
            <w:r>
              <w:rPr>
                <w:rFonts w:ascii="微软雅黑" w:eastAsia="微软雅黑" w:hint="eastAsia"/>
                <w:b/>
                <w:spacing w:val="-3"/>
                <w:sz w:val="20"/>
              </w:rPr>
              <w:t>不包括胸主动脉和腹主动脉的分支血管。</w:t>
            </w:r>
          </w:p>
        </w:tc>
      </w:tr>
      <w:tr>
        <w:trPr>
          <w:trHeight w:val="2855" w:hRule="atLeast"/>
        </w:trPr>
        <w:tc>
          <w:tcPr>
            <w:tcW w:w="1860" w:type="dxa"/>
          </w:tcPr>
          <w:p>
            <w:pPr>
              <w:pStyle w:val="TableParagraph"/>
              <w:spacing w:line="285" w:lineRule="auto" w:before="4"/>
              <w:ind w:right="93"/>
              <w:rPr>
                <w:sz w:val="20"/>
              </w:rPr>
            </w:pPr>
            <w:r>
              <w:rPr>
                <w:sz w:val="20"/>
              </w:rPr>
              <w:t>13．早期原发性心</w:t>
            </w:r>
            <w:r>
              <w:rPr>
                <w:w w:val="95"/>
                <w:sz w:val="20"/>
              </w:rPr>
              <w:t>肌病</w:t>
            </w:r>
          </w:p>
        </w:tc>
        <w:tc>
          <w:tcPr>
            <w:tcW w:w="7932" w:type="dxa"/>
          </w:tcPr>
          <w:p>
            <w:pPr>
              <w:pStyle w:val="TableParagraph"/>
              <w:spacing w:before="4"/>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98"/>
              <w:rPr>
                <w:sz w:val="20"/>
              </w:rPr>
            </w:pPr>
            <w:r>
              <w:rPr>
                <w:spacing w:val="-3"/>
                <w:w w:val="95"/>
                <w:sz w:val="20"/>
              </w:rPr>
              <w:t>原发性心肌病的诊断必须由本公司认可医院的心脏专科医师确认，并提供心脏超声检查结   果报告。</w:t>
            </w:r>
          </w:p>
          <w:p>
            <w:pPr>
              <w:pStyle w:val="TableParagraph"/>
              <w:spacing w:line="282" w:lineRule="exact"/>
              <w:rPr>
                <w:rFonts w:ascii="微软雅黑" w:eastAsia="微软雅黑" w:hint="eastAsia"/>
                <w:b/>
                <w:sz w:val="20"/>
              </w:rPr>
            </w:pPr>
            <w:r>
              <w:rPr>
                <w:w w:val="95"/>
                <w:sz w:val="20"/>
              </w:rPr>
              <w:t>本保障范围内的心肌病包括扩张型心肌病、肥厚型心肌病及限制型心肌病。</w:t>
            </w:r>
            <w:r>
              <w:rPr>
                <w:rFonts w:ascii="微软雅黑" w:eastAsia="微软雅黑" w:hint="eastAsia"/>
                <w:b/>
                <w:w w:val="95"/>
                <w:sz w:val="20"/>
              </w:rPr>
              <w:t>继发于全身性</w:t>
            </w:r>
          </w:p>
          <w:p>
            <w:pPr>
              <w:pStyle w:val="TableParagraph"/>
              <w:spacing w:line="329" w:lineRule="exact"/>
              <w:rPr>
                <w:rFonts w:ascii="微软雅黑" w:eastAsia="微软雅黑" w:hint="eastAsia"/>
                <w:b/>
                <w:sz w:val="20"/>
              </w:rPr>
            </w:pPr>
            <w:r>
              <w:rPr>
                <w:rFonts w:ascii="微软雅黑" w:eastAsia="微软雅黑" w:hint="eastAsia"/>
                <w:b/>
                <w:sz w:val="20"/>
              </w:rPr>
              <w:t>疾病或其它器官系统疾病以及由于酒精和药物滥用导致的心肌病不在保障范围内。</w:t>
            </w:r>
          </w:p>
        </w:tc>
      </w:tr>
      <w:tr>
        <w:trPr>
          <w:trHeight w:val="981" w:hRule="atLeast"/>
        </w:trPr>
        <w:tc>
          <w:tcPr>
            <w:tcW w:w="1860" w:type="dxa"/>
          </w:tcPr>
          <w:p>
            <w:pPr>
              <w:pStyle w:val="TableParagraph"/>
              <w:spacing w:before="1"/>
              <w:rPr>
                <w:sz w:val="20"/>
              </w:rPr>
            </w:pPr>
            <w:r>
              <w:rPr>
                <w:sz w:val="20"/>
              </w:rPr>
              <w:t>14．侵蚀性葡萄胎</w:t>
            </w:r>
          </w:p>
          <w:p>
            <w:pPr>
              <w:pStyle w:val="TableParagraph"/>
              <w:spacing w:line="285" w:lineRule="auto" w:before="50"/>
              <w:ind w:right="98"/>
              <w:rPr>
                <w:sz w:val="20"/>
              </w:rPr>
            </w:pPr>
            <w:r>
              <w:rPr>
                <w:sz w:val="20"/>
              </w:rPr>
              <w:t>（</w:t>
            </w:r>
            <w:r>
              <w:rPr>
                <w:spacing w:val="-33"/>
                <w:sz w:val="20"/>
              </w:rPr>
              <w:t> 或 称 恶 性 葡 萄</w:t>
            </w:r>
            <w:r>
              <w:rPr>
                <w:spacing w:val="-33"/>
                <w:w w:val="95"/>
                <w:sz w:val="20"/>
              </w:rPr>
              <w:t>胎）</w:t>
            </w:r>
          </w:p>
        </w:tc>
        <w:tc>
          <w:tcPr>
            <w:tcW w:w="7932" w:type="dxa"/>
          </w:tcPr>
          <w:p>
            <w:pPr>
              <w:pStyle w:val="TableParagraph"/>
              <w:spacing w:line="285" w:lineRule="auto" w:before="1"/>
              <w:ind w:right="98"/>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4"/>
              <w:ind w:right="93"/>
              <w:rPr>
                <w:sz w:val="20"/>
              </w:rPr>
            </w:pPr>
            <w:r>
              <w:rPr>
                <w:sz w:val="20"/>
              </w:rPr>
              <w:t>15．心脏起搏器或</w:t>
            </w:r>
            <w:r>
              <w:rPr>
                <w:w w:val="95"/>
                <w:sz w:val="20"/>
              </w:rPr>
              <w:t>除颤器植入</w:t>
            </w:r>
          </w:p>
        </w:tc>
        <w:tc>
          <w:tcPr>
            <w:tcW w:w="7932" w:type="dxa"/>
          </w:tcPr>
          <w:p>
            <w:pPr>
              <w:pStyle w:val="TableParagraph"/>
              <w:spacing w:line="285" w:lineRule="auto" w:before="4"/>
              <w:ind w:right="98"/>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4"/>
              <w:rPr>
                <w:sz w:val="20"/>
              </w:rPr>
            </w:pPr>
            <w:r>
              <w:rPr>
                <w:w w:val="95"/>
                <w:sz w:val="20"/>
              </w:rPr>
              <w:t>16．单个肢体缺失</w:t>
            </w:r>
          </w:p>
        </w:tc>
        <w:tc>
          <w:tcPr>
            <w:tcW w:w="7932" w:type="dxa"/>
          </w:tcPr>
          <w:p>
            <w:pPr>
              <w:pStyle w:val="TableParagraph"/>
              <w:spacing w:before="4"/>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1917" w:hRule="atLeast"/>
        </w:trPr>
        <w:tc>
          <w:tcPr>
            <w:tcW w:w="1860" w:type="dxa"/>
          </w:tcPr>
          <w:p>
            <w:pPr>
              <w:pStyle w:val="TableParagraph"/>
              <w:spacing w:before="1"/>
              <w:rPr>
                <w:sz w:val="20"/>
              </w:rPr>
            </w:pPr>
            <w:r>
              <w:rPr>
                <w:w w:val="95"/>
                <w:sz w:val="20"/>
              </w:rPr>
              <w:t>17．中度严重脑炎</w:t>
            </w:r>
          </w:p>
        </w:tc>
        <w:tc>
          <w:tcPr>
            <w:tcW w:w="7932" w:type="dxa"/>
          </w:tcPr>
          <w:p>
            <w:pPr>
              <w:pStyle w:val="TableParagraph"/>
              <w:spacing w:line="285" w:lineRule="auto" w:before="1"/>
              <w:ind w:right="101"/>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p>
            <w:pPr>
              <w:pStyle w:val="TableParagraph"/>
              <w:spacing w:before="12"/>
              <w:rPr>
                <w:sz w:val="20"/>
              </w:rPr>
            </w:pPr>
            <w:r>
              <w:rPr>
                <w:sz w:val="20"/>
              </w:rPr>
              <w:t>（1）一肢或一肢以上肢体肌力 III 级或 III 级以下的运动功能障碍。</w:t>
            </w:r>
          </w:p>
          <w:p>
            <w:pPr>
              <w:pStyle w:val="TableParagraph"/>
              <w:spacing w:line="312" w:lineRule="exact" w:before="34"/>
              <w:ind w:right="-15" w:hanging="1"/>
              <w:rPr>
                <w:rFonts w:ascii="微软雅黑" w:eastAsia="微软雅黑" w:hint="eastAsia"/>
                <w:b/>
                <w:sz w:val="20"/>
              </w:rPr>
            </w:pPr>
            <w:r>
              <w:rPr>
                <w:spacing w:val="-15"/>
                <w:sz w:val="20"/>
              </w:rPr>
              <w:t>（2）</w:t>
            </w:r>
            <w:r>
              <w:rPr>
                <w:spacing w:val="-6"/>
                <w:sz w:val="20"/>
              </w:rPr>
              <w:t>自主生活能力部分丧失，无法独立完成六项基本日常生活活动中的 </w:t>
            </w:r>
            <w:r>
              <w:rPr>
                <w:sz w:val="20"/>
              </w:rPr>
              <w:t>2</w:t>
            </w:r>
            <w:r>
              <w:rPr>
                <w:spacing w:val="-27"/>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8"/>
                <w:w w:val="99"/>
                <w:sz w:val="20"/>
              </w:rPr>
              <w:t>染导致的脑炎。</w:t>
            </w:r>
            <w:r>
              <w:rPr>
                <w:rFonts w:ascii="微软雅黑" w:eastAsia="微软雅黑" w:hint="eastAsia"/>
                <w:b/>
                <w:w w:val="99"/>
                <w:sz w:val="20"/>
              </w:rPr>
              <w:t>由人类免疫缺陷病毒（</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spacing w:val="2"/>
                <w:w w:val="69"/>
                <w:sz w:val="20"/>
              </w:rPr>
              <w:t>V</w:t>
            </w:r>
            <w:r>
              <w:rPr>
                <w:rFonts w:ascii="微软雅黑" w:eastAsia="微软雅黑" w:hint="eastAsia"/>
                <w:b/>
                <w:spacing w:val="1"/>
                <w:w w:val="99"/>
                <w:sz w:val="20"/>
              </w:rPr>
              <w:t>）</w:t>
            </w:r>
            <w:r>
              <w:rPr>
                <w:rFonts w:ascii="微软雅黑" w:eastAsia="微软雅黑" w:hint="eastAsia"/>
                <w:b/>
                <w:w w:val="99"/>
                <w:sz w:val="20"/>
              </w:rPr>
              <w:t>导致的脑炎不在保障范围内。</w:t>
            </w:r>
          </w:p>
        </w:tc>
      </w:tr>
      <w:tr>
        <w:trPr>
          <w:trHeight w:val="3165" w:hRule="atLeast"/>
        </w:trPr>
        <w:tc>
          <w:tcPr>
            <w:tcW w:w="1860" w:type="dxa"/>
          </w:tcPr>
          <w:p>
            <w:pPr>
              <w:pStyle w:val="TableParagraph"/>
              <w:spacing w:line="285" w:lineRule="auto" w:before="4"/>
              <w:ind w:right="93"/>
              <w:rPr>
                <w:sz w:val="20"/>
              </w:rPr>
            </w:pPr>
            <w:r>
              <w:rPr>
                <w:sz w:val="20"/>
              </w:rPr>
              <w:t>18．中度严重重症</w:t>
            </w:r>
            <w:r>
              <w:rPr>
                <w:w w:val="95"/>
                <w:sz w:val="20"/>
              </w:rPr>
              <w:t>肌无力症</w:t>
            </w:r>
          </w:p>
        </w:tc>
        <w:tc>
          <w:tcPr>
            <w:tcW w:w="7932" w:type="dxa"/>
          </w:tcPr>
          <w:p>
            <w:pPr>
              <w:pStyle w:val="TableParagraph"/>
              <w:spacing w:line="285" w:lineRule="auto" w:before="4"/>
              <w:ind w:right="98"/>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8"/>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5"/>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4"/>
              <w:rPr>
                <w:sz w:val="20"/>
              </w:rPr>
            </w:pPr>
            <w:r>
              <w:rPr>
                <w:spacing w:val="-28"/>
                <w:sz w:val="20"/>
              </w:rPr>
              <w:t>第 </w:t>
            </w:r>
            <w:r>
              <w:rPr>
                <w:sz w:val="20"/>
              </w:rPr>
              <w:t>III</w:t>
            </w:r>
            <w:r>
              <w:rPr>
                <w:spacing w:val="-8"/>
                <w:sz w:val="20"/>
              </w:rPr>
              <w:t> 级：任何程度之眼部肌肉无力，及其他部位之中度肌肉无力。</w:t>
            </w:r>
            <w:r>
              <w:rPr>
                <w:spacing w:val="-31"/>
                <w:sz w:val="20"/>
              </w:rPr>
              <w:t>第 </w:t>
            </w:r>
            <w:r>
              <w:rPr>
                <w:sz w:val="20"/>
              </w:rPr>
              <w:t>IV</w:t>
            </w:r>
            <w:r>
              <w:rPr>
                <w:spacing w:val="-8"/>
                <w:sz w:val="20"/>
              </w:rPr>
              <w:t> 级：任何程度之眼部肌肉无力，及其他部位之严重肌肉无力。</w:t>
            </w:r>
            <w:r>
              <w:rPr>
                <w:spacing w:val="-32"/>
                <w:sz w:val="20"/>
              </w:rPr>
              <w:t>第 </w:t>
            </w:r>
            <w:r>
              <w:rPr>
                <w:sz w:val="20"/>
              </w:rPr>
              <w:t>V</w:t>
            </w:r>
            <w:r>
              <w:rPr>
                <w:spacing w:val="-8"/>
                <w:sz w:val="20"/>
              </w:rPr>
              <w:t> 级：需要气管插管以维持气管畅通。</w:t>
            </w:r>
          </w:p>
        </w:tc>
      </w:tr>
      <w:tr>
        <w:trPr>
          <w:trHeight w:val="359" w:hRule="atLeast"/>
        </w:trPr>
        <w:tc>
          <w:tcPr>
            <w:tcW w:w="1860" w:type="dxa"/>
          </w:tcPr>
          <w:p>
            <w:pPr>
              <w:pStyle w:val="TableParagraph"/>
              <w:spacing w:before="3"/>
              <w:rPr>
                <w:sz w:val="20"/>
              </w:rPr>
            </w:pPr>
            <w:r>
              <w:rPr>
                <w:sz w:val="20"/>
              </w:rPr>
              <w:t>19．中度严重溃疡</w:t>
            </w:r>
          </w:p>
        </w:tc>
        <w:tc>
          <w:tcPr>
            <w:tcW w:w="7932" w:type="dxa"/>
          </w:tcPr>
          <w:p>
            <w:pPr>
              <w:pStyle w:val="TableParagraph"/>
              <w:spacing w:before="3"/>
              <w:rPr>
                <w:sz w:val="20"/>
              </w:rPr>
            </w:pPr>
            <w:r>
              <w:rPr>
                <w:w w:val="95"/>
                <w:sz w:val="20"/>
              </w:rPr>
              <w:t>溃疡性结肠炎是指伴有致命性电解质紊乱及肠道肿胀及有肠破裂的风险的大肠（结肠及直</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1605" w:hRule="atLeast"/>
        </w:trPr>
        <w:tc>
          <w:tcPr>
            <w:tcW w:w="1860" w:type="dxa"/>
          </w:tcPr>
          <w:p>
            <w:pPr>
              <w:pStyle w:val="TableParagraph"/>
              <w:spacing w:before="4"/>
              <w:rPr>
                <w:sz w:val="20"/>
              </w:rPr>
            </w:pPr>
            <w:r>
              <w:rPr>
                <w:w w:val="95"/>
                <w:sz w:val="20"/>
              </w:rPr>
              <w:t>性结肠炎</w:t>
            </w:r>
          </w:p>
        </w:tc>
        <w:tc>
          <w:tcPr>
            <w:tcW w:w="7932" w:type="dxa"/>
          </w:tcPr>
          <w:p>
            <w:pPr>
              <w:pStyle w:val="TableParagraph"/>
              <w:spacing w:before="4"/>
              <w:rPr>
                <w:sz w:val="20"/>
              </w:rPr>
            </w:pPr>
            <w:r>
              <w:rPr>
                <w:w w:val="95"/>
                <w:sz w:val="20"/>
              </w:rPr>
              <w:t>肠）粘膜炎症。须满足下列所有条件：</w:t>
            </w:r>
          </w:p>
          <w:p>
            <w:pPr>
              <w:pStyle w:val="TableParagraph"/>
              <w:numPr>
                <w:ilvl w:val="0"/>
                <w:numId w:val="35"/>
              </w:numPr>
              <w:tabs>
                <w:tab w:pos="528" w:val="left" w:leader="none"/>
              </w:tabs>
              <w:spacing w:line="285" w:lineRule="auto" w:before="50" w:after="0"/>
              <w:ind w:left="527" w:right="96" w:hanging="420"/>
              <w:jc w:val="left"/>
              <w:rPr>
                <w:sz w:val="20"/>
              </w:rPr>
            </w:pPr>
            <w:r>
              <w:rPr>
                <w:sz w:val="20"/>
              </w:rPr>
              <w:t>须经由内窥镜检查证实该疾病侵犯全部结肠及直肠，并经病理学组织切片检查证实</w:t>
            </w:r>
            <w:r>
              <w:rPr>
                <w:w w:val="95"/>
                <w:sz w:val="20"/>
              </w:rPr>
              <w:t>为溃疡性结肠炎。</w:t>
            </w:r>
          </w:p>
          <w:p>
            <w:pPr>
              <w:pStyle w:val="TableParagraph"/>
              <w:numPr>
                <w:ilvl w:val="0"/>
                <w:numId w:val="35"/>
              </w:numPr>
              <w:tabs>
                <w:tab w:pos="528" w:val="left" w:leader="none"/>
              </w:tabs>
              <w:spacing w:line="240" w:lineRule="auto" w:before="12" w:after="0"/>
              <w:ind w:left="527" w:right="0" w:hanging="420"/>
              <w:jc w:val="left"/>
              <w:rPr>
                <w:sz w:val="20"/>
              </w:rPr>
            </w:pPr>
            <w:r>
              <w:rPr>
                <w:spacing w:val="-3"/>
                <w:sz w:val="20"/>
              </w:rPr>
              <w:t>经专科医生以类固醇或免疫抑制剂连续治疗 </w:t>
            </w:r>
            <w:r>
              <w:rPr>
                <w:sz w:val="20"/>
              </w:rPr>
              <w:t>6</w:t>
            </w:r>
            <w:r>
              <w:rPr>
                <w:spacing w:val="-14"/>
                <w:sz w:val="20"/>
              </w:rPr>
              <w:t>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5" w:hRule="atLeast"/>
        </w:trPr>
        <w:tc>
          <w:tcPr>
            <w:tcW w:w="1860" w:type="dxa"/>
          </w:tcPr>
          <w:p>
            <w:pPr>
              <w:pStyle w:val="TableParagraph"/>
              <w:spacing w:line="285" w:lineRule="auto" w:before="4"/>
              <w:ind w:right="93"/>
              <w:jc w:val="both"/>
              <w:rPr>
                <w:sz w:val="20"/>
              </w:rPr>
            </w:pPr>
            <w:r>
              <w:rPr>
                <w:sz w:val="20"/>
              </w:rPr>
              <w:t>20．特定周围动脉狭窄的血管介入治疗</w:t>
            </w:r>
          </w:p>
        </w:tc>
        <w:tc>
          <w:tcPr>
            <w:tcW w:w="7932" w:type="dxa"/>
          </w:tcPr>
          <w:p>
            <w:pPr>
              <w:pStyle w:val="TableParagraph"/>
              <w:spacing w:line="285" w:lineRule="auto" w:before="4"/>
              <w:ind w:right="98"/>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4"/>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spacing w:after="0"/>
        <w:jc w:val="both"/>
        <w:rPr>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2248;mso-wrap-distance-left:0;mso-wrap-distance-right:0" from="55.190639pt,19.559998pt" to="776.270623pt,19.559998pt" stroked="true" strokeweight=".48pt" strokecolor="#000000">
            <v:stroke dashstyle="solid"/>
            <w10:wrap type="topAndBottom"/>
          </v:line>
        </w:pict>
      </w:r>
      <w:r>
        <w:rPr/>
        <w:t>附录三 本合同承保的重大疾病的分组</w:t>
      </w:r>
    </w:p>
    <w:p>
      <w:pPr>
        <w:spacing w:before="86" w:after="38"/>
        <w:ind w:left="132" w:right="0" w:firstLine="0"/>
        <w:jc w:val="left"/>
        <w:rPr>
          <w:sz w:val="24"/>
        </w:rPr>
      </w:pPr>
      <w:r>
        <w:rPr>
          <w:sz w:val="24"/>
        </w:rPr>
        <w:t>本合同所承保的所有重大疾病分为以下三组：</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4"/>
        <w:gridCol w:w="4592"/>
        <w:gridCol w:w="4597"/>
      </w:tblGrid>
      <w:tr>
        <w:trPr>
          <w:trHeight w:val="311" w:hRule="atLeast"/>
        </w:trPr>
        <w:tc>
          <w:tcPr>
            <w:tcW w:w="4594" w:type="dxa"/>
          </w:tcPr>
          <w:p>
            <w:pPr>
              <w:pStyle w:val="TableParagraph"/>
              <w:spacing w:line="278" w:lineRule="exact"/>
              <w:ind w:left="2080" w:right="2074"/>
              <w:jc w:val="center"/>
              <w:rPr>
                <w:rFonts w:ascii="微软雅黑" w:eastAsia="微软雅黑" w:hint="eastAsia"/>
                <w:b/>
                <w:sz w:val="20"/>
              </w:rPr>
            </w:pPr>
            <w:r>
              <w:rPr>
                <w:rFonts w:ascii="微软雅黑" w:eastAsia="微软雅黑" w:hint="eastAsia"/>
                <w:b/>
                <w:w w:val="95"/>
                <w:sz w:val="20"/>
              </w:rPr>
              <w:t>A 组</w:t>
            </w:r>
          </w:p>
        </w:tc>
        <w:tc>
          <w:tcPr>
            <w:tcW w:w="4592" w:type="dxa"/>
          </w:tcPr>
          <w:p>
            <w:pPr>
              <w:pStyle w:val="TableParagraph"/>
              <w:spacing w:line="278" w:lineRule="exact"/>
              <w:ind w:left="2086" w:right="2078"/>
              <w:jc w:val="center"/>
              <w:rPr>
                <w:rFonts w:ascii="微软雅黑" w:eastAsia="微软雅黑" w:hint="eastAsia"/>
                <w:b/>
                <w:sz w:val="20"/>
              </w:rPr>
            </w:pPr>
            <w:r>
              <w:rPr>
                <w:rFonts w:ascii="微软雅黑" w:eastAsia="微软雅黑" w:hint="eastAsia"/>
                <w:b/>
                <w:w w:val="95"/>
                <w:sz w:val="20"/>
              </w:rPr>
              <w:t>B 组</w:t>
            </w:r>
          </w:p>
        </w:tc>
        <w:tc>
          <w:tcPr>
            <w:tcW w:w="4597" w:type="dxa"/>
          </w:tcPr>
          <w:p>
            <w:pPr>
              <w:pStyle w:val="TableParagraph"/>
              <w:spacing w:line="278" w:lineRule="exact"/>
              <w:ind w:left="2079" w:right="2073"/>
              <w:jc w:val="center"/>
              <w:rPr>
                <w:rFonts w:ascii="微软雅黑" w:eastAsia="微软雅黑" w:hint="eastAsia"/>
                <w:b/>
                <w:sz w:val="20"/>
              </w:rPr>
            </w:pPr>
            <w:r>
              <w:rPr>
                <w:rFonts w:ascii="微软雅黑" w:eastAsia="微软雅黑" w:hint="eastAsia"/>
                <w:b/>
                <w:sz w:val="20"/>
              </w:rPr>
              <w:t>C 组</w:t>
            </w:r>
          </w:p>
        </w:tc>
      </w:tr>
      <w:tr>
        <w:trPr>
          <w:trHeight w:val="309" w:hRule="atLeast"/>
        </w:trPr>
        <w:tc>
          <w:tcPr>
            <w:tcW w:w="4594" w:type="dxa"/>
            <w:tcBorders>
              <w:bottom w:val="nil"/>
            </w:tcBorders>
          </w:tcPr>
          <w:p>
            <w:pPr>
              <w:pStyle w:val="TableParagraph"/>
              <w:spacing w:line="254" w:lineRule="exact"/>
              <w:rPr>
                <w:sz w:val="20"/>
              </w:rPr>
            </w:pPr>
            <w:r>
              <w:rPr>
                <w:sz w:val="20"/>
              </w:rPr>
              <w:t>1. 恶性肿瘤</w:t>
            </w:r>
          </w:p>
        </w:tc>
        <w:tc>
          <w:tcPr>
            <w:tcW w:w="4592" w:type="dxa"/>
            <w:tcBorders>
              <w:bottom w:val="nil"/>
            </w:tcBorders>
          </w:tcPr>
          <w:p>
            <w:pPr>
              <w:pStyle w:val="TableParagraph"/>
              <w:spacing w:line="254" w:lineRule="exact"/>
              <w:rPr>
                <w:sz w:val="20"/>
              </w:rPr>
            </w:pPr>
            <w:r>
              <w:rPr>
                <w:sz w:val="20"/>
              </w:rPr>
              <w:t>3. 脑中风后遗症</w:t>
            </w:r>
          </w:p>
        </w:tc>
        <w:tc>
          <w:tcPr>
            <w:tcW w:w="4597" w:type="dxa"/>
            <w:tcBorders>
              <w:bottom w:val="nil"/>
            </w:tcBorders>
          </w:tcPr>
          <w:p>
            <w:pPr>
              <w:pStyle w:val="TableParagraph"/>
              <w:spacing w:line="254" w:lineRule="exact"/>
              <w:ind w:left="109"/>
              <w:rPr>
                <w:sz w:val="20"/>
              </w:rPr>
            </w:pPr>
            <w:r>
              <w:rPr>
                <w:sz w:val="20"/>
              </w:rPr>
              <w:t>2. 急性心肌梗塞</w:t>
            </w:r>
          </w:p>
        </w:tc>
      </w:tr>
      <w:tr>
        <w:trPr>
          <w:trHeight w:val="311" w:hRule="atLeast"/>
        </w:trPr>
        <w:tc>
          <w:tcPr>
            <w:tcW w:w="4594" w:type="dxa"/>
            <w:tcBorders>
              <w:top w:val="nil"/>
              <w:bottom w:val="nil"/>
            </w:tcBorders>
          </w:tcPr>
          <w:p>
            <w:pPr>
              <w:pStyle w:val="TableParagraph"/>
              <w:spacing w:line="256" w:lineRule="exact"/>
              <w:rPr>
                <w:sz w:val="20"/>
              </w:rPr>
            </w:pPr>
            <w:r>
              <w:rPr>
                <w:sz w:val="20"/>
              </w:rPr>
              <w:t>4. 重大器官移植术或造血干细胞移植术</w:t>
            </w:r>
          </w:p>
        </w:tc>
        <w:tc>
          <w:tcPr>
            <w:tcW w:w="4592" w:type="dxa"/>
            <w:tcBorders>
              <w:top w:val="nil"/>
              <w:bottom w:val="nil"/>
            </w:tcBorders>
          </w:tcPr>
          <w:p>
            <w:pPr>
              <w:pStyle w:val="TableParagraph"/>
              <w:spacing w:line="256" w:lineRule="exact"/>
              <w:rPr>
                <w:sz w:val="20"/>
              </w:rPr>
            </w:pPr>
            <w:r>
              <w:rPr>
                <w:sz w:val="20"/>
              </w:rPr>
              <w:t>7. 多个肢体缺失</w:t>
            </w:r>
          </w:p>
        </w:tc>
        <w:tc>
          <w:tcPr>
            <w:tcW w:w="4597" w:type="dxa"/>
            <w:tcBorders>
              <w:top w:val="nil"/>
              <w:bottom w:val="nil"/>
            </w:tcBorders>
          </w:tcPr>
          <w:p>
            <w:pPr>
              <w:pStyle w:val="TableParagraph"/>
              <w:spacing w:line="256" w:lineRule="exact"/>
              <w:ind w:left="109"/>
              <w:rPr>
                <w:sz w:val="20"/>
              </w:rPr>
            </w:pPr>
            <w:r>
              <w:rPr>
                <w:sz w:val="20"/>
              </w:rPr>
              <w:t>5. 冠状动脉搭桥术（或称冠状动脉旁路移植术）</w:t>
            </w:r>
          </w:p>
        </w:tc>
      </w:tr>
      <w:tr>
        <w:trPr>
          <w:trHeight w:val="311" w:hRule="atLeast"/>
        </w:trPr>
        <w:tc>
          <w:tcPr>
            <w:tcW w:w="4594" w:type="dxa"/>
            <w:tcBorders>
              <w:top w:val="nil"/>
              <w:bottom w:val="nil"/>
            </w:tcBorders>
          </w:tcPr>
          <w:p>
            <w:pPr>
              <w:pStyle w:val="TableParagraph"/>
              <w:spacing w:line="256" w:lineRule="exact"/>
              <w:rPr>
                <w:sz w:val="20"/>
              </w:rPr>
            </w:pPr>
            <w:r>
              <w:rPr>
                <w:sz w:val="20"/>
              </w:rPr>
              <w:t>6. 终末期肾病（或称慢性肾功能衰竭尿毒症期）</w:t>
            </w:r>
          </w:p>
        </w:tc>
        <w:tc>
          <w:tcPr>
            <w:tcW w:w="4592" w:type="dxa"/>
            <w:tcBorders>
              <w:top w:val="nil"/>
              <w:bottom w:val="nil"/>
            </w:tcBorders>
          </w:tcPr>
          <w:p>
            <w:pPr>
              <w:pStyle w:val="TableParagraph"/>
              <w:spacing w:line="256" w:lineRule="exact"/>
              <w:rPr>
                <w:sz w:val="20"/>
              </w:rPr>
            </w:pPr>
            <w:r>
              <w:rPr>
                <w:sz w:val="20"/>
              </w:rPr>
              <w:t>9. 良性脑肿瘤</w:t>
            </w:r>
          </w:p>
        </w:tc>
        <w:tc>
          <w:tcPr>
            <w:tcW w:w="4597" w:type="dxa"/>
            <w:tcBorders>
              <w:top w:val="nil"/>
              <w:bottom w:val="nil"/>
            </w:tcBorders>
          </w:tcPr>
          <w:p>
            <w:pPr>
              <w:pStyle w:val="TableParagraph"/>
              <w:spacing w:line="256" w:lineRule="exact"/>
              <w:ind w:left="109"/>
              <w:rPr>
                <w:sz w:val="20"/>
              </w:rPr>
            </w:pPr>
            <w:r>
              <w:rPr>
                <w:w w:val="95"/>
                <w:sz w:val="20"/>
              </w:rPr>
              <w:t>15.心脏瓣膜手术</w:t>
            </w:r>
          </w:p>
        </w:tc>
      </w:tr>
      <w:tr>
        <w:trPr>
          <w:trHeight w:val="311" w:hRule="atLeast"/>
        </w:trPr>
        <w:tc>
          <w:tcPr>
            <w:tcW w:w="4594" w:type="dxa"/>
            <w:tcBorders>
              <w:top w:val="nil"/>
              <w:bottom w:val="nil"/>
            </w:tcBorders>
          </w:tcPr>
          <w:p>
            <w:pPr>
              <w:pStyle w:val="TableParagraph"/>
              <w:spacing w:line="256" w:lineRule="exact"/>
              <w:rPr>
                <w:sz w:val="20"/>
              </w:rPr>
            </w:pPr>
            <w:r>
              <w:rPr>
                <w:sz w:val="20"/>
              </w:rPr>
              <w:t>8. 急性或亚急性重症肝炎</w:t>
            </w:r>
          </w:p>
        </w:tc>
        <w:tc>
          <w:tcPr>
            <w:tcW w:w="4592" w:type="dxa"/>
            <w:tcBorders>
              <w:top w:val="nil"/>
              <w:bottom w:val="nil"/>
            </w:tcBorders>
          </w:tcPr>
          <w:p>
            <w:pPr>
              <w:pStyle w:val="TableParagraph"/>
              <w:spacing w:line="256" w:lineRule="exact"/>
              <w:rPr>
                <w:sz w:val="20"/>
              </w:rPr>
            </w:pPr>
            <w:r>
              <w:rPr>
                <w:w w:val="95"/>
                <w:sz w:val="20"/>
              </w:rPr>
              <w:t>11.脑炎后遗症或脑膜炎后遗症</w:t>
            </w:r>
          </w:p>
        </w:tc>
        <w:tc>
          <w:tcPr>
            <w:tcW w:w="4597" w:type="dxa"/>
            <w:tcBorders>
              <w:top w:val="nil"/>
              <w:bottom w:val="nil"/>
            </w:tcBorders>
          </w:tcPr>
          <w:p>
            <w:pPr>
              <w:pStyle w:val="TableParagraph"/>
              <w:spacing w:line="256" w:lineRule="exact"/>
              <w:ind w:left="109"/>
              <w:rPr>
                <w:sz w:val="20"/>
              </w:rPr>
            </w:pPr>
            <w:r>
              <w:rPr>
                <w:w w:val="95"/>
                <w:sz w:val="20"/>
              </w:rPr>
              <w:t>19.严重Ⅲ度烧伤</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10.慢性肝功能衰竭失代偿期</w:t>
            </w:r>
          </w:p>
        </w:tc>
        <w:tc>
          <w:tcPr>
            <w:tcW w:w="4592" w:type="dxa"/>
            <w:tcBorders>
              <w:top w:val="nil"/>
              <w:bottom w:val="nil"/>
            </w:tcBorders>
          </w:tcPr>
          <w:p>
            <w:pPr>
              <w:pStyle w:val="TableParagraph"/>
              <w:spacing w:line="256" w:lineRule="exact"/>
              <w:rPr>
                <w:sz w:val="20"/>
              </w:rPr>
            </w:pPr>
            <w:r>
              <w:rPr>
                <w:w w:val="95"/>
                <w:sz w:val="20"/>
              </w:rPr>
              <w:t>12.双耳失聪</w:t>
            </w:r>
          </w:p>
        </w:tc>
        <w:tc>
          <w:tcPr>
            <w:tcW w:w="4597" w:type="dxa"/>
            <w:tcBorders>
              <w:top w:val="nil"/>
              <w:bottom w:val="nil"/>
            </w:tcBorders>
          </w:tcPr>
          <w:p>
            <w:pPr>
              <w:pStyle w:val="TableParagraph"/>
              <w:spacing w:line="256" w:lineRule="exact"/>
              <w:ind w:left="109"/>
              <w:rPr>
                <w:sz w:val="20"/>
              </w:rPr>
            </w:pPr>
            <w:r>
              <w:rPr>
                <w:w w:val="95"/>
                <w:sz w:val="20"/>
              </w:rPr>
              <w:t>24.主动脉手术</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20.严重原发性肺动脉高压</w:t>
            </w:r>
          </w:p>
        </w:tc>
        <w:tc>
          <w:tcPr>
            <w:tcW w:w="4592" w:type="dxa"/>
            <w:tcBorders>
              <w:top w:val="nil"/>
              <w:bottom w:val="nil"/>
            </w:tcBorders>
          </w:tcPr>
          <w:p>
            <w:pPr>
              <w:pStyle w:val="TableParagraph"/>
              <w:spacing w:line="256" w:lineRule="exact"/>
              <w:rPr>
                <w:sz w:val="20"/>
              </w:rPr>
            </w:pPr>
            <w:r>
              <w:rPr>
                <w:w w:val="95"/>
                <w:sz w:val="20"/>
              </w:rPr>
              <w:t>13.双目失明</w:t>
            </w:r>
          </w:p>
        </w:tc>
        <w:tc>
          <w:tcPr>
            <w:tcW w:w="4597" w:type="dxa"/>
            <w:tcBorders>
              <w:top w:val="nil"/>
              <w:bottom w:val="nil"/>
            </w:tcBorders>
          </w:tcPr>
          <w:p>
            <w:pPr>
              <w:pStyle w:val="TableParagraph"/>
              <w:spacing w:line="256" w:lineRule="exact"/>
              <w:ind w:left="109"/>
              <w:rPr>
                <w:sz w:val="20"/>
              </w:rPr>
            </w:pPr>
            <w:r>
              <w:rPr>
                <w:w w:val="95"/>
                <w:sz w:val="20"/>
              </w:rPr>
              <w:t>25.原发性心肌病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23.重型再生障碍性贫血</w:t>
            </w:r>
          </w:p>
        </w:tc>
        <w:tc>
          <w:tcPr>
            <w:tcW w:w="4592" w:type="dxa"/>
            <w:tcBorders>
              <w:top w:val="nil"/>
              <w:bottom w:val="nil"/>
            </w:tcBorders>
          </w:tcPr>
          <w:p>
            <w:pPr>
              <w:pStyle w:val="TableParagraph"/>
              <w:spacing w:line="256" w:lineRule="exact"/>
              <w:rPr>
                <w:sz w:val="20"/>
              </w:rPr>
            </w:pPr>
            <w:r>
              <w:rPr>
                <w:w w:val="95"/>
                <w:sz w:val="20"/>
              </w:rPr>
              <w:t>14.瘫痪</w:t>
            </w:r>
          </w:p>
        </w:tc>
        <w:tc>
          <w:tcPr>
            <w:tcW w:w="4597" w:type="dxa"/>
            <w:tcBorders>
              <w:top w:val="nil"/>
              <w:bottom w:val="nil"/>
            </w:tcBorders>
          </w:tcPr>
          <w:p>
            <w:pPr>
              <w:pStyle w:val="TableParagraph"/>
              <w:spacing w:line="256" w:lineRule="exact"/>
              <w:ind w:left="109"/>
              <w:rPr>
                <w:sz w:val="20"/>
              </w:rPr>
            </w:pPr>
            <w:r>
              <w:rPr>
                <w:w w:val="95"/>
                <w:sz w:val="20"/>
              </w:rPr>
              <w:t>27.经输血导致的人类免疫缺陷病毒感染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30.系统性红斑狼疮</w:t>
            </w:r>
          </w:p>
        </w:tc>
        <w:tc>
          <w:tcPr>
            <w:tcW w:w="4592" w:type="dxa"/>
            <w:tcBorders>
              <w:top w:val="nil"/>
              <w:bottom w:val="nil"/>
            </w:tcBorders>
          </w:tcPr>
          <w:p>
            <w:pPr>
              <w:pStyle w:val="TableParagraph"/>
              <w:spacing w:line="256" w:lineRule="exact"/>
              <w:rPr>
                <w:sz w:val="20"/>
              </w:rPr>
            </w:pPr>
            <w:r>
              <w:rPr>
                <w:w w:val="95"/>
                <w:sz w:val="20"/>
              </w:rPr>
              <w:t>16.严重阿尔茨海默病</w:t>
            </w:r>
          </w:p>
        </w:tc>
        <w:tc>
          <w:tcPr>
            <w:tcW w:w="4597" w:type="dxa"/>
            <w:tcBorders>
              <w:top w:val="nil"/>
              <w:bottom w:val="nil"/>
            </w:tcBorders>
          </w:tcPr>
          <w:p>
            <w:pPr>
              <w:pStyle w:val="TableParagraph"/>
              <w:spacing w:line="256" w:lineRule="exact"/>
              <w:ind w:left="109"/>
              <w:rPr>
                <w:sz w:val="20"/>
              </w:rPr>
            </w:pPr>
            <w:r>
              <w:rPr>
                <w:w w:val="95"/>
                <w:sz w:val="20"/>
              </w:rPr>
              <w:t>37.坏死性筋膜炎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31.系统性硬化病</w:t>
            </w:r>
          </w:p>
        </w:tc>
        <w:tc>
          <w:tcPr>
            <w:tcW w:w="4592" w:type="dxa"/>
            <w:tcBorders>
              <w:top w:val="nil"/>
              <w:bottom w:val="nil"/>
            </w:tcBorders>
          </w:tcPr>
          <w:p>
            <w:pPr>
              <w:pStyle w:val="TableParagraph"/>
              <w:spacing w:line="256" w:lineRule="exact"/>
              <w:rPr>
                <w:sz w:val="20"/>
              </w:rPr>
            </w:pPr>
            <w:r>
              <w:rPr>
                <w:w w:val="95"/>
                <w:sz w:val="20"/>
              </w:rPr>
              <w:t>17.严重脑损伤</w:t>
            </w:r>
          </w:p>
        </w:tc>
        <w:tc>
          <w:tcPr>
            <w:tcW w:w="4597" w:type="dxa"/>
            <w:tcBorders>
              <w:top w:val="nil"/>
              <w:bottom w:val="nil"/>
            </w:tcBorders>
          </w:tcPr>
          <w:p>
            <w:pPr>
              <w:pStyle w:val="TableParagraph"/>
              <w:spacing w:line="256" w:lineRule="exact"/>
              <w:ind w:left="109"/>
              <w:rPr>
                <w:sz w:val="20"/>
              </w:rPr>
            </w:pPr>
            <w:r>
              <w:rPr>
                <w:w w:val="95"/>
                <w:sz w:val="20"/>
              </w:rPr>
              <w:t>40.象皮病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32.严重克隆病</w:t>
            </w:r>
          </w:p>
        </w:tc>
        <w:tc>
          <w:tcPr>
            <w:tcW w:w="4592" w:type="dxa"/>
            <w:tcBorders>
              <w:top w:val="nil"/>
              <w:bottom w:val="nil"/>
            </w:tcBorders>
          </w:tcPr>
          <w:p>
            <w:pPr>
              <w:pStyle w:val="TableParagraph"/>
              <w:spacing w:line="256" w:lineRule="exact"/>
              <w:rPr>
                <w:sz w:val="20"/>
              </w:rPr>
            </w:pPr>
            <w:r>
              <w:rPr>
                <w:w w:val="95"/>
                <w:sz w:val="20"/>
              </w:rPr>
              <w:t>18.严重帕金森病</w:t>
            </w:r>
          </w:p>
        </w:tc>
        <w:tc>
          <w:tcPr>
            <w:tcW w:w="4597" w:type="dxa"/>
            <w:tcBorders>
              <w:top w:val="nil"/>
              <w:bottom w:val="nil"/>
            </w:tcBorders>
          </w:tcPr>
          <w:p>
            <w:pPr>
              <w:pStyle w:val="TableParagraph"/>
              <w:spacing w:line="256" w:lineRule="exact"/>
              <w:ind w:left="109"/>
              <w:rPr>
                <w:sz w:val="20"/>
              </w:rPr>
            </w:pPr>
            <w:r>
              <w:rPr>
                <w:w w:val="95"/>
                <w:sz w:val="20"/>
              </w:rPr>
              <w:t>43.严重类风湿性关节炎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33.严重溃疡性结肠炎</w:t>
            </w:r>
          </w:p>
        </w:tc>
        <w:tc>
          <w:tcPr>
            <w:tcW w:w="4592" w:type="dxa"/>
            <w:tcBorders>
              <w:top w:val="nil"/>
              <w:bottom w:val="nil"/>
            </w:tcBorders>
          </w:tcPr>
          <w:p>
            <w:pPr>
              <w:pStyle w:val="TableParagraph"/>
              <w:spacing w:line="256" w:lineRule="exact"/>
              <w:rPr>
                <w:sz w:val="20"/>
              </w:rPr>
            </w:pPr>
            <w:r>
              <w:rPr>
                <w:w w:val="95"/>
                <w:sz w:val="20"/>
              </w:rPr>
              <w:t>21.严重运动神经元病</w:t>
            </w:r>
          </w:p>
        </w:tc>
        <w:tc>
          <w:tcPr>
            <w:tcW w:w="4597" w:type="dxa"/>
            <w:tcBorders>
              <w:top w:val="nil"/>
              <w:bottom w:val="nil"/>
            </w:tcBorders>
          </w:tcPr>
          <w:p>
            <w:pPr>
              <w:pStyle w:val="TableParagraph"/>
              <w:spacing w:line="256" w:lineRule="exact"/>
              <w:ind w:left="109"/>
              <w:rPr>
                <w:sz w:val="20"/>
              </w:rPr>
            </w:pPr>
            <w:r>
              <w:rPr>
                <w:w w:val="95"/>
                <w:sz w:val="20"/>
              </w:rPr>
              <w:t>44.严重心肌炎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34.急性坏死性胰腺炎</w:t>
            </w:r>
          </w:p>
        </w:tc>
        <w:tc>
          <w:tcPr>
            <w:tcW w:w="4592" w:type="dxa"/>
            <w:tcBorders>
              <w:top w:val="nil"/>
              <w:bottom w:val="nil"/>
            </w:tcBorders>
          </w:tcPr>
          <w:p>
            <w:pPr>
              <w:pStyle w:val="TableParagraph"/>
              <w:spacing w:line="256" w:lineRule="exact"/>
              <w:rPr>
                <w:sz w:val="20"/>
              </w:rPr>
            </w:pPr>
            <w:r>
              <w:rPr>
                <w:w w:val="95"/>
                <w:sz w:val="20"/>
              </w:rPr>
              <w:t>22.语言能力丧失</w:t>
            </w:r>
          </w:p>
        </w:tc>
        <w:tc>
          <w:tcPr>
            <w:tcW w:w="4597" w:type="dxa"/>
            <w:tcBorders>
              <w:top w:val="nil"/>
              <w:bottom w:val="nil"/>
            </w:tcBorders>
          </w:tcPr>
          <w:p>
            <w:pPr>
              <w:pStyle w:val="TableParagraph"/>
              <w:spacing w:line="256" w:lineRule="exact"/>
              <w:ind w:left="109"/>
              <w:rPr>
                <w:sz w:val="20"/>
              </w:rPr>
            </w:pPr>
            <w:r>
              <w:rPr>
                <w:w w:val="95"/>
                <w:sz w:val="20"/>
              </w:rPr>
              <w:t>56.感染性心内膜炎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35.慢性复发性胰腺炎</w:t>
            </w:r>
          </w:p>
        </w:tc>
        <w:tc>
          <w:tcPr>
            <w:tcW w:w="4592" w:type="dxa"/>
            <w:tcBorders>
              <w:top w:val="nil"/>
              <w:bottom w:val="nil"/>
            </w:tcBorders>
          </w:tcPr>
          <w:p>
            <w:pPr>
              <w:pStyle w:val="TableParagraph"/>
              <w:spacing w:line="256" w:lineRule="exact"/>
              <w:rPr>
                <w:sz w:val="20"/>
              </w:rPr>
            </w:pPr>
            <w:r>
              <w:rPr>
                <w:w w:val="95"/>
                <w:sz w:val="20"/>
              </w:rPr>
              <w:t>26.脊髓灰质炎</w:t>
            </w:r>
          </w:p>
        </w:tc>
        <w:tc>
          <w:tcPr>
            <w:tcW w:w="4597" w:type="dxa"/>
            <w:tcBorders>
              <w:top w:val="nil"/>
              <w:bottom w:val="nil"/>
            </w:tcBorders>
          </w:tcPr>
          <w:p>
            <w:pPr>
              <w:pStyle w:val="TableParagraph"/>
              <w:spacing w:line="256" w:lineRule="exact"/>
              <w:ind w:left="109"/>
              <w:rPr>
                <w:sz w:val="20"/>
              </w:rPr>
            </w:pPr>
            <w:r>
              <w:rPr>
                <w:w w:val="95"/>
                <w:sz w:val="20"/>
              </w:rPr>
              <w:t>59.因职业关系导致的人类免疫缺陷病毒感染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36.原发性硬化性胆管炎</w:t>
            </w:r>
          </w:p>
        </w:tc>
        <w:tc>
          <w:tcPr>
            <w:tcW w:w="4592" w:type="dxa"/>
            <w:tcBorders>
              <w:top w:val="nil"/>
              <w:bottom w:val="nil"/>
            </w:tcBorders>
          </w:tcPr>
          <w:p>
            <w:pPr>
              <w:pStyle w:val="TableParagraph"/>
              <w:spacing w:line="256" w:lineRule="exact"/>
              <w:rPr>
                <w:sz w:val="20"/>
              </w:rPr>
            </w:pPr>
            <w:r>
              <w:rPr>
                <w:w w:val="95"/>
                <w:sz w:val="20"/>
              </w:rPr>
              <w:t>28.肌营养不良症</w:t>
            </w:r>
          </w:p>
        </w:tc>
        <w:tc>
          <w:tcPr>
            <w:tcW w:w="4597" w:type="dxa"/>
            <w:tcBorders>
              <w:top w:val="nil"/>
              <w:bottom w:val="nil"/>
            </w:tcBorders>
          </w:tcPr>
          <w:p>
            <w:pPr>
              <w:pStyle w:val="TableParagraph"/>
              <w:spacing w:line="256" w:lineRule="exact"/>
              <w:ind w:left="109"/>
              <w:rPr>
                <w:sz w:val="20"/>
              </w:rPr>
            </w:pPr>
            <w:r>
              <w:rPr>
                <w:w w:val="95"/>
                <w:sz w:val="20"/>
              </w:rPr>
              <w:t>60.严重冠状动脉粥样硬化性心脏病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38.慢性肾上腺皮质功能衰竭</w:t>
            </w:r>
          </w:p>
        </w:tc>
        <w:tc>
          <w:tcPr>
            <w:tcW w:w="4592" w:type="dxa"/>
            <w:tcBorders>
              <w:top w:val="nil"/>
              <w:bottom w:val="nil"/>
            </w:tcBorders>
          </w:tcPr>
          <w:p>
            <w:pPr>
              <w:pStyle w:val="TableParagraph"/>
              <w:spacing w:line="256" w:lineRule="exact"/>
              <w:rPr>
                <w:sz w:val="20"/>
              </w:rPr>
            </w:pPr>
            <w:r>
              <w:rPr>
                <w:w w:val="95"/>
                <w:sz w:val="20"/>
              </w:rPr>
              <w:t>29.多发性硬化症</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39.慢性呼吸功能衰竭</w:t>
            </w:r>
          </w:p>
        </w:tc>
        <w:tc>
          <w:tcPr>
            <w:tcW w:w="4592" w:type="dxa"/>
            <w:tcBorders>
              <w:top w:val="nil"/>
              <w:bottom w:val="nil"/>
            </w:tcBorders>
          </w:tcPr>
          <w:p>
            <w:pPr>
              <w:pStyle w:val="TableParagraph"/>
              <w:spacing w:line="256" w:lineRule="exact"/>
              <w:rPr>
                <w:sz w:val="20"/>
              </w:rPr>
            </w:pPr>
            <w:r>
              <w:rPr>
                <w:w w:val="95"/>
                <w:sz w:val="20"/>
              </w:rPr>
              <w:t>41.全身性重症肌无力</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45.严重肺源性心脏病</w:t>
            </w:r>
          </w:p>
        </w:tc>
        <w:tc>
          <w:tcPr>
            <w:tcW w:w="4592" w:type="dxa"/>
            <w:tcBorders>
              <w:top w:val="nil"/>
              <w:bottom w:val="nil"/>
            </w:tcBorders>
          </w:tcPr>
          <w:p>
            <w:pPr>
              <w:pStyle w:val="TableParagraph"/>
              <w:spacing w:line="256" w:lineRule="exact"/>
              <w:rPr>
                <w:sz w:val="20"/>
              </w:rPr>
            </w:pPr>
            <w:r>
              <w:rPr>
                <w:w w:val="95"/>
                <w:sz w:val="20"/>
              </w:rPr>
              <w:t>42.疯牛病</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49.胰腺移植</w:t>
            </w:r>
          </w:p>
        </w:tc>
        <w:tc>
          <w:tcPr>
            <w:tcW w:w="4592" w:type="dxa"/>
            <w:tcBorders>
              <w:top w:val="nil"/>
              <w:bottom w:val="nil"/>
            </w:tcBorders>
          </w:tcPr>
          <w:p>
            <w:pPr>
              <w:pStyle w:val="TableParagraph"/>
              <w:spacing w:line="256" w:lineRule="exact"/>
              <w:rPr>
                <w:sz w:val="20"/>
              </w:rPr>
            </w:pPr>
            <w:r>
              <w:rPr>
                <w:w w:val="95"/>
                <w:sz w:val="20"/>
              </w:rPr>
              <w:t>46.植物人状态</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50.严重自身免疫性肝炎</w:t>
            </w:r>
          </w:p>
        </w:tc>
        <w:tc>
          <w:tcPr>
            <w:tcW w:w="4592" w:type="dxa"/>
            <w:tcBorders>
              <w:top w:val="nil"/>
              <w:bottom w:val="nil"/>
            </w:tcBorders>
          </w:tcPr>
          <w:p>
            <w:pPr>
              <w:pStyle w:val="TableParagraph"/>
              <w:spacing w:line="256" w:lineRule="exact"/>
              <w:rPr>
                <w:sz w:val="20"/>
              </w:rPr>
            </w:pPr>
            <w:r>
              <w:rPr>
                <w:w w:val="95"/>
                <w:sz w:val="20"/>
              </w:rPr>
              <w:t>47.非阿尔茨海默病所致严重痴呆</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51.骨髓纤维化</w:t>
            </w:r>
          </w:p>
        </w:tc>
        <w:tc>
          <w:tcPr>
            <w:tcW w:w="4592" w:type="dxa"/>
            <w:tcBorders>
              <w:top w:val="nil"/>
              <w:bottom w:val="nil"/>
            </w:tcBorders>
          </w:tcPr>
          <w:p>
            <w:pPr>
              <w:pStyle w:val="TableParagraph"/>
              <w:spacing w:line="256" w:lineRule="exact"/>
              <w:rPr>
                <w:sz w:val="20"/>
              </w:rPr>
            </w:pPr>
            <w:r>
              <w:rPr>
                <w:w w:val="95"/>
                <w:sz w:val="20"/>
              </w:rPr>
              <w:t>48.埃博拉病毒感染</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54.严重获得性或继发性肺泡蛋白质沉积症</w:t>
            </w:r>
          </w:p>
        </w:tc>
        <w:tc>
          <w:tcPr>
            <w:tcW w:w="4592" w:type="dxa"/>
            <w:tcBorders>
              <w:top w:val="nil"/>
              <w:bottom w:val="nil"/>
            </w:tcBorders>
          </w:tcPr>
          <w:p>
            <w:pPr>
              <w:pStyle w:val="TableParagraph"/>
              <w:spacing w:line="256" w:lineRule="exact"/>
              <w:rPr>
                <w:sz w:val="20"/>
              </w:rPr>
            </w:pPr>
            <w:r>
              <w:rPr>
                <w:w w:val="95"/>
                <w:sz w:val="20"/>
              </w:rPr>
              <w:t>52.进行性核上性麻痹</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55.肺淋巴管肌瘤病</w:t>
            </w:r>
          </w:p>
        </w:tc>
        <w:tc>
          <w:tcPr>
            <w:tcW w:w="4592" w:type="dxa"/>
            <w:tcBorders>
              <w:top w:val="nil"/>
              <w:bottom w:val="nil"/>
            </w:tcBorders>
          </w:tcPr>
          <w:p>
            <w:pPr>
              <w:pStyle w:val="TableParagraph"/>
              <w:spacing w:line="256" w:lineRule="exact"/>
              <w:rPr>
                <w:sz w:val="20"/>
              </w:rPr>
            </w:pPr>
            <w:r>
              <w:rPr>
                <w:w w:val="95"/>
                <w:sz w:val="20"/>
              </w:rPr>
              <w:t>53.一肢及单眼缺失</w:t>
            </w:r>
          </w:p>
        </w:tc>
        <w:tc>
          <w:tcPr>
            <w:tcW w:w="4597" w:type="dxa"/>
            <w:tcBorders>
              <w:top w:val="nil"/>
              <w:bottom w:val="nil"/>
            </w:tcBorders>
          </w:tcPr>
          <w:p>
            <w:pPr>
              <w:pStyle w:val="TableParagraph"/>
              <w:ind w:left="0"/>
              <w:rPr>
                <w:rFonts w:ascii="Times New Roman"/>
                <w:sz w:val="20"/>
              </w:rPr>
            </w:pPr>
          </w:p>
        </w:tc>
      </w:tr>
      <w:tr>
        <w:trPr>
          <w:trHeight w:val="313" w:hRule="atLeast"/>
        </w:trPr>
        <w:tc>
          <w:tcPr>
            <w:tcW w:w="4594" w:type="dxa"/>
            <w:tcBorders>
              <w:top w:val="nil"/>
            </w:tcBorders>
          </w:tcPr>
          <w:p>
            <w:pPr>
              <w:pStyle w:val="TableParagraph"/>
              <w:spacing w:line="256" w:lineRule="exact"/>
              <w:rPr>
                <w:sz w:val="20"/>
              </w:rPr>
            </w:pPr>
            <w:r>
              <w:rPr>
                <w:w w:val="95"/>
                <w:sz w:val="20"/>
              </w:rPr>
              <w:t>57.肝豆状核变性（威尔逊氏病)</w:t>
            </w:r>
          </w:p>
        </w:tc>
        <w:tc>
          <w:tcPr>
            <w:tcW w:w="4592" w:type="dxa"/>
            <w:tcBorders>
              <w:top w:val="nil"/>
            </w:tcBorders>
          </w:tcPr>
          <w:p>
            <w:pPr>
              <w:pStyle w:val="TableParagraph"/>
              <w:spacing w:line="256" w:lineRule="exact"/>
              <w:rPr>
                <w:sz w:val="20"/>
              </w:rPr>
            </w:pPr>
            <w:r>
              <w:rPr>
                <w:w w:val="95"/>
                <w:sz w:val="20"/>
              </w:rPr>
              <w:t>58.破裂脑动脉瘤夹闭手术</w:t>
            </w:r>
          </w:p>
        </w:tc>
        <w:tc>
          <w:tcPr>
            <w:tcW w:w="4597" w:type="dxa"/>
            <w:tcBorders>
              <w:top w:val="nil"/>
            </w:tcBorders>
          </w:tcPr>
          <w:p>
            <w:pPr>
              <w:pStyle w:val="TableParagraph"/>
              <w:ind w:left="0"/>
              <w:rPr>
                <w:rFonts w:ascii="Times New Roman"/>
                <w:sz w:val="20"/>
              </w:rPr>
            </w:pPr>
          </w:p>
        </w:tc>
      </w:tr>
    </w:tbl>
    <w:p>
      <w:pPr>
        <w:spacing w:after="0"/>
        <w:rPr>
          <w:rFonts w:ascii="Times New Roman"/>
          <w:sz w:val="20"/>
        </w:rPr>
        <w:sectPr>
          <w:footerReference w:type="default" r:id="rId9"/>
          <w:pgSz w:w="16840" w:h="11900" w:orient="landscape"/>
          <w:pgMar w:footer="826" w:header="0" w:top="1080" w:bottom="1020" w:left="1000" w:right="1200"/>
        </w:sectPr>
      </w:pPr>
    </w:p>
    <w:p>
      <w:pPr>
        <w:pStyle w:val="Heading2"/>
        <w:spacing w:line="308" w:lineRule="exact"/>
        <w:ind w:left="392"/>
      </w:pPr>
      <w:r>
        <w:rPr/>
        <w:pict>
          <v:group style="position:absolute;margin-left:51.239998pt;margin-top:18.999617pt;width:494.2pt;height:.5pt;mso-position-horizontal-relative:page;mso-position-vertical-relative:paragraph;z-index:2272;mso-wrap-distance-left:0;mso-wrap-distance-right:0" coordorigin="1025,380" coordsize="9884,10">
            <v:line style="position:absolute" from="1025,385" to="1663,385" stroked="true" strokeweight=".48pt" strokecolor="#000000">
              <v:stroke dashstyle="solid"/>
            </v:line>
            <v:rect style="position:absolute;left:1663;top:379;width:10;height:10" filled="true" fillcolor="#000000" stroked="false">
              <v:fill type="solid"/>
            </v:rect>
            <v:line style="position:absolute" from="1673,385" to="3250,385" stroked="true" strokeweight=".48pt" strokecolor="#000000">
              <v:stroke dashstyle="solid"/>
            </v:line>
            <v:rect style="position:absolute;left:3249;top:379;width:10;height:10" filled="true" fillcolor="#000000" stroked="false">
              <v:fill type="solid"/>
            </v:rect>
            <v:line style="position:absolute" from="3259,385" to="10908,385" stroked="true" strokeweight=".48pt" strokecolor="#000000">
              <v:stroke dashstyle="solid"/>
            </v:line>
            <w10:wrap type="topAndBottom"/>
          </v:group>
        </w:pict>
      </w:r>
      <w:r>
        <w:rPr/>
        <w:t>释义</w:t>
      </w:r>
    </w:p>
    <w:p>
      <w:pPr>
        <w:pStyle w:val="ListParagraph"/>
        <w:numPr>
          <w:ilvl w:val="0"/>
          <w:numId w:val="36"/>
        </w:numPr>
        <w:tabs>
          <w:tab w:pos="852" w:val="left" w:leader="none"/>
          <w:tab w:pos="2439" w:val="left" w:leader="none"/>
        </w:tabs>
        <w:spacing w:line="271" w:lineRule="auto" w:before="100" w:after="0"/>
        <w:ind w:left="2439" w:right="218" w:hanging="2227"/>
        <w:jc w:val="both"/>
        <w:rPr>
          <w:rFonts w:ascii="微软雅黑" w:eastAsia="微软雅黑" w:hint="eastAsia"/>
          <w:b/>
          <w:sz w:val="20"/>
        </w:rPr>
      </w:pPr>
      <w:r>
        <w:rPr>
          <w:rFonts w:ascii="微软雅黑" w:eastAsia="微软雅黑" w:hint="eastAsia"/>
          <w:b/>
          <w:sz w:val="20"/>
        </w:rPr>
        <w:t>现金价值</w:t>
        <w:tab/>
        <w:t>指保险单所具有的价值，通常体现为解除合同时根据精算原理计算的由我们退还的那 部分金额。现金价值在保单年度末的金额将列示在本合同所附的现金价值表的对应列内。实际退保时的现金价值系基于保单年度末的现金价值根据合理的方法计算所得。</w:t>
      </w:r>
      <w:r>
        <w:rPr>
          <w:rFonts w:ascii="微软雅黑" w:eastAsia="微软雅黑" w:hint="eastAsia"/>
          <w:b/>
          <w:sz w:val="20"/>
          <w:u w:val="single"/>
        </w:rPr>
        <w:t>给付首次重大疾病保险金后，本合同的现金价值降为零</w:t>
      </w:r>
      <w:r>
        <w:rPr>
          <w:rFonts w:ascii="微软雅黑" w:eastAsia="微软雅黑" w:hint="eastAsia"/>
          <w:b/>
          <w:sz w:val="20"/>
        </w:rPr>
        <w:t>。</w:t>
      </w:r>
    </w:p>
    <w:p>
      <w:pPr>
        <w:pStyle w:val="ListParagraph"/>
        <w:numPr>
          <w:ilvl w:val="0"/>
          <w:numId w:val="36"/>
        </w:numPr>
        <w:tabs>
          <w:tab w:pos="851" w:val="left" w:leader="none"/>
          <w:tab w:pos="852" w:val="left" w:leader="none"/>
          <w:tab w:pos="2439" w:val="left" w:leader="none"/>
        </w:tabs>
        <w:spacing w:line="312" w:lineRule="auto" w:before="59" w:after="0"/>
        <w:ind w:left="2439" w:right="215" w:hanging="2227"/>
        <w:jc w:val="left"/>
        <w:rPr>
          <w:sz w:val="20"/>
        </w:rPr>
      </w:pPr>
      <w:r>
        <w:rPr>
          <w:rFonts w:ascii="微软雅黑" w:eastAsia="微软雅黑" w:hint="eastAsia"/>
          <w:b/>
          <w:sz w:val="20"/>
        </w:rPr>
        <w:t>保单生效日</w:t>
        <w:tab/>
      </w:r>
      <w:r>
        <w:rPr>
          <w:sz w:val="20"/>
        </w:rPr>
        <w:t>保险单所载的我们所承担的保险责任的开始日期。所有保单周年日、保单周月日、保 </w:t>
      </w:r>
      <w:r>
        <w:rPr>
          <w:w w:val="95"/>
          <w:sz w:val="20"/>
        </w:rPr>
        <w:t>单年度、保险费约定支付日均以此日期为计算依据。</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保单周年日</w:t>
        <w:tab/>
      </w:r>
      <w:r>
        <w:rPr>
          <w:sz w:val="20"/>
        </w:rPr>
        <w:t>保险单所载的保单生效日之后每一年中保单生效日的对应日。若被保险人周岁生日与 </w:t>
      </w:r>
      <w:r>
        <w:rPr>
          <w:w w:val="95"/>
          <w:sz w:val="20"/>
        </w:rPr>
        <w:t>保单周年日重合，即为被保险人周岁生日。</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保单年度</w:t>
        <w:tab/>
      </w:r>
      <w:r>
        <w:rPr>
          <w:sz w:val="20"/>
        </w:rPr>
        <w:t>自保险单所载的保单生效日算起的每个周年期间。保单生效日包含在第一个保单年度 </w:t>
      </w:r>
      <w:r>
        <w:rPr>
          <w:w w:val="95"/>
          <w:sz w:val="20"/>
        </w:rPr>
        <w:t>中。</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周岁</w:t>
        <w:tab/>
      </w:r>
      <w:r>
        <w:rPr>
          <w:sz w:val="20"/>
        </w:rPr>
        <w:t>以法定身份证明文件中记载的出生日期为基准，自出生之日起为零周岁，每经过一年 </w:t>
      </w:r>
      <w:r>
        <w:rPr>
          <w:w w:val="95"/>
          <w:sz w:val="20"/>
        </w:rPr>
        <w:t>增加一周岁，不足一年的不计，依此类推。</w:t>
      </w:r>
    </w:p>
    <w:p>
      <w:pPr>
        <w:pStyle w:val="ListParagraph"/>
        <w:numPr>
          <w:ilvl w:val="0"/>
          <w:numId w:val="36"/>
        </w:numPr>
        <w:tabs>
          <w:tab w:pos="851" w:val="left" w:leader="none"/>
          <w:tab w:pos="852" w:val="left" w:leader="none"/>
          <w:tab w:pos="2439" w:val="left" w:leader="none"/>
        </w:tabs>
        <w:spacing w:line="240" w:lineRule="auto" w:before="58" w:after="0"/>
        <w:ind w:left="2439" w:right="0" w:hanging="2227"/>
        <w:jc w:val="left"/>
        <w:rPr>
          <w:sz w:val="20"/>
        </w:rPr>
      </w:pPr>
      <w:r>
        <w:rPr>
          <w:rFonts w:ascii="微软雅黑" w:eastAsia="微软雅黑" w:hint="eastAsia"/>
          <w:b/>
          <w:sz w:val="20"/>
        </w:rPr>
        <w:t>满期日</w:t>
        <w:tab/>
      </w:r>
      <w:r>
        <w:rPr>
          <w:w w:val="95"/>
          <w:sz w:val="20"/>
        </w:rPr>
        <w:t>本附加合同订立时约定的保险期间届满之日。</w:t>
      </w:r>
    </w:p>
    <w:p>
      <w:pPr>
        <w:pStyle w:val="ListParagraph"/>
        <w:numPr>
          <w:ilvl w:val="0"/>
          <w:numId w:val="36"/>
        </w:numPr>
        <w:tabs>
          <w:tab w:pos="851" w:val="left" w:leader="none"/>
          <w:tab w:pos="852" w:val="left" w:leader="none"/>
          <w:tab w:pos="2439" w:val="left" w:leader="none"/>
        </w:tabs>
        <w:spacing w:line="240" w:lineRule="auto" w:before="96" w:after="0"/>
        <w:ind w:left="2439" w:right="0" w:hanging="2227"/>
        <w:jc w:val="left"/>
        <w:rPr>
          <w:sz w:val="20"/>
        </w:rPr>
      </w:pPr>
      <w:r>
        <w:rPr>
          <w:rFonts w:ascii="微软雅黑" w:eastAsia="微软雅黑" w:hint="eastAsia"/>
          <w:b/>
          <w:sz w:val="20"/>
        </w:rPr>
        <w:t>医院</w:t>
        <w:tab/>
      </w:r>
      <w:r>
        <w:rPr>
          <w:w w:val="95"/>
          <w:sz w:val="20"/>
        </w:rPr>
        <w:t>指同时符合下列条件的机构：</w:t>
      </w:r>
    </w:p>
    <w:p>
      <w:pPr>
        <w:pStyle w:val="ListParagraph"/>
        <w:numPr>
          <w:ilvl w:val="1"/>
          <w:numId w:val="36"/>
        </w:numPr>
        <w:tabs>
          <w:tab w:pos="3040" w:val="left" w:leader="none"/>
        </w:tabs>
        <w:spacing w:line="357" w:lineRule="auto" w:before="153" w:after="0"/>
        <w:ind w:left="2439" w:right="258" w:firstLine="0"/>
        <w:jc w:val="left"/>
        <w:rPr>
          <w:sz w:val="20"/>
        </w:rPr>
      </w:pPr>
      <w:r>
        <w:rPr>
          <w:w w:val="95"/>
          <w:sz w:val="20"/>
        </w:rPr>
        <w:t>中华人民共和国境内合法经营的二级以上医院（含二级）或香港特别行政区、  澳门特别行政区及台湾地区医院；</w:t>
      </w:r>
    </w:p>
    <w:p>
      <w:pPr>
        <w:pStyle w:val="ListParagraph"/>
        <w:numPr>
          <w:ilvl w:val="1"/>
          <w:numId w:val="36"/>
        </w:numPr>
        <w:tabs>
          <w:tab w:pos="3007" w:val="left" w:leader="none"/>
        </w:tabs>
        <w:spacing w:line="357" w:lineRule="auto" w:before="82" w:after="0"/>
        <w:ind w:left="2440" w:right="160" w:hanging="1"/>
        <w:jc w:val="left"/>
        <w:rPr>
          <w:sz w:val="20"/>
        </w:rPr>
      </w:pPr>
      <w:r>
        <w:rPr>
          <w:spacing w:val="-4"/>
          <w:w w:val="95"/>
          <w:sz w:val="20"/>
        </w:rPr>
        <w:t>具有符合中华人民共和国</w:t>
      </w:r>
      <w:r>
        <w:rPr>
          <w:w w:val="95"/>
          <w:sz w:val="20"/>
        </w:rPr>
        <w:t>（</w:t>
      </w:r>
      <w:r>
        <w:rPr>
          <w:spacing w:val="-4"/>
          <w:w w:val="95"/>
          <w:sz w:val="20"/>
        </w:rPr>
        <w:t>包括香港特别行政区、澳门特别行政区及台湾地区</w:t>
      </w:r>
      <w:r>
        <w:rPr>
          <w:w w:val="95"/>
          <w:sz w:val="20"/>
        </w:rPr>
        <w:t>）  </w:t>
      </w:r>
      <w:r>
        <w:rPr>
          <w:spacing w:val="-6"/>
          <w:sz w:val="20"/>
        </w:rPr>
        <w:t>有关医院管理规则设施标准的医疗设备，且全天 </w:t>
      </w:r>
      <w:r>
        <w:rPr>
          <w:sz w:val="20"/>
        </w:rPr>
        <w:t>24</w:t>
      </w:r>
      <w:r>
        <w:rPr>
          <w:spacing w:val="-15"/>
          <w:sz w:val="20"/>
        </w:rPr>
        <w:t> 小时有合格医师</w:t>
      </w:r>
      <w:r>
        <w:rPr>
          <w:sz w:val="20"/>
        </w:rPr>
        <w:t>（合格医师指具有</w:t>
      </w:r>
      <w:r>
        <w:rPr>
          <w:spacing w:val="-5"/>
          <w:w w:val="95"/>
          <w:sz w:val="20"/>
        </w:rPr>
        <w:t>与请求赔付的疾病相适应的专业资格认证和诊断处方权，且正在上述医院执业的医师，   但投保人、被保险人本人及其直系亲属除外。）及护士驻院提供医疗及护理服务；</w:t>
      </w:r>
    </w:p>
    <w:p>
      <w:pPr>
        <w:pStyle w:val="Heading2"/>
        <w:numPr>
          <w:ilvl w:val="1"/>
          <w:numId w:val="36"/>
        </w:numPr>
        <w:tabs>
          <w:tab w:pos="3045" w:val="left" w:leader="none"/>
        </w:tabs>
        <w:spacing w:line="271" w:lineRule="auto" w:before="22" w:after="0"/>
        <w:ind w:left="2440" w:right="218" w:firstLine="0"/>
        <w:jc w:val="left"/>
      </w:pPr>
      <w:r>
        <w:rPr/>
        <w:t>不包括未达卫生行政管理规定的二级医院标准的分院、联合医院及病房、外设挂靠的门诊部、康复、疗养、戒酒、戒毒或类似的医疗机构。</w:t>
      </w:r>
    </w:p>
    <w:p>
      <w:pPr>
        <w:pStyle w:val="ListParagraph"/>
        <w:numPr>
          <w:ilvl w:val="0"/>
          <w:numId w:val="36"/>
        </w:numPr>
        <w:tabs>
          <w:tab w:pos="852" w:val="left" w:leader="none"/>
          <w:tab w:pos="2439" w:val="left" w:leader="none"/>
        </w:tabs>
        <w:spacing w:line="388" w:lineRule="exact" w:before="44" w:after="0"/>
        <w:ind w:left="2439" w:right="215" w:hanging="2227"/>
        <w:jc w:val="both"/>
        <w:rPr>
          <w:sz w:val="20"/>
        </w:rPr>
      </w:pPr>
      <w:r>
        <w:rPr>
          <w:rFonts w:ascii="微软雅黑" w:eastAsia="微软雅黑" w:hint="eastAsia"/>
          <w:b/>
          <w:sz w:val="20"/>
        </w:rPr>
        <w:t>年度保额</w:t>
        <w:tab/>
      </w:r>
      <w:r>
        <w:rPr>
          <w:sz w:val="20"/>
        </w:rPr>
        <w:t>本附加合同首个保单年度的年度保额为本附加合同的</w:t>
      </w:r>
      <w:r>
        <w:rPr>
          <w:rFonts w:ascii="微软雅黑" w:eastAsia="微软雅黑" w:hint="eastAsia"/>
          <w:b/>
          <w:spacing w:val="2"/>
          <w:sz w:val="20"/>
        </w:rPr>
        <w:t>基</w:t>
      </w:r>
      <w:r>
        <w:rPr>
          <w:rFonts w:ascii="微软雅黑" w:eastAsia="微软雅黑" w:hint="eastAsia"/>
          <w:b/>
          <w:sz w:val="20"/>
        </w:rPr>
        <w:t>本保险金额</w:t>
      </w:r>
      <w:r>
        <w:rPr>
          <w:rFonts w:ascii="微软雅黑" w:eastAsia="微软雅黑" w:hint="eastAsia"/>
          <w:b/>
          <w:position w:val="10"/>
          <w:sz w:val="10"/>
        </w:rPr>
        <w:t>[10]</w:t>
      </w:r>
      <w:r>
        <w:rPr>
          <w:sz w:val="20"/>
        </w:rPr>
        <w:t>。从第二个保单 年度开始，每年的年度保额按基本保险金额的百分之十递增，并以基本保险金额的三</w:t>
      </w:r>
      <w:r>
        <w:rPr>
          <w:w w:val="95"/>
          <w:sz w:val="20"/>
        </w:rPr>
        <w:t>倍为限。</w:t>
      </w:r>
    </w:p>
    <w:p>
      <w:pPr>
        <w:pStyle w:val="ListParagraph"/>
        <w:numPr>
          <w:ilvl w:val="0"/>
          <w:numId w:val="36"/>
        </w:numPr>
        <w:tabs>
          <w:tab w:pos="851" w:val="left" w:leader="none"/>
          <w:tab w:pos="852" w:val="left" w:leader="none"/>
          <w:tab w:pos="2439" w:val="left" w:leader="none"/>
        </w:tabs>
        <w:spacing w:line="240" w:lineRule="auto" w:before="71" w:after="0"/>
        <w:ind w:left="2439" w:right="0" w:hanging="2227"/>
        <w:jc w:val="left"/>
        <w:rPr>
          <w:sz w:val="20"/>
        </w:rPr>
      </w:pPr>
      <w:r>
        <w:rPr>
          <w:rFonts w:ascii="微软雅黑" w:eastAsia="微软雅黑" w:hint="eastAsia"/>
          <w:b/>
          <w:sz w:val="20"/>
        </w:rPr>
        <w:t>意外事故</w:t>
        <w:tab/>
      </w:r>
      <w:r>
        <w:rPr>
          <w:w w:val="95"/>
          <w:sz w:val="20"/>
        </w:rPr>
        <w:t>指外来的、突发的、非本意的、非疾病的使身体受到伤害的客观事件。</w:t>
      </w:r>
    </w:p>
    <w:p>
      <w:pPr>
        <w:pStyle w:val="ListParagraph"/>
        <w:numPr>
          <w:ilvl w:val="0"/>
          <w:numId w:val="36"/>
        </w:numPr>
        <w:tabs>
          <w:tab w:pos="851" w:val="left" w:leader="none"/>
          <w:tab w:pos="852" w:val="left" w:leader="none"/>
          <w:tab w:pos="2439" w:val="left" w:leader="none"/>
        </w:tabs>
        <w:spacing w:line="312" w:lineRule="auto" w:before="94" w:after="0"/>
        <w:ind w:left="2439" w:right="215" w:hanging="2227"/>
        <w:jc w:val="left"/>
        <w:rPr>
          <w:sz w:val="20"/>
        </w:rPr>
      </w:pPr>
      <w:r>
        <w:rPr>
          <w:rFonts w:ascii="微软雅黑" w:eastAsia="微软雅黑" w:hint="eastAsia"/>
          <w:b/>
          <w:sz w:val="20"/>
        </w:rPr>
        <w:t>基本保险金额</w:t>
        <w:tab/>
      </w:r>
      <w:r>
        <w:rPr>
          <w:sz w:val="20"/>
        </w:rPr>
        <w:t>本附加合同所称的基本保险金额于保险单中载明；若该金额经本附加合同其他条款的 </w:t>
      </w:r>
      <w:r>
        <w:rPr>
          <w:w w:val="95"/>
          <w:sz w:val="20"/>
        </w:rPr>
        <w:t>修正而发生变更，则以变更后的金额作为基本保险金额。</w:t>
      </w:r>
    </w:p>
    <w:p>
      <w:pPr>
        <w:spacing w:after="0" w:line="312" w:lineRule="auto"/>
        <w:jc w:val="left"/>
        <w:rPr>
          <w:sz w:val="20"/>
        </w:rPr>
        <w:sectPr>
          <w:footerReference w:type="default" r:id="rId10"/>
          <w:pgSz w:w="11900" w:h="16840"/>
          <w:pgMar w:footer="914" w:header="0" w:top="1300" w:bottom="1100" w:left="920" w:right="880"/>
          <w:pgNumType w:start="19"/>
        </w:sectPr>
      </w:pPr>
    </w:p>
    <w:p>
      <w:pPr>
        <w:pStyle w:val="Heading2"/>
        <w:numPr>
          <w:ilvl w:val="0"/>
          <w:numId w:val="36"/>
        </w:numPr>
        <w:tabs>
          <w:tab w:pos="851" w:val="left" w:leader="none"/>
          <w:tab w:pos="852" w:val="left" w:leader="none"/>
        </w:tabs>
        <w:spacing w:line="240" w:lineRule="auto" w:before="58" w:after="0"/>
        <w:ind w:left="2439" w:right="0" w:hanging="2227"/>
        <w:jc w:val="left"/>
      </w:pPr>
      <w:r>
        <w:rPr>
          <w:spacing w:val="1"/>
          <w:w w:val="95"/>
        </w:rPr>
        <w:t>患艾滋病或感</w:t>
      </w:r>
    </w:p>
    <w:p>
      <w:pPr>
        <w:spacing w:before="43"/>
        <w:ind w:left="851" w:right="0" w:firstLine="0"/>
        <w:jc w:val="left"/>
        <w:rPr>
          <w:rFonts w:ascii="微软雅黑" w:eastAsia="微软雅黑" w:hint="eastAsia"/>
          <w:b/>
          <w:sz w:val="20"/>
        </w:rPr>
      </w:pPr>
      <w:r>
        <w:rPr>
          <w:rFonts w:ascii="微软雅黑" w:eastAsia="微软雅黑" w:hint="eastAsia"/>
          <w:b/>
          <w:sz w:val="20"/>
        </w:rPr>
        <w:t>染艾滋病病毒</w:t>
      </w:r>
    </w:p>
    <w:p>
      <w:pPr>
        <w:pStyle w:val="BodyText"/>
        <w:spacing w:line="357" w:lineRule="auto" w:before="117"/>
        <w:ind w:left="212" w:right="218"/>
      </w:pPr>
      <w:r>
        <w:rPr/>
        <w:br w:type="column"/>
      </w:r>
      <w:r>
        <w:rPr/>
        <w:t>艾滋病病毒指人类免疫缺陷病毒，英文缩写为 HIV；艾滋病指人类免疫缺陷病毒引起的获得性免疫缺陷综合征， 英文缩写为 AIDS。</w:t>
      </w:r>
    </w:p>
    <w:p>
      <w:pPr>
        <w:pStyle w:val="Heading2"/>
        <w:spacing w:line="271" w:lineRule="auto" w:before="21"/>
        <w:ind w:left="212" w:right="218"/>
      </w:pPr>
      <w:r>
        <w:rPr/>
        <w:t>在人体血液或其它样本中检测到艾滋病病毒或其抗体呈阳性，没有出现临床症状或体征的，为感染艾滋病病毒；如果同时出现了明显临床症状或体征的，为患艾滋病。</w:t>
      </w:r>
    </w:p>
    <w:p>
      <w:pPr>
        <w:spacing w:after="0" w:line="271" w:lineRule="auto"/>
        <w:sectPr>
          <w:type w:val="continuous"/>
          <w:pgSz w:w="11900" w:h="16840"/>
          <w:pgMar w:top="660" w:bottom="1020" w:left="920" w:right="880"/>
          <w:cols w:num="2" w:equalWidth="0">
            <w:col w:w="2071" w:space="156"/>
            <w:col w:w="7873"/>
          </w:cols>
        </w:sectPr>
      </w:pPr>
    </w:p>
    <w:p>
      <w:pPr>
        <w:pStyle w:val="ListParagraph"/>
        <w:numPr>
          <w:ilvl w:val="0"/>
          <w:numId w:val="36"/>
        </w:numPr>
        <w:tabs>
          <w:tab w:pos="851" w:val="left" w:leader="none"/>
          <w:tab w:pos="852" w:val="left" w:leader="none"/>
          <w:tab w:pos="2439" w:val="left" w:leader="none"/>
        </w:tabs>
        <w:spacing w:line="240" w:lineRule="auto" w:before="61" w:after="0"/>
        <w:ind w:left="2439" w:right="0" w:hanging="2227"/>
        <w:jc w:val="left"/>
        <w:rPr>
          <w:sz w:val="20"/>
        </w:rPr>
      </w:pPr>
      <w:r>
        <w:rPr>
          <w:rFonts w:ascii="微软雅黑" w:eastAsia="微软雅黑" w:hint="eastAsia"/>
          <w:b/>
          <w:sz w:val="20"/>
        </w:rPr>
        <w:t>毒品</w:t>
        <w:tab/>
      </w:r>
      <w:r>
        <w:rPr>
          <w:sz w:val="20"/>
        </w:rPr>
        <w:t>指中华人民共和国刑法规定的鸦片、海洛因、甲基苯丙胺（冰毒）、吗啡、大麻、可</w:t>
      </w:r>
    </w:p>
    <w:p>
      <w:pPr>
        <w:spacing w:after="0" w:line="240" w:lineRule="auto"/>
        <w:jc w:val="left"/>
        <w:rPr>
          <w:sz w:val="20"/>
        </w:rPr>
        <w:sectPr>
          <w:type w:val="continuous"/>
          <w:pgSz w:w="11900" w:h="16840"/>
          <w:pgMar w:top="660" w:bottom="1020" w:left="920" w:right="880"/>
        </w:sectPr>
      </w:pPr>
    </w:p>
    <w:p>
      <w:pPr>
        <w:pStyle w:val="BodyText"/>
        <w:spacing w:line="357" w:lineRule="auto" w:before="25"/>
        <w:ind w:left="2339" w:right="195"/>
      </w:pPr>
      <w:r>
        <w:rPr/>
        <w:t>卡因以及国家规定管制的其他能够使人形成瘾癖的麻醉药品和精神药品，但不包括由</w:t>
      </w:r>
      <w:r>
        <w:rPr>
          <w:w w:val="95"/>
        </w:rPr>
        <w:t>医生开具并遵医嘱使用的用于治疗疾病但含有毒品成分的处方药品。</w:t>
      </w:r>
    </w:p>
    <w:p>
      <w:pPr>
        <w:pStyle w:val="ListParagraph"/>
        <w:numPr>
          <w:ilvl w:val="0"/>
          <w:numId w:val="36"/>
        </w:numPr>
        <w:tabs>
          <w:tab w:pos="751" w:val="left" w:leader="none"/>
          <w:tab w:pos="752" w:val="left" w:leader="none"/>
          <w:tab w:pos="2339" w:val="left" w:leader="none"/>
        </w:tabs>
        <w:spacing w:line="240" w:lineRule="auto" w:before="19" w:after="0"/>
        <w:ind w:left="751" w:right="0" w:hanging="639"/>
        <w:jc w:val="left"/>
        <w:rPr>
          <w:sz w:val="20"/>
        </w:rPr>
      </w:pPr>
      <w:r>
        <w:rPr>
          <w:rFonts w:ascii="微软雅黑" w:eastAsia="微软雅黑" w:hint="eastAsia"/>
          <w:b/>
          <w:sz w:val="20"/>
        </w:rPr>
        <w:t>酒后驾驶</w:t>
        <w:tab/>
      </w:r>
      <w:r>
        <w:rPr>
          <w:sz w:val="20"/>
        </w:rPr>
        <w:t>指经检测或鉴定，发生事故时车辆驾驶人员每百毫升血液中的酒精含量达到或超过一</w:t>
      </w:r>
    </w:p>
    <w:p>
      <w:pPr>
        <w:pStyle w:val="BodyText"/>
        <w:spacing w:line="357" w:lineRule="auto" w:before="105"/>
        <w:ind w:left="2339" w:right="195"/>
      </w:pPr>
      <w:r>
        <w:rPr/>
        <w:t>定的标准，公安机关交通管理部门依据《道路交通安全法》的规定认定为饮酒后驾驶</w:t>
      </w:r>
      <w:r>
        <w:rPr>
          <w:w w:val="95"/>
        </w:rPr>
        <w:t>或醉酒后驾驶。</w:t>
      </w:r>
    </w:p>
    <w:p>
      <w:pPr>
        <w:spacing w:after="0" w:line="357" w:lineRule="auto"/>
        <w:sectPr>
          <w:footerReference w:type="default" r:id="rId11"/>
          <w:pgSz w:w="11900" w:h="16840"/>
          <w:pgMar w:footer="914" w:header="0" w:top="1140" w:bottom="1100" w:left="1020" w:right="900"/>
          <w:pgNumType w:start="20"/>
        </w:sectPr>
      </w:pPr>
    </w:p>
    <w:p>
      <w:pPr>
        <w:pStyle w:val="Heading2"/>
        <w:numPr>
          <w:ilvl w:val="0"/>
          <w:numId w:val="36"/>
        </w:numPr>
        <w:tabs>
          <w:tab w:pos="752" w:val="left" w:leader="none"/>
        </w:tabs>
        <w:spacing w:line="271" w:lineRule="auto" w:before="22" w:after="0"/>
        <w:ind w:left="751" w:right="0" w:hanging="639"/>
        <w:jc w:val="both"/>
      </w:pPr>
      <w:r>
        <w:rPr/>
        <w:t>无 合 法 有效 驾 驶 证驾驶</w:t>
      </w:r>
    </w:p>
    <w:p>
      <w:pPr>
        <w:pStyle w:val="BodyText"/>
        <w:spacing w:before="82"/>
        <w:ind w:left="112"/>
      </w:pPr>
      <w:r>
        <w:rPr/>
        <w:br w:type="column"/>
      </w:r>
      <w:r>
        <w:rPr>
          <w:w w:val="95"/>
        </w:rPr>
        <w:t>指下列情形之一：</w:t>
      </w:r>
    </w:p>
    <w:p>
      <w:pPr>
        <w:pStyle w:val="ListParagraph"/>
        <w:numPr>
          <w:ilvl w:val="0"/>
          <w:numId w:val="37"/>
        </w:numPr>
        <w:tabs>
          <w:tab w:pos="533" w:val="left" w:leader="none"/>
        </w:tabs>
        <w:spacing w:line="240" w:lineRule="auto" w:before="177" w:after="0"/>
        <w:ind w:left="532" w:right="0" w:hanging="420"/>
        <w:jc w:val="left"/>
        <w:rPr>
          <w:sz w:val="20"/>
        </w:rPr>
      </w:pPr>
      <w:r>
        <w:rPr>
          <w:w w:val="95"/>
          <w:sz w:val="20"/>
        </w:rPr>
        <w:t>没有取得驾驶资格；</w:t>
      </w:r>
    </w:p>
    <w:p>
      <w:pPr>
        <w:pStyle w:val="ListParagraph"/>
        <w:numPr>
          <w:ilvl w:val="0"/>
          <w:numId w:val="37"/>
        </w:numPr>
        <w:tabs>
          <w:tab w:pos="533" w:val="left" w:leader="none"/>
        </w:tabs>
        <w:spacing w:line="240" w:lineRule="auto" w:before="177" w:after="0"/>
        <w:ind w:left="532" w:right="0" w:hanging="420"/>
        <w:jc w:val="left"/>
        <w:rPr>
          <w:sz w:val="20"/>
        </w:rPr>
      </w:pPr>
      <w:r>
        <w:rPr>
          <w:w w:val="95"/>
          <w:sz w:val="20"/>
        </w:rPr>
        <w:t>驾驶与驾驶证准驾车型不相符合的车辆；</w:t>
      </w:r>
    </w:p>
    <w:p>
      <w:pPr>
        <w:pStyle w:val="ListParagraph"/>
        <w:numPr>
          <w:ilvl w:val="0"/>
          <w:numId w:val="37"/>
        </w:numPr>
        <w:tabs>
          <w:tab w:pos="533" w:val="left" w:leader="none"/>
        </w:tabs>
        <w:spacing w:line="240" w:lineRule="auto" w:before="180" w:after="0"/>
        <w:ind w:left="532" w:right="0" w:hanging="420"/>
        <w:jc w:val="left"/>
        <w:rPr>
          <w:sz w:val="20"/>
        </w:rPr>
      </w:pPr>
      <w:r>
        <w:rPr>
          <w:w w:val="95"/>
          <w:sz w:val="20"/>
        </w:rPr>
        <w:t>持审验不合格或者未经审验的驾驶证驾驶；</w:t>
      </w:r>
    </w:p>
    <w:p>
      <w:pPr>
        <w:pStyle w:val="ListParagraph"/>
        <w:numPr>
          <w:ilvl w:val="0"/>
          <w:numId w:val="37"/>
        </w:numPr>
        <w:tabs>
          <w:tab w:pos="533" w:val="left" w:leader="none"/>
        </w:tabs>
        <w:spacing w:line="240" w:lineRule="auto" w:before="177" w:after="0"/>
        <w:ind w:left="532" w:right="0" w:hanging="420"/>
        <w:jc w:val="left"/>
        <w:rPr>
          <w:sz w:val="20"/>
        </w:rPr>
      </w:pPr>
      <w:r>
        <w:rPr>
          <w:spacing w:val="-5"/>
          <w:w w:val="95"/>
          <w:sz w:val="20"/>
        </w:rPr>
        <w:t>持学习驾驶证学习驾车时，无教练员随车指导，或不按指定时间、路线学习驾车。</w:t>
      </w:r>
    </w:p>
    <w:p>
      <w:pPr>
        <w:spacing w:after="0" w:line="240" w:lineRule="auto"/>
        <w:jc w:val="left"/>
        <w:rPr>
          <w:sz w:val="20"/>
        </w:rPr>
        <w:sectPr>
          <w:type w:val="continuous"/>
          <w:pgSz w:w="11900" w:h="16840"/>
          <w:pgMar w:top="660" w:bottom="1020" w:left="1020" w:right="900"/>
          <w:cols w:num="2" w:equalWidth="0">
            <w:col w:w="1736" w:space="492"/>
            <w:col w:w="7752"/>
          </w:cols>
        </w:sectPr>
      </w:pPr>
    </w:p>
    <w:p>
      <w:pPr>
        <w:pStyle w:val="BodyText"/>
        <w:spacing w:before="8"/>
        <w:rPr>
          <w:sz w:val="10"/>
        </w:rPr>
      </w:pPr>
    </w:p>
    <w:p>
      <w:pPr>
        <w:spacing w:after="0"/>
        <w:rPr>
          <w:sz w:val="10"/>
        </w:rPr>
        <w:sectPr>
          <w:type w:val="continuous"/>
          <w:pgSz w:w="11900" w:h="16840"/>
          <w:pgMar w:top="660" w:bottom="1020" w:left="1020" w:right="900"/>
        </w:sectPr>
      </w:pPr>
    </w:p>
    <w:p>
      <w:pPr>
        <w:pStyle w:val="Heading2"/>
        <w:numPr>
          <w:ilvl w:val="0"/>
          <w:numId w:val="36"/>
        </w:numPr>
        <w:tabs>
          <w:tab w:pos="751" w:val="left" w:leader="none"/>
          <w:tab w:pos="752" w:val="left" w:leader="none"/>
        </w:tabs>
        <w:spacing w:line="324" w:lineRule="exact" w:before="0" w:after="0"/>
        <w:ind w:left="751" w:right="0" w:hanging="639"/>
        <w:jc w:val="left"/>
      </w:pPr>
      <w:r>
        <w:rPr/>
        <w:t>无 有 效 行</w:t>
      </w:r>
    </w:p>
    <w:p>
      <w:pPr>
        <w:spacing w:before="45"/>
        <w:ind w:left="731" w:right="564" w:firstLine="0"/>
        <w:jc w:val="center"/>
        <w:rPr>
          <w:rFonts w:ascii="微软雅黑" w:eastAsia="微软雅黑" w:hint="eastAsia"/>
          <w:b/>
          <w:sz w:val="20"/>
        </w:rPr>
      </w:pPr>
      <w:r>
        <w:rPr>
          <w:rFonts w:ascii="微软雅黑" w:eastAsia="微软雅黑" w:hint="eastAsia"/>
          <w:b/>
          <w:sz w:val="20"/>
        </w:rPr>
        <w:t>驶证</w:t>
      </w:r>
    </w:p>
    <w:p>
      <w:pPr>
        <w:pStyle w:val="BodyText"/>
        <w:spacing w:before="38"/>
        <w:ind w:left="112"/>
      </w:pPr>
      <w:r>
        <w:rPr/>
        <w:br w:type="column"/>
      </w:r>
      <w:r>
        <w:rPr>
          <w:w w:val="95"/>
        </w:rPr>
        <w:t>指下列情形之一：</w:t>
      </w:r>
    </w:p>
    <w:p>
      <w:pPr>
        <w:pStyle w:val="ListParagraph"/>
        <w:numPr>
          <w:ilvl w:val="0"/>
          <w:numId w:val="38"/>
        </w:numPr>
        <w:tabs>
          <w:tab w:pos="533" w:val="left" w:leader="none"/>
        </w:tabs>
        <w:spacing w:line="240" w:lineRule="auto" w:before="180" w:after="0"/>
        <w:ind w:left="532" w:right="0" w:hanging="420"/>
        <w:jc w:val="left"/>
        <w:rPr>
          <w:sz w:val="20"/>
        </w:rPr>
      </w:pPr>
      <w:r>
        <w:rPr>
          <w:w w:val="95"/>
          <w:sz w:val="20"/>
        </w:rPr>
        <w:t>机动车被依法注销登记的；</w:t>
      </w:r>
    </w:p>
    <w:p>
      <w:pPr>
        <w:pStyle w:val="ListParagraph"/>
        <w:numPr>
          <w:ilvl w:val="0"/>
          <w:numId w:val="38"/>
        </w:numPr>
        <w:tabs>
          <w:tab w:pos="533" w:val="left" w:leader="none"/>
        </w:tabs>
        <w:spacing w:line="240" w:lineRule="auto" w:before="177" w:after="0"/>
        <w:ind w:left="532" w:right="0" w:hanging="420"/>
        <w:jc w:val="left"/>
        <w:rPr>
          <w:sz w:val="20"/>
        </w:rPr>
      </w:pPr>
      <w:r>
        <w:rPr>
          <w:w w:val="95"/>
          <w:sz w:val="20"/>
        </w:rPr>
        <w:t>未依法按时进行或通过机动车安全技术检验的。</w:t>
      </w:r>
    </w:p>
    <w:p>
      <w:pPr>
        <w:spacing w:after="0" w:line="240" w:lineRule="auto"/>
        <w:jc w:val="left"/>
        <w:rPr>
          <w:sz w:val="20"/>
        </w:rPr>
        <w:sectPr>
          <w:type w:val="continuous"/>
          <w:pgSz w:w="11900" w:h="16840"/>
          <w:pgMar w:top="660" w:bottom="1020" w:left="1020" w:right="900"/>
          <w:cols w:num="2" w:equalWidth="0">
            <w:col w:w="1736" w:space="492"/>
            <w:col w:w="7752"/>
          </w:cols>
        </w:sectPr>
      </w:pPr>
    </w:p>
    <w:p>
      <w:pPr>
        <w:pStyle w:val="BodyText"/>
        <w:spacing w:before="8"/>
        <w:rPr>
          <w:sz w:val="10"/>
        </w:rPr>
      </w:pPr>
    </w:p>
    <w:p>
      <w:pPr>
        <w:pStyle w:val="ListParagraph"/>
        <w:numPr>
          <w:ilvl w:val="0"/>
          <w:numId w:val="36"/>
        </w:numPr>
        <w:tabs>
          <w:tab w:pos="751" w:val="left" w:leader="none"/>
          <w:tab w:pos="752" w:val="left" w:leader="none"/>
          <w:tab w:pos="2339" w:val="left" w:leader="none"/>
        </w:tabs>
        <w:spacing w:line="324" w:lineRule="exact" w:before="0" w:after="0"/>
        <w:ind w:left="751" w:right="0" w:hanging="639"/>
        <w:jc w:val="left"/>
        <w:rPr>
          <w:sz w:val="20"/>
        </w:rPr>
      </w:pPr>
      <w:r>
        <w:rPr>
          <w:rFonts w:ascii="微软雅黑" w:eastAsia="微软雅黑" w:hint="eastAsia"/>
          <w:b/>
          <w:sz w:val="20"/>
        </w:rPr>
        <w:t>遗传性疾病</w:t>
        <w:tab/>
      </w:r>
      <w:r>
        <w:rPr>
          <w:sz w:val="20"/>
        </w:rPr>
        <w:t>指生殖细胞或受精卵的遗传物质（染色体和基因）发生突变或畸变所引起的疾病，通</w:t>
      </w:r>
    </w:p>
    <w:p>
      <w:pPr>
        <w:pStyle w:val="BodyText"/>
        <w:spacing w:before="105"/>
        <w:ind w:left="2340"/>
      </w:pPr>
      <w:r>
        <w:rPr>
          <w:w w:val="95"/>
        </w:rPr>
        <w:t>常具有由亲代传至后代的垂直传递的特征。</w:t>
      </w:r>
    </w:p>
    <w:p>
      <w:pPr>
        <w:pStyle w:val="BodyText"/>
        <w:spacing w:before="8"/>
        <w:rPr>
          <w:sz w:val="10"/>
        </w:rPr>
      </w:pPr>
    </w:p>
    <w:p>
      <w:pPr>
        <w:spacing w:after="0"/>
        <w:rPr>
          <w:sz w:val="10"/>
        </w:rPr>
        <w:sectPr>
          <w:type w:val="continuous"/>
          <w:pgSz w:w="11900" w:h="16840"/>
          <w:pgMar w:top="660" w:bottom="1020" w:left="1020" w:right="900"/>
        </w:sectPr>
      </w:pPr>
    </w:p>
    <w:p>
      <w:pPr>
        <w:pStyle w:val="Heading2"/>
        <w:numPr>
          <w:ilvl w:val="0"/>
          <w:numId w:val="36"/>
        </w:numPr>
        <w:tabs>
          <w:tab w:pos="751" w:val="left" w:leader="none"/>
          <w:tab w:pos="752" w:val="left" w:leader="none"/>
        </w:tabs>
        <w:spacing w:line="324" w:lineRule="exact" w:before="0" w:after="0"/>
        <w:ind w:left="751" w:right="0" w:hanging="639"/>
        <w:jc w:val="left"/>
      </w:pPr>
      <w:r>
        <w:rPr>
          <w:spacing w:val="1"/>
          <w:w w:val="95"/>
        </w:rPr>
        <w:t>先天性畸形、</w:t>
      </w:r>
    </w:p>
    <w:p>
      <w:pPr>
        <w:spacing w:line="271" w:lineRule="auto" w:before="45"/>
        <w:ind w:left="751" w:right="0" w:firstLine="0"/>
        <w:jc w:val="left"/>
        <w:rPr>
          <w:rFonts w:ascii="微软雅黑" w:eastAsia="微软雅黑" w:hint="eastAsia"/>
          <w:b/>
          <w:sz w:val="20"/>
        </w:rPr>
      </w:pPr>
      <w:r>
        <w:rPr>
          <w:rFonts w:ascii="微软雅黑" w:eastAsia="微软雅黑" w:hint="eastAsia"/>
          <w:b/>
          <w:sz w:val="20"/>
        </w:rPr>
        <w:t>变形或染色体异常</w:t>
      </w:r>
    </w:p>
    <w:p>
      <w:pPr>
        <w:pStyle w:val="BodyText"/>
        <w:spacing w:line="357" w:lineRule="auto" w:before="38"/>
        <w:ind w:left="112" w:right="195" w:hanging="1"/>
      </w:pPr>
      <w:r>
        <w:rPr/>
        <w:br w:type="column"/>
      </w:r>
      <w:r>
        <w:rPr/>
        <w:t>指被保险人出生时就具有的畸形、变形或染色体异常。先天性畸形、变形和染色体异</w:t>
      </w:r>
      <w:r>
        <w:rPr>
          <w:w w:val="95"/>
        </w:rPr>
        <w:t>常依照世界卫生组织《疾病和有关健康问题的国际统计分类》（ICD-10）确定。</w:t>
      </w:r>
    </w:p>
    <w:p>
      <w:pPr>
        <w:spacing w:after="0" w:line="357" w:lineRule="auto"/>
        <w:sectPr>
          <w:type w:val="continuous"/>
          <w:pgSz w:w="11900" w:h="16840"/>
          <w:pgMar w:top="660" w:bottom="1020" w:left="1020" w:right="900"/>
          <w:cols w:num="2" w:equalWidth="0">
            <w:col w:w="1971" w:space="256"/>
            <w:col w:w="7753"/>
          </w:cols>
        </w:sectPr>
      </w:pPr>
    </w:p>
    <w:p>
      <w:pPr>
        <w:pStyle w:val="Heading2"/>
        <w:numPr>
          <w:ilvl w:val="0"/>
          <w:numId w:val="36"/>
        </w:numPr>
        <w:tabs>
          <w:tab w:pos="751" w:val="left" w:leader="none"/>
          <w:tab w:pos="752" w:val="left" w:leader="none"/>
        </w:tabs>
        <w:spacing w:line="240" w:lineRule="auto" w:before="61" w:after="0"/>
        <w:ind w:left="751" w:right="0" w:hanging="639"/>
        <w:jc w:val="left"/>
      </w:pPr>
      <w:r>
        <w:rPr>
          <w:spacing w:val="20"/>
          <w:w w:val="95"/>
        </w:rPr>
        <w:t>肢体机能完全</w:t>
      </w:r>
    </w:p>
    <w:p>
      <w:pPr>
        <w:spacing w:before="43"/>
        <w:ind w:left="733" w:right="906" w:firstLine="0"/>
        <w:jc w:val="center"/>
        <w:rPr>
          <w:rFonts w:ascii="微软雅黑" w:eastAsia="微软雅黑" w:hint="eastAsia"/>
          <w:b/>
          <w:sz w:val="20"/>
        </w:rPr>
      </w:pPr>
      <w:r>
        <w:rPr>
          <w:rFonts w:ascii="微软雅黑" w:eastAsia="微软雅黑" w:hint="eastAsia"/>
          <w:b/>
          <w:sz w:val="20"/>
        </w:rPr>
        <w:t>丧失</w:t>
      </w:r>
    </w:p>
    <w:p>
      <w:pPr>
        <w:pStyle w:val="BodyText"/>
        <w:spacing w:line="357" w:lineRule="auto" w:before="120"/>
        <w:ind w:left="112" w:right="238"/>
      </w:pPr>
      <w:r>
        <w:rPr/>
        <w:br w:type="column"/>
      </w:r>
      <w:r>
        <w:rPr>
          <w:w w:val="95"/>
        </w:rPr>
        <w:t>指肢体的三大关节中的两大关节僵硬，或不能随意识活动。肢体是指包括肩关节的整  个上肢或包括髋关节的整个下肢。</w:t>
      </w:r>
    </w:p>
    <w:p>
      <w:pPr>
        <w:spacing w:after="0" w:line="357" w:lineRule="auto"/>
        <w:sectPr>
          <w:type w:val="continuous"/>
          <w:pgSz w:w="11900" w:h="16840"/>
          <w:pgMar w:top="660" w:bottom="1020" w:left="1020" w:right="900"/>
          <w:cols w:num="2" w:equalWidth="0">
            <w:col w:w="2079" w:space="148"/>
            <w:col w:w="7753"/>
          </w:cols>
        </w:sectPr>
      </w:pPr>
    </w:p>
    <w:p>
      <w:pPr>
        <w:pStyle w:val="Heading2"/>
        <w:numPr>
          <w:ilvl w:val="0"/>
          <w:numId w:val="36"/>
        </w:numPr>
        <w:tabs>
          <w:tab w:pos="751" w:val="left" w:leader="none"/>
          <w:tab w:pos="752" w:val="left" w:leader="none"/>
        </w:tabs>
        <w:spacing w:line="240" w:lineRule="auto" w:before="19" w:after="0"/>
        <w:ind w:left="751" w:right="0" w:hanging="639"/>
        <w:jc w:val="left"/>
      </w:pPr>
      <w:r>
        <w:rPr>
          <w:spacing w:val="20"/>
          <w:w w:val="95"/>
        </w:rPr>
        <w:t>语言能力或咀</w:t>
      </w:r>
    </w:p>
    <w:p>
      <w:pPr>
        <w:spacing w:line="271" w:lineRule="auto" w:before="45"/>
        <w:ind w:left="751" w:right="0" w:firstLine="0"/>
        <w:jc w:val="left"/>
        <w:rPr>
          <w:rFonts w:ascii="微软雅黑" w:eastAsia="微软雅黑" w:hint="eastAsia"/>
          <w:b/>
          <w:sz w:val="20"/>
        </w:rPr>
      </w:pPr>
      <w:r>
        <w:rPr>
          <w:rFonts w:ascii="微软雅黑" w:eastAsia="微软雅黑" w:hint="eastAsia"/>
          <w:b/>
          <w:sz w:val="20"/>
        </w:rPr>
        <w:t>嚼吞咽能力完全丧失</w:t>
      </w:r>
    </w:p>
    <w:p>
      <w:pPr>
        <w:pStyle w:val="BodyText"/>
        <w:spacing w:line="357" w:lineRule="auto" w:before="79"/>
        <w:ind w:left="112" w:right="238"/>
      </w:pPr>
      <w:r>
        <w:rPr/>
        <w:br w:type="column"/>
      </w:r>
      <w:r>
        <w:rPr>
          <w:w w:val="95"/>
        </w:rPr>
        <w:t>语言能力完全丧失，指无法发出四种语音（包括口唇音、齿舌音、口盖音和喉头音）  中的任何三种，或声带全部切除，或因大脑语言中枢受伤害而患失语症。</w:t>
      </w:r>
    </w:p>
    <w:p>
      <w:pPr>
        <w:pStyle w:val="BodyText"/>
        <w:spacing w:line="357" w:lineRule="auto" w:before="79"/>
        <w:ind w:left="112" w:right="238"/>
      </w:pPr>
      <w:r>
        <w:rPr>
          <w:w w:val="95"/>
        </w:rPr>
        <w:t>咀嚼吞咽能力完全丧失，指因牙齿以外的原因导致器质障碍或机能障碍，以致不能作  咀嚼吞咽运动，除流质食物外不能摄取或吞咽的状态。</w:t>
      </w:r>
    </w:p>
    <w:p>
      <w:pPr>
        <w:spacing w:after="0" w:line="357" w:lineRule="auto"/>
        <w:sectPr>
          <w:type w:val="continuous"/>
          <w:pgSz w:w="11900" w:h="16840"/>
          <w:pgMar w:top="660" w:bottom="1020" w:left="1020" w:right="900"/>
          <w:cols w:num="2" w:equalWidth="0">
            <w:col w:w="2079" w:space="148"/>
            <w:col w:w="7753"/>
          </w:cols>
        </w:sectPr>
      </w:pPr>
    </w:p>
    <w:p>
      <w:pPr>
        <w:pStyle w:val="Heading2"/>
        <w:numPr>
          <w:ilvl w:val="0"/>
          <w:numId w:val="36"/>
        </w:numPr>
        <w:tabs>
          <w:tab w:pos="751" w:val="left" w:leader="none"/>
          <w:tab w:pos="752" w:val="left" w:leader="none"/>
        </w:tabs>
        <w:spacing w:line="271" w:lineRule="auto" w:before="19" w:after="0"/>
        <w:ind w:left="751" w:right="0" w:hanging="639"/>
        <w:jc w:val="left"/>
      </w:pPr>
      <w:r>
        <w:rPr>
          <w:spacing w:val="20"/>
        </w:rPr>
        <w:t>六项基本日常生活活动</w:t>
      </w:r>
    </w:p>
    <w:p>
      <w:pPr>
        <w:pStyle w:val="BodyText"/>
        <w:spacing w:line="357" w:lineRule="auto" w:before="79"/>
        <w:ind w:left="112" w:right="138"/>
      </w:pPr>
      <w:r>
        <w:rPr/>
        <w:br w:type="column"/>
      </w:r>
      <w:r>
        <w:rPr>
          <w:spacing w:val="-22"/>
        </w:rPr>
        <w:t>指</w:t>
      </w:r>
      <w:r>
        <w:rPr>
          <w:spacing w:val="-8"/>
        </w:rPr>
        <w:t>（1）</w:t>
      </w:r>
      <w:r>
        <w:rPr>
          <w:spacing w:val="-6"/>
        </w:rPr>
        <w:t>穿衣：自己能够穿衣及脱衣；</w:t>
      </w:r>
      <w:r>
        <w:rPr>
          <w:spacing w:val="-17"/>
        </w:rPr>
        <w:t>（2）</w:t>
      </w:r>
      <w:r>
        <w:rPr>
          <w:spacing w:val="-6"/>
        </w:rPr>
        <w:t>移动：自己从一个房间到另一个房间；</w:t>
      </w:r>
      <w:r>
        <w:rPr>
          <w:spacing w:val="-11"/>
        </w:rPr>
        <w:t>（3） </w:t>
      </w:r>
      <w:r>
        <w:rPr/>
        <w:t>行动：自己上下床或上下轮椅；（4）如厕：自己控制进行大小便；（5）进食：自己</w:t>
      </w:r>
      <w:r>
        <w:rPr>
          <w:w w:val="95"/>
        </w:rPr>
        <w:t>从已准备好的碗或碟中取食物放入口中；（6）洗澡：自己进行淋浴或盆浴。</w:t>
      </w:r>
    </w:p>
    <w:p>
      <w:pPr>
        <w:spacing w:after="0" w:line="357" w:lineRule="auto"/>
        <w:sectPr>
          <w:type w:val="continuous"/>
          <w:pgSz w:w="11900" w:h="16840"/>
          <w:pgMar w:top="660" w:bottom="1020" w:left="1020" w:right="900"/>
          <w:cols w:num="2" w:equalWidth="0">
            <w:col w:w="2079" w:space="148"/>
            <w:col w:w="7753"/>
          </w:cols>
        </w:sectPr>
      </w:pPr>
    </w:p>
    <w:p>
      <w:pPr>
        <w:pStyle w:val="ListParagraph"/>
        <w:numPr>
          <w:ilvl w:val="0"/>
          <w:numId w:val="36"/>
        </w:numPr>
        <w:tabs>
          <w:tab w:pos="751" w:val="left" w:leader="none"/>
          <w:tab w:pos="752" w:val="left" w:leader="none"/>
          <w:tab w:pos="2339" w:val="left" w:leader="none"/>
        </w:tabs>
        <w:spacing w:line="312" w:lineRule="auto" w:before="20" w:after="0"/>
        <w:ind w:left="2339" w:right="238" w:hanging="2227"/>
        <w:jc w:val="left"/>
        <w:rPr>
          <w:sz w:val="20"/>
        </w:rPr>
      </w:pPr>
      <w:r>
        <w:rPr>
          <w:rFonts w:ascii="微软雅黑" w:eastAsia="微软雅黑" w:hint="eastAsia"/>
          <w:b/>
          <w:sz w:val="20"/>
        </w:rPr>
        <w:t>永久不可逆</w:t>
        <w:tab/>
      </w:r>
      <w:r>
        <w:rPr>
          <w:sz w:val="20"/>
        </w:rPr>
        <w:t>指自疾病确诊或意外伤害发生之日起</w:t>
      </w:r>
      <w:r>
        <w:rPr>
          <w:spacing w:val="-51"/>
          <w:sz w:val="20"/>
        </w:rPr>
        <w:t>，</w:t>
      </w:r>
      <w:r>
        <w:rPr>
          <w:sz w:val="20"/>
        </w:rPr>
        <w:t>经过积极治疗</w:t>
      </w:r>
      <w:r>
        <w:rPr>
          <w:spacing w:val="-8"/>
          <w:sz w:val="20"/>
        </w:rPr>
        <w:t> </w:t>
      </w:r>
      <w:r>
        <w:rPr>
          <w:sz w:val="20"/>
        </w:rPr>
        <w:t>180</w:t>
      </w:r>
      <w:r>
        <w:rPr>
          <w:spacing w:val="-53"/>
          <w:sz w:val="20"/>
        </w:rPr>
        <w:t> </w:t>
      </w:r>
      <w:r>
        <w:rPr>
          <w:sz w:val="20"/>
        </w:rPr>
        <w:t>天后仍无法通过现有医疗手</w:t>
      </w:r>
      <w:r>
        <w:rPr>
          <w:w w:val="95"/>
          <w:sz w:val="20"/>
        </w:rPr>
        <w:t>段恢复。</w:t>
      </w:r>
    </w:p>
    <w:p>
      <w:pPr>
        <w:pStyle w:val="ListParagraph"/>
        <w:numPr>
          <w:ilvl w:val="0"/>
          <w:numId w:val="36"/>
        </w:numPr>
        <w:tabs>
          <w:tab w:pos="751" w:val="left" w:leader="none"/>
          <w:tab w:pos="752" w:val="left" w:leader="none"/>
          <w:tab w:pos="2339" w:val="left" w:leader="none"/>
        </w:tabs>
        <w:spacing w:line="240" w:lineRule="auto" w:before="58" w:after="0"/>
        <w:ind w:left="751" w:right="0" w:hanging="639"/>
        <w:jc w:val="left"/>
        <w:rPr>
          <w:sz w:val="20"/>
        </w:rPr>
      </w:pPr>
      <w:r>
        <w:rPr>
          <w:rFonts w:ascii="微软雅黑" w:eastAsia="微软雅黑" w:hint="eastAsia"/>
          <w:b/>
          <w:sz w:val="20"/>
        </w:rPr>
        <w:t>专科医生</w:t>
        <w:tab/>
      </w:r>
      <w:r>
        <w:rPr>
          <w:w w:val="95"/>
          <w:sz w:val="20"/>
        </w:rPr>
        <w:t>专科医生应当同时满足以下四项资格条件：</w:t>
      </w:r>
    </w:p>
    <w:p>
      <w:pPr>
        <w:pStyle w:val="ListParagraph"/>
        <w:numPr>
          <w:ilvl w:val="0"/>
          <w:numId w:val="39"/>
        </w:numPr>
        <w:tabs>
          <w:tab w:pos="3020" w:val="left" w:leader="none"/>
        </w:tabs>
        <w:spacing w:line="240" w:lineRule="auto" w:before="155" w:after="0"/>
        <w:ind w:left="3019" w:right="0" w:hanging="680"/>
        <w:jc w:val="left"/>
        <w:rPr>
          <w:sz w:val="20"/>
        </w:rPr>
      </w:pPr>
      <w:r>
        <w:rPr>
          <w:w w:val="95"/>
          <w:sz w:val="20"/>
        </w:rPr>
        <w:t>具有有效的中华人民共和国《医师资格证书》；</w:t>
      </w:r>
    </w:p>
    <w:p>
      <w:pPr>
        <w:pStyle w:val="ListParagraph"/>
        <w:numPr>
          <w:ilvl w:val="0"/>
          <w:numId w:val="39"/>
        </w:numPr>
        <w:tabs>
          <w:tab w:pos="3020" w:val="left" w:leader="none"/>
        </w:tabs>
        <w:spacing w:line="240" w:lineRule="auto" w:before="176" w:after="0"/>
        <w:ind w:left="3019" w:right="0" w:hanging="680"/>
        <w:jc w:val="left"/>
        <w:rPr>
          <w:sz w:val="20"/>
        </w:rPr>
      </w:pPr>
      <w:r>
        <w:rPr>
          <w:w w:val="95"/>
          <w:sz w:val="20"/>
        </w:rPr>
        <w:t>具有有效的中华人民共和国《医师执业证书》，并按期到相关部门登记注册；</w:t>
      </w:r>
    </w:p>
    <w:p>
      <w:pPr>
        <w:pStyle w:val="ListParagraph"/>
        <w:numPr>
          <w:ilvl w:val="0"/>
          <w:numId w:val="39"/>
        </w:numPr>
        <w:tabs>
          <w:tab w:pos="3020" w:val="left" w:leader="none"/>
        </w:tabs>
        <w:spacing w:line="240" w:lineRule="auto" w:before="176" w:after="0"/>
        <w:ind w:left="3019" w:right="0" w:hanging="680"/>
        <w:jc w:val="left"/>
        <w:rPr>
          <w:sz w:val="20"/>
        </w:rPr>
      </w:pPr>
      <w:r>
        <w:rPr>
          <w:spacing w:val="-5"/>
          <w:w w:val="95"/>
          <w:sz w:val="20"/>
        </w:rPr>
        <w:t>具有有效的中华人民共和国主治医师或主治医师以上职称的《医师职称证书》；</w:t>
      </w:r>
    </w:p>
    <w:p>
      <w:pPr>
        <w:pStyle w:val="Heading2"/>
        <w:numPr>
          <w:ilvl w:val="0"/>
          <w:numId w:val="39"/>
        </w:numPr>
        <w:tabs>
          <w:tab w:pos="3020" w:val="left" w:leader="none"/>
        </w:tabs>
        <w:spacing w:line="240" w:lineRule="auto" w:before="79" w:after="0"/>
        <w:ind w:left="3019" w:right="0" w:hanging="680"/>
        <w:jc w:val="left"/>
      </w:pPr>
      <w:r>
        <w:rPr/>
        <w:t>在二级或二级以上医院的相应科室从事临床工作三年以上。</w:t>
      </w:r>
    </w:p>
    <w:sectPr>
      <w:type w:val="continuous"/>
      <w:pgSz w:w="11900" w:h="16840"/>
      <w:pgMar w:top="660" w:bottom="102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877pt;margin-top:785.290466pt;width:130.0500pt;height:20.4pt;mso-position-horizontal-relative:page;mso-position-vertical-relative:page;z-index:-4158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7.679932pt;margin-top:785.290466pt;width:66.1pt;height:10.050pt;mso-position-horizontal-relative:page;mso-position-vertical-relative:page;z-index:-4156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8</w:t>
                </w:r>
                <w:r>
                  <w:rPr/>
                  <w:fldChar w:fldCharType="end"/>
                </w:r>
                <w:r>
                  <w:rPr>
                    <w:sz w:val="16"/>
                  </w:rPr>
                  <w:t> 页 共 20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53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51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20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0478pt;margin-top:538.69043pt;width:130.0500pt;height:20.4pt;mso-position-horizontal-relative:page;mso-position-vertical-relative:page;z-index:-4148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589539pt;margin-top:538.69043pt;width:70.2pt;height:10.050pt;mso-position-horizontal-relative:page;mso-position-vertical-relative:page;z-index:-41464" type="#_x0000_t202" filled="false" stroked="false">
          <v:textbox inset="0,0,0,0">
            <w:txbxContent>
              <w:p>
                <w:pPr>
                  <w:spacing w:line="181" w:lineRule="exact" w:before="0"/>
                  <w:ind w:left="20" w:right="0" w:firstLine="0"/>
                  <w:jc w:val="left"/>
                  <w:rPr>
                    <w:sz w:val="16"/>
                  </w:rPr>
                </w:pPr>
                <w:r>
                  <w:rPr>
                    <w:sz w:val="16"/>
                  </w:rPr>
                  <w:t>第 18 页 共 20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44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41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19</w:t>
                </w:r>
                <w:r>
                  <w:rPr/>
                  <w:fldChar w:fldCharType="end"/>
                </w:r>
                <w:r>
                  <w:rPr>
                    <w:sz w:val="16"/>
                  </w:rPr>
                  <w:t> 页 共 20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39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36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20</w:t>
                </w:r>
                <w:r>
                  <w:rPr/>
                  <w:fldChar w:fldCharType="end"/>
                </w:r>
                <w:r>
                  <w:rPr>
                    <w:sz w:val="16"/>
                  </w:rPr>
                  <w:t> 页 共 20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3019" w:hanging="680"/>
        <w:jc w:val="left"/>
      </w:pPr>
      <w:rPr>
        <w:rFonts w:hint="default" w:ascii="宋体" w:hAnsi="宋体" w:eastAsia="宋体" w:cs="宋体"/>
        <w:w w:val="99"/>
        <w:sz w:val="20"/>
        <w:szCs w:val="20"/>
      </w:rPr>
    </w:lvl>
    <w:lvl w:ilvl="1">
      <w:start w:val="0"/>
      <w:numFmt w:val="bullet"/>
      <w:lvlText w:val="•"/>
      <w:lvlJc w:val="left"/>
      <w:pPr>
        <w:ind w:left="3716" w:hanging="680"/>
      </w:pPr>
      <w:rPr>
        <w:rFonts w:hint="default"/>
      </w:rPr>
    </w:lvl>
    <w:lvl w:ilvl="2">
      <w:start w:val="0"/>
      <w:numFmt w:val="bullet"/>
      <w:lvlText w:val="•"/>
      <w:lvlJc w:val="left"/>
      <w:pPr>
        <w:ind w:left="4412" w:hanging="680"/>
      </w:pPr>
      <w:rPr>
        <w:rFonts w:hint="default"/>
      </w:rPr>
    </w:lvl>
    <w:lvl w:ilvl="3">
      <w:start w:val="0"/>
      <w:numFmt w:val="bullet"/>
      <w:lvlText w:val="•"/>
      <w:lvlJc w:val="left"/>
      <w:pPr>
        <w:ind w:left="5108" w:hanging="680"/>
      </w:pPr>
      <w:rPr>
        <w:rFonts w:hint="default"/>
      </w:rPr>
    </w:lvl>
    <w:lvl w:ilvl="4">
      <w:start w:val="0"/>
      <w:numFmt w:val="bullet"/>
      <w:lvlText w:val="•"/>
      <w:lvlJc w:val="left"/>
      <w:pPr>
        <w:ind w:left="5804" w:hanging="680"/>
      </w:pPr>
      <w:rPr>
        <w:rFonts w:hint="default"/>
      </w:rPr>
    </w:lvl>
    <w:lvl w:ilvl="5">
      <w:start w:val="0"/>
      <w:numFmt w:val="bullet"/>
      <w:lvlText w:val="•"/>
      <w:lvlJc w:val="left"/>
      <w:pPr>
        <w:ind w:left="6500" w:hanging="680"/>
      </w:pPr>
      <w:rPr>
        <w:rFonts w:hint="default"/>
      </w:rPr>
    </w:lvl>
    <w:lvl w:ilvl="6">
      <w:start w:val="0"/>
      <w:numFmt w:val="bullet"/>
      <w:lvlText w:val="•"/>
      <w:lvlJc w:val="left"/>
      <w:pPr>
        <w:ind w:left="7196" w:hanging="680"/>
      </w:pPr>
      <w:rPr>
        <w:rFonts w:hint="default"/>
      </w:rPr>
    </w:lvl>
    <w:lvl w:ilvl="7">
      <w:start w:val="0"/>
      <w:numFmt w:val="bullet"/>
      <w:lvlText w:val="•"/>
      <w:lvlJc w:val="left"/>
      <w:pPr>
        <w:ind w:left="7892" w:hanging="680"/>
      </w:pPr>
      <w:rPr>
        <w:rFonts w:hint="default"/>
      </w:rPr>
    </w:lvl>
    <w:lvl w:ilvl="8">
      <w:start w:val="0"/>
      <w:numFmt w:val="bullet"/>
      <w:lvlText w:val="•"/>
      <w:lvlJc w:val="left"/>
      <w:pPr>
        <w:ind w:left="8588" w:hanging="680"/>
      </w:pPr>
      <w:rPr>
        <w:rFonts w:hint="default"/>
      </w:rPr>
    </w:lvl>
  </w:abstractNum>
  <w:abstractNum w:abstractNumId="37">
    <w:multiLevelType w:val="hybridMultilevel"/>
    <w:lvl w:ilvl="0">
      <w:start w:val="1"/>
      <w:numFmt w:val="decimal"/>
      <w:lvlText w:val="(%1)"/>
      <w:lvlJc w:val="left"/>
      <w:pPr>
        <w:ind w:left="532" w:hanging="420"/>
        <w:jc w:val="left"/>
      </w:pPr>
      <w:rPr>
        <w:rFonts w:hint="default" w:ascii="宋体" w:hAnsi="宋体" w:eastAsia="宋体" w:cs="宋体"/>
        <w:spacing w:val="0"/>
        <w:w w:val="99"/>
        <w:sz w:val="20"/>
        <w:szCs w:val="20"/>
      </w:rPr>
    </w:lvl>
    <w:lvl w:ilvl="1">
      <w:start w:val="0"/>
      <w:numFmt w:val="bullet"/>
      <w:lvlText w:val="•"/>
      <w:lvlJc w:val="left"/>
      <w:pPr>
        <w:ind w:left="1261" w:hanging="420"/>
      </w:pPr>
      <w:rPr>
        <w:rFonts w:hint="default"/>
      </w:rPr>
    </w:lvl>
    <w:lvl w:ilvl="2">
      <w:start w:val="0"/>
      <w:numFmt w:val="bullet"/>
      <w:lvlText w:val="•"/>
      <w:lvlJc w:val="left"/>
      <w:pPr>
        <w:ind w:left="1982"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425" w:hanging="420"/>
      </w:pPr>
      <w:rPr>
        <w:rFonts w:hint="default"/>
      </w:rPr>
    </w:lvl>
    <w:lvl w:ilvl="5">
      <w:start w:val="0"/>
      <w:numFmt w:val="bullet"/>
      <w:lvlText w:val="•"/>
      <w:lvlJc w:val="left"/>
      <w:pPr>
        <w:ind w:left="4146" w:hanging="420"/>
      </w:pPr>
      <w:rPr>
        <w:rFonts w:hint="default"/>
      </w:rPr>
    </w:lvl>
    <w:lvl w:ilvl="6">
      <w:start w:val="0"/>
      <w:numFmt w:val="bullet"/>
      <w:lvlText w:val="•"/>
      <w:lvlJc w:val="left"/>
      <w:pPr>
        <w:ind w:left="4867" w:hanging="420"/>
      </w:pPr>
      <w:rPr>
        <w:rFonts w:hint="default"/>
      </w:rPr>
    </w:lvl>
    <w:lvl w:ilvl="7">
      <w:start w:val="0"/>
      <w:numFmt w:val="bullet"/>
      <w:lvlText w:val="•"/>
      <w:lvlJc w:val="left"/>
      <w:pPr>
        <w:ind w:left="5588" w:hanging="420"/>
      </w:pPr>
      <w:rPr>
        <w:rFonts w:hint="default"/>
      </w:rPr>
    </w:lvl>
    <w:lvl w:ilvl="8">
      <w:start w:val="0"/>
      <w:numFmt w:val="bullet"/>
      <w:lvlText w:val="•"/>
      <w:lvlJc w:val="left"/>
      <w:pPr>
        <w:ind w:left="6310" w:hanging="420"/>
      </w:pPr>
      <w:rPr>
        <w:rFonts w:hint="default"/>
      </w:rPr>
    </w:lvl>
  </w:abstractNum>
  <w:abstractNum w:abstractNumId="36">
    <w:multiLevelType w:val="hybridMultilevel"/>
    <w:lvl w:ilvl="0">
      <w:start w:val="1"/>
      <w:numFmt w:val="decimal"/>
      <w:lvlText w:val="(%1)"/>
      <w:lvlJc w:val="left"/>
      <w:pPr>
        <w:ind w:left="532" w:hanging="420"/>
        <w:jc w:val="left"/>
      </w:pPr>
      <w:rPr>
        <w:rFonts w:hint="default" w:ascii="宋体" w:hAnsi="宋体" w:eastAsia="宋体" w:cs="宋体"/>
        <w:spacing w:val="0"/>
        <w:w w:val="99"/>
        <w:sz w:val="20"/>
        <w:szCs w:val="20"/>
      </w:rPr>
    </w:lvl>
    <w:lvl w:ilvl="1">
      <w:start w:val="0"/>
      <w:numFmt w:val="bullet"/>
      <w:lvlText w:val="•"/>
      <w:lvlJc w:val="left"/>
      <w:pPr>
        <w:ind w:left="1261" w:hanging="420"/>
      </w:pPr>
      <w:rPr>
        <w:rFonts w:hint="default"/>
      </w:rPr>
    </w:lvl>
    <w:lvl w:ilvl="2">
      <w:start w:val="0"/>
      <w:numFmt w:val="bullet"/>
      <w:lvlText w:val="•"/>
      <w:lvlJc w:val="left"/>
      <w:pPr>
        <w:ind w:left="1982"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425" w:hanging="420"/>
      </w:pPr>
      <w:rPr>
        <w:rFonts w:hint="default"/>
      </w:rPr>
    </w:lvl>
    <w:lvl w:ilvl="5">
      <w:start w:val="0"/>
      <w:numFmt w:val="bullet"/>
      <w:lvlText w:val="•"/>
      <w:lvlJc w:val="left"/>
      <w:pPr>
        <w:ind w:left="4146" w:hanging="420"/>
      </w:pPr>
      <w:rPr>
        <w:rFonts w:hint="default"/>
      </w:rPr>
    </w:lvl>
    <w:lvl w:ilvl="6">
      <w:start w:val="0"/>
      <w:numFmt w:val="bullet"/>
      <w:lvlText w:val="•"/>
      <w:lvlJc w:val="left"/>
      <w:pPr>
        <w:ind w:left="4867" w:hanging="420"/>
      </w:pPr>
      <w:rPr>
        <w:rFonts w:hint="default"/>
      </w:rPr>
    </w:lvl>
    <w:lvl w:ilvl="7">
      <w:start w:val="0"/>
      <w:numFmt w:val="bullet"/>
      <w:lvlText w:val="•"/>
      <w:lvlJc w:val="left"/>
      <w:pPr>
        <w:ind w:left="5588" w:hanging="420"/>
      </w:pPr>
      <w:rPr>
        <w:rFonts w:hint="default"/>
      </w:rPr>
    </w:lvl>
    <w:lvl w:ilvl="8">
      <w:start w:val="0"/>
      <w:numFmt w:val="bullet"/>
      <w:lvlText w:val="•"/>
      <w:lvlJc w:val="left"/>
      <w:pPr>
        <w:ind w:left="6310" w:hanging="420"/>
      </w:pPr>
      <w:rPr>
        <w:rFonts w:hint="default"/>
      </w:rPr>
    </w:lvl>
  </w:abstractNum>
  <w:abstractNum w:abstractNumId="35">
    <w:multiLevelType w:val="hybridMultilevel"/>
    <w:lvl w:ilvl="0">
      <w:start w:val="1"/>
      <w:numFmt w:val="decimal"/>
      <w:lvlText w:val="%1."/>
      <w:lvlJc w:val="left"/>
      <w:pPr>
        <w:ind w:left="2439" w:hanging="639"/>
        <w:jc w:val="right"/>
      </w:pPr>
      <w:rPr>
        <w:rFonts w:hint="default" w:ascii="微软雅黑" w:hAnsi="微软雅黑" w:eastAsia="微软雅黑" w:cs="微软雅黑"/>
        <w:b/>
        <w:bCs/>
        <w:spacing w:val="0"/>
        <w:w w:val="80"/>
        <w:sz w:val="20"/>
        <w:szCs w:val="20"/>
      </w:rPr>
    </w:lvl>
    <w:lvl w:ilvl="1">
      <w:start w:val="1"/>
      <w:numFmt w:val="decimal"/>
      <w:lvlText w:val="（%2）"/>
      <w:lvlJc w:val="left"/>
      <w:pPr>
        <w:ind w:left="2439" w:hanging="600"/>
        <w:jc w:val="left"/>
      </w:pPr>
      <w:rPr>
        <w:rFonts w:hint="default"/>
        <w:w w:val="99"/>
      </w:rPr>
    </w:lvl>
    <w:lvl w:ilvl="2">
      <w:start w:val="0"/>
      <w:numFmt w:val="bullet"/>
      <w:lvlText w:val="•"/>
      <w:lvlJc w:val="left"/>
      <w:pPr>
        <w:ind w:left="3972" w:hanging="600"/>
      </w:pPr>
      <w:rPr>
        <w:rFonts w:hint="default"/>
      </w:rPr>
    </w:lvl>
    <w:lvl w:ilvl="3">
      <w:start w:val="0"/>
      <w:numFmt w:val="bullet"/>
      <w:lvlText w:val="•"/>
      <w:lvlJc w:val="left"/>
      <w:pPr>
        <w:ind w:left="4738" w:hanging="600"/>
      </w:pPr>
      <w:rPr>
        <w:rFonts w:hint="default"/>
      </w:rPr>
    </w:lvl>
    <w:lvl w:ilvl="4">
      <w:start w:val="0"/>
      <w:numFmt w:val="bullet"/>
      <w:lvlText w:val="•"/>
      <w:lvlJc w:val="left"/>
      <w:pPr>
        <w:ind w:left="5504" w:hanging="600"/>
      </w:pPr>
      <w:rPr>
        <w:rFonts w:hint="default"/>
      </w:rPr>
    </w:lvl>
    <w:lvl w:ilvl="5">
      <w:start w:val="0"/>
      <w:numFmt w:val="bullet"/>
      <w:lvlText w:val="•"/>
      <w:lvlJc w:val="left"/>
      <w:pPr>
        <w:ind w:left="6270" w:hanging="600"/>
      </w:pPr>
      <w:rPr>
        <w:rFonts w:hint="default"/>
      </w:rPr>
    </w:lvl>
    <w:lvl w:ilvl="6">
      <w:start w:val="0"/>
      <w:numFmt w:val="bullet"/>
      <w:lvlText w:val="•"/>
      <w:lvlJc w:val="left"/>
      <w:pPr>
        <w:ind w:left="7036" w:hanging="600"/>
      </w:pPr>
      <w:rPr>
        <w:rFonts w:hint="default"/>
      </w:rPr>
    </w:lvl>
    <w:lvl w:ilvl="7">
      <w:start w:val="0"/>
      <w:numFmt w:val="bullet"/>
      <w:lvlText w:val="•"/>
      <w:lvlJc w:val="left"/>
      <w:pPr>
        <w:ind w:left="7802" w:hanging="600"/>
      </w:pPr>
      <w:rPr>
        <w:rFonts w:hint="default"/>
      </w:rPr>
    </w:lvl>
    <w:lvl w:ilvl="8">
      <w:start w:val="0"/>
      <w:numFmt w:val="bullet"/>
      <w:lvlText w:val="•"/>
      <w:lvlJc w:val="left"/>
      <w:pPr>
        <w:ind w:left="8568" w:hanging="600"/>
      </w:pPr>
      <w:rPr>
        <w:rFonts w:hint="default"/>
      </w:rPr>
    </w:lvl>
  </w:abstractNum>
  <w:abstractNum w:abstractNumId="3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1">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3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6">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1">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2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9">
    <w:multiLevelType w:val="hybridMultilevel"/>
    <w:lvl w:ilvl="0">
      <w:start w:val="1"/>
      <w:numFmt w:val="decimal"/>
      <w:lvlText w:val="(%1)"/>
      <w:lvlJc w:val="left"/>
      <w:pPr>
        <w:ind w:left="510" w:hanging="404"/>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8">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7">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6">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5">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4">
    <w:multiLevelType w:val="hybridMultilevel"/>
    <w:lvl w:ilvl="0">
      <w:start w:val="1"/>
      <w:numFmt w:val="decimal"/>
      <w:lvlText w:val="(%1)"/>
      <w:lvlJc w:val="left"/>
      <w:pPr>
        <w:ind w:left="510"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1">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5">
    <w:multiLevelType w:val="hybridMultilevel"/>
    <w:lvl w:ilvl="0">
      <w:start w:val="4"/>
      <w:numFmt w:val="decimal"/>
      <w:lvlText w:val="%1"/>
      <w:lvlJc w:val="left"/>
      <w:pPr>
        <w:ind w:left="875" w:hanging="663"/>
        <w:jc w:val="left"/>
      </w:pPr>
      <w:rPr>
        <w:rFonts w:hint="default"/>
      </w:rPr>
    </w:lvl>
    <w:lvl w:ilvl="1">
      <w:start w:val="1"/>
      <w:numFmt w:val="decimal"/>
      <w:lvlText w:val="%1.%2"/>
      <w:lvlJc w:val="left"/>
      <w:pPr>
        <w:ind w:left="2135" w:hanging="663"/>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3076" w:hanging="420"/>
        <w:jc w:val="left"/>
      </w:pPr>
      <w:rPr>
        <w:rFonts w:hint="default" w:ascii="宋体" w:hAnsi="宋体" w:eastAsia="宋体" w:cs="宋体"/>
        <w:spacing w:val="0"/>
        <w:w w:val="99"/>
        <w:sz w:val="20"/>
        <w:szCs w:val="20"/>
      </w:rPr>
    </w:lvl>
    <w:lvl w:ilvl="3">
      <w:start w:val="0"/>
      <w:numFmt w:val="bullet"/>
      <w:lvlText w:val="•"/>
      <w:lvlJc w:val="left"/>
      <w:pPr>
        <w:ind w:left="3967" w:hanging="420"/>
      </w:pPr>
      <w:rPr>
        <w:rFonts w:hint="default"/>
      </w:rPr>
    </w:lvl>
    <w:lvl w:ilvl="4">
      <w:start w:val="0"/>
      <w:numFmt w:val="bullet"/>
      <w:lvlText w:val="•"/>
      <w:lvlJc w:val="left"/>
      <w:pPr>
        <w:ind w:left="4855" w:hanging="420"/>
      </w:pPr>
      <w:rPr>
        <w:rFonts w:hint="default"/>
      </w:rPr>
    </w:lvl>
    <w:lvl w:ilvl="5">
      <w:start w:val="0"/>
      <w:numFmt w:val="bullet"/>
      <w:lvlText w:val="•"/>
      <w:lvlJc w:val="left"/>
      <w:pPr>
        <w:ind w:left="5742"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17" w:hanging="420"/>
      </w:pPr>
      <w:rPr>
        <w:rFonts w:hint="default"/>
      </w:rPr>
    </w:lvl>
    <w:lvl w:ilvl="8">
      <w:start w:val="0"/>
      <w:numFmt w:val="bullet"/>
      <w:lvlText w:val="•"/>
      <w:lvlJc w:val="left"/>
      <w:pPr>
        <w:ind w:left="8405" w:hanging="420"/>
      </w:pPr>
      <w:rPr>
        <w:rFonts w:hint="default"/>
      </w:rPr>
    </w:lvl>
  </w:abstractNum>
  <w:abstractNum w:abstractNumId="4">
    <w:multiLevelType w:val="hybridMultilevel"/>
    <w:lvl w:ilvl="0">
      <w:start w:val="1"/>
      <w:numFmt w:val="decimal"/>
      <w:lvlText w:val="%1）"/>
      <w:lvlJc w:val="left"/>
      <w:pPr>
        <w:ind w:left="2815" w:hanging="428"/>
        <w:jc w:val="right"/>
      </w:pPr>
      <w:rPr>
        <w:rFonts w:hint="default" w:ascii="微软雅黑" w:hAnsi="微软雅黑" w:eastAsia="微软雅黑" w:cs="微软雅黑"/>
        <w:b/>
        <w:bCs/>
        <w:spacing w:val="0"/>
        <w:w w:val="80"/>
        <w:sz w:val="20"/>
        <w:szCs w:val="20"/>
      </w:rPr>
    </w:lvl>
    <w:lvl w:ilvl="1">
      <w:start w:val="0"/>
      <w:numFmt w:val="bullet"/>
      <w:lvlText w:val="•"/>
      <w:lvlJc w:val="left"/>
      <w:pPr>
        <w:ind w:left="3536" w:hanging="428"/>
      </w:pPr>
      <w:rPr>
        <w:rFonts w:hint="default"/>
      </w:rPr>
    </w:lvl>
    <w:lvl w:ilvl="2">
      <w:start w:val="0"/>
      <w:numFmt w:val="bullet"/>
      <w:lvlText w:val="•"/>
      <w:lvlJc w:val="left"/>
      <w:pPr>
        <w:ind w:left="4252" w:hanging="428"/>
      </w:pPr>
      <w:rPr>
        <w:rFonts w:hint="default"/>
      </w:rPr>
    </w:lvl>
    <w:lvl w:ilvl="3">
      <w:start w:val="0"/>
      <w:numFmt w:val="bullet"/>
      <w:lvlText w:val="•"/>
      <w:lvlJc w:val="left"/>
      <w:pPr>
        <w:ind w:left="4968" w:hanging="428"/>
      </w:pPr>
      <w:rPr>
        <w:rFonts w:hint="default"/>
      </w:rPr>
    </w:lvl>
    <w:lvl w:ilvl="4">
      <w:start w:val="0"/>
      <w:numFmt w:val="bullet"/>
      <w:lvlText w:val="•"/>
      <w:lvlJc w:val="left"/>
      <w:pPr>
        <w:ind w:left="5684" w:hanging="428"/>
      </w:pPr>
      <w:rPr>
        <w:rFonts w:hint="default"/>
      </w:rPr>
    </w:lvl>
    <w:lvl w:ilvl="5">
      <w:start w:val="0"/>
      <w:numFmt w:val="bullet"/>
      <w:lvlText w:val="•"/>
      <w:lvlJc w:val="left"/>
      <w:pPr>
        <w:ind w:left="6400" w:hanging="428"/>
      </w:pPr>
      <w:rPr>
        <w:rFonts w:hint="default"/>
      </w:rPr>
    </w:lvl>
    <w:lvl w:ilvl="6">
      <w:start w:val="0"/>
      <w:numFmt w:val="bullet"/>
      <w:lvlText w:val="•"/>
      <w:lvlJc w:val="left"/>
      <w:pPr>
        <w:ind w:left="7116" w:hanging="428"/>
      </w:pPr>
      <w:rPr>
        <w:rFonts w:hint="default"/>
      </w:rPr>
    </w:lvl>
    <w:lvl w:ilvl="7">
      <w:start w:val="0"/>
      <w:numFmt w:val="bullet"/>
      <w:lvlText w:val="•"/>
      <w:lvlJc w:val="left"/>
      <w:pPr>
        <w:ind w:left="7832" w:hanging="428"/>
      </w:pPr>
      <w:rPr>
        <w:rFonts w:hint="default"/>
      </w:rPr>
    </w:lvl>
    <w:lvl w:ilvl="8">
      <w:start w:val="0"/>
      <w:numFmt w:val="bullet"/>
      <w:lvlText w:val="•"/>
      <w:lvlJc w:val="left"/>
      <w:pPr>
        <w:ind w:left="8548" w:hanging="428"/>
      </w:pPr>
      <w:rPr>
        <w:rFonts w:hint="default"/>
      </w:rPr>
    </w:lvl>
  </w:abstractNum>
  <w:abstractNum w:abstractNumId="3">
    <w:multiLevelType w:val="hybridMultilevel"/>
    <w:lvl w:ilvl="0">
      <w:start w:val="2"/>
      <w:numFmt w:val="decimal"/>
      <w:lvlText w:val="%1"/>
      <w:lvlJc w:val="left"/>
      <w:pPr>
        <w:ind w:left="846" w:hanging="634"/>
        <w:jc w:val="left"/>
      </w:pPr>
      <w:rPr>
        <w:rFonts w:hint="default"/>
      </w:rPr>
    </w:lvl>
    <w:lvl w:ilvl="1">
      <w:start w:val="1"/>
      <w:numFmt w:val="decimal"/>
      <w:lvlText w:val="%1.%2"/>
      <w:lvlJc w:val="left"/>
      <w:pPr>
        <w:ind w:left="2136" w:hanging="634"/>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2655" w:hanging="420"/>
        <w:jc w:val="right"/>
      </w:pPr>
      <w:rPr>
        <w:rFonts w:hint="default" w:ascii="微软雅黑" w:hAnsi="微软雅黑" w:eastAsia="微软雅黑" w:cs="微软雅黑"/>
        <w:b/>
        <w:bCs/>
        <w:spacing w:val="0"/>
        <w:w w:val="80"/>
        <w:sz w:val="20"/>
        <w:szCs w:val="20"/>
      </w:rPr>
    </w:lvl>
    <w:lvl w:ilvl="3">
      <w:start w:val="1"/>
      <w:numFmt w:val="lowerRoman"/>
      <w:lvlText w:val="%4."/>
      <w:lvlJc w:val="left"/>
      <w:pPr>
        <w:ind w:left="3496" w:hanging="420"/>
        <w:jc w:val="left"/>
      </w:pPr>
      <w:rPr>
        <w:rFonts w:hint="default" w:ascii="微软雅黑" w:hAnsi="微软雅黑" w:eastAsia="微软雅黑" w:cs="微软雅黑"/>
        <w:b/>
        <w:bCs/>
        <w:spacing w:val="0"/>
        <w:w w:val="168"/>
        <w:sz w:val="20"/>
        <w:szCs w:val="20"/>
      </w:rPr>
    </w:lvl>
    <w:lvl w:ilvl="4">
      <w:start w:val="0"/>
      <w:numFmt w:val="bullet"/>
      <w:lvlText w:val="•"/>
      <w:lvlJc w:val="left"/>
      <w:pPr>
        <w:ind w:left="4454" w:hanging="420"/>
      </w:pPr>
      <w:rPr>
        <w:rFonts w:hint="default"/>
      </w:rPr>
    </w:lvl>
    <w:lvl w:ilvl="5">
      <w:start w:val="0"/>
      <w:numFmt w:val="bullet"/>
      <w:lvlText w:val="•"/>
      <w:lvlJc w:val="left"/>
      <w:pPr>
        <w:ind w:left="5408" w:hanging="420"/>
      </w:pPr>
      <w:rPr>
        <w:rFonts w:hint="default"/>
      </w:rPr>
    </w:lvl>
    <w:lvl w:ilvl="6">
      <w:start w:val="0"/>
      <w:numFmt w:val="bullet"/>
      <w:lvlText w:val="•"/>
      <w:lvlJc w:val="left"/>
      <w:pPr>
        <w:ind w:left="6362" w:hanging="420"/>
      </w:pPr>
      <w:rPr>
        <w:rFonts w:hint="default"/>
      </w:rPr>
    </w:lvl>
    <w:lvl w:ilvl="7">
      <w:start w:val="0"/>
      <w:numFmt w:val="bullet"/>
      <w:lvlText w:val="•"/>
      <w:lvlJc w:val="left"/>
      <w:pPr>
        <w:ind w:left="7317" w:hanging="420"/>
      </w:pPr>
      <w:rPr>
        <w:rFonts w:hint="default"/>
      </w:rPr>
    </w:lvl>
    <w:lvl w:ilvl="8">
      <w:start w:val="0"/>
      <w:numFmt w:val="bullet"/>
      <w:lvlText w:val="•"/>
      <w:lvlJc w:val="left"/>
      <w:pPr>
        <w:ind w:left="8271" w:hanging="420"/>
      </w:pPr>
      <w:rPr>
        <w:rFonts w:hint="default"/>
      </w:rPr>
    </w:lvl>
  </w:abstractNum>
  <w:abstractNum w:abstractNumId="2">
    <w:multiLevelType w:val="hybridMultilevel"/>
    <w:lvl w:ilvl="0">
      <w:start w:val="1"/>
      <w:numFmt w:val="decimal"/>
      <w:lvlText w:val="(%1)"/>
      <w:lvlJc w:val="left"/>
      <w:pPr>
        <w:ind w:left="2655" w:hanging="420"/>
        <w:jc w:val="right"/>
      </w:pPr>
      <w:rPr>
        <w:rFonts w:hint="default" w:ascii="宋体" w:hAnsi="宋体" w:eastAsia="宋体" w:cs="宋体"/>
        <w:spacing w:val="0"/>
        <w:w w:val="99"/>
        <w:sz w:val="20"/>
        <w:szCs w:val="20"/>
      </w:rPr>
    </w:lvl>
    <w:lvl w:ilvl="1">
      <w:start w:val="0"/>
      <w:numFmt w:val="bullet"/>
      <w:lvlText w:val="•"/>
      <w:lvlJc w:val="left"/>
      <w:pPr>
        <w:ind w:left="3206" w:hanging="420"/>
      </w:pPr>
      <w:rPr>
        <w:rFonts w:hint="default"/>
      </w:rPr>
    </w:lvl>
    <w:lvl w:ilvl="2">
      <w:start w:val="0"/>
      <w:numFmt w:val="bullet"/>
      <w:lvlText w:val="•"/>
      <w:lvlJc w:val="left"/>
      <w:pPr>
        <w:ind w:left="3752" w:hanging="420"/>
      </w:pPr>
      <w:rPr>
        <w:rFonts w:hint="default"/>
      </w:rPr>
    </w:lvl>
    <w:lvl w:ilvl="3">
      <w:start w:val="0"/>
      <w:numFmt w:val="bullet"/>
      <w:lvlText w:val="•"/>
      <w:lvlJc w:val="left"/>
      <w:pPr>
        <w:ind w:left="4298" w:hanging="420"/>
      </w:pPr>
      <w:rPr>
        <w:rFonts w:hint="default"/>
      </w:rPr>
    </w:lvl>
    <w:lvl w:ilvl="4">
      <w:start w:val="0"/>
      <w:numFmt w:val="bullet"/>
      <w:lvlText w:val="•"/>
      <w:lvlJc w:val="left"/>
      <w:pPr>
        <w:ind w:left="4844" w:hanging="420"/>
      </w:pPr>
      <w:rPr>
        <w:rFonts w:hint="default"/>
      </w:rPr>
    </w:lvl>
    <w:lvl w:ilvl="5">
      <w:start w:val="0"/>
      <w:numFmt w:val="bullet"/>
      <w:lvlText w:val="•"/>
      <w:lvlJc w:val="left"/>
      <w:pPr>
        <w:ind w:left="5390" w:hanging="420"/>
      </w:pPr>
      <w:rPr>
        <w:rFonts w:hint="default"/>
      </w:rPr>
    </w:lvl>
    <w:lvl w:ilvl="6">
      <w:start w:val="0"/>
      <w:numFmt w:val="bullet"/>
      <w:lvlText w:val="•"/>
      <w:lvlJc w:val="left"/>
      <w:pPr>
        <w:ind w:left="5936" w:hanging="420"/>
      </w:pPr>
      <w:rPr>
        <w:rFonts w:hint="default"/>
      </w:rPr>
    </w:lvl>
    <w:lvl w:ilvl="7">
      <w:start w:val="0"/>
      <w:numFmt w:val="bullet"/>
      <w:lvlText w:val="•"/>
      <w:lvlJc w:val="left"/>
      <w:pPr>
        <w:ind w:left="6482" w:hanging="420"/>
      </w:pPr>
      <w:rPr>
        <w:rFonts w:hint="default"/>
      </w:rPr>
    </w:lvl>
    <w:lvl w:ilvl="8">
      <w:start w:val="0"/>
      <w:numFmt w:val="bullet"/>
      <w:lvlText w:val="•"/>
      <w:lvlJc w:val="left"/>
      <w:pPr>
        <w:ind w:left="7028" w:hanging="420"/>
      </w:pPr>
      <w:rPr>
        <w:rFonts w:hint="default"/>
      </w:rPr>
    </w:lvl>
  </w:abstractNum>
  <w:abstractNum w:abstractNumId="1">
    <w:multiLevelType w:val="hybridMultilevel"/>
    <w:lvl w:ilvl="0">
      <w:start w:val="1"/>
      <w:numFmt w:val="decimal"/>
      <w:lvlText w:val="%1"/>
      <w:lvlJc w:val="left"/>
      <w:pPr>
        <w:ind w:left="875" w:hanging="663"/>
        <w:jc w:val="left"/>
      </w:pPr>
      <w:rPr>
        <w:rFonts w:hint="default"/>
      </w:rPr>
    </w:lvl>
    <w:lvl w:ilvl="1">
      <w:start w:val="1"/>
      <w:numFmt w:val="decimal"/>
      <w:lvlText w:val="%1.%2"/>
      <w:lvlJc w:val="left"/>
      <w:pPr>
        <w:ind w:left="2236" w:hanging="663"/>
        <w:jc w:val="left"/>
      </w:pPr>
      <w:rPr>
        <w:rFonts w:hint="default" w:ascii="微软雅黑" w:hAnsi="微软雅黑" w:eastAsia="微软雅黑" w:cs="微软雅黑"/>
        <w:b/>
        <w:bCs/>
        <w:spacing w:val="0"/>
        <w:w w:val="80"/>
        <w:sz w:val="20"/>
        <w:szCs w:val="20"/>
      </w:rPr>
    </w:lvl>
    <w:lvl w:ilvl="2">
      <w:start w:val="0"/>
      <w:numFmt w:val="bullet"/>
      <w:lvlText w:val="•"/>
      <w:lvlJc w:val="left"/>
      <w:pPr>
        <w:ind w:left="2215" w:hanging="663"/>
      </w:pPr>
      <w:rPr>
        <w:rFonts w:hint="default"/>
      </w:rPr>
    </w:lvl>
    <w:lvl w:ilvl="3">
      <w:start w:val="0"/>
      <w:numFmt w:val="bullet"/>
      <w:lvlText w:val="•"/>
      <w:lvlJc w:val="left"/>
      <w:pPr>
        <w:ind w:left="2191" w:hanging="663"/>
      </w:pPr>
      <w:rPr>
        <w:rFonts w:hint="default"/>
      </w:rPr>
    </w:lvl>
    <w:lvl w:ilvl="4">
      <w:start w:val="0"/>
      <w:numFmt w:val="bullet"/>
      <w:lvlText w:val="•"/>
      <w:lvlJc w:val="left"/>
      <w:pPr>
        <w:ind w:left="2166" w:hanging="663"/>
      </w:pPr>
      <w:rPr>
        <w:rFonts w:hint="default"/>
      </w:rPr>
    </w:lvl>
    <w:lvl w:ilvl="5">
      <w:start w:val="0"/>
      <w:numFmt w:val="bullet"/>
      <w:lvlText w:val="•"/>
      <w:lvlJc w:val="left"/>
      <w:pPr>
        <w:ind w:left="2142" w:hanging="663"/>
      </w:pPr>
      <w:rPr>
        <w:rFonts w:hint="default"/>
      </w:rPr>
    </w:lvl>
    <w:lvl w:ilvl="6">
      <w:start w:val="0"/>
      <w:numFmt w:val="bullet"/>
      <w:lvlText w:val="•"/>
      <w:lvlJc w:val="left"/>
      <w:pPr>
        <w:ind w:left="2117" w:hanging="663"/>
      </w:pPr>
      <w:rPr>
        <w:rFonts w:hint="default"/>
      </w:rPr>
    </w:lvl>
    <w:lvl w:ilvl="7">
      <w:start w:val="0"/>
      <w:numFmt w:val="bullet"/>
      <w:lvlText w:val="•"/>
      <w:lvlJc w:val="left"/>
      <w:pPr>
        <w:ind w:left="2093" w:hanging="663"/>
      </w:pPr>
      <w:rPr>
        <w:rFonts w:hint="default"/>
      </w:rPr>
    </w:lvl>
    <w:lvl w:ilvl="8">
      <w:start w:val="0"/>
      <w:numFmt w:val="bullet"/>
      <w:lvlText w:val="•"/>
      <w:lvlJc w:val="left"/>
      <w:pPr>
        <w:ind w:left="2068" w:hanging="663"/>
      </w:pPr>
      <w:rPr>
        <w:rFonts w:hint="default"/>
      </w:rPr>
    </w:lvl>
  </w:abstractNum>
  <w:abstractNum w:abstractNumId="0">
    <w:multiLevelType w:val="hybridMultilevel"/>
    <w:lvl w:ilvl="0">
      <w:start w:val="0"/>
      <w:numFmt w:val="bullet"/>
      <w:lvlText w:val=""/>
      <w:lvlJc w:val="left"/>
      <w:pPr>
        <w:ind w:left="351" w:hanging="420"/>
      </w:pPr>
      <w:rPr>
        <w:rFonts w:hint="default" w:ascii="Wingdings" w:hAnsi="Wingdings" w:eastAsia="Wingdings" w:cs="Wingdings"/>
        <w:w w:val="99"/>
        <w:sz w:val="20"/>
        <w:szCs w:val="20"/>
      </w:rPr>
    </w:lvl>
    <w:lvl w:ilvl="1">
      <w:start w:val="0"/>
      <w:numFmt w:val="bullet"/>
      <w:lvlText w:val="•"/>
      <w:lvlJc w:val="left"/>
      <w:pPr>
        <w:ind w:left="133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264" w:hanging="420"/>
      </w:pPr>
      <w:rPr>
        <w:rFonts w:hint="default"/>
      </w:rPr>
    </w:lvl>
    <w:lvl w:ilvl="5">
      <w:start w:val="0"/>
      <w:numFmt w:val="bullet"/>
      <w:lvlText w:val="•"/>
      <w:lvlJc w:val="left"/>
      <w:pPr>
        <w:ind w:left="5240" w:hanging="420"/>
      </w:pPr>
      <w:rPr>
        <w:rFonts w:hint="default"/>
      </w:rPr>
    </w:lvl>
    <w:lvl w:ilvl="6">
      <w:start w:val="0"/>
      <w:numFmt w:val="bullet"/>
      <w:lvlText w:val="•"/>
      <w:lvlJc w:val="left"/>
      <w:pPr>
        <w:ind w:left="6216" w:hanging="420"/>
      </w:pPr>
      <w:rPr>
        <w:rFonts w:hint="default"/>
      </w:rPr>
    </w:lvl>
    <w:lvl w:ilvl="7">
      <w:start w:val="0"/>
      <w:numFmt w:val="bullet"/>
      <w:lvlText w:val="•"/>
      <w:lvlJc w:val="left"/>
      <w:pPr>
        <w:ind w:left="7192" w:hanging="420"/>
      </w:pPr>
      <w:rPr>
        <w:rFonts w:hint="default"/>
      </w:rPr>
    </w:lvl>
    <w:lvl w:ilvl="8">
      <w:start w:val="0"/>
      <w:numFmt w:val="bullet"/>
      <w:lvlText w:val="•"/>
      <w:lvlJc w:val="left"/>
      <w:pPr>
        <w:ind w:left="8168" w:hanging="420"/>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358" w:lineRule="exact"/>
      <w:ind w:left="132"/>
      <w:outlineLvl w:val="1"/>
    </w:pPr>
    <w:rPr>
      <w:rFonts w:ascii="微软雅黑" w:hAnsi="微软雅黑" w:eastAsia="微软雅黑" w:cs="微软雅黑"/>
      <w:b/>
      <w:bCs/>
      <w:sz w:val="24"/>
      <w:szCs w:val="24"/>
    </w:rPr>
  </w:style>
  <w:style w:styleId="Heading2" w:type="paragraph">
    <w:name w:val="Heading 2"/>
    <w:basedOn w:val="Normal"/>
    <w:uiPriority w:val="1"/>
    <w:qFormat/>
    <w:pPr>
      <w:ind w:left="751"/>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439"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YiqiangWang</dc:creator>
  <dc:title>3-2. ????????????????????????????????????x</dc:title>
  <dcterms:created xsi:type="dcterms:W3CDTF">2018-10-19T23:03:10Z</dcterms:created>
  <dcterms:modified xsi:type="dcterms:W3CDTF">2018-10-19T23:03:10Z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2016-08-10T00:00:00Z</vt:filetime>
  </property>
  <property fmtid="{D5CDD505-2E9C-101B-9397-08002B2CF9AE}" pid="3" name="Creator">
    <vt:lpwstr>PDFCreator Version 0.9.5</vt:lpwstr>
  </property>
  <property fmtid="{D5CDD505-2E9C-101B-9397-08002B2CF9AE}" pid="4" name="LastSaved">
    <vt:filetime>2018-10-19T00:00:00Z</vt:filetime>
  </property>
</Properties>
</file>