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jc w:val="center"/>
      </w:pPr>
      <w:r>
        <w:rPr/>
        <w:t>海康附加多重给付重大疾病保险条款</w:t>
      </w:r>
    </w:p>
    <w:p>
      <w:pPr>
        <w:pStyle w:val="BodyText"/>
        <w:spacing w:before="8"/>
        <w:rPr>
          <w:rFonts w:ascii="微软雅黑"/>
          <w:b/>
          <w:sz w:val="26"/>
        </w:rPr>
      </w:pPr>
    </w:p>
    <w:p>
      <w:pPr>
        <w:spacing w:before="1"/>
        <w:ind w:left="1315" w:right="0" w:firstLine="0"/>
        <w:jc w:val="center"/>
        <w:rPr>
          <w:sz w:val="32"/>
        </w:rPr>
      </w:pPr>
      <w:r>
        <w:rPr>
          <w:sz w:val="32"/>
        </w:rPr>
        <w:t>阅 读 指 引</w:t>
      </w:r>
    </w:p>
    <w:p>
      <w:pPr>
        <w:pStyle w:val="BodyText"/>
        <w:spacing w:before="11"/>
        <w:rPr>
          <w:sz w:val="34"/>
        </w:rPr>
      </w:pPr>
    </w:p>
    <w:p>
      <w:pPr>
        <w:pStyle w:val="BodyText"/>
        <w:ind w:left="137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59" w:right="57" w:firstLine="0"/>
        <w:jc w:val="center"/>
        <w:rPr>
          <w:sz w:val="16"/>
        </w:rPr>
      </w:pPr>
      <w:r>
        <w:rPr/>
        <w:br w:type="column"/>
      </w:r>
      <w:r>
        <w:rPr>
          <w:sz w:val="16"/>
        </w:rPr>
        <w:t>海康人寿[2010]疾病保险 014 号</w:t>
      </w:r>
    </w:p>
    <w:p>
      <w:pPr>
        <w:pStyle w:val="BodyText"/>
        <w:spacing w:before="5"/>
        <w:rPr>
          <w:sz w:val="10"/>
        </w:rPr>
      </w:pPr>
    </w:p>
    <w:p>
      <w:pPr>
        <w:pStyle w:val="BodyText"/>
        <w:ind w:left="674"/>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4"/>
        <w:ind w:left="59" w:right="57" w:firstLine="0"/>
        <w:jc w:val="center"/>
        <w:rPr>
          <w:sz w:val="16"/>
        </w:rPr>
      </w:pPr>
      <w:r>
        <w:rPr>
          <w:sz w:val="16"/>
        </w:rPr>
        <w:t>请扫描以查询验证条款</w:t>
      </w:r>
    </w:p>
    <w:p>
      <w:pPr>
        <w:spacing w:after="0"/>
        <w:jc w:val="center"/>
        <w:rPr>
          <w:sz w:val="16"/>
        </w:rPr>
        <w:sectPr>
          <w:type w:val="continuous"/>
          <w:pgSz w:w="11910" w:h="16840"/>
          <w:pgMar w:top="540" w:bottom="280" w:left="1300" w:right="140"/>
          <w:cols w:num="2" w:equalWidth="0">
            <w:col w:w="7953" w:space="40"/>
            <w:col w:w="2477"/>
          </w:cols>
        </w:sectPr>
      </w:pP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5"/>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8">
        <w:r>
          <w:rPr>
            <w:rFonts w:ascii="Times New Roman" w:eastAsia="Times New Roman"/>
          </w:rPr>
          <w:t>2.3</w:t>
        </w:r>
      </w:hyperlink>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hyperlink w:history="true" w:anchor="_bookmark19">
        <w:r>
          <w:rPr>
            <w:rFonts w:ascii="Times New Roman" w:eastAsia="Times New Roman"/>
          </w:rPr>
          <w:t>4</w:t>
        </w:r>
      </w:hyperlink>
    </w:p>
    <w:p>
      <w:pPr>
        <w:pStyle w:val="BodyText"/>
        <w:tabs>
          <w:tab w:pos="8363"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24">
        <w:r>
          <w:rPr>
            <w:rFonts w:ascii="Times New Roman" w:eastAsia="Times New Roman"/>
          </w:rPr>
          <w:t>5.1</w:t>
        </w:r>
      </w:hyperlink>
    </w:p>
    <w:p>
      <w:pPr>
        <w:pStyle w:val="Heading2"/>
        <w:spacing w:before="773"/>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10">
        <w:r>
          <w:rPr>
            <w:rFonts w:ascii="Times New Roman" w:eastAsia="Times New Roman"/>
          </w:rPr>
          <w:t>2.4</w:t>
        </w:r>
      </w:hyperlink>
    </w:p>
    <w:p>
      <w:pPr>
        <w:pStyle w:val="BodyText"/>
        <w:tabs>
          <w:tab w:pos="8360"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我们</w:t>
        <w:tab/>
      </w:r>
      <w:hyperlink w:history="true" w:anchor="_bookmark13">
        <w:r>
          <w:rPr>
            <w:rFonts w:ascii="Times New Roman" w:eastAsia="Times New Roman"/>
          </w:rPr>
          <w:t>3.2</w:t>
        </w:r>
      </w:hyperlink>
    </w:p>
    <w:p>
      <w:pPr>
        <w:pStyle w:val="BodyText"/>
        <w:tabs>
          <w:tab w:pos="8361"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24">
        <w:r>
          <w:rPr>
            <w:rFonts w:ascii="Times New Roman" w:eastAsia="Times New Roman"/>
          </w:rPr>
          <w:t>5.1</w:t>
        </w:r>
      </w:hyperlink>
    </w:p>
    <w:p>
      <w:pPr>
        <w:pStyle w:val="BodyText"/>
        <w:tabs>
          <w:tab w:pos="820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27">
        <w:r>
          <w:rPr>
            <w:rFonts w:ascii="Times New Roman" w:eastAsia="Times New Roman"/>
          </w:rPr>
          <w:t>7</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pStyle w:val="BodyText"/>
        <w:spacing w:before="6"/>
        <w:rPr>
          <w:b/>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3"/>
        </w:numPr>
        <w:tabs>
          <w:tab w:pos="478" w:val="left" w:leader="none"/>
          <w:tab w:pos="479" w:val="left" w:leader="none"/>
        </w:tabs>
        <w:spacing w:line="240" w:lineRule="auto" w:before="0" w:after="0"/>
        <w:ind w:left="478" w:right="0" w:hanging="360"/>
        <w:jc w:val="left"/>
      </w:pPr>
      <w:r>
        <w:rPr/>
        <w:pict>
          <v:line style="position:absolute;mso-position-horizontal-relative:page;mso-position-vertical-relative:paragraph;z-index:-21952" from="220.320007pt,-7.176327pt" to="220.320007pt,265.82367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1.976166pt;margin-top:-7.176327pt;width:287.5pt;height:273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7"/>
                    <w:gridCol w:w="2890"/>
                  </w:tblGrid>
                  <w:tr>
                    <w:trPr>
                      <w:trHeight w:val="3787" w:hRule="atLeast"/>
                    </w:trPr>
                    <w:tc>
                      <w:tcPr>
                        <w:tcW w:w="2859" w:type="dxa"/>
                        <w:gridSpan w:val="2"/>
                        <w:tcBorders>
                          <w:right w:val="single" w:sz="8" w:space="0" w:color="000000"/>
                        </w:tcBorders>
                      </w:tcPr>
                      <w:p>
                        <w:pPr>
                          <w:pStyle w:val="TableParagraph"/>
                          <w:spacing w:line="386" w:lineRule="auto"/>
                          <w:ind w:left="232" w:right="1347" w:hanging="183"/>
                          <w:rPr>
                            <w:b/>
                            <w:sz w:val="21"/>
                          </w:rPr>
                        </w:pPr>
                        <w:hyperlink w:history="true" w:anchor="_bookmark18">
                          <w:r>
                            <w:rPr>
                              <w:rFonts w:ascii="Times New Roman" w:eastAsia="Times New Roman"/>
                              <w:sz w:val="21"/>
                            </w:rPr>
                            <w:t>3.6   </w:t>
                          </w:r>
                          <w:r>
                            <w:rPr>
                              <w:sz w:val="21"/>
                            </w:rPr>
                            <w:t>失踪处理</w:t>
                          </w:r>
                        </w:hyperlink>
                        <w:hyperlink w:history="true" w:anchor="_bookmark20">
                          <w:r>
                            <w:rPr>
                              <w:b/>
                              <w:sz w:val="21"/>
                            </w:rPr>
                            <w:t>现金价值权益</w:t>
                          </w:r>
                        </w:hyperlink>
                      </w:p>
                      <w:p>
                        <w:pPr>
                          <w:pStyle w:val="TableParagraph"/>
                          <w:numPr>
                            <w:ilvl w:val="1"/>
                            <w:numId w:val="1"/>
                          </w:numPr>
                          <w:tabs>
                            <w:tab w:pos="471" w:val="left" w:leader="none"/>
                          </w:tabs>
                          <w:spacing w:line="200" w:lineRule="exact" w:before="12" w:after="0"/>
                          <w:ind w:left="232" w:right="0" w:hanging="182"/>
                          <w:jc w:val="left"/>
                          <w:rPr>
                            <w:sz w:val="21"/>
                          </w:rPr>
                        </w:pPr>
                        <w:hyperlink w:history="true" w:anchor="_bookmark21">
                          <w:r>
                            <w:rPr>
                              <w:spacing w:val="-1"/>
                              <w:sz w:val="21"/>
                            </w:rPr>
                            <w:t>现金价值</w:t>
                          </w:r>
                        </w:hyperlink>
                      </w:p>
                      <w:p>
                        <w:pPr>
                          <w:pStyle w:val="TableParagraph"/>
                          <w:numPr>
                            <w:ilvl w:val="1"/>
                            <w:numId w:val="1"/>
                          </w:numPr>
                          <w:tabs>
                            <w:tab w:pos="471" w:val="left" w:leader="none"/>
                          </w:tabs>
                          <w:spacing w:line="386" w:lineRule="auto" w:before="20" w:after="0"/>
                          <w:ind w:left="232" w:right="1534" w:hanging="182"/>
                          <w:jc w:val="left"/>
                          <w:rPr>
                            <w:b/>
                            <w:sz w:val="21"/>
                          </w:rPr>
                        </w:pPr>
                        <w:hyperlink w:history="true" w:anchor="_bookmark22">
                          <w:r>
                            <w:rPr>
                              <w:spacing w:val="-1"/>
                              <w:sz w:val="21"/>
                            </w:rPr>
                            <w:t>减额缴清</w:t>
                          </w:r>
                        </w:hyperlink>
                        <w:hyperlink w:history="true" w:anchor="_bookmark23">
                          <w:r>
                            <w:rPr>
                              <w:b/>
                              <w:spacing w:val="-1"/>
                              <w:sz w:val="21"/>
                            </w:rPr>
                            <w:t>解除合同</w:t>
                          </w:r>
                        </w:hyperlink>
                      </w:p>
                      <w:p>
                        <w:pPr>
                          <w:pStyle w:val="TableParagraph"/>
                          <w:spacing w:line="200" w:lineRule="exact"/>
                          <w:ind w:left="50"/>
                          <w:rPr>
                            <w:sz w:val="21"/>
                          </w:rPr>
                        </w:pPr>
                        <w:hyperlink w:history="true" w:anchor="_bookmark24">
                          <w:r>
                            <w:rPr>
                              <w:rFonts w:ascii="Times New Roman" w:eastAsia="Times New Roman"/>
                              <w:sz w:val="21"/>
                            </w:rPr>
                            <w:t>5.1   </w:t>
                          </w:r>
                          <w:r>
                            <w:rPr>
                              <w:sz w:val="21"/>
                            </w:rPr>
                            <w:t>您解除合同的手续及风</w:t>
                          </w:r>
                        </w:hyperlink>
                      </w:p>
                      <w:p>
                        <w:pPr>
                          <w:pStyle w:val="TableParagraph"/>
                          <w:spacing w:before="21"/>
                          <w:ind w:left="470"/>
                          <w:rPr>
                            <w:sz w:val="21"/>
                          </w:rPr>
                        </w:pPr>
                        <w:hyperlink w:history="true" w:anchor="_bookmark24">
                          <w:r>
                            <w:rPr>
                              <w:w w:val="100"/>
                              <w:sz w:val="21"/>
                            </w:rPr>
                            <w:t>险</w:t>
                          </w:r>
                        </w:hyperlink>
                      </w:p>
                      <w:p>
                        <w:pPr>
                          <w:pStyle w:val="TableParagraph"/>
                          <w:spacing w:before="9"/>
                          <w:ind w:left="0"/>
                          <w:rPr>
                            <w:sz w:val="14"/>
                          </w:rPr>
                        </w:pPr>
                      </w:p>
                      <w:p>
                        <w:pPr>
                          <w:pStyle w:val="TableParagraph"/>
                          <w:ind w:left="232"/>
                          <w:rPr>
                            <w:b/>
                            <w:sz w:val="21"/>
                          </w:rPr>
                        </w:pPr>
                        <w:hyperlink w:history="true" w:anchor="_bookmark25">
                          <w:r>
                            <w:rPr>
                              <w:b/>
                              <w:sz w:val="21"/>
                            </w:rPr>
                            <w:t>其他需要关注的事项</w:t>
                          </w:r>
                        </w:hyperlink>
                      </w:p>
                      <w:p>
                        <w:pPr>
                          <w:pStyle w:val="TableParagraph"/>
                          <w:spacing w:before="36"/>
                          <w:ind w:left="50"/>
                          <w:rPr>
                            <w:sz w:val="21"/>
                          </w:rPr>
                        </w:pPr>
                        <w:hyperlink w:history="true" w:anchor="_bookmark26">
                          <w:r>
                            <w:rPr>
                              <w:rFonts w:ascii="Times New Roman" w:eastAsia="Times New Roman"/>
                              <w:sz w:val="21"/>
                            </w:rPr>
                            <w:t>6.1   </w:t>
                          </w:r>
                          <w:r>
                            <w:rPr>
                              <w:sz w:val="21"/>
                            </w:rPr>
                            <w:t>基本保险金额的变更</w:t>
                          </w:r>
                        </w:hyperlink>
                      </w:p>
                      <w:p>
                        <w:pPr>
                          <w:pStyle w:val="TableParagraph"/>
                          <w:spacing w:before="176"/>
                          <w:ind w:left="232"/>
                          <w:rPr>
                            <w:b/>
                            <w:sz w:val="21"/>
                          </w:rPr>
                        </w:pPr>
                        <w:hyperlink w:history="true" w:anchor="_bookmark27">
                          <w:r>
                            <w:rPr>
                              <w:b/>
                              <w:sz w:val="21"/>
                            </w:rPr>
                            <w:t>释义</w:t>
                          </w:r>
                        </w:hyperlink>
                      </w:p>
                    </w:tc>
                    <w:tc>
                      <w:tcPr>
                        <w:tcW w:w="2890" w:type="dxa"/>
                        <w:tcBorders>
                          <w:left w:val="single" w:sz="8" w:space="0" w:color="000000"/>
                        </w:tcBorders>
                      </w:tcPr>
                      <w:p>
                        <w:pPr>
                          <w:pStyle w:val="TableParagraph"/>
                          <w:numPr>
                            <w:ilvl w:val="1"/>
                            <w:numId w:val="2"/>
                          </w:numPr>
                          <w:tabs>
                            <w:tab w:pos="693" w:val="left" w:leader="none"/>
                          </w:tabs>
                          <w:spacing w:line="278" w:lineRule="exact" w:before="0" w:after="0"/>
                          <w:ind w:left="693" w:right="0" w:hanging="421"/>
                          <w:jc w:val="left"/>
                          <w:rPr>
                            <w:sz w:val="21"/>
                          </w:rPr>
                        </w:pPr>
                        <w:hyperlink w:history="true" w:anchor="_bookmark32">
                          <w:r>
                            <w:rPr>
                              <w:spacing w:val="-1"/>
                              <w:sz w:val="21"/>
                            </w:rPr>
                            <w:t>永久不可逆</w:t>
                          </w:r>
                        </w:hyperlink>
                      </w:p>
                      <w:p>
                        <w:pPr>
                          <w:pStyle w:val="TableParagraph"/>
                          <w:numPr>
                            <w:ilvl w:val="1"/>
                            <w:numId w:val="2"/>
                          </w:numPr>
                          <w:tabs>
                            <w:tab w:pos="693" w:val="left" w:leader="none"/>
                          </w:tabs>
                          <w:spacing w:line="240" w:lineRule="auto" w:before="21" w:after="0"/>
                          <w:ind w:left="693" w:right="0" w:hanging="421"/>
                          <w:jc w:val="left"/>
                          <w:rPr>
                            <w:sz w:val="21"/>
                          </w:rPr>
                        </w:pPr>
                        <w:hyperlink w:history="true" w:anchor="_bookmark33">
                          <w:r>
                            <w:rPr>
                              <w:spacing w:val="-1"/>
                              <w:sz w:val="21"/>
                            </w:rPr>
                            <w:t>意外伤害</w:t>
                          </w:r>
                        </w:hyperlink>
                      </w:p>
                      <w:p>
                        <w:pPr>
                          <w:pStyle w:val="TableParagraph"/>
                          <w:numPr>
                            <w:ilvl w:val="1"/>
                            <w:numId w:val="2"/>
                          </w:numPr>
                          <w:tabs>
                            <w:tab w:pos="693" w:val="left" w:leader="none"/>
                          </w:tabs>
                          <w:spacing w:line="240" w:lineRule="auto" w:before="21" w:after="0"/>
                          <w:ind w:left="693" w:right="0" w:hanging="421"/>
                          <w:jc w:val="left"/>
                          <w:rPr>
                            <w:sz w:val="21"/>
                          </w:rPr>
                        </w:pPr>
                        <w:hyperlink w:history="true" w:anchor="_bookmark34">
                          <w:r>
                            <w:rPr>
                              <w:sz w:val="21"/>
                            </w:rPr>
                            <w:t>发病</w:t>
                          </w:r>
                        </w:hyperlink>
                      </w:p>
                      <w:p>
                        <w:pPr>
                          <w:pStyle w:val="TableParagraph"/>
                          <w:numPr>
                            <w:ilvl w:val="1"/>
                            <w:numId w:val="2"/>
                          </w:numPr>
                          <w:tabs>
                            <w:tab w:pos="693" w:val="left" w:leader="none"/>
                          </w:tabs>
                          <w:spacing w:line="240" w:lineRule="auto" w:before="21" w:after="0"/>
                          <w:ind w:left="692" w:right="0" w:hanging="420"/>
                          <w:jc w:val="left"/>
                          <w:rPr>
                            <w:sz w:val="21"/>
                          </w:rPr>
                        </w:pPr>
                        <w:hyperlink w:history="true" w:anchor="_bookmark35">
                          <w:r>
                            <w:rPr>
                              <w:spacing w:val="-3"/>
                              <w:sz w:val="21"/>
                            </w:rPr>
                            <w:t>指定或认可的医院</w:t>
                          </w:r>
                        </w:hyperlink>
                      </w:p>
                      <w:p>
                        <w:pPr>
                          <w:pStyle w:val="TableParagraph"/>
                          <w:numPr>
                            <w:ilvl w:val="1"/>
                            <w:numId w:val="2"/>
                          </w:numPr>
                          <w:tabs>
                            <w:tab w:pos="693" w:val="left" w:leader="none"/>
                          </w:tabs>
                          <w:spacing w:line="240" w:lineRule="auto" w:before="21" w:after="0"/>
                          <w:ind w:left="692" w:right="0" w:hanging="420"/>
                          <w:jc w:val="left"/>
                          <w:rPr>
                            <w:sz w:val="21"/>
                          </w:rPr>
                        </w:pPr>
                        <w:hyperlink w:history="true" w:anchor="_bookmark36">
                          <w:r>
                            <w:rPr>
                              <w:spacing w:val="-1"/>
                              <w:sz w:val="21"/>
                            </w:rPr>
                            <w:t>专科医生</w:t>
                          </w:r>
                        </w:hyperlink>
                      </w:p>
                      <w:p>
                        <w:pPr>
                          <w:pStyle w:val="TableParagraph"/>
                          <w:numPr>
                            <w:ilvl w:val="1"/>
                            <w:numId w:val="2"/>
                          </w:numPr>
                          <w:tabs>
                            <w:tab w:pos="693" w:val="left" w:leader="none"/>
                          </w:tabs>
                          <w:spacing w:line="240" w:lineRule="auto" w:before="21" w:after="0"/>
                          <w:ind w:left="692" w:right="0" w:hanging="420"/>
                          <w:jc w:val="left"/>
                          <w:rPr>
                            <w:sz w:val="21"/>
                          </w:rPr>
                        </w:pPr>
                        <w:hyperlink w:history="true" w:anchor="_bookmark37">
                          <w:r>
                            <w:rPr>
                              <w:sz w:val="21"/>
                            </w:rPr>
                            <w:t>毒品</w:t>
                          </w:r>
                        </w:hyperlink>
                      </w:p>
                      <w:p>
                        <w:pPr>
                          <w:pStyle w:val="TableParagraph"/>
                          <w:numPr>
                            <w:ilvl w:val="1"/>
                            <w:numId w:val="2"/>
                          </w:numPr>
                          <w:tabs>
                            <w:tab w:pos="694" w:val="left" w:leader="none"/>
                          </w:tabs>
                          <w:spacing w:line="240" w:lineRule="auto" w:before="21" w:after="0"/>
                          <w:ind w:left="693" w:right="0" w:hanging="421"/>
                          <w:jc w:val="left"/>
                          <w:rPr>
                            <w:sz w:val="21"/>
                          </w:rPr>
                        </w:pPr>
                        <w:hyperlink w:history="true" w:anchor="_bookmark38">
                          <w:r>
                            <w:rPr>
                              <w:spacing w:val="-1"/>
                              <w:sz w:val="21"/>
                            </w:rPr>
                            <w:t>酒后驾驶</w:t>
                          </w:r>
                        </w:hyperlink>
                      </w:p>
                      <w:p>
                        <w:pPr>
                          <w:pStyle w:val="TableParagraph"/>
                          <w:numPr>
                            <w:ilvl w:val="1"/>
                            <w:numId w:val="2"/>
                          </w:numPr>
                          <w:tabs>
                            <w:tab w:pos="694" w:val="left" w:leader="none"/>
                          </w:tabs>
                          <w:spacing w:line="240" w:lineRule="auto" w:before="21" w:after="0"/>
                          <w:ind w:left="693" w:right="0" w:hanging="421"/>
                          <w:jc w:val="left"/>
                          <w:rPr>
                            <w:sz w:val="21"/>
                          </w:rPr>
                        </w:pPr>
                        <w:hyperlink w:history="true" w:anchor="_bookmark39">
                          <w:r>
                            <w:rPr>
                              <w:spacing w:val="-3"/>
                              <w:sz w:val="21"/>
                            </w:rPr>
                            <w:t>无合法有效驾驶证驾驶</w:t>
                          </w:r>
                        </w:hyperlink>
                      </w:p>
                      <w:p>
                        <w:pPr>
                          <w:pStyle w:val="TableParagraph"/>
                          <w:numPr>
                            <w:ilvl w:val="1"/>
                            <w:numId w:val="2"/>
                          </w:numPr>
                          <w:tabs>
                            <w:tab w:pos="694" w:val="left" w:leader="none"/>
                          </w:tabs>
                          <w:spacing w:line="240" w:lineRule="auto" w:before="21" w:after="0"/>
                          <w:ind w:left="693" w:right="0" w:hanging="421"/>
                          <w:jc w:val="left"/>
                          <w:rPr>
                            <w:sz w:val="21"/>
                          </w:rPr>
                        </w:pPr>
                        <w:hyperlink w:history="true" w:anchor="_bookmark40">
                          <w:r>
                            <w:rPr>
                              <w:spacing w:val="-2"/>
                              <w:sz w:val="21"/>
                            </w:rPr>
                            <w:t>无有效行驶证</w:t>
                          </w:r>
                        </w:hyperlink>
                      </w:p>
                      <w:p>
                        <w:pPr>
                          <w:pStyle w:val="TableParagraph"/>
                          <w:numPr>
                            <w:ilvl w:val="1"/>
                            <w:numId w:val="2"/>
                          </w:numPr>
                          <w:tabs>
                            <w:tab w:pos="696" w:val="left" w:leader="none"/>
                          </w:tabs>
                          <w:spacing w:line="256" w:lineRule="auto" w:before="21" w:after="0"/>
                          <w:ind w:left="693" w:right="47" w:hanging="421"/>
                          <w:jc w:val="left"/>
                          <w:rPr>
                            <w:sz w:val="21"/>
                          </w:rPr>
                        </w:pPr>
                        <w:hyperlink w:history="true" w:anchor="_bookmark41">
                          <w:r>
                            <w:rPr>
                              <w:sz w:val="21"/>
                            </w:rPr>
                            <w:t>感染艾滋病病毒或患艾</w:t>
                          </w:r>
                        </w:hyperlink>
                        <w:hyperlink w:history="true" w:anchor="_bookmark41">
                          <w:r>
                            <w:rPr>
                              <w:sz w:val="21"/>
                            </w:rPr>
                            <w:t>滋病</w:t>
                          </w:r>
                        </w:hyperlink>
                      </w:p>
                      <w:p>
                        <w:pPr>
                          <w:pStyle w:val="TableParagraph"/>
                          <w:numPr>
                            <w:ilvl w:val="1"/>
                            <w:numId w:val="2"/>
                          </w:numPr>
                          <w:tabs>
                            <w:tab w:pos="694" w:val="left" w:leader="none"/>
                          </w:tabs>
                          <w:spacing w:line="240" w:lineRule="auto" w:before="22" w:after="0"/>
                          <w:ind w:left="693" w:right="0" w:hanging="420"/>
                          <w:jc w:val="left"/>
                          <w:rPr>
                            <w:sz w:val="21"/>
                          </w:rPr>
                        </w:pPr>
                        <w:hyperlink w:history="true" w:anchor="_bookmark42">
                          <w:r>
                            <w:rPr>
                              <w:spacing w:val="-1"/>
                              <w:sz w:val="21"/>
                            </w:rPr>
                            <w:t>遗传性疾病</w:t>
                          </w:r>
                        </w:hyperlink>
                      </w:p>
                    </w:tc>
                  </w:tr>
                  <w:tr>
                    <w:trPr>
                      <w:trHeight w:val="273" w:hRule="atLeast"/>
                    </w:trPr>
                    <w:tc>
                      <w:tcPr>
                        <w:tcW w:w="392" w:type="dxa"/>
                      </w:tcPr>
                      <w:p>
                        <w:pPr>
                          <w:pStyle w:val="TableParagraph"/>
                          <w:spacing w:line="234" w:lineRule="exact"/>
                          <w:ind w:left="31" w:right="58"/>
                          <w:jc w:val="center"/>
                          <w:rPr>
                            <w:rFonts w:ascii="Times New Roman"/>
                            <w:sz w:val="21"/>
                          </w:rPr>
                        </w:pPr>
                        <w:hyperlink w:history="true" w:anchor="_bookmark28">
                          <w:r>
                            <w:rPr>
                              <w:rFonts w:ascii="Times New Roman"/>
                              <w:sz w:val="21"/>
                            </w:rPr>
                            <w:t>7.1</w:t>
                          </w:r>
                        </w:hyperlink>
                      </w:p>
                    </w:tc>
                    <w:tc>
                      <w:tcPr>
                        <w:tcW w:w="2467" w:type="dxa"/>
                        <w:tcBorders>
                          <w:right w:val="single" w:sz="8" w:space="0" w:color="000000"/>
                        </w:tcBorders>
                      </w:tcPr>
                      <w:p>
                        <w:pPr>
                          <w:pStyle w:val="TableParagraph"/>
                          <w:spacing w:line="219" w:lineRule="exact"/>
                          <w:ind w:left="78"/>
                          <w:rPr>
                            <w:sz w:val="21"/>
                          </w:rPr>
                        </w:pPr>
                        <w:hyperlink w:history="true" w:anchor="_bookmark28">
                          <w:r>
                            <w:rPr>
                              <w:sz w:val="21"/>
                            </w:rPr>
                            <w:t>重大疾病</w:t>
                          </w:r>
                        </w:hyperlink>
                      </w:p>
                    </w:tc>
                    <w:tc>
                      <w:tcPr>
                        <w:tcW w:w="2890" w:type="dxa"/>
                        <w:tcBorders>
                          <w:left w:val="single" w:sz="8" w:space="0" w:color="000000"/>
                        </w:tcBorders>
                      </w:tcPr>
                      <w:p>
                        <w:pPr>
                          <w:pStyle w:val="TableParagraph"/>
                          <w:spacing w:line="234" w:lineRule="exact"/>
                          <w:ind w:left="273"/>
                          <w:rPr>
                            <w:sz w:val="21"/>
                          </w:rPr>
                        </w:pPr>
                        <w:hyperlink w:history="true" w:anchor="_bookmark43">
                          <w:r>
                            <w:rPr>
                              <w:rFonts w:ascii="Times New Roman" w:eastAsia="Times New Roman"/>
                              <w:sz w:val="21"/>
                            </w:rPr>
                            <w:t>7.16 </w:t>
                          </w:r>
                          <w:r>
                            <w:rPr>
                              <w:sz w:val="21"/>
                            </w:rPr>
                            <w:t>先天性畸形、变形或染</w:t>
                          </w:r>
                        </w:hyperlink>
                      </w:p>
                    </w:tc>
                  </w:tr>
                  <w:tr>
                    <w:trPr>
                      <w:trHeight w:val="311" w:hRule="atLeast"/>
                    </w:trPr>
                    <w:tc>
                      <w:tcPr>
                        <w:tcW w:w="392" w:type="dxa"/>
                      </w:tcPr>
                      <w:p>
                        <w:pPr>
                          <w:pStyle w:val="TableParagraph"/>
                          <w:spacing w:before="31"/>
                          <w:ind w:left="31" w:right="58"/>
                          <w:jc w:val="center"/>
                          <w:rPr>
                            <w:rFonts w:ascii="Times New Roman"/>
                            <w:sz w:val="21"/>
                          </w:rPr>
                        </w:pPr>
                        <w:hyperlink w:history="true" w:anchor="_bookmark29">
                          <w:r>
                            <w:rPr>
                              <w:rFonts w:ascii="Times New Roman"/>
                              <w:sz w:val="21"/>
                            </w:rPr>
                            <w:t>7.2</w:t>
                          </w:r>
                        </w:hyperlink>
                      </w:p>
                    </w:tc>
                    <w:tc>
                      <w:tcPr>
                        <w:tcW w:w="2467" w:type="dxa"/>
                        <w:tcBorders>
                          <w:right w:val="single" w:sz="8" w:space="0" w:color="000000"/>
                        </w:tcBorders>
                      </w:tcPr>
                      <w:p>
                        <w:pPr>
                          <w:pStyle w:val="TableParagraph"/>
                          <w:spacing w:line="257" w:lineRule="exact"/>
                          <w:ind w:left="78"/>
                          <w:rPr>
                            <w:sz w:val="21"/>
                          </w:rPr>
                        </w:pPr>
                        <w:hyperlink w:history="true" w:anchor="_bookmark29">
                          <w:r>
                            <w:rPr>
                              <w:sz w:val="21"/>
                            </w:rPr>
                            <w:t>肢体机能完全丧失</w:t>
                          </w:r>
                        </w:hyperlink>
                      </w:p>
                    </w:tc>
                    <w:tc>
                      <w:tcPr>
                        <w:tcW w:w="2890" w:type="dxa"/>
                        <w:tcBorders>
                          <w:left w:val="single" w:sz="8" w:space="0" w:color="000000"/>
                        </w:tcBorders>
                      </w:tcPr>
                      <w:p>
                        <w:pPr>
                          <w:pStyle w:val="TableParagraph"/>
                          <w:spacing w:line="256" w:lineRule="exact"/>
                          <w:ind w:left="693"/>
                          <w:rPr>
                            <w:sz w:val="21"/>
                          </w:rPr>
                        </w:pPr>
                        <w:hyperlink w:history="true" w:anchor="_bookmark43">
                          <w:r>
                            <w:rPr>
                              <w:sz w:val="21"/>
                            </w:rPr>
                            <w:t>色体异常</w:t>
                          </w:r>
                        </w:hyperlink>
                      </w:p>
                    </w:tc>
                  </w:tr>
                  <w:tr>
                    <w:trPr>
                      <w:trHeight w:val="616" w:hRule="atLeast"/>
                    </w:trPr>
                    <w:tc>
                      <w:tcPr>
                        <w:tcW w:w="392" w:type="dxa"/>
                      </w:tcPr>
                      <w:p>
                        <w:pPr>
                          <w:pStyle w:val="TableParagraph"/>
                          <w:spacing w:before="31"/>
                          <w:ind w:left="31" w:right="58"/>
                          <w:jc w:val="center"/>
                          <w:rPr>
                            <w:rFonts w:ascii="Times New Roman"/>
                            <w:sz w:val="21"/>
                          </w:rPr>
                        </w:pPr>
                        <w:hyperlink w:history="true" w:anchor="_bookmark30">
                          <w:r>
                            <w:rPr>
                              <w:rFonts w:ascii="Times New Roman"/>
                              <w:sz w:val="21"/>
                            </w:rPr>
                            <w:t>7.3</w:t>
                          </w:r>
                        </w:hyperlink>
                      </w:p>
                    </w:tc>
                    <w:tc>
                      <w:tcPr>
                        <w:tcW w:w="2467" w:type="dxa"/>
                        <w:tcBorders>
                          <w:right w:val="single" w:sz="8" w:space="0" w:color="000000"/>
                        </w:tcBorders>
                      </w:tcPr>
                      <w:p>
                        <w:pPr>
                          <w:pStyle w:val="TableParagraph"/>
                          <w:spacing w:line="257" w:lineRule="exact"/>
                          <w:ind w:left="80"/>
                          <w:rPr>
                            <w:sz w:val="21"/>
                          </w:rPr>
                        </w:pPr>
                        <w:hyperlink w:history="true" w:anchor="_bookmark30">
                          <w:r>
                            <w:rPr>
                              <w:sz w:val="21"/>
                            </w:rPr>
                            <w:t>语言能力或咀嚼吞咽能</w:t>
                          </w:r>
                        </w:hyperlink>
                      </w:p>
                      <w:p>
                        <w:pPr>
                          <w:pStyle w:val="TableParagraph"/>
                          <w:spacing w:before="37"/>
                          <w:ind w:left="78"/>
                          <w:rPr>
                            <w:sz w:val="21"/>
                          </w:rPr>
                        </w:pPr>
                        <w:hyperlink w:history="true" w:anchor="_bookmark30">
                          <w:r>
                            <w:rPr>
                              <w:sz w:val="21"/>
                            </w:rPr>
                            <w:t>力完全丧失</w:t>
                          </w:r>
                        </w:hyperlink>
                      </w:p>
                    </w:tc>
                    <w:tc>
                      <w:tcPr>
                        <w:tcW w:w="2890" w:type="dxa"/>
                        <w:tcBorders>
                          <w:left w:val="single" w:sz="8" w:space="0" w:color="000000"/>
                        </w:tcBorders>
                      </w:tcPr>
                      <w:p>
                        <w:pPr>
                          <w:pStyle w:val="TableParagraph"/>
                          <w:spacing w:line="272" w:lineRule="exact"/>
                          <w:ind w:left="273"/>
                          <w:rPr>
                            <w:sz w:val="21"/>
                          </w:rPr>
                        </w:pPr>
                        <w:hyperlink w:history="true" w:anchor="_bookmark44">
                          <w:r>
                            <w:rPr>
                              <w:rFonts w:ascii="Times New Roman" w:eastAsia="Times New Roman"/>
                              <w:sz w:val="21"/>
                            </w:rPr>
                            <w:t>7.17 </w:t>
                          </w:r>
                          <w:r>
                            <w:rPr>
                              <w:sz w:val="21"/>
                            </w:rPr>
                            <w:t>现金价值</w:t>
                          </w:r>
                        </w:hyperlink>
                      </w:p>
                    </w:tc>
                  </w:tr>
                  <w:tr>
                    <w:trPr>
                      <w:trHeight w:val="470" w:hRule="atLeast"/>
                    </w:trPr>
                    <w:tc>
                      <w:tcPr>
                        <w:tcW w:w="392" w:type="dxa"/>
                      </w:tcPr>
                      <w:p>
                        <w:pPr>
                          <w:pStyle w:val="TableParagraph"/>
                          <w:spacing w:before="39"/>
                          <w:ind w:left="31" w:right="58"/>
                          <w:jc w:val="center"/>
                          <w:rPr>
                            <w:rFonts w:ascii="Times New Roman"/>
                            <w:sz w:val="21"/>
                          </w:rPr>
                        </w:pPr>
                        <w:hyperlink w:history="true" w:anchor="_bookmark31">
                          <w:r>
                            <w:rPr>
                              <w:rFonts w:ascii="Times New Roman"/>
                              <w:sz w:val="21"/>
                            </w:rPr>
                            <w:t>7.4</w:t>
                          </w:r>
                        </w:hyperlink>
                      </w:p>
                    </w:tc>
                    <w:tc>
                      <w:tcPr>
                        <w:tcW w:w="2467" w:type="dxa"/>
                        <w:tcBorders>
                          <w:right w:val="single" w:sz="8" w:space="0" w:color="000000"/>
                        </w:tcBorders>
                      </w:tcPr>
                      <w:p>
                        <w:pPr>
                          <w:pStyle w:val="TableParagraph"/>
                          <w:spacing w:line="265" w:lineRule="exact"/>
                          <w:ind w:left="78"/>
                          <w:rPr>
                            <w:sz w:val="21"/>
                          </w:rPr>
                        </w:pPr>
                        <w:hyperlink w:history="true" w:anchor="_bookmark31">
                          <w:r>
                            <w:rPr>
                              <w:sz w:val="21"/>
                            </w:rPr>
                            <w:t>六项基本日常生活活动</w:t>
                          </w:r>
                        </w:hyperlink>
                      </w:p>
                    </w:tc>
                    <w:tc>
                      <w:tcPr>
                        <w:tcW w:w="2890" w:type="dxa"/>
                        <w:tcBorders>
                          <w:left w:val="single" w:sz="8" w:space="0" w:color="000000"/>
                        </w:tcBorders>
                      </w:tcPr>
                      <w:p>
                        <w:pPr>
                          <w:pStyle w:val="TableParagraph"/>
                          <w:ind w:left="0"/>
                          <w:rPr>
                            <w:rFonts w:ascii="Times New Roman"/>
                            <w:sz w:val="20"/>
                          </w:rPr>
                        </w:pPr>
                      </w:p>
                    </w:tc>
                  </w:tr>
                </w:tbl>
                <w:p>
                  <w:pPr>
                    <w:pStyle w:val="BodyText"/>
                  </w:pPr>
                </w:p>
              </w:txbxContent>
            </v:textbox>
            <w10:wrap type="none"/>
          </v:shape>
        </w:pict>
      </w:r>
      <w:hyperlink w:history="true" w:anchor="_bookmark0">
        <w:r>
          <w:rPr/>
          <w:t>您与我们订立的合同</w:t>
        </w:r>
      </w:hyperlink>
    </w:p>
    <w:p>
      <w:pPr>
        <w:pStyle w:val="ListParagraph"/>
        <w:numPr>
          <w:ilvl w:val="1"/>
          <w:numId w:val="3"/>
        </w:numPr>
        <w:tabs>
          <w:tab w:pos="717" w:val="left" w:leader="none"/>
          <w:tab w:pos="3212" w:val="left" w:leader="none"/>
        </w:tabs>
        <w:spacing w:line="240" w:lineRule="auto" w:before="21" w:after="0"/>
        <w:ind w:left="716" w:right="0" w:hanging="420"/>
        <w:jc w:val="left"/>
        <w:rPr>
          <w:rFonts w:ascii="Times New Roman" w:eastAsia="Times New Roman"/>
          <w:b/>
          <w:sz w:val="21"/>
        </w:rPr>
      </w:pPr>
      <w:hyperlink w:history="true" w:anchor="_bookmark1">
        <w:r>
          <w:rPr>
            <w:sz w:val="21"/>
          </w:rPr>
          <w:t>合同</w:t>
        </w:r>
        <w:r>
          <w:rPr>
            <w:spacing w:val="-3"/>
            <w:sz w:val="21"/>
          </w:rPr>
          <w:t>构</w:t>
        </w:r>
        <w:r>
          <w:rPr>
            <w:sz w:val="21"/>
          </w:rPr>
          <w:t>成</w:t>
        </w:r>
      </w:hyperlink>
      <w:r>
        <w:rPr>
          <w:sz w:val="21"/>
        </w:rPr>
        <w:tab/>
      </w:r>
      <w:hyperlink w:history="true" w:anchor="_bookmark20">
        <w:r>
          <w:rPr>
            <w:rFonts w:ascii="Times New Roman" w:eastAsia="Times New Roman"/>
            <w:b/>
            <w:sz w:val="21"/>
          </w:rPr>
          <w:t>4</w:t>
        </w:r>
      </w:hyperlink>
    </w:p>
    <w:p>
      <w:pPr>
        <w:pStyle w:val="ListParagraph"/>
        <w:numPr>
          <w:ilvl w:val="1"/>
          <w:numId w:val="3"/>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3"/>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ListParagraph"/>
        <w:numPr>
          <w:ilvl w:val="1"/>
          <w:numId w:val="3"/>
        </w:numPr>
        <w:tabs>
          <w:tab w:pos="717" w:val="left" w:leader="none"/>
        </w:tabs>
        <w:spacing w:line="248" w:lineRule="exact" w:before="21" w:after="0"/>
        <w:ind w:left="716" w:right="0" w:hanging="420"/>
        <w:jc w:val="left"/>
        <w:rPr>
          <w:sz w:val="21"/>
        </w:rPr>
      </w:pPr>
      <w:hyperlink w:history="true" w:anchor="_bookmark4">
        <w:r>
          <w:rPr>
            <w:spacing w:val="-1"/>
            <w:sz w:val="21"/>
          </w:rPr>
          <w:t>合同终止</w:t>
        </w:r>
      </w:hyperlink>
    </w:p>
    <w:p>
      <w:pPr>
        <w:pStyle w:val="Heading3"/>
        <w:spacing w:line="199" w:lineRule="exact" w:before="0"/>
        <w:ind w:left="3212" w:firstLine="0"/>
        <w:rPr>
          <w:rFonts w:ascii="Times New Roman"/>
        </w:rPr>
      </w:pPr>
      <w:hyperlink w:history="true" w:anchor="_bookmark23">
        <w:r>
          <w:rPr>
            <w:rFonts w:ascii="Times New Roman"/>
            <w:w w:val="100"/>
          </w:rPr>
          <w:t>5</w:t>
        </w:r>
      </w:hyperlink>
    </w:p>
    <w:p>
      <w:pPr>
        <w:pStyle w:val="ListParagraph"/>
        <w:numPr>
          <w:ilvl w:val="0"/>
          <w:numId w:val="3"/>
        </w:numPr>
        <w:tabs>
          <w:tab w:pos="478" w:val="left" w:leader="none"/>
          <w:tab w:pos="479" w:val="left" w:leader="none"/>
        </w:tabs>
        <w:spacing w:line="240" w:lineRule="auto" w:before="22" w:after="0"/>
        <w:ind w:left="478" w:right="0" w:hanging="360"/>
        <w:jc w:val="left"/>
        <w:rPr>
          <w:b/>
          <w:sz w:val="21"/>
        </w:rPr>
      </w:pPr>
      <w:hyperlink w:history="true" w:anchor="_bookmark5">
        <w:r>
          <w:rPr>
            <w:b/>
            <w:sz w:val="21"/>
          </w:rPr>
          <w:t>我们提供的保障</w:t>
        </w:r>
      </w:hyperlink>
    </w:p>
    <w:p>
      <w:pPr>
        <w:pStyle w:val="ListParagraph"/>
        <w:numPr>
          <w:ilvl w:val="1"/>
          <w:numId w:val="3"/>
        </w:numPr>
        <w:tabs>
          <w:tab w:pos="717" w:val="left" w:leader="none"/>
        </w:tabs>
        <w:spacing w:line="240" w:lineRule="auto" w:before="21" w:after="0"/>
        <w:ind w:left="716" w:right="0" w:hanging="420"/>
        <w:jc w:val="left"/>
        <w:rPr>
          <w:sz w:val="21"/>
        </w:rPr>
      </w:pPr>
      <w:hyperlink w:history="true" w:anchor="_bookmark6">
        <w:r>
          <w:rPr>
            <w:spacing w:val="-2"/>
            <w:sz w:val="21"/>
          </w:rPr>
          <w:t>基本保险金额</w:t>
        </w:r>
      </w:hyperlink>
    </w:p>
    <w:p>
      <w:pPr>
        <w:pStyle w:val="ListParagraph"/>
        <w:numPr>
          <w:ilvl w:val="1"/>
          <w:numId w:val="3"/>
        </w:numPr>
        <w:tabs>
          <w:tab w:pos="717" w:val="left" w:leader="none"/>
        </w:tabs>
        <w:spacing w:line="246" w:lineRule="exact" w:before="21" w:after="0"/>
        <w:ind w:left="716" w:right="0" w:hanging="420"/>
        <w:jc w:val="left"/>
        <w:rPr>
          <w:sz w:val="21"/>
        </w:rPr>
      </w:pPr>
      <w:hyperlink w:history="true" w:anchor="_bookmark7">
        <w:r>
          <w:rPr>
            <w:spacing w:val="-1"/>
            <w:sz w:val="21"/>
          </w:rPr>
          <w:t>保险期间</w:t>
        </w:r>
      </w:hyperlink>
    </w:p>
    <w:p>
      <w:pPr>
        <w:pStyle w:val="ListParagraph"/>
        <w:numPr>
          <w:ilvl w:val="1"/>
          <w:numId w:val="3"/>
        </w:numPr>
        <w:tabs>
          <w:tab w:pos="717" w:val="left" w:leader="none"/>
          <w:tab w:pos="3211" w:val="left" w:leader="none"/>
        </w:tabs>
        <w:spacing w:line="357" w:lineRule="exact" w:before="0" w:after="0"/>
        <w:ind w:left="716" w:right="0" w:hanging="420"/>
        <w:jc w:val="left"/>
        <w:rPr>
          <w:rFonts w:ascii="Times New Roman" w:eastAsia="Times New Roman"/>
          <w:b/>
          <w:sz w:val="21"/>
        </w:rPr>
      </w:pPr>
      <w:hyperlink w:history="true" w:anchor="_bookmark9">
        <w:r>
          <w:rPr>
            <w:sz w:val="21"/>
          </w:rPr>
          <w:t>保险</w:t>
        </w:r>
        <w:r>
          <w:rPr>
            <w:spacing w:val="-3"/>
            <w:sz w:val="21"/>
          </w:rPr>
          <w:t>责</w:t>
        </w:r>
        <w:r>
          <w:rPr>
            <w:sz w:val="21"/>
          </w:rPr>
          <w:t>任</w:t>
        </w:r>
      </w:hyperlink>
      <w:r>
        <w:rPr>
          <w:position w:val="16"/>
          <w:sz w:val="21"/>
        </w:rPr>
        <w:tab/>
      </w:r>
      <w:hyperlink w:history="true" w:anchor="_bookmark25">
        <w:r>
          <w:rPr>
            <w:rFonts w:ascii="Times New Roman" w:eastAsia="Times New Roman"/>
            <w:b/>
            <w:position w:val="16"/>
            <w:sz w:val="21"/>
          </w:rPr>
          <w:t>6</w:t>
        </w:r>
      </w:hyperlink>
    </w:p>
    <w:p>
      <w:pPr>
        <w:pStyle w:val="ListParagraph"/>
        <w:numPr>
          <w:ilvl w:val="1"/>
          <w:numId w:val="3"/>
        </w:numPr>
        <w:tabs>
          <w:tab w:pos="717" w:val="left" w:leader="none"/>
        </w:tabs>
        <w:spacing w:line="240" w:lineRule="auto" w:before="21" w:after="0"/>
        <w:ind w:left="716" w:right="0" w:hanging="420"/>
        <w:jc w:val="left"/>
        <w:rPr>
          <w:sz w:val="21"/>
        </w:rPr>
      </w:pPr>
      <w:hyperlink w:history="true" w:anchor="_bookmark10">
        <w:r>
          <w:rPr>
            <w:spacing w:val="-1"/>
            <w:sz w:val="21"/>
          </w:rPr>
          <w:t>责任免除</w:t>
        </w:r>
      </w:hyperlink>
    </w:p>
    <w:p>
      <w:pPr>
        <w:pStyle w:val="Heading3"/>
        <w:numPr>
          <w:ilvl w:val="0"/>
          <w:numId w:val="3"/>
        </w:numPr>
        <w:tabs>
          <w:tab w:pos="478" w:val="left" w:leader="none"/>
          <w:tab w:pos="479" w:val="left" w:leader="none"/>
          <w:tab w:pos="3212" w:val="left" w:leader="none"/>
        </w:tabs>
        <w:spacing w:line="240" w:lineRule="auto" w:before="66" w:after="0"/>
        <w:ind w:left="478" w:right="0" w:hanging="360"/>
        <w:jc w:val="left"/>
        <w:rPr>
          <w:rFonts w:ascii="Times New Roman" w:eastAsia="Times New Roman"/>
        </w:rPr>
      </w:pPr>
      <w:hyperlink w:history="true" w:anchor="_bookmark11">
        <w:r>
          <w:rPr/>
          <w:t>保险金的申请</w:t>
        </w:r>
      </w:hyperlink>
      <w:r>
        <w:rPr>
          <w:position w:val="16"/>
        </w:rPr>
        <w:tab/>
      </w:r>
      <w:hyperlink w:history="true" w:anchor="_bookmark27">
        <w:r>
          <w:rPr>
            <w:rFonts w:ascii="Times New Roman" w:eastAsia="Times New Roman"/>
            <w:position w:val="16"/>
          </w:rPr>
          <w:t>7</w:t>
        </w:r>
      </w:hyperlink>
    </w:p>
    <w:p>
      <w:pPr>
        <w:pStyle w:val="ListParagraph"/>
        <w:numPr>
          <w:ilvl w:val="1"/>
          <w:numId w:val="3"/>
        </w:numPr>
        <w:tabs>
          <w:tab w:pos="717" w:val="left" w:leader="none"/>
        </w:tabs>
        <w:spacing w:line="240" w:lineRule="auto" w:before="20" w:after="0"/>
        <w:ind w:left="716" w:right="0" w:hanging="420"/>
        <w:jc w:val="left"/>
        <w:rPr>
          <w:sz w:val="21"/>
        </w:rPr>
      </w:pPr>
      <w:hyperlink w:history="true" w:anchor="_bookmark12">
        <w:r>
          <w:rPr>
            <w:sz w:val="21"/>
          </w:rPr>
          <w:t>受益人</w:t>
        </w:r>
      </w:hyperlink>
    </w:p>
    <w:p>
      <w:pPr>
        <w:pStyle w:val="ListParagraph"/>
        <w:numPr>
          <w:ilvl w:val="1"/>
          <w:numId w:val="3"/>
        </w:numPr>
        <w:tabs>
          <w:tab w:pos="717" w:val="left" w:leader="none"/>
        </w:tabs>
        <w:spacing w:line="240" w:lineRule="auto" w:before="20" w:after="0"/>
        <w:ind w:left="716" w:right="0" w:hanging="420"/>
        <w:jc w:val="left"/>
        <w:rPr>
          <w:sz w:val="21"/>
        </w:rPr>
      </w:pPr>
      <w:hyperlink w:history="true" w:anchor="_bookmark14">
        <w:r>
          <w:rPr>
            <w:spacing w:val="-2"/>
            <w:sz w:val="21"/>
          </w:rPr>
          <w:t>保险事故通知</w:t>
        </w:r>
      </w:hyperlink>
    </w:p>
    <w:p>
      <w:pPr>
        <w:pStyle w:val="ListParagraph"/>
        <w:numPr>
          <w:ilvl w:val="1"/>
          <w:numId w:val="3"/>
        </w:numPr>
        <w:tabs>
          <w:tab w:pos="717" w:val="left" w:leader="none"/>
        </w:tabs>
        <w:spacing w:line="240" w:lineRule="auto" w:before="20" w:after="0"/>
        <w:ind w:left="716" w:right="0" w:hanging="420"/>
        <w:jc w:val="left"/>
        <w:rPr>
          <w:sz w:val="21"/>
        </w:rPr>
      </w:pPr>
      <w:hyperlink w:history="true" w:anchor="_bookmark15">
        <w:r>
          <w:rPr>
            <w:spacing w:val="-1"/>
            <w:sz w:val="21"/>
          </w:rPr>
          <w:t>保险金申请</w:t>
        </w:r>
      </w:hyperlink>
    </w:p>
    <w:p>
      <w:pPr>
        <w:pStyle w:val="ListParagraph"/>
        <w:numPr>
          <w:ilvl w:val="1"/>
          <w:numId w:val="3"/>
        </w:numPr>
        <w:tabs>
          <w:tab w:pos="717" w:val="left" w:leader="none"/>
        </w:tabs>
        <w:spacing w:line="240" w:lineRule="auto" w:before="20" w:after="0"/>
        <w:ind w:left="716" w:right="0" w:hanging="420"/>
        <w:jc w:val="left"/>
        <w:rPr>
          <w:sz w:val="21"/>
        </w:rPr>
      </w:pPr>
      <w:hyperlink w:history="true" w:anchor="_bookmark16">
        <w:r>
          <w:rPr>
            <w:spacing w:val="-1"/>
            <w:sz w:val="21"/>
          </w:rPr>
          <w:t>保险金给付</w:t>
        </w:r>
      </w:hyperlink>
    </w:p>
    <w:p>
      <w:pPr>
        <w:pStyle w:val="ListParagraph"/>
        <w:numPr>
          <w:ilvl w:val="1"/>
          <w:numId w:val="3"/>
        </w:numPr>
        <w:tabs>
          <w:tab w:pos="717" w:val="left" w:leader="none"/>
        </w:tabs>
        <w:spacing w:line="240" w:lineRule="auto" w:before="20" w:after="0"/>
        <w:ind w:left="716" w:right="0" w:hanging="420"/>
        <w:jc w:val="left"/>
        <w:rPr>
          <w:sz w:val="21"/>
        </w:rPr>
      </w:pPr>
      <w:hyperlink w:history="true" w:anchor="_bookmark17">
        <w:r>
          <w:rPr>
            <w:spacing w:val="-1"/>
            <w:sz w:val="21"/>
          </w:rPr>
          <w:t>诉讼时效</w:t>
        </w:r>
      </w:hyperlink>
    </w:p>
    <w:p>
      <w:pPr>
        <w:spacing w:after="0" w:line="240" w:lineRule="auto"/>
        <w:jc w:val="left"/>
        <w:rPr>
          <w:sz w:val="21"/>
        </w:rPr>
        <w:sectPr>
          <w:type w:val="continuous"/>
          <w:pgSz w:w="11910" w:h="16840"/>
          <w:pgMar w:top="540" w:bottom="280" w:left="1300" w:right="1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770"/>
      </w:pPr>
      <w:r>
        <w:rPr/>
        <w:t>海康附加多重给付重大疾病保险条款</w:t>
      </w:r>
    </w:p>
    <w:p>
      <w:pPr>
        <w:pStyle w:val="BodyText"/>
        <w:spacing w:line="256" w:lineRule="auto" w:before="395"/>
        <w:ind w:left="138" w:right="13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海康附加多重给付重大疾病保险合同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4"/>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72;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4"/>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3"/>
        <w:rPr>
          <w:b/>
          <w:sz w:val="10"/>
        </w:rPr>
      </w:pPr>
    </w:p>
    <w:p>
      <w:pPr>
        <w:pStyle w:val="BodyText"/>
        <w:spacing w:line="266" w:lineRule="auto" w:before="43"/>
        <w:ind w:left="1609" w:right="128"/>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之上，并经我们审核同意，在保险单或批注中列明后生效。本附加合同未约定的事项，以主合同为准；如果主合同与本附加合同的条款内容互有冲突，则以本附加合同为准。</w:t>
      </w:r>
    </w:p>
    <w:p>
      <w:pPr>
        <w:pStyle w:val="BodyText"/>
        <w:spacing w:before="9"/>
        <w:rPr>
          <w:sz w:val="9"/>
        </w:rPr>
      </w:pPr>
    </w:p>
    <w:p>
      <w:pPr>
        <w:pStyle w:val="Heading3"/>
        <w:numPr>
          <w:ilvl w:val="1"/>
          <w:numId w:val="4"/>
        </w:numPr>
        <w:tabs>
          <w:tab w:pos="714" w:val="left" w:leader="none"/>
          <w:tab w:pos="715" w:val="left" w:leader="none"/>
        </w:tabs>
        <w:spacing w:line="240" w:lineRule="auto" w:before="43" w:after="0"/>
        <w:ind w:left="714" w:right="0" w:hanging="576"/>
        <w:jc w:val="left"/>
      </w:pPr>
      <w:bookmarkStart w:name="_bookmark2" w:id="5"/>
      <w:bookmarkEnd w:id="5"/>
      <w:r>
        <w:rPr>
          <w:b w:val="0"/>
        </w:rPr>
      </w:r>
      <w:bookmarkStart w:name="_bookmark2" w:id="6"/>
      <w:bookmarkEnd w:id="6"/>
      <w:r>
        <w:rPr/>
        <w:t>投保范围</w:t>
      </w:r>
    </w:p>
    <w:p>
      <w:pPr>
        <w:pStyle w:val="BodyText"/>
        <w:spacing w:before="9"/>
        <w:rPr>
          <w:b/>
          <w:sz w:val="10"/>
        </w:rPr>
      </w:pPr>
    </w:p>
    <w:p>
      <w:pPr>
        <w:pStyle w:val="BodyText"/>
        <w:spacing w:before="37"/>
        <w:ind w:left="1609"/>
      </w:pPr>
      <w:r>
        <w:rPr/>
        <w:t>本附加合同接受的被保险人的投保年龄为出生满三十天至六十周岁。</w:t>
      </w:r>
    </w:p>
    <w:p>
      <w:pPr>
        <w:pStyle w:val="BodyText"/>
        <w:spacing w:before="10"/>
        <w:rPr>
          <w:sz w:val="14"/>
        </w:rPr>
      </w:pPr>
    </w:p>
    <w:p>
      <w:pPr>
        <w:pStyle w:val="Heading3"/>
        <w:numPr>
          <w:ilvl w:val="1"/>
          <w:numId w:val="4"/>
        </w:numPr>
        <w:tabs>
          <w:tab w:pos="714" w:val="left" w:leader="none"/>
          <w:tab w:pos="715" w:val="left" w:leader="none"/>
        </w:tabs>
        <w:spacing w:line="240" w:lineRule="auto" w:before="0" w:after="0"/>
        <w:ind w:left="714" w:right="0" w:hanging="576"/>
        <w:jc w:val="left"/>
      </w:pPr>
      <w:bookmarkStart w:name="_bookmark3" w:id="7"/>
      <w:bookmarkEnd w:id="7"/>
      <w:r>
        <w:rPr>
          <w:b w:val="0"/>
        </w:rPr>
      </w:r>
      <w:bookmarkStart w:name="_bookmark3" w:id="8"/>
      <w:bookmarkEnd w:id="8"/>
      <w:r>
        <w:rPr/>
        <w:t>合同成立与生效</w:t>
      </w:r>
    </w:p>
    <w:p>
      <w:pPr>
        <w:pStyle w:val="BodyText"/>
        <w:spacing w:line="273" w:lineRule="auto" w:before="177"/>
        <w:ind w:left="1609" w:right="128"/>
      </w:pPr>
      <w:r>
        <w:rPr/>
        <w:t>您于投保主合同时投保本附加合同，则主合同的合同成立日与生效日分别为本附加合同的合同成立日与生效日，并在保险单上载明。</w:t>
      </w:r>
    </w:p>
    <w:p>
      <w:pPr>
        <w:pStyle w:val="Heading3"/>
        <w:numPr>
          <w:ilvl w:val="1"/>
          <w:numId w:val="4"/>
        </w:numPr>
        <w:tabs>
          <w:tab w:pos="714" w:val="left" w:leader="none"/>
          <w:tab w:pos="715" w:val="left" w:leader="none"/>
        </w:tabs>
        <w:spacing w:line="240" w:lineRule="auto" w:before="163" w:after="0"/>
        <w:ind w:left="714" w:right="0" w:hanging="576"/>
        <w:jc w:val="left"/>
      </w:pPr>
      <w:bookmarkStart w:name="_bookmark4" w:id="9"/>
      <w:bookmarkEnd w:id="9"/>
      <w:r>
        <w:rPr>
          <w:b w:val="0"/>
        </w:rPr>
      </w:r>
      <w:bookmarkStart w:name="_bookmark4" w:id="10"/>
      <w:bookmarkEnd w:id="10"/>
      <w:r>
        <w:rPr/>
        <w:t>合同终止</w:t>
      </w:r>
    </w:p>
    <w:p>
      <w:pPr>
        <w:pStyle w:val="BodyText"/>
        <w:spacing w:before="176"/>
        <w:ind w:left="1578"/>
      </w:pPr>
      <w:r>
        <w:rPr/>
        <w:t>本附加合同因以下事项而终止效力：</w:t>
      </w:r>
    </w:p>
    <w:p>
      <w:pPr>
        <w:pStyle w:val="BodyText"/>
        <w:spacing w:before="9"/>
        <w:rPr>
          <w:sz w:val="14"/>
        </w:rPr>
      </w:pPr>
    </w:p>
    <w:p>
      <w:pPr>
        <w:pStyle w:val="ListParagraph"/>
        <w:numPr>
          <w:ilvl w:val="2"/>
          <w:numId w:val="4"/>
        </w:numPr>
        <w:tabs>
          <w:tab w:pos="1896" w:val="left" w:leader="none"/>
        </w:tabs>
        <w:spacing w:line="240" w:lineRule="auto" w:before="0" w:after="0"/>
        <w:ind w:left="1895" w:right="0" w:hanging="317"/>
        <w:jc w:val="left"/>
        <w:rPr>
          <w:rFonts w:ascii="黑体" w:eastAsia="黑体" w:hint="eastAsia"/>
          <w:sz w:val="21"/>
        </w:rPr>
      </w:pPr>
      <w:r>
        <w:rPr>
          <w:rFonts w:ascii="黑体" w:eastAsia="黑体" w:hint="eastAsia"/>
          <w:spacing w:val="-3"/>
          <w:sz w:val="21"/>
        </w:rPr>
        <w:t>主合同效力终止时；</w:t>
      </w:r>
    </w:p>
    <w:p>
      <w:pPr>
        <w:pStyle w:val="ListParagraph"/>
        <w:numPr>
          <w:ilvl w:val="2"/>
          <w:numId w:val="4"/>
        </w:numPr>
        <w:tabs>
          <w:tab w:pos="1896" w:val="left" w:leader="none"/>
        </w:tabs>
        <w:spacing w:line="240" w:lineRule="auto" w:before="177" w:after="0"/>
        <w:ind w:left="1895" w:right="0" w:hanging="317"/>
        <w:jc w:val="left"/>
        <w:rPr>
          <w:sz w:val="21"/>
        </w:rPr>
      </w:pPr>
      <w:r>
        <w:rPr>
          <w:spacing w:val="-3"/>
          <w:sz w:val="21"/>
        </w:rPr>
        <w:t>您于本附加合同有效期内向我们申请解除合同；</w:t>
      </w:r>
    </w:p>
    <w:p>
      <w:pPr>
        <w:pStyle w:val="ListParagraph"/>
        <w:numPr>
          <w:ilvl w:val="2"/>
          <w:numId w:val="4"/>
        </w:numPr>
        <w:tabs>
          <w:tab w:pos="1896" w:val="left" w:leader="none"/>
        </w:tabs>
        <w:spacing w:line="240" w:lineRule="auto" w:before="177" w:after="0"/>
        <w:ind w:left="1895" w:right="0" w:hanging="317"/>
        <w:jc w:val="left"/>
        <w:rPr>
          <w:sz w:val="21"/>
        </w:rPr>
      </w:pPr>
      <w:r>
        <w:rPr>
          <w:spacing w:val="-3"/>
          <w:sz w:val="21"/>
        </w:rPr>
        <w:t>本附加合同保险期间届满；</w:t>
      </w:r>
    </w:p>
    <w:p>
      <w:pPr>
        <w:pStyle w:val="ListParagraph"/>
        <w:numPr>
          <w:ilvl w:val="2"/>
          <w:numId w:val="4"/>
        </w:numPr>
        <w:tabs>
          <w:tab w:pos="1896" w:val="left" w:leader="none"/>
        </w:tabs>
        <w:spacing w:line="240" w:lineRule="auto" w:before="177" w:after="0"/>
        <w:ind w:left="1895" w:right="0" w:hanging="317"/>
        <w:jc w:val="left"/>
        <w:rPr>
          <w:sz w:val="21"/>
        </w:rPr>
      </w:pPr>
      <w:r>
        <w:rPr>
          <w:spacing w:val="-3"/>
          <w:sz w:val="21"/>
        </w:rPr>
        <w:t>本附加合同约定的其他终止事项。</w:t>
      </w:r>
    </w:p>
    <w:p>
      <w:pPr>
        <w:pStyle w:val="BodyText"/>
        <w:spacing w:before="6"/>
        <w:rPr>
          <w:sz w:val="23"/>
        </w:rPr>
      </w:pPr>
    </w:p>
    <w:p>
      <w:pPr>
        <w:pStyle w:val="Heading2"/>
        <w:numPr>
          <w:ilvl w:val="0"/>
          <w:numId w:val="4"/>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96;mso-wrap-distance-left:0;mso-wrap-distance-right:0" from="69.480003pt,19.345623pt" to="523.920003pt,19.345623pt" stroked="true" strokeweight="1.44pt" strokecolor="#000000">
            <v:stroke dashstyle="solid"/>
            <w10:wrap type="topAndBottom"/>
          </v:line>
        </w:pict>
      </w:r>
      <w:bookmarkStart w:name="_bookmark5" w:id="11"/>
      <w:bookmarkEnd w:id="11"/>
      <w:r>
        <w:rPr>
          <w:b w:val="0"/>
        </w:rPr>
      </w:r>
      <w:bookmarkStart w:name="_bookmark5" w:id="12"/>
      <w:bookmarkEnd w:id="12"/>
      <w:r>
        <w:rPr>
          <w:w w:val="95"/>
        </w:rPr>
        <w:t>我们提供的保障</w:t>
      </w:r>
    </w:p>
    <w:p>
      <w:pPr>
        <w:pStyle w:val="BodyText"/>
        <w:spacing w:before="5"/>
        <w:rPr>
          <w:b/>
          <w:sz w:val="5"/>
        </w:rPr>
      </w:pPr>
    </w:p>
    <w:p>
      <w:pPr>
        <w:pStyle w:val="Heading3"/>
        <w:numPr>
          <w:ilvl w:val="1"/>
          <w:numId w:val="4"/>
        </w:numPr>
        <w:tabs>
          <w:tab w:pos="714" w:val="left" w:leader="none"/>
          <w:tab w:pos="715" w:val="left" w:leader="none"/>
        </w:tabs>
        <w:spacing w:line="240" w:lineRule="auto" w:before="43" w:after="0"/>
        <w:ind w:left="714" w:right="0" w:hanging="576"/>
        <w:jc w:val="left"/>
      </w:pPr>
      <w:bookmarkStart w:name="_bookmark6" w:id="13"/>
      <w:bookmarkEnd w:id="13"/>
      <w:r>
        <w:rPr>
          <w:b w:val="0"/>
        </w:rPr>
      </w:r>
      <w:bookmarkStart w:name="_bookmark6" w:id="14"/>
      <w:bookmarkEnd w:id="14"/>
      <w:r>
        <w:rPr/>
        <w:t>基本保险金额</w:t>
      </w:r>
    </w:p>
    <w:p>
      <w:pPr>
        <w:pStyle w:val="BodyText"/>
        <w:spacing w:line="273" w:lineRule="auto" w:before="177"/>
        <w:ind w:left="1609" w:right="128"/>
        <w:jc w:val="both"/>
      </w:pPr>
      <w:r>
        <w:rPr/>
        <w:t>本附加合同的基本保险金额由您于投保时与我们约定，并在保险单或批注上载明。若该金额经本附加合同其它条款修正而发生变更，则以变更后的金额为基本保险金额。</w:t>
      </w:r>
    </w:p>
    <w:p>
      <w:pPr>
        <w:pStyle w:val="Heading3"/>
        <w:numPr>
          <w:ilvl w:val="1"/>
          <w:numId w:val="4"/>
        </w:numPr>
        <w:tabs>
          <w:tab w:pos="714" w:val="left" w:leader="none"/>
          <w:tab w:pos="715" w:val="left" w:leader="none"/>
        </w:tabs>
        <w:spacing w:line="240" w:lineRule="auto" w:before="164" w:after="0"/>
        <w:ind w:left="714" w:right="0" w:hanging="576"/>
        <w:jc w:val="left"/>
      </w:pPr>
      <w:bookmarkStart w:name="_bookmark7" w:id="15"/>
      <w:bookmarkEnd w:id="15"/>
      <w:r>
        <w:rPr>
          <w:b w:val="0"/>
        </w:rPr>
      </w:r>
      <w:bookmarkStart w:name="_bookmark7" w:id="16"/>
      <w:bookmarkEnd w:id="16"/>
      <w:r>
        <w:rPr/>
        <w:t>保险期间</w:t>
      </w:r>
    </w:p>
    <w:p>
      <w:pPr>
        <w:pStyle w:val="BodyText"/>
        <w:spacing w:line="273" w:lineRule="auto" w:before="177"/>
        <w:ind w:left="1609" w:right="128"/>
        <w:jc w:val="both"/>
      </w:pPr>
      <w:r>
        <w:rPr/>
        <w:t>本附加合同的保险期间有六年、十年、十五年、二十年四种。自本附加合同生效日零时起至本附加合同约定的终止日零时止。您可以与我们约定其中一种保险期间并在保险单或批注上载明。</w:t>
      </w:r>
    </w:p>
    <w:p>
      <w:pPr>
        <w:pStyle w:val="Heading3"/>
        <w:numPr>
          <w:ilvl w:val="1"/>
          <w:numId w:val="4"/>
        </w:numPr>
        <w:tabs>
          <w:tab w:pos="714" w:val="left" w:leader="none"/>
          <w:tab w:pos="715" w:val="left" w:leader="none"/>
        </w:tabs>
        <w:spacing w:line="240" w:lineRule="auto" w:before="163" w:after="0"/>
        <w:ind w:left="714" w:right="0" w:hanging="576"/>
        <w:jc w:val="left"/>
      </w:pPr>
      <w:bookmarkStart w:name="_bookmark9" w:id="17"/>
      <w:bookmarkEnd w:id="17"/>
      <w:r>
        <w:rPr>
          <w:b w:val="0"/>
        </w:rPr>
      </w:r>
      <w:bookmarkStart w:name="_bookmark8" w:id="18"/>
      <w:bookmarkEnd w:id="18"/>
      <w:r>
        <w:rPr>
          <w:b w:val="0"/>
        </w:rPr>
      </w:r>
      <w:bookmarkStart w:name="_bookmark8" w:id="19"/>
      <w:bookmarkEnd w:id="19"/>
      <w:r>
        <w:rPr/>
        <w:t>保险责任</w:t>
      </w:r>
    </w:p>
    <w:p>
      <w:pPr>
        <w:pStyle w:val="BodyText"/>
        <w:spacing w:before="176"/>
        <w:ind w:left="1609"/>
        <w:jc w:val="both"/>
      </w:pPr>
      <w:r>
        <w:rPr/>
        <w:t>在本附加合同有效期内，我们承担下列保险责任：</w:t>
      </w:r>
    </w:p>
    <w:p>
      <w:pPr>
        <w:spacing w:after="0"/>
        <w:jc w:val="both"/>
        <w:sectPr>
          <w:pgSz w:w="11910" w:h="16840"/>
          <w:pgMar w:top="1420" w:bottom="280" w:left="1280" w:right="1320"/>
        </w:sectPr>
      </w:pPr>
    </w:p>
    <w:p>
      <w:pPr>
        <w:pStyle w:val="Heading3"/>
        <w:numPr>
          <w:ilvl w:val="2"/>
          <w:numId w:val="5"/>
        </w:numPr>
        <w:tabs>
          <w:tab w:pos="943" w:val="left" w:leader="none"/>
          <w:tab w:pos="944" w:val="left" w:leader="none"/>
        </w:tabs>
        <w:spacing w:line="240" w:lineRule="auto" w:before="29" w:after="0"/>
        <w:ind w:left="944" w:right="0" w:hanging="826"/>
        <w:jc w:val="left"/>
      </w:pPr>
      <w:r>
        <w:rPr/>
        <w:t>首次重大疾病保险金</w:t>
      </w:r>
    </w:p>
    <w:p>
      <w:pPr>
        <w:pStyle w:val="BodyText"/>
        <w:spacing w:line="268" w:lineRule="auto" w:before="141"/>
        <w:ind w:left="1589" w:right="109" w:hanging="1"/>
        <w:jc w:val="both"/>
      </w:pPr>
      <w:r>
        <w:rPr>
          <w:spacing w:val="-3"/>
        </w:rPr>
        <w:t>如果被保险人因</w:t>
      </w:r>
      <w:r>
        <w:rPr>
          <w:b/>
          <w:spacing w:val="-1"/>
        </w:rPr>
        <w:t>意外伤害</w:t>
      </w:r>
      <w:r>
        <w:rPr>
          <w:spacing w:val="-3"/>
        </w:rPr>
        <w:t>事故或于本附加合同生效</w:t>
      </w:r>
      <w:r>
        <w:rPr/>
        <w:t>（</w:t>
      </w:r>
      <w:r>
        <w:rPr>
          <w:spacing w:val="-3"/>
        </w:rPr>
        <w:t>或最后一次复效，以较迟者为</w:t>
      </w:r>
      <w:r>
        <w:rPr/>
        <w:t>准</w:t>
      </w:r>
      <w:r>
        <w:rPr>
          <w:spacing w:val="-8"/>
        </w:rPr>
        <w:t>）</w:t>
      </w:r>
      <w:r>
        <w:rPr>
          <w:spacing w:val="-2"/>
        </w:rPr>
        <w:t>日起</w:t>
      </w:r>
      <w:r>
        <w:rPr>
          <w:rFonts w:ascii="黑体" w:hAnsi="黑体" w:eastAsia="黑体" w:hint="eastAsia"/>
          <w:spacing w:val="-3"/>
        </w:rPr>
        <w:t>九十天后</w:t>
      </w:r>
      <w:r>
        <w:rPr>
          <w:spacing w:val="-2"/>
        </w:rPr>
        <w:t>首次</w:t>
      </w:r>
      <w:r>
        <w:rPr>
          <w:b/>
        </w:rPr>
        <w:t>发病</w:t>
      </w:r>
      <w:r>
        <w:rPr>
          <w:spacing w:val="-3"/>
        </w:rPr>
        <w:t>，经我们</w:t>
      </w:r>
      <w:r>
        <w:rPr>
          <w:b/>
          <w:spacing w:val="-1"/>
        </w:rPr>
        <w:t>指定或认可的医院</w:t>
      </w:r>
      <w:r>
        <w:rPr>
          <w:spacing w:val="-3"/>
        </w:rPr>
        <w:t>的</w:t>
      </w:r>
      <w:r>
        <w:rPr>
          <w:b/>
        </w:rPr>
        <w:t>专科医生</w:t>
      </w:r>
      <w:r>
        <w:rPr>
          <w:spacing w:val="-3"/>
        </w:rPr>
        <w:t>确诊首次罹患本附加合同约定的</w:t>
      </w:r>
      <w:r>
        <w:rPr>
          <w:b/>
          <w:spacing w:val="-1"/>
        </w:rPr>
        <w:t>重大疾病</w:t>
      </w:r>
      <w:r>
        <w:rPr>
          <w:spacing w:val="-9"/>
        </w:rPr>
        <w:t>，则我们按基本保险金额给付</w:t>
      </w:r>
      <w:r>
        <w:rPr>
          <w:rFonts w:ascii="Times New Roman" w:hAnsi="Times New Roman" w:eastAsia="Times New Roman"/>
          <w:spacing w:val="-3"/>
        </w:rPr>
        <w:t>“</w:t>
      </w:r>
      <w:r>
        <w:rPr>
          <w:spacing w:val="-3"/>
        </w:rPr>
        <w:t>首次重大疾病保险金</w:t>
      </w:r>
      <w:r>
        <w:rPr>
          <w:rFonts w:ascii="Times New Roman" w:hAnsi="Times New Roman" w:eastAsia="Times New Roman"/>
        </w:rPr>
        <w:t>”(</w:t>
      </w:r>
      <w:r>
        <w:rPr>
          <w:rFonts w:ascii="黑体" w:hAnsi="黑体" w:eastAsia="黑体" w:hint="eastAsia"/>
        </w:rPr>
        <w:t>如果</w:t>
      </w:r>
      <w:r>
        <w:rPr>
          <w:rFonts w:ascii="黑体" w:hAnsi="黑体" w:eastAsia="黑体" w:hint="eastAsia"/>
          <w:spacing w:val="-3"/>
        </w:rPr>
        <w:t>被保险人同时确诊罹患一项以上</w:t>
      </w:r>
      <w:r>
        <w:rPr>
          <w:rFonts w:ascii="黑体" w:hAnsi="黑体" w:eastAsia="黑体" w:hint="eastAsia"/>
          <w:b/>
        </w:rPr>
        <w:t>重大疾病</w:t>
      </w:r>
      <w:r>
        <w:rPr>
          <w:rFonts w:ascii="黑体" w:hAnsi="黑体" w:eastAsia="黑体" w:hint="eastAsia"/>
          <w:spacing w:val="-3"/>
        </w:rPr>
        <w:t>时，该给付以一项为限</w:t>
      </w:r>
      <w:r>
        <w:rPr/>
        <w:t>）</w:t>
      </w:r>
      <w:r>
        <w:rPr>
          <w:spacing w:val="-3"/>
        </w:rPr>
        <w:t>予被保险人，同时本附加合同的</w:t>
      </w:r>
      <w:r>
        <w:rPr>
          <w:b/>
          <w:spacing w:val="-1"/>
        </w:rPr>
        <w:t>现金价值</w:t>
      </w:r>
      <w:r>
        <w:rPr>
          <w:spacing w:val="-3"/>
        </w:rPr>
        <w:t>和身故保险金减至为零。</w:t>
      </w:r>
    </w:p>
    <w:p>
      <w:pPr>
        <w:pStyle w:val="Heading3"/>
        <w:numPr>
          <w:ilvl w:val="2"/>
          <w:numId w:val="5"/>
        </w:numPr>
        <w:tabs>
          <w:tab w:pos="838" w:val="left" w:leader="none"/>
          <w:tab w:pos="839" w:val="left" w:leader="none"/>
        </w:tabs>
        <w:spacing w:line="240" w:lineRule="auto" w:before="168" w:after="0"/>
        <w:ind w:left="838" w:right="0" w:hanging="720"/>
        <w:jc w:val="left"/>
      </w:pPr>
      <w:r>
        <w:rPr>
          <w:spacing w:val="-1"/>
        </w:rPr>
        <w:t>第二次重大疾病保险金</w:t>
      </w:r>
    </w:p>
    <w:p>
      <w:pPr>
        <w:pStyle w:val="BodyText"/>
        <w:spacing w:line="268" w:lineRule="auto" w:before="141"/>
        <w:ind w:left="1589" w:right="109"/>
        <w:jc w:val="both"/>
      </w:pPr>
      <w:r>
        <w:rPr/>
        <w:t>如果被保险人自首次重大疾病确诊之日起满三百六十五天后首次</w:t>
      </w:r>
      <w:r>
        <w:rPr>
          <w:b/>
        </w:rPr>
        <w:t>发病，</w:t>
      </w:r>
      <w:r>
        <w:rPr/>
        <w:t>经我们</w:t>
      </w:r>
      <w:r>
        <w:rPr>
          <w:b/>
        </w:rPr>
        <w:t>指定或认可的医院</w:t>
      </w:r>
      <w:r>
        <w:rPr/>
        <w:t>的</w:t>
      </w:r>
      <w:r>
        <w:rPr>
          <w:b/>
        </w:rPr>
        <w:t>专科医生</w:t>
      </w:r>
      <w:r>
        <w:rPr/>
        <w:t>确诊首次罹患首次重大疾病所属</w:t>
      </w:r>
      <w:r>
        <w:rPr>
          <w:b/>
        </w:rPr>
        <w:t>组别</w:t>
      </w:r>
      <w:r>
        <w:rPr/>
        <w:t>之外的、且本附加合同约定的重大疾病，则我们按基本保险金额给付</w:t>
      </w:r>
      <w:r>
        <w:rPr>
          <w:rFonts w:ascii="Times New Roman" w:hAnsi="Times New Roman" w:eastAsia="Times New Roman"/>
        </w:rPr>
        <w:t>“</w:t>
      </w:r>
      <w:r>
        <w:rPr/>
        <w:t>第二次重大疾病保险金</w:t>
      </w:r>
      <w:r>
        <w:rPr>
          <w:rFonts w:ascii="Times New Roman" w:hAnsi="Times New Roman" w:eastAsia="Times New Roman"/>
        </w:rPr>
        <w:t>”</w:t>
      </w:r>
      <w:r>
        <w:rPr/>
        <w:t>（</w:t>
      </w:r>
      <w:r>
        <w:rPr>
          <w:rFonts w:ascii="黑体" w:hAnsi="黑体" w:eastAsia="黑体" w:hint="eastAsia"/>
        </w:rPr>
        <w:t>如果被保险人同时确诊罹患一项以上</w:t>
      </w:r>
      <w:r>
        <w:rPr>
          <w:rFonts w:ascii="黑体" w:hAnsi="黑体" w:eastAsia="黑体" w:hint="eastAsia"/>
          <w:b/>
        </w:rPr>
        <w:t>重大疾病</w:t>
      </w:r>
      <w:r>
        <w:rPr>
          <w:rFonts w:ascii="黑体" w:hAnsi="黑体" w:eastAsia="黑体" w:hint="eastAsia"/>
        </w:rPr>
        <w:t>时，该给付以一项为限</w:t>
      </w:r>
      <w:r>
        <w:rPr/>
        <w:t>）予被保险人，本附加合同效力终止。</w:t>
      </w:r>
    </w:p>
    <w:p>
      <w:pPr>
        <w:pStyle w:val="Heading3"/>
        <w:numPr>
          <w:ilvl w:val="2"/>
          <w:numId w:val="5"/>
        </w:numPr>
        <w:tabs>
          <w:tab w:pos="838" w:val="left" w:leader="none"/>
          <w:tab w:pos="839" w:val="left" w:leader="none"/>
        </w:tabs>
        <w:spacing w:line="240" w:lineRule="auto" w:before="167" w:after="0"/>
        <w:ind w:left="838" w:right="0" w:hanging="720"/>
        <w:jc w:val="left"/>
      </w:pPr>
      <w:r>
        <w:rPr/>
        <w:t>身故保险金</w:t>
      </w:r>
    </w:p>
    <w:p>
      <w:pPr>
        <w:pStyle w:val="BodyText"/>
        <w:spacing w:line="273" w:lineRule="auto" w:before="140"/>
        <w:ind w:left="1589" w:right="108" w:hanging="1"/>
        <w:jc w:val="both"/>
      </w:pPr>
      <w:r>
        <w:rPr/>
        <w:t>如果被保险人身故，则我们按基本保险金额给付“身故保险金”予身故保险金受益人，本附加合同效力终止。若被保险人已领取首次重大疾病保险金，我们不再给付身故保险金。</w:t>
      </w:r>
    </w:p>
    <w:p>
      <w:pPr>
        <w:pStyle w:val="Heading3"/>
        <w:numPr>
          <w:ilvl w:val="2"/>
          <w:numId w:val="5"/>
        </w:numPr>
        <w:tabs>
          <w:tab w:pos="838" w:val="left" w:leader="none"/>
          <w:tab w:pos="839" w:val="left" w:leader="none"/>
        </w:tabs>
        <w:spacing w:line="240" w:lineRule="auto" w:before="163" w:after="0"/>
        <w:ind w:left="838" w:right="0" w:hanging="720"/>
        <w:jc w:val="left"/>
      </w:pPr>
      <w:r>
        <w:rPr/>
        <w:t>重大疾病保险费豁免</w:t>
      </w:r>
    </w:p>
    <w:p>
      <w:pPr>
        <w:pStyle w:val="BodyText"/>
        <w:spacing w:line="273" w:lineRule="auto" w:before="141"/>
        <w:ind w:left="1589" w:right="109"/>
        <w:jc w:val="both"/>
      </w:pPr>
      <w:r>
        <w:rPr/>
        <w:t>如果被保险人因</w:t>
      </w:r>
      <w:r>
        <w:rPr>
          <w:b/>
        </w:rPr>
        <w:t>意外伤害</w:t>
      </w:r>
      <w:r>
        <w:rPr/>
        <w:t>事故或于本附加合同生效（或最后一次复效，以较迟者为准）日起</w:t>
      </w:r>
      <w:r>
        <w:rPr>
          <w:rFonts w:ascii="黑体" w:eastAsia="黑体" w:hint="eastAsia"/>
        </w:rPr>
        <w:t>九十天后</w:t>
      </w:r>
      <w:r>
        <w:rPr/>
        <w:t>首次</w:t>
      </w:r>
      <w:r>
        <w:rPr>
          <w:b/>
        </w:rPr>
        <w:t>发病</w:t>
      </w:r>
      <w:r>
        <w:rPr/>
        <w:t>，经我们</w:t>
      </w:r>
      <w:r>
        <w:rPr>
          <w:b/>
        </w:rPr>
        <w:t>指定或认可的医院</w:t>
      </w:r>
      <w:r>
        <w:rPr/>
        <w:t>的</w:t>
      </w:r>
      <w:r>
        <w:rPr>
          <w:b/>
        </w:rPr>
        <w:t>专科医生</w:t>
      </w:r>
      <w:r>
        <w:rPr/>
        <w:t>确诊首次罹患本附加合同约定的</w:t>
      </w:r>
      <w:r>
        <w:rPr>
          <w:b/>
        </w:rPr>
        <w:t>重大疾病</w:t>
      </w:r>
      <w:r>
        <w:rPr/>
        <w:t>，则我们将豁免自首次重大疾病确诊之日后的下一个保单年度开始的本附加合同所应缴付的各期的保险费。</w:t>
      </w:r>
    </w:p>
    <w:p>
      <w:pPr>
        <w:pStyle w:val="Heading3"/>
        <w:numPr>
          <w:ilvl w:val="1"/>
          <w:numId w:val="6"/>
        </w:numPr>
        <w:tabs>
          <w:tab w:pos="694" w:val="left" w:leader="none"/>
          <w:tab w:pos="695" w:val="left" w:leader="none"/>
        </w:tabs>
        <w:spacing w:line="240" w:lineRule="auto" w:before="163" w:after="0"/>
        <w:ind w:left="694" w:right="0" w:hanging="576"/>
        <w:jc w:val="left"/>
      </w:pPr>
      <w:bookmarkStart w:name="_bookmark10" w:id="20"/>
      <w:bookmarkEnd w:id="20"/>
      <w:r>
        <w:rPr>
          <w:b w:val="0"/>
        </w:rPr>
      </w:r>
      <w:bookmarkStart w:name="_bookmark10" w:id="21"/>
      <w:bookmarkEnd w:id="21"/>
      <w:r>
        <w:rPr/>
        <w:t>责任免除</w:t>
      </w:r>
    </w:p>
    <w:p>
      <w:pPr>
        <w:pStyle w:val="ListParagraph"/>
        <w:numPr>
          <w:ilvl w:val="2"/>
          <w:numId w:val="6"/>
        </w:numPr>
        <w:tabs>
          <w:tab w:pos="1378" w:val="left" w:leader="none"/>
          <w:tab w:pos="1379" w:val="left" w:leader="none"/>
        </w:tabs>
        <w:spacing w:line="240" w:lineRule="auto" w:before="176" w:after="0"/>
        <w:ind w:left="1378" w:right="0" w:hanging="720"/>
        <w:jc w:val="left"/>
        <w:rPr>
          <w:b/>
          <w:sz w:val="21"/>
        </w:rPr>
      </w:pPr>
      <w:r>
        <w:rPr>
          <w:rFonts w:ascii="Times New Roman" w:hAnsi="Times New Roman" w:eastAsia="Times New Roman"/>
          <w:b/>
          <w:sz w:val="21"/>
        </w:rPr>
        <w:t>“</w:t>
      </w:r>
      <w:r>
        <w:rPr>
          <w:b/>
          <w:sz w:val="21"/>
        </w:rPr>
        <w:t>身故保险金</w:t>
      </w:r>
      <w:r>
        <w:rPr>
          <w:rFonts w:ascii="Times New Roman" w:hAnsi="Times New Roman" w:eastAsia="Times New Roman"/>
          <w:b/>
          <w:spacing w:val="-3"/>
          <w:sz w:val="21"/>
        </w:rPr>
        <w:t>”</w:t>
      </w:r>
      <w:r>
        <w:rPr>
          <w:b/>
          <w:sz w:val="21"/>
        </w:rPr>
        <w:t>的责任免除</w:t>
      </w:r>
    </w:p>
    <w:p>
      <w:pPr>
        <w:pStyle w:val="BodyText"/>
        <w:spacing w:line="256" w:lineRule="auto" w:before="140"/>
        <w:ind w:left="1589" w:right="114"/>
        <w:jc w:val="both"/>
        <w:rPr>
          <w:rFonts w:ascii="黑体" w:hAnsi="黑体" w:eastAsia="黑体" w:hint="eastAsia"/>
        </w:rPr>
      </w:pPr>
      <w:r>
        <w:rPr>
          <w:rFonts w:ascii="黑体" w:hAnsi="黑体" w:eastAsia="黑体" w:hint="eastAsia"/>
          <w:spacing w:val="-10"/>
        </w:rPr>
        <w:t>在本附加合同有效期内，因下列原因之一导致被保险人身故，我们不承担给付</w:t>
      </w:r>
      <w:r>
        <w:rPr>
          <w:rFonts w:ascii="Times New Roman" w:hAnsi="Times New Roman" w:eastAsia="Times New Roman"/>
        </w:rPr>
        <w:t>“</w:t>
      </w:r>
      <w:r>
        <w:rPr>
          <w:rFonts w:ascii="黑体" w:hAnsi="黑体" w:eastAsia="黑体" w:hint="eastAsia"/>
          <w:spacing w:val="-3"/>
        </w:rPr>
        <w:t>身故</w:t>
      </w:r>
      <w:r>
        <w:rPr>
          <w:rFonts w:ascii="黑体" w:hAnsi="黑体" w:eastAsia="黑体" w:hint="eastAsia"/>
          <w:spacing w:val="-2"/>
        </w:rPr>
        <w:t>保险金</w:t>
      </w:r>
      <w:r>
        <w:rPr>
          <w:rFonts w:ascii="Times New Roman" w:hAnsi="Times New Roman" w:eastAsia="Times New Roman"/>
        </w:rPr>
        <w:t>”</w:t>
      </w:r>
      <w:r>
        <w:rPr>
          <w:rFonts w:ascii="黑体" w:hAnsi="黑体" w:eastAsia="黑体" w:hint="eastAsia"/>
          <w:spacing w:val="-3"/>
        </w:rPr>
        <w:t>的责任：</w:t>
      </w:r>
    </w:p>
    <w:p>
      <w:pPr>
        <w:pStyle w:val="ListParagraph"/>
        <w:numPr>
          <w:ilvl w:val="3"/>
          <w:numId w:val="6"/>
        </w:numPr>
        <w:tabs>
          <w:tab w:pos="1876" w:val="left" w:leader="none"/>
        </w:tabs>
        <w:spacing w:line="240" w:lineRule="auto" w:before="160" w:after="0"/>
        <w:ind w:left="187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6"/>
        </w:numPr>
        <w:tabs>
          <w:tab w:pos="1876" w:val="left" w:leader="none"/>
        </w:tabs>
        <w:spacing w:line="240" w:lineRule="auto" w:before="177" w:after="0"/>
        <w:ind w:left="1875" w:right="0" w:hanging="317"/>
        <w:jc w:val="both"/>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3"/>
          <w:numId w:val="6"/>
        </w:numPr>
        <w:tabs>
          <w:tab w:pos="1876" w:val="left" w:leader="none"/>
        </w:tabs>
        <w:spacing w:line="256" w:lineRule="auto" w:before="177" w:after="0"/>
        <w:ind w:left="1875" w:right="113" w:hanging="317"/>
        <w:jc w:val="left"/>
        <w:rPr>
          <w:rFonts w:ascii="黑体" w:eastAsia="黑体" w:hint="eastAsia"/>
          <w:sz w:val="21"/>
        </w:rPr>
      </w:pPr>
      <w:r>
        <w:rPr>
          <w:rFonts w:ascii="黑体" w:eastAsia="黑体" w:hint="eastAsia"/>
          <w:spacing w:val="-6"/>
          <w:sz w:val="21"/>
        </w:rPr>
        <w:t>被保险人自本附加合同成立或者合同效力恢复之日起两年内自杀，但被保险人自</w:t>
      </w:r>
      <w:r>
        <w:rPr>
          <w:rFonts w:ascii="黑体" w:eastAsia="黑体" w:hint="eastAsia"/>
          <w:spacing w:val="-3"/>
          <w:sz w:val="21"/>
        </w:rPr>
        <w:t>杀时为无民事行为能力人的除外；</w:t>
      </w:r>
    </w:p>
    <w:p>
      <w:pPr>
        <w:pStyle w:val="ListParagraph"/>
        <w:numPr>
          <w:ilvl w:val="3"/>
          <w:numId w:val="6"/>
        </w:numPr>
        <w:tabs>
          <w:tab w:pos="1876" w:val="left" w:leader="none"/>
        </w:tabs>
        <w:spacing w:line="240" w:lineRule="auto" w:before="178" w:after="0"/>
        <w:ind w:left="187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6"/>
        </w:numPr>
        <w:tabs>
          <w:tab w:pos="1876" w:val="left" w:leader="none"/>
        </w:tabs>
        <w:spacing w:line="240" w:lineRule="auto" w:before="177" w:after="0"/>
        <w:ind w:left="187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6"/>
        </w:numPr>
        <w:tabs>
          <w:tab w:pos="1876" w:val="left" w:leader="none"/>
        </w:tabs>
        <w:spacing w:line="240" w:lineRule="auto" w:before="177" w:after="0"/>
        <w:ind w:left="187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6"/>
        </w:numPr>
        <w:tabs>
          <w:tab w:pos="1876" w:val="left" w:leader="none"/>
        </w:tabs>
        <w:spacing w:line="240" w:lineRule="auto" w:before="177" w:after="0"/>
        <w:ind w:left="1875" w:right="0" w:hanging="317"/>
        <w:jc w:val="both"/>
        <w:rPr>
          <w:rFonts w:ascii="黑体" w:eastAsia="黑体" w:hint="eastAsia"/>
          <w:sz w:val="21"/>
        </w:rPr>
      </w:pPr>
      <w:r>
        <w:rPr>
          <w:rFonts w:ascii="黑体" w:eastAsia="黑体" w:hint="eastAsia"/>
          <w:spacing w:val="-3"/>
          <w:sz w:val="21"/>
        </w:rPr>
        <w:t>核爆炸、核辐射或核污染。</w:t>
      </w:r>
    </w:p>
    <w:p>
      <w:pPr>
        <w:pStyle w:val="BodyText"/>
        <w:spacing w:line="273" w:lineRule="auto" w:before="177"/>
        <w:ind w:left="1558" w:right="109"/>
        <w:jc w:val="both"/>
        <w:rPr>
          <w:rFonts w:ascii="黑体" w:eastAsia="黑体" w:hint="eastAsia"/>
        </w:rPr>
      </w:pPr>
      <w:r>
        <w:rPr>
          <w:rFonts w:ascii="黑体" w:eastAsia="黑体" w:hint="eastAsia"/>
        </w:rPr>
        <w:t>发Th上述第１项情形导致被保险人身故的，本附加合同效力终止，您已交足两年以上保险费的，我们向除您以外的身故保险金受益人退还本附加合同的</w:t>
      </w:r>
      <w:r>
        <w:rPr>
          <w:rFonts w:ascii="黑体" w:eastAsia="黑体" w:hint="eastAsia"/>
          <w:b/>
        </w:rPr>
        <w:t>现金价值</w:t>
      </w:r>
      <w:r>
        <w:rPr>
          <w:rFonts w:ascii="黑体" w:eastAsia="黑体" w:hint="eastAsia"/>
        </w:rPr>
        <w:t>。</w:t>
      </w:r>
    </w:p>
    <w:p>
      <w:pPr>
        <w:spacing w:after="0" w:line="273" w:lineRule="auto"/>
        <w:jc w:val="both"/>
        <w:rPr>
          <w:rFonts w:ascii="黑体" w:eastAsia="黑体" w:hint="eastAsia"/>
        </w:rPr>
        <w:sectPr>
          <w:pgSz w:w="11910" w:h="16840"/>
          <w:pgMar w:top="1380" w:bottom="280" w:left="1300" w:right="1340"/>
        </w:sectPr>
      </w:pPr>
    </w:p>
    <w:p>
      <w:pPr>
        <w:pStyle w:val="BodyText"/>
        <w:spacing w:line="273" w:lineRule="auto" w:before="9"/>
        <w:ind w:left="1578" w:right="129"/>
        <w:rPr>
          <w:rFonts w:ascii="黑体" w:eastAsia="黑体" w:hint="eastAsia"/>
        </w:rPr>
      </w:pPr>
      <w:r>
        <w:rPr>
          <w:rFonts w:ascii="黑体" w:eastAsia="黑体" w:hint="eastAsia"/>
        </w:rPr>
        <w:t>发Th上述其他情形导致被保险人身故的，本附加合同效力终止，我们向您退还本附加合同的</w:t>
      </w:r>
      <w:r>
        <w:rPr>
          <w:rFonts w:ascii="黑体" w:eastAsia="黑体" w:hint="eastAsia"/>
          <w:b/>
        </w:rPr>
        <w:t>现金价值</w:t>
      </w:r>
      <w:r>
        <w:rPr>
          <w:rFonts w:ascii="黑体" w:eastAsia="黑体" w:hint="eastAsia"/>
        </w:rPr>
        <w:t>。</w:t>
      </w:r>
    </w:p>
    <w:p>
      <w:pPr>
        <w:pStyle w:val="Heading3"/>
        <w:numPr>
          <w:ilvl w:val="2"/>
          <w:numId w:val="6"/>
        </w:numPr>
        <w:tabs>
          <w:tab w:pos="1398" w:val="left" w:leader="none"/>
          <w:tab w:pos="1399" w:val="left" w:leader="none"/>
        </w:tabs>
        <w:spacing w:line="240" w:lineRule="auto" w:before="163" w:after="0"/>
        <w:ind w:left="1398" w:right="0" w:hanging="720"/>
        <w:jc w:val="left"/>
      </w:pPr>
      <w:r>
        <w:rPr/>
        <w:t>除</w:t>
      </w:r>
      <w:r>
        <w:rPr>
          <w:rFonts w:ascii="Times New Roman" w:hAnsi="Times New Roman" w:eastAsia="Times New Roman"/>
          <w:spacing w:val="-3"/>
        </w:rPr>
        <w:t>“</w:t>
      </w:r>
      <w:r>
        <w:rPr/>
        <w:t>身故保险金</w:t>
      </w:r>
      <w:r>
        <w:rPr>
          <w:rFonts w:ascii="Times New Roman" w:hAnsi="Times New Roman" w:eastAsia="Times New Roman"/>
          <w:spacing w:val="-3"/>
        </w:rPr>
        <w:t>”</w:t>
      </w:r>
      <w:r>
        <w:rPr>
          <w:spacing w:val="-1"/>
        </w:rPr>
        <w:t>外的各项保险金的责任免除</w:t>
      </w:r>
    </w:p>
    <w:p>
      <w:pPr>
        <w:pStyle w:val="BodyText"/>
        <w:spacing w:line="264" w:lineRule="auto" w:before="140"/>
        <w:ind w:left="1609" w:right="129"/>
        <w:jc w:val="both"/>
      </w:pPr>
      <w:r>
        <w:rPr>
          <w:rFonts w:ascii="黑体" w:hAnsi="黑体" w:eastAsia="黑体" w:hint="eastAsia"/>
          <w:spacing w:val="-4"/>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spacing w:val="-5"/>
        </w:rPr>
        <w:t>，我们不承担给付</w:t>
      </w:r>
      <w:r>
        <w:rPr>
          <w:rFonts w:ascii="Times New Roman" w:hAnsi="Times New Roman" w:eastAsia="Times New Roman"/>
        </w:rPr>
        <w:t>“</w:t>
      </w:r>
      <w:r>
        <w:rPr>
          <w:rFonts w:ascii="黑体" w:hAnsi="黑体" w:eastAsia="黑体" w:hint="eastAsia"/>
          <w:spacing w:val="-3"/>
        </w:rPr>
        <w:t>首次重大疾病保险金</w:t>
      </w:r>
      <w:r>
        <w:rPr>
          <w:rFonts w:ascii="Times New Roman" w:hAnsi="Times New Roman" w:eastAsia="Times New Roman"/>
          <w:spacing w:val="-3"/>
        </w:rPr>
        <w:t>”</w:t>
      </w:r>
      <w:r>
        <w:rPr>
          <w:rFonts w:ascii="黑体" w:hAnsi="黑体" w:eastAsia="黑体" w:hint="eastAsia"/>
          <w:spacing w:val="-15"/>
        </w:rPr>
        <w:t>、</w:t>
      </w:r>
      <w:r>
        <w:rPr>
          <w:rFonts w:ascii="Times New Roman" w:hAnsi="Times New Roman" w:eastAsia="Times New Roman"/>
          <w:spacing w:val="-3"/>
        </w:rPr>
        <w:t>“</w:t>
      </w:r>
      <w:r>
        <w:rPr>
          <w:rFonts w:ascii="黑体" w:hAnsi="黑体" w:eastAsia="黑体" w:hint="eastAsia"/>
          <w:spacing w:val="-3"/>
        </w:rPr>
        <w:t>第二次重大疾病保险金</w:t>
      </w:r>
      <w:r>
        <w:rPr>
          <w:rFonts w:ascii="Times New Roman" w:hAnsi="Times New Roman" w:eastAsia="Times New Roman"/>
          <w:spacing w:val="-3"/>
        </w:rPr>
        <w:t>”</w:t>
      </w:r>
      <w:r>
        <w:rPr>
          <w:rFonts w:ascii="黑体" w:hAnsi="黑体" w:eastAsia="黑体" w:hint="eastAsia"/>
          <w:spacing w:val="-15"/>
        </w:rPr>
        <w:t>、</w:t>
      </w:r>
      <w:r>
        <w:rPr>
          <w:rFonts w:ascii="Times New Roman" w:hAnsi="Times New Roman" w:eastAsia="Times New Roman"/>
          <w:spacing w:val="-3"/>
        </w:rPr>
        <w:t>“</w:t>
      </w:r>
      <w:r>
        <w:rPr>
          <w:rFonts w:ascii="黑体" w:hAnsi="黑体" w:eastAsia="黑体" w:hint="eastAsia"/>
        </w:rPr>
        <w:t>重大疾</w:t>
      </w:r>
      <w:r>
        <w:rPr>
          <w:rFonts w:ascii="黑体" w:hAnsi="黑体" w:eastAsia="黑体" w:hint="eastAsia"/>
          <w:spacing w:val="-2"/>
        </w:rPr>
        <w:t>病保险费豁免</w:t>
      </w:r>
      <w:r>
        <w:rPr>
          <w:rFonts w:ascii="Times New Roman" w:hAnsi="Times New Roman" w:eastAsia="Times New Roman"/>
          <w:spacing w:val="-3"/>
        </w:rPr>
        <w:t>”</w:t>
      </w:r>
      <w:r>
        <w:rPr>
          <w:rFonts w:ascii="黑体" w:hAnsi="黑体" w:eastAsia="黑体" w:hint="eastAsia"/>
          <w:spacing w:val="-2"/>
        </w:rPr>
        <w:t>的责任</w:t>
      </w:r>
      <w:r>
        <w:rPr/>
        <w:t>：</w:t>
      </w:r>
    </w:p>
    <w:p>
      <w:pPr>
        <w:pStyle w:val="ListParagraph"/>
        <w:numPr>
          <w:ilvl w:val="3"/>
          <w:numId w:val="6"/>
        </w:numPr>
        <w:tabs>
          <w:tab w:pos="1896" w:val="left" w:leader="none"/>
        </w:tabs>
        <w:spacing w:line="240" w:lineRule="auto" w:before="153"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6"/>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6"/>
        </w:numPr>
        <w:tabs>
          <w:tab w:pos="1896" w:val="left" w:leader="none"/>
        </w:tabs>
        <w:spacing w:line="240" w:lineRule="auto" w:before="176"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6"/>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6"/>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3"/>
          <w:numId w:val="6"/>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6"/>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3"/>
          <w:numId w:val="6"/>
        </w:numPr>
        <w:tabs>
          <w:tab w:pos="1896" w:val="left" w:leader="none"/>
        </w:tabs>
        <w:spacing w:line="240" w:lineRule="auto" w:before="176" w:after="0"/>
        <w:ind w:left="1895" w:right="0" w:hanging="317"/>
        <w:jc w:val="both"/>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6"/>
        </w:numPr>
        <w:tabs>
          <w:tab w:pos="570" w:val="left" w:leader="none"/>
          <w:tab w:pos="571" w:val="left" w:leader="none"/>
        </w:tabs>
        <w:spacing w:line="240" w:lineRule="auto" w:before="0" w:after="0"/>
        <w:ind w:left="570" w:right="0" w:hanging="432"/>
        <w:jc w:val="left"/>
        <w:rPr>
          <w:rFonts w:ascii="Times New Roman" w:eastAsia="Times New Roman"/>
          <w:b/>
          <w:sz w:val="24"/>
        </w:rPr>
      </w:pPr>
      <w:r>
        <w:rPr/>
        <w:pict>
          <v:line style="position:absolute;mso-position-horizontal-relative:page;mso-position-vertical-relative:paragraph;z-index:1120;mso-wrap-distance-left:0;mso-wrap-distance-right:0" from="69.480003pt,19.295631pt" to="523.920003pt,19.295631pt" stroked="true" strokeweight="1.44pt" strokecolor="#000000">
            <v:stroke dashstyle="solid"/>
            <w10:wrap type="topAndBottom"/>
          </v:line>
        </w:pict>
      </w:r>
      <w:bookmarkStart w:name="_bookmark11" w:id="22"/>
      <w:bookmarkEnd w:id="22"/>
      <w:r>
        <w:rPr/>
      </w:r>
      <w:bookmarkStart w:name="_bookmark11" w:id="23"/>
      <w:bookmarkEnd w:id="23"/>
      <w:r>
        <w:rPr>
          <w:b/>
          <w:w w:val="95"/>
          <w:sz w:val="24"/>
        </w:rPr>
        <w:t>保险金的申请</w:t>
      </w:r>
    </w:p>
    <w:p>
      <w:pPr>
        <w:pStyle w:val="BodyText"/>
        <w:spacing w:before="5"/>
        <w:rPr>
          <w:b/>
          <w:sz w:val="5"/>
        </w:rPr>
      </w:pPr>
    </w:p>
    <w:p>
      <w:pPr>
        <w:pStyle w:val="ListParagraph"/>
        <w:numPr>
          <w:ilvl w:val="1"/>
          <w:numId w:val="7"/>
        </w:numPr>
        <w:tabs>
          <w:tab w:pos="714" w:val="left" w:leader="none"/>
          <w:tab w:pos="715" w:val="left" w:leader="none"/>
        </w:tabs>
        <w:spacing w:line="240" w:lineRule="auto" w:before="43" w:after="0"/>
        <w:ind w:left="714" w:right="0" w:hanging="576"/>
        <w:jc w:val="left"/>
        <w:rPr>
          <w:b/>
          <w:sz w:val="21"/>
        </w:rPr>
      </w:pPr>
      <w:bookmarkStart w:name="_bookmark12" w:id="24"/>
      <w:bookmarkEnd w:id="24"/>
      <w:r>
        <w:rPr/>
      </w:r>
      <w:bookmarkStart w:name="_bookmark12" w:id="25"/>
      <w:bookmarkEnd w:id="25"/>
      <w:r>
        <w:rPr>
          <w:b/>
          <w:sz w:val="21"/>
        </w:rPr>
        <w:t>受益人</w:t>
      </w:r>
    </w:p>
    <w:p>
      <w:pPr>
        <w:pStyle w:val="BodyText"/>
        <w:spacing w:before="9"/>
        <w:rPr>
          <w:b/>
          <w:sz w:val="10"/>
        </w:rPr>
      </w:pPr>
    </w:p>
    <w:p>
      <w:pPr>
        <w:pStyle w:val="BodyText"/>
        <w:spacing w:before="37"/>
        <w:ind w:left="1609"/>
      </w:pPr>
      <w:r>
        <w:rPr/>
        <w:t>您或者被保险人可以指定一人或多人为身故保险金受益人。</w:t>
      </w:r>
    </w:p>
    <w:p>
      <w:pPr>
        <w:pStyle w:val="BodyText"/>
        <w:spacing w:before="10"/>
        <w:rPr>
          <w:sz w:val="14"/>
        </w:rPr>
      </w:pPr>
    </w:p>
    <w:p>
      <w:pPr>
        <w:pStyle w:val="BodyText"/>
        <w:spacing w:line="273" w:lineRule="auto"/>
        <w:ind w:left="1609" w:right="128"/>
      </w:pPr>
      <w:r>
        <w:rPr/>
        <w:t>身故保险金受益人为多人时，可以确定受益顺序和受益份额；如果没有确定份额， 各受益人按照相等份额享有受益权。</w:t>
      </w:r>
    </w:p>
    <w:p>
      <w:pPr>
        <w:pStyle w:val="BodyText"/>
        <w:spacing w:line="273" w:lineRule="auto" w:before="163"/>
        <w:ind w:left="1609" w:right="128"/>
      </w:pPr>
      <w:r>
        <w:rPr/>
        <w:t>被保险人为无民事行为能力人或限制民事行为能力人的，可以由其监护人指定受益人。</w:t>
      </w:r>
    </w:p>
    <w:p>
      <w:pPr>
        <w:pStyle w:val="BodyText"/>
        <w:spacing w:line="273" w:lineRule="auto" w:before="163"/>
        <w:ind w:left="1609" w:right="128"/>
      </w:pPr>
      <w:r>
        <w:rPr/>
        <w:t>您或者被保险人可以变更身故保险金受益人并书面通知我们。我们收到变更受益人的书面通知后，在保险单或其他保险凭证上批注或附贴批单。</w:t>
      </w:r>
    </w:p>
    <w:p>
      <w:pPr>
        <w:pStyle w:val="BodyText"/>
        <w:spacing w:before="163"/>
        <w:ind w:left="1609"/>
      </w:pPr>
      <w:r>
        <w:rPr/>
        <w:t>您在指定和变更身故保险金受益人时，必须经过被保险人同意。</w:t>
      </w:r>
    </w:p>
    <w:p>
      <w:pPr>
        <w:pStyle w:val="BodyText"/>
        <w:spacing w:before="9"/>
        <w:rPr>
          <w:sz w:val="14"/>
        </w:rPr>
      </w:pPr>
    </w:p>
    <w:p>
      <w:pPr>
        <w:pStyle w:val="BodyText"/>
        <w:spacing w:line="273" w:lineRule="auto"/>
        <w:ind w:left="1609" w:right="131"/>
      </w:pPr>
      <w:r>
        <w:rPr>
          <w:spacing w:val="-16"/>
        </w:rPr>
        <w:t>被保险人身故后，有下列情形之一的，保险金作为被保险人的遗产，由我们依照《中</w:t>
      </w:r>
      <w:r>
        <w:rPr>
          <w:spacing w:val="-3"/>
        </w:rPr>
        <w:t>华人民共和国继承法》的规定履行给付保险金的义务：</w:t>
      </w:r>
    </w:p>
    <w:p>
      <w:pPr>
        <w:pStyle w:val="BodyText"/>
        <w:spacing w:before="163"/>
        <w:ind w:left="1609"/>
      </w:pPr>
      <w:r>
        <w:rPr>
          <w:rFonts w:ascii="Times New Roman" w:eastAsia="Times New Roman"/>
        </w:rPr>
        <w:t>1</w:t>
      </w:r>
      <w:r>
        <w:rPr/>
        <w:t>． 没有指定受益人，或者受益人指定不明无法确定的；</w:t>
      </w:r>
    </w:p>
    <w:p>
      <w:pPr>
        <w:pStyle w:val="BodyText"/>
        <w:spacing w:before="176"/>
        <w:ind w:left="1609"/>
      </w:pPr>
      <w:r>
        <w:rPr>
          <w:rFonts w:ascii="Times New Roman" w:eastAsia="Times New Roman"/>
        </w:rPr>
        <w:t>2</w:t>
      </w:r>
      <w:r>
        <w:rPr/>
        <w:t>． 受益人先于被保险人身故，没有其他受益人的；</w:t>
      </w:r>
    </w:p>
    <w:p>
      <w:pPr>
        <w:pStyle w:val="BodyText"/>
        <w:spacing w:before="176"/>
        <w:ind w:left="1609"/>
      </w:pPr>
      <w:r>
        <w:rPr>
          <w:rFonts w:ascii="Times New Roman" w:eastAsia="Times New Roman"/>
        </w:rPr>
        <w:t>3</w:t>
      </w:r>
      <w:r>
        <w:rPr/>
        <w:t>． 受益人依法丧失受益权或者放弃受益权，没有其他受益人的。</w:t>
      </w:r>
    </w:p>
    <w:p>
      <w:pPr>
        <w:pStyle w:val="BodyText"/>
        <w:spacing w:line="273" w:lineRule="auto" w:before="176"/>
        <w:ind w:left="1610" w:right="128"/>
      </w:pPr>
      <w:r>
        <w:rPr/>
        <w:t>受益人与被保险人在同一事件中身故，且不能确定身故先后顺序的，推定受益人身故在先。</w:t>
      </w:r>
    </w:p>
    <w:p>
      <w:pPr>
        <w:pStyle w:val="BodyText"/>
        <w:spacing w:before="163"/>
        <w:ind w:left="1610"/>
      </w:pPr>
      <w:r>
        <w:rPr/>
        <w:t>受益人故意造成被保险人身故、伤残、疾病的，或者故意杀害被保险人未遂的，该</w:t>
      </w:r>
    </w:p>
    <w:p>
      <w:pPr>
        <w:spacing w:after="0"/>
        <w:sectPr>
          <w:pgSz w:w="11910" w:h="16840"/>
          <w:pgMar w:top="1400" w:bottom="280" w:left="1280" w:right="1320"/>
        </w:sectPr>
      </w:pPr>
    </w:p>
    <w:p>
      <w:pPr>
        <w:pStyle w:val="BodyText"/>
        <w:spacing w:before="9"/>
        <w:ind w:left="1589"/>
      </w:pPr>
      <w:r>
        <w:rPr/>
        <w:t>受益人丧失受益权。</w:t>
      </w:r>
    </w:p>
    <w:p>
      <w:pPr>
        <w:pStyle w:val="BodyText"/>
        <w:spacing w:before="9"/>
        <w:rPr>
          <w:sz w:val="14"/>
        </w:rPr>
      </w:pPr>
    </w:p>
    <w:p>
      <w:pPr>
        <w:pStyle w:val="Heading3"/>
        <w:numPr>
          <w:ilvl w:val="1"/>
          <w:numId w:val="7"/>
        </w:numPr>
        <w:tabs>
          <w:tab w:pos="694" w:val="left" w:leader="none"/>
          <w:tab w:pos="695" w:val="left" w:leader="none"/>
        </w:tabs>
        <w:spacing w:line="240" w:lineRule="auto" w:before="1" w:after="0"/>
        <w:ind w:left="694" w:right="0" w:hanging="576"/>
        <w:jc w:val="left"/>
      </w:pPr>
      <w:bookmarkStart w:name="_bookmark14" w:id="26"/>
      <w:bookmarkEnd w:id="26"/>
      <w:r>
        <w:rPr>
          <w:b w:val="0"/>
        </w:rPr>
      </w:r>
      <w:bookmarkStart w:name="_bookmark14" w:id="27"/>
      <w:bookmarkEnd w:id="27"/>
      <w:r>
        <w:rPr/>
        <w:t>保险事故通知</w:t>
      </w:r>
    </w:p>
    <w:p>
      <w:pPr>
        <w:pStyle w:val="BodyText"/>
        <w:spacing w:before="177"/>
        <w:ind w:left="1589"/>
        <w:rPr>
          <w:rFonts w:ascii="黑体" w:eastAsia="黑体" w:hint="eastAsia"/>
        </w:rPr>
      </w:pPr>
      <w:r>
        <w:rPr>
          <w:rFonts w:ascii="黑体" w:eastAsia="黑体" w:hint="eastAsia"/>
        </w:rPr>
        <w:t>您、被保险人或受益人应于知道保险事故发Th之日起十日内通知我们。</w:t>
      </w:r>
    </w:p>
    <w:p>
      <w:pPr>
        <w:pStyle w:val="BodyText"/>
        <w:spacing w:before="9"/>
        <w:rPr>
          <w:rFonts w:ascii="黑体"/>
          <w:sz w:val="14"/>
        </w:rPr>
      </w:pPr>
    </w:p>
    <w:p>
      <w:pPr>
        <w:pStyle w:val="BodyText"/>
        <w:spacing w:line="273" w:lineRule="auto"/>
        <w:ind w:left="1589" w:right="103"/>
      </w:pPr>
      <w:r>
        <w:rPr>
          <w:rFonts w:ascii="黑体" w:eastAsia="黑体" w:hint="eastAsia"/>
          <w:spacing w:val="-10"/>
        </w:rPr>
        <w:t>如果您、被保险人或受益人故意或者因重大过失未及时通知，致使保险事故的性质、</w:t>
      </w:r>
      <w:r>
        <w:rPr>
          <w:rFonts w:ascii="黑体" w:eastAsia="黑体" w:hint="eastAsia"/>
          <w:spacing w:val="-11"/>
        </w:rPr>
        <w:t>原因、损失程度等难以确定的，我们对无法确定的部分，不承担给付保险金的责任， </w:t>
      </w:r>
      <w:r>
        <w:rPr>
          <w:spacing w:val="-3"/>
        </w:rPr>
        <w:t>但我们通过其他途径已经及时知道或者应当及时知道保险事故发生或者虽未及时通知但不影响我们确定保险事故的性质、原因、损失程度的除外。</w:t>
      </w:r>
    </w:p>
    <w:p>
      <w:pPr>
        <w:pStyle w:val="Heading3"/>
        <w:numPr>
          <w:ilvl w:val="1"/>
          <w:numId w:val="7"/>
        </w:numPr>
        <w:tabs>
          <w:tab w:pos="694" w:val="left" w:leader="none"/>
          <w:tab w:pos="695" w:val="left" w:leader="none"/>
        </w:tabs>
        <w:spacing w:line="240" w:lineRule="auto" w:before="163" w:after="0"/>
        <w:ind w:left="694" w:right="0" w:hanging="576"/>
        <w:jc w:val="left"/>
      </w:pPr>
      <w:bookmarkStart w:name="_bookmark15" w:id="28"/>
      <w:bookmarkEnd w:id="28"/>
      <w:r>
        <w:rPr>
          <w:b w:val="0"/>
        </w:rPr>
      </w:r>
      <w:bookmarkStart w:name="_bookmark15" w:id="29"/>
      <w:bookmarkEnd w:id="29"/>
      <w:r>
        <w:rPr/>
        <w:t>保险金申请</w:t>
      </w:r>
    </w:p>
    <w:p>
      <w:pPr>
        <w:pStyle w:val="BodyText"/>
        <w:spacing w:before="177"/>
        <w:ind w:left="1589"/>
      </w:pPr>
      <w:r>
        <w:rPr/>
        <w:t>若被保险人发生本附加合同约定的保险事故，请按照下列要求申请相应保险金：</w:t>
      </w:r>
    </w:p>
    <w:p>
      <w:pPr>
        <w:pStyle w:val="BodyText"/>
        <w:spacing w:before="10"/>
        <w:rPr>
          <w:sz w:val="14"/>
        </w:rPr>
      </w:pPr>
    </w:p>
    <w:p>
      <w:pPr>
        <w:pStyle w:val="ListParagraph"/>
        <w:numPr>
          <w:ilvl w:val="2"/>
          <w:numId w:val="7"/>
        </w:numPr>
        <w:tabs>
          <w:tab w:pos="1378" w:val="left" w:leader="none"/>
          <w:tab w:pos="1379" w:val="left" w:leader="none"/>
        </w:tabs>
        <w:spacing w:line="357" w:lineRule="auto" w:before="0" w:after="0"/>
        <w:ind w:left="1589" w:right="1241" w:hanging="931"/>
        <w:jc w:val="left"/>
        <w:rPr>
          <w:sz w:val="21"/>
        </w:rPr>
      </w:pPr>
      <w:r>
        <w:rPr>
          <w:b/>
          <w:spacing w:val="-3"/>
          <w:sz w:val="21"/>
        </w:rPr>
        <w:t>首次重大疾病保险金、第二次重大疾病保险金、重大疾病保险费豁免申请</w:t>
      </w:r>
      <w:r>
        <w:rPr>
          <w:spacing w:val="-3"/>
          <w:sz w:val="21"/>
        </w:rPr>
        <w:t>申请人应填写保险金给付申请书，并向我们提供下列证明和资料原件：</w:t>
      </w:r>
    </w:p>
    <w:p>
      <w:pPr>
        <w:pStyle w:val="BodyText"/>
        <w:spacing w:before="90"/>
        <w:ind w:left="1558"/>
      </w:pPr>
      <w:r>
        <w:rPr>
          <w:rFonts w:ascii="Times New Roman" w:eastAsia="Times New Roman"/>
        </w:rPr>
        <w:t>1</w:t>
      </w:r>
      <w:r>
        <w:rPr/>
        <w:t>． 保险合同；</w:t>
      </w:r>
    </w:p>
    <w:p>
      <w:pPr>
        <w:pStyle w:val="BodyText"/>
        <w:spacing w:before="177"/>
        <w:ind w:left="1558"/>
      </w:pPr>
      <w:r>
        <w:rPr>
          <w:rFonts w:ascii="Times New Roman" w:eastAsia="Times New Roman"/>
        </w:rPr>
        <w:t>2</w:t>
      </w:r>
      <w:r>
        <w:rPr/>
        <w:t>． 被保险人的有效身份证件；</w:t>
      </w:r>
    </w:p>
    <w:p>
      <w:pPr>
        <w:spacing w:line="256" w:lineRule="auto" w:before="177"/>
        <w:ind w:left="1918" w:right="213" w:hanging="361"/>
        <w:jc w:val="left"/>
        <w:rPr>
          <w:sz w:val="21"/>
        </w:rPr>
      </w:pPr>
      <w:r>
        <w:rPr>
          <w:rFonts w:ascii="Times New Roman" w:eastAsia="Times New Roman"/>
          <w:sz w:val="21"/>
        </w:rPr>
        <w:t>3</w:t>
      </w:r>
      <w:r>
        <w:rPr>
          <w:sz w:val="21"/>
        </w:rPr>
        <w:t>． 由我们</w:t>
      </w:r>
      <w:r>
        <w:rPr>
          <w:b/>
          <w:sz w:val="21"/>
        </w:rPr>
        <w:t>指定或认可的医院</w:t>
      </w:r>
      <w:r>
        <w:rPr>
          <w:sz w:val="21"/>
        </w:rPr>
        <w:t>的</w:t>
      </w:r>
      <w:r>
        <w:rPr>
          <w:b/>
          <w:sz w:val="21"/>
        </w:rPr>
        <w:t>专科医生</w:t>
      </w:r>
      <w:r>
        <w:rPr>
          <w:sz w:val="21"/>
        </w:rPr>
        <w:t>出具的病历、必须的病理检验、血液检查及其他科学诊断报告、诊断书或手术证明；</w:t>
      </w:r>
    </w:p>
    <w:p>
      <w:pPr>
        <w:pStyle w:val="BodyText"/>
        <w:spacing w:before="178"/>
        <w:ind w:left="1558"/>
      </w:pPr>
      <w:r>
        <w:rPr>
          <w:rFonts w:ascii="Times New Roman" w:eastAsia="Times New Roman"/>
        </w:rPr>
        <w:t>4</w:t>
      </w:r>
      <w:r>
        <w:rPr/>
        <w:t>． 司法鉴定机构所出具的被保险人伤残程度鉴定报告书；</w:t>
      </w:r>
    </w:p>
    <w:p>
      <w:pPr>
        <w:pStyle w:val="BodyText"/>
        <w:spacing w:before="177"/>
        <w:ind w:left="1558"/>
      </w:pPr>
      <w:r>
        <w:rPr>
          <w:rFonts w:ascii="Times New Roman" w:eastAsia="Times New Roman"/>
        </w:rPr>
        <w:t>5</w:t>
      </w:r>
      <w:r>
        <w:rPr/>
        <w:t>． 其它与确定保险事故的性质、原因等有关的证明和资料。</w:t>
      </w:r>
    </w:p>
    <w:p>
      <w:pPr>
        <w:pStyle w:val="Heading3"/>
        <w:numPr>
          <w:ilvl w:val="2"/>
          <w:numId w:val="7"/>
        </w:numPr>
        <w:tabs>
          <w:tab w:pos="1378" w:val="left" w:leader="none"/>
          <w:tab w:pos="1379" w:val="left" w:leader="none"/>
        </w:tabs>
        <w:spacing w:line="240" w:lineRule="auto" w:before="177" w:after="0"/>
        <w:ind w:left="1589" w:right="0" w:hanging="931"/>
        <w:jc w:val="left"/>
      </w:pPr>
      <w:r>
        <w:rPr/>
        <w:t>身故保险金申请</w:t>
      </w:r>
    </w:p>
    <w:p>
      <w:pPr>
        <w:pStyle w:val="BodyText"/>
        <w:spacing w:before="141"/>
        <w:ind w:left="1589"/>
      </w:pPr>
      <w:r>
        <w:rPr/>
        <w:t>申请人应填写保险金给付申请书，并向我们提供下列证明和资料原件：</w:t>
      </w:r>
    </w:p>
    <w:p>
      <w:pPr>
        <w:pStyle w:val="BodyText"/>
        <w:spacing w:before="10"/>
        <w:rPr>
          <w:sz w:val="14"/>
        </w:rPr>
      </w:pPr>
    </w:p>
    <w:p>
      <w:pPr>
        <w:pStyle w:val="ListParagraph"/>
        <w:numPr>
          <w:ilvl w:val="3"/>
          <w:numId w:val="7"/>
        </w:numPr>
        <w:tabs>
          <w:tab w:pos="1978" w:val="left" w:leader="none"/>
          <w:tab w:pos="1979" w:val="left" w:leader="none"/>
        </w:tabs>
        <w:spacing w:line="240" w:lineRule="auto" w:before="0" w:after="0"/>
        <w:ind w:left="1978" w:right="0" w:hanging="420"/>
        <w:jc w:val="left"/>
        <w:rPr>
          <w:sz w:val="21"/>
        </w:rPr>
      </w:pPr>
      <w:r>
        <w:rPr>
          <w:spacing w:val="-1"/>
          <w:sz w:val="21"/>
        </w:rPr>
        <w:t>保险合同；</w:t>
      </w:r>
    </w:p>
    <w:p>
      <w:pPr>
        <w:pStyle w:val="ListParagraph"/>
        <w:numPr>
          <w:ilvl w:val="3"/>
          <w:numId w:val="7"/>
        </w:numPr>
        <w:tabs>
          <w:tab w:pos="1978" w:val="left" w:leader="none"/>
          <w:tab w:pos="1979" w:val="left" w:leader="none"/>
        </w:tabs>
        <w:spacing w:line="240" w:lineRule="auto" w:before="177" w:after="0"/>
        <w:ind w:left="1978" w:right="0" w:hanging="420"/>
        <w:jc w:val="left"/>
        <w:rPr>
          <w:sz w:val="21"/>
        </w:rPr>
      </w:pPr>
      <w:r>
        <w:rPr>
          <w:spacing w:val="-3"/>
          <w:sz w:val="21"/>
        </w:rPr>
        <w:t>身故保险金受益人的有效身份证件；</w:t>
      </w:r>
    </w:p>
    <w:p>
      <w:pPr>
        <w:pStyle w:val="ListParagraph"/>
        <w:numPr>
          <w:ilvl w:val="3"/>
          <w:numId w:val="7"/>
        </w:numPr>
        <w:tabs>
          <w:tab w:pos="1978" w:val="left" w:leader="none"/>
          <w:tab w:pos="1979" w:val="left" w:leader="none"/>
        </w:tabs>
        <w:spacing w:line="256" w:lineRule="auto" w:before="177" w:after="0"/>
        <w:ind w:left="1978" w:right="212" w:hanging="420"/>
        <w:jc w:val="left"/>
        <w:rPr>
          <w:sz w:val="21"/>
        </w:rPr>
      </w:pPr>
      <w:r>
        <w:rPr>
          <w:spacing w:val="-3"/>
          <w:sz w:val="21"/>
        </w:rPr>
        <w:t>国家卫生行政部门认定的医疗机构、公安部门或其他相关机构出具的被保险人的死亡证明；</w:t>
      </w:r>
    </w:p>
    <w:p>
      <w:pPr>
        <w:pStyle w:val="ListParagraph"/>
        <w:numPr>
          <w:ilvl w:val="3"/>
          <w:numId w:val="7"/>
        </w:numPr>
        <w:tabs>
          <w:tab w:pos="1978" w:val="left" w:leader="none"/>
          <w:tab w:pos="1979" w:val="left" w:leader="none"/>
        </w:tabs>
        <w:spacing w:line="240" w:lineRule="auto" w:before="178" w:after="0"/>
        <w:ind w:left="1978" w:right="0" w:hanging="420"/>
        <w:jc w:val="left"/>
        <w:rPr>
          <w:sz w:val="21"/>
        </w:rPr>
      </w:pPr>
      <w:r>
        <w:rPr>
          <w:spacing w:val="-3"/>
          <w:sz w:val="21"/>
        </w:rPr>
        <w:t>其它与确定保险事故的性质、原因等有关的证明和资料。</w:t>
      </w:r>
    </w:p>
    <w:p>
      <w:pPr>
        <w:pStyle w:val="BodyText"/>
        <w:spacing w:before="177"/>
        <w:ind w:left="1589"/>
      </w:pPr>
      <w:r>
        <w:rPr/>
        <w:t>保险金作为被保险人遗产时，还必须提供可证明合法继承权的相关权利文件。</w:t>
      </w:r>
    </w:p>
    <w:p>
      <w:pPr>
        <w:pStyle w:val="BodyText"/>
        <w:spacing w:before="10"/>
        <w:rPr>
          <w:sz w:val="14"/>
        </w:rPr>
      </w:pPr>
    </w:p>
    <w:p>
      <w:pPr>
        <w:pStyle w:val="BodyText"/>
        <w:spacing w:line="256" w:lineRule="auto"/>
        <w:ind w:left="1589" w:right="210"/>
      </w:pPr>
      <w:r>
        <w:rPr>
          <w:spacing w:val="-15"/>
        </w:rPr>
        <w:t>上述 </w:t>
      </w:r>
      <w:r>
        <w:rPr>
          <w:rFonts w:ascii="Times New Roman" w:eastAsia="Times New Roman"/>
        </w:rPr>
        <w:t>3.3.1 </w:t>
      </w:r>
      <w:r>
        <w:rPr>
          <w:spacing w:val="-23"/>
        </w:rPr>
        <w:t>至 </w:t>
      </w:r>
      <w:r>
        <w:rPr>
          <w:rFonts w:ascii="Times New Roman" w:eastAsia="Times New Roman"/>
        </w:rPr>
        <w:t>3.3.2 </w:t>
      </w:r>
      <w:r>
        <w:rPr>
          <w:spacing w:val="-4"/>
        </w:rPr>
        <w:t>中的证明和资料不完整的，我们将及时一次性通知申请人补充提</w:t>
      </w:r>
      <w:r>
        <w:rPr>
          <w:spacing w:val="-3"/>
        </w:rPr>
        <w:t>供有关证明和资料。</w:t>
      </w:r>
    </w:p>
    <w:p>
      <w:pPr>
        <w:pStyle w:val="Heading3"/>
        <w:numPr>
          <w:ilvl w:val="1"/>
          <w:numId w:val="7"/>
        </w:numPr>
        <w:tabs>
          <w:tab w:pos="694" w:val="left" w:leader="none"/>
          <w:tab w:pos="695" w:val="left" w:leader="none"/>
        </w:tabs>
        <w:spacing w:line="240" w:lineRule="auto" w:before="178" w:after="0"/>
        <w:ind w:left="694" w:right="0" w:hanging="576"/>
        <w:jc w:val="left"/>
      </w:pPr>
      <w:bookmarkStart w:name="_bookmark16" w:id="30"/>
      <w:bookmarkEnd w:id="30"/>
      <w:r>
        <w:rPr>
          <w:b w:val="0"/>
        </w:rPr>
      </w:r>
      <w:bookmarkStart w:name="_bookmark16" w:id="31"/>
      <w:bookmarkEnd w:id="31"/>
      <w:r>
        <w:rPr/>
        <w:t>保险金给付</w:t>
      </w:r>
    </w:p>
    <w:p>
      <w:pPr>
        <w:pStyle w:val="BodyText"/>
        <w:spacing w:line="273" w:lineRule="auto" w:before="177"/>
        <w:ind w:left="1589" w:right="208"/>
      </w:pPr>
      <w:r>
        <w:rPr/>
        <w:t>我们在收到保险金给付申请书及合同约定的证明和资料后，将在五日内作出核定； 情形复杂的，在三十日内作出核定，但因第三方原因导致的延迟除外。</w:t>
      </w:r>
    </w:p>
    <w:p>
      <w:pPr>
        <w:pStyle w:val="BodyText"/>
        <w:spacing w:line="273" w:lineRule="auto" w:before="164"/>
        <w:ind w:left="1589" w:right="103"/>
      </w:pPr>
      <w:r>
        <w:rPr>
          <w:spacing w:val="-12"/>
        </w:rPr>
        <w:t>对属于保险责任的，我们将在与被保险人或受益人达成给付保险金的协议后十日内， </w:t>
      </w:r>
      <w:r>
        <w:rPr>
          <w:spacing w:val="-6"/>
        </w:rPr>
        <w:t>履行给付保险金义务。</w:t>
      </w:r>
    </w:p>
    <w:p>
      <w:pPr>
        <w:pStyle w:val="BodyText"/>
        <w:spacing w:before="164"/>
        <w:ind w:left="1589"/>
      </w:pPr>
      <w:r>
        <w:rPr/>
        <w:t>我们未及时履行前款规定义务的，除支付保险金外，应当赔偿被保险人或受益人因</w:t>
      </w:r>
    </w:p>
    <w:p>
      <w:pPr>
        <w:spacing w:after="0"/>
        <w:sectPr>
          <w:pgSz w:w="11910" w:h="16840"/>
          <w:pgMar w:top="1400" w:bottom="280" w:left="1300" w:right="1240"/>
        </w:sectPr>
      </w:pPr>
    </w:p>
    <w:p>
      <w:pPr>
        <w:pStyle w:val="BodyText"/>
        <w:spacing w:before="9"/>
        <w:ind w:left="1609"/>
      </w:pPr>
      <w:r>
        <w:rPr/>
        <w:t>此受到的损失。</w:t>
      </w:r>
    </w:p>
    <w:p>
      <w:pPr>
        <w:pStyle w:val="BodyText"/>
        <w:spacing w:before="9"/>
        <w:rPr>
          <w:sz w:val="14"/>
        </w:rPr>
      </w:pPr>
    </w:p>
    <w:p>
      <w:pPr>
        <w:pStyle w:val="BodyText"/>
        <w:spacing w:line="273" w:lineRule="auto" w:before="1"/>
        <w:ind w:left="1609" w:right="128"/>
        <w:jc w:val="both"/>
      </w:pPr>
      <w:r>
        <w:rPr/>
        <w:t>对不属于保险责任的，我们自作出核定之日起三日内向被保险人或受益人发出拒绝给付保险金通知书并说明理由。</w:t>
      </w:r>
    </w:p>
    <w:p>
      <w:pPr>
        <w:pStyle w:val="BodyText"/>
        <w:spacing w:line="273" w:lineRule="auto" w:before="164"/>
        <w:ind w:left="1609" w:right="128"/>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3"/>
        <w:rPr>
          <w:sz w:val="9"/>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17" w:id="32"/>
      <w:bookmarkEnd w:id="32"/>
      <w:r>
        <w:rPr>
          <w:b w:val="0"/>
        </w:rPr>
      </w:r>
      <w:bookmarkStart w:name="_bookmark17" w:id="33"/>
      <w:bookmarkEnd w:id="33"/>
      <w:r>
        <w:rPr/>
        <w:t>诉讼时效</w:t>
      </w:r>
    </w:p>
    <w:p>
      <w:pPr>
        <w:pStyle w:val="BodyText"/>
        <w:spacing w:before="3"/>
        <w:rPr>
          <w:b/>
          <w:sz w:val="10"/>
        </w:rPr>
      </w:pPr>
    </w:p>
    <w:p>
      <w:pPr>
        <w:pStyle w:val="BodyText"/>
        <w:spacing w:line="261" w:lineRule="auto" w:before="43"/>
        <w:ind w:left="1609" w:right="128"/>
        <w:jc w:val="both"/>
      </w:pPr>
      <w:r>
        <w:rPr/>
        <w:t>受益人向我们请求给付</w:t>
      </w:r>
      <w:r>
        <w:rPr>
          <w:rFonts w:ascii="Times New Roman" w:hAnsi="Times New Roman" w:eastAsia="Times New Roman"/>
        </w:rPr>
        <w:t>“</w:t>
      </w:r>
      <w:r>
        <w:rPr/>
        <w:t>身故保险金</w:t>
      </w:r>
      <w:r>
        <w:rPr>
          <w:rFonts w:ascii="Times New Roman" w:hAnsi="Times New Roman" w:eastAsia="Times New Roman"/>
        </w:rPr>
        <w:t>”</w:t>
      </w:r>
      <w:r>
        <w:rPr/>
        <w:t>的诉讼时效期间为五年，自其知道或者应当知道保险事故发生之日起计算。除</w:t>
      </w:r>
      <w:r>
        <w:rPr>
          <w:rFonts w:ascii="Times New Roman" w:hAnsi="Times New Roman" w:eastAsia="Times New Roman"/>
        </w:rPr>
        <w:t>“</w:t>
      </w:r>
      <w:r>
        <w:rPr/>
        <w:t>身故保险金</w:t>
      </w:r>
      <w:r>
        <w:rPr>
          <w:rFonts w:ascii="Times New Roman" w:hAnsi="Times New Roman" w:eastAsia="Times New Roman"/>
        </w:rPr>
        <w:t>”</w:t>
      </w:r>
      <w:r>
        <w:rPr/>
        <w:t>外其他保险金，被保险人向我们请求给付保险金的诉讼时效期间为两年，自其知道或者应当知道保险事故发生之日起计算。</w:t>
      </w:r>
    </w:p>
    <w:p>
      <w:pPr>
        <w:pStyle w:val="BodyText"/>
        <w:rPr>
          <w:sz w:val="10"/>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18" w:id="34"/>
      <w:bookmarkEnd w:id="34"/>
      <w:r>
        <w:rPr>
          <w:b w:val="0"/>
        </w:rPr>
      </w:r>
      <w:bookmarkStart w:name="_bookmark18" w:id="35"/>
      <w:bookmarkEnd w:id="35"/>
      <w:r>
        <w:rPr/>
        <w:t>失踪处理</w:t>
      </w:r>
    </w:p>
    <w:p>
      <w:pPr>
        <w:pStyle w:val="BodyText"/>
        <w:spacing w:before="9"/>
        <w:rPr>
          <w:b/>
          <w:sz w:val="10"/>
        </w:rPr>
      </w:pPr>
    </w:p>
    <w:p>
      <w:pPr>
        <w:pStyle w:val="BodyText"/>
        <w:spacing w:line="273" w:lineRule="auto" w:before="37"/>
        <w:ind w:left="1609" w:right="128"/>
      </w:pPr>
      <w:r>
        <w:rPr/>
        <w:t>在本附加合同有效期内，若被保险人失踪且经法院宣告为身故，我们按被保险人身故处理，给付</w:t>
      </w:r>
      <w:r>
        <w:rPr>
          <w:rFonts w:ascii="Times New Roman" w:hAnsi="Times New Roman" w:eastAsia="Times New Roman"/>
        </w:rPr>
        <w:t>“</w:t>
      </w:r>
      <w:r>
        <w:rPr/>
        <w:t>身故保险金</w:t>
      </w:r>
      <w:r>
        <w:rPr>
          <w:rFonts w:ascii="Times New Roman" w:hAnsi="Times New Roman" w:eastAsia="Times New Roman"/>
        </w:rPr>
        <w:t>”</w:t>
      </w:r>
      <w:r>
        <w:rPr/>
        <w:t>，本附加合同效力终止。</w:t>
      </w:r>
    </w:p>
    <w:p>
      <w:pPr>
        <w:pStyle w:val="BodyText"/>
        <w:spacing w:line="273" w:lineRule="auto" w:before="144"/>
        <w:ind w:left="1609" w:right="128"/>
      </w:pPr>
      <w:r>
        <w:rPr/>
        <w:t>若日后发现被保险人重新出现或确知其下落时，保险金领取人应于知道后三十日内向我们返还已领取的</w:t>
      </w:r>
      <w:r>
        <w:rPr>
          <w:rFonts w:ascii="Times New Roman" w:hAnsi="Times New Roman" w:eastAsia="Times New Roman"/>
        </w:rPr>
        <w:t>“</w:t>
      </w:r>
      <w:r>
        <w:rPr/>
        <w:t>身故保险金</w:t>
      </w:r>
      <w:r>
        <w:rPr>
          <w:rFonts w:ascii="Times New Roman" w:hAnsi="Times New Roman" w:eastAsia="Times New Roman"/>
        </w:rPr>
        <w:t>”</w:t>
      </w:r>
      <w:r>
        <w:rPr/>
        <w:t>。本附加合同的效力由我们与您依法协商处理。</w:t>
      </w:r>
    </w:p>
    <w:p>
      <w:pPr>
        <w:pStyle w:val="BodyText"/>
        <w:spacing w:before="12"/>
        <w:rPr>
          <w:sz w:val="20"/>
        </w:rPr>
      </w:pPr>
    </w:p>
    <w:p>
      <w:pPr>
        <w:pStyle w:val="Heading2"/>
        <w:numPr>
          <w:ilvl w:val="0"/>
          <w:numId w:val="7"/>
        </w:numPr>
        <w:tabs>
          <w:tab w:pos="570" w:val="left" w:leader="none"/>
          <w:tab w:pos="571" w:val="left" w:leader="none"/>
        </w:tabs>
        <w:spacing w:line="240" w:lineRule="auto" w:before="1" w:after="0"/>
        <w:ind w:left="570" w:right="0" w:hanging="432"/>
        <w:jc w:val="left"/>
        <w:rPr>
          <w:rFonts w:ascii="Times New Roman" w:eastAsia="Times New Roman"/>
        </w:rPr>
      </w:pPr>
      <w:r>
        <w:rPr/>
        <w:pict>
          <v:line style="position:absolute;mso-position-horizontal-relative:page;mso-position-vertical-relative:paragraph;z-index:1144;mso-wrap-distance-left:0;mso-wrap-distance-right:0" from="69.480003pt,19.345625pt" to="523.920003pt,19.345625pt" stroked="true" strokeweight="1.44pt" strokecolor="#000000">
            <v:stroke dashstyle="solid"/>
            <w10:wrap type="topAndBottom"/>
          </v:line>
        </w:pict>
      </w:r>
      <w:bookmarkStart w:name="_bookmark20" w:id="36"/>
      <w:bookmarkEnd w:id="36"/>
      <w:r>
        <w:rPr>
          <w:b w:val="0"/>
        </w:rPr>
      </w:r>
      <w:bookmarkStart w:name="_bookmark20" w:id="37"/>
      <w:bookmarkEnd w:id="37"/>
      <w:r>
        <w:rPr>
          <w:w w:val="95"/>
        </w:rPr>
        <w:t>现金价值权益</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21" w:id="38"/>
      <w:bookmarkEnd w:id="38"/>
      <w:r>
        <w:rPr>
          <w:b w:val="0"/>
        </w:rPr>
      </w:r>
      <w:bookmarkStart w:name="_bookmark21" w:id="39"/>
      <w:bookmarkEnd w:id="39"/>
      <w:r>
        <w:rPr/>
        <w:t>现金价值</w:t>
      </w:r>
    </w:p>
    <w:p>
      <w:pPr>
        <w:pStyle w:val="BodyText"/>
        <w:spacing w:before="3"/>
        <w:rPr>
          <w:b/>
          <w:sz w:val="10"/>
        </w:rPr>
      </w:pPr>
    </w:p>
    <w:p>
      <w:pPr>
        <w:pStyle w:val="BodyText"/>
        <w:spacing w:before="43"/>
        <w:ind w:left="1609"/>
        <w:rPr>
          <w:rFonts w:ascii="Times New Roman" w:hAnsi="Times New Roman" w:eastAsia="Times New Roman"/>
        </w:rPr>
      </w:pPr>
      <w:r>
        <w:rPr/>
        <w:t>本附加合同的</w:t>
      </w:r>
      <w:r>
        <w:rPr>
          <w:b/>
        </w:rPr>
        <w:t>现金价值</w:t>
      </w:r>
      <w:r>
        <w:rPr/>
        <w:t>会在保险单或批注上载明。在给付  </w:t>
      </w:r>
      <w:r>
        <w:rPr>
          <w:rFonts w:ascii="Times New Roman" w:hAnsi="Times New Roman" w:eastAsia="Times New Roman"/>
        </w:rPr>
        <w:t>“</w:t>
      </w:r>
      <w:r>
        <w:rPr/>
        <w:t>首次重大疾病保险金</w:t>
      </w:r>
      <w:r>
        <w:rPr>
          <w:rFonts w:ascii="Times New Roman" w:hAnsi="Times New Roman" w:eastAsia="Times New Roman"/>
        </w:rPr>
        <w:t>”</w:t>
      </w:r>
    </w:p>
    <w:p>
      <w:pPr>
        <w:spacing w:before="21"/>
        <w:ind w:left="1609" w:right="0" w:firstLine="0"/>
        <w:jc w:val="left"/>
        <w:rPr>
          <w:sz w:val="21"/>
        </w:rPr>
      </w:pPr>
      <w:r>
        <w:rPr>
          <w:sz w:val="21"/>
        </w:rPr>
        <w:t>后，本附加合同的</w:t>
      </w:r>
      <w:r>
        <w:rPr>
          <w:b/>
          <w:sz w:val="21"/>
        </w:rPr>
        <w:t>现金价值</w:t>
      </w:r>
      <w:r>
        <w:rPr>
          <w:sz w:val="21"/>
        </w:rPr>
        <w:t>减至为零。</w:t>
      </w:r>
    </w:p>
    <w:p>
      <w:pPr>
        <w:pStyle w:val="BodyText"/>
        <w:spacing w:before="6"/>
        <w:rPr>
          <w:sz w:val="11"/>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22" w:id="40"/>
      <w:bookmarkEnd w:id="40"/>
      <w:r>
        <w:rPr>
          <w:b w:val="0"/>
        </w:rPr>
      </w:r>
      <w:bookmarkStart w:name="_bookmark22" w:id="41"/>
      <w:bookmarkEnd w:id="41"/>
      <w:r>
        <w:rPr/>
        <w:t>减额缴清</w:t>
      </w:r>
    </w:p>
    <w:p>
      <w:pPr>
        <w:pStyle w:val="BodyText"/>
        <w:spacing w:before="10"/>
        <w:rPr>
          <w:b/>
          <w:sz w:val="10"/>
        </w:rPr>
      </w:pPr>
    </w:p>
    <w:p>
      <w:pPr>
        <w:pStyle w:val="BodyText"/>
        <w:spacing w:before="36"/>
        <w:ind w:left="1609"/>
      </w:pPr>
      <w:r>
        <w:rPr/>
        <w:t>本附加合同不提供减额缴清。</w:t>
      </w:r>
    </w:p>
    <w:p>
      <w:pPr>
        <w:pStyle w:val="BodyText"/>
        <w:spacing w:before="1"/>
        <w:rPr>
          <w:sz w:val="22"/>
        </w:rPr>
      </w:pPr>
    </w:p>
    <w:p>
      <w:pPr>
        <w:pStyle w:val="Heading2"/>
        <w:numPr>
          <w:ilvl w:val="0"/>
          <w:numId w:val="7"/>
        </w:numPr>
        <w:tabs>
          <w:tab w:pos="570" w:val="left" w:leader="none"/>
          <w:tab w:pos="571" w:val="left" w:leader="none"/>
        </w:tabs>
        <w:spacing w:line="240" w:lineRule="auto" w:before="34"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480003pt,20.995611pt" to="523.920003pt,20.995611pt" stroked="true" strokeweight="1.44pt" strokecolor="#000000">
            <v:stroke dashstyle="solid"/>
            <w10:wrap type="topAndBottom"/>
          </v:line>
        </w:pict>
      </w:r>
      <w:bookmarkStart w:name="_bookmark23" w:id="42"/>
      <w:bookmarkEnd w:id="42"/>
      <w:r>
        <w:rPr>
          <w:b w:val="0"/>
        </w:rPr>
      </w:r>
      <w:bookmarkStart w:name="_bookmark23" w:id="43"/>
      <w:bookmarkEnd w:id="43"/>
      <w:r>
        <w:rPr/>
        <w:t>解除合同</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24" w:id="44"/>
      <w:bookmarkEnd w:id="44"/>
      <w:r>
        <w:rPr>
          <w:b w:val="0"/>
        </w:rPr>
      </w:r>
      <w:bookmarkStart w:name="_bookmark24" w:id="45"/>
      <w:bookmarkEnd w:id="45"/>
      <w:r>
        <w:rPr>
          <w:spacing w:val="-1"/>
        </w:rPr>
        <w:t>您解除合同的手续及风险</w:t>
      </w:r>
    </w:p>
    <w:p>
      <w:pPr>
        <w:pStyle w:val="BodyText"/>
        <w:spacing w:line="273" w:lineRule="auto" w:before="177"/>
        <w:ind w:left="1609" w:right="128"/>
      </w:pPr>
      <w:r>
        <w:rPr/>
        <w:t>您于犹豫期后，可以向我们书面申请解除本附加合同，并向我们提供下列证明和资料：</w:t>
      </w:r>
    </w:p>
    <w:p>
      <w:pPr>
        <w:pStyle w:val="ListParagraph"/>
        <w:numPr>
          <w:ilvl w:val="0"/>
          <w:numId w:val="8"/>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0"/>
          <w:numId w:val="8"/>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0"/>
          <w:numId w:val="8"/>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09" w:right="131"/>
      </w:pPr>
      <w:r>
        <w:rPr/>
        <w:t>自我们收到您的解除合同申请书时起，本附加合同效力终止。我们自收到您的解除合同申请书之日起三十日内，向您退还本附加合同解除时的</w:t>
      </w:r>
      <w:r>
        <w:rPr>
          <w:b/>
        </w:rPr>
        <w:t>现金价值</w:t>
      </w:r>
      <w:r>
        <w:rPr/>
        <w:t>。</w:t>
      </w:r>
    </w:p>
    <w:p>
      <w:pPr>
        <w:pStyle w:val="BodyText"/>
        <w:spacing w:before="163"/>
        <w:ind w:left="1609"/>
        <w:rPr>
          <w:rFonts w:ascii="黑体" w:eastAsia="黑体" w:hint="eastAsia"/>
        </w:rPr>
      </w:pPr>
      <w:r>
        <w:rPr>
          <w:rFonts w:ascii="黑体" w:eastAsia="黑体" w:hint="eastAsia"/>
        </w:rPr>
        <w:t>您犹豫期后解除合同会遭受一定损失。</w:t>
      </w:r>
    </w:p>
    <w:p>
      <w:pPr>
        <w:spacing w:after="0"/>
        <w:rPr>
          <w:rFonts w:ascii="黑体" w:eastAsia="黑体" w:hint="eastAsia"/>
        </w:rPr>
        <w:sectPr>
          <w:pgSz w:w="11910" w:h="16840"/>
          <w:pgMar w:top="1400" w:bottom="280" w:left="1280" w:right="1320"/>
        </w:sectPr>
      </w:pPr>
    </w:p>
    <w:p>
      <w:pPr>
        <w:pStyle w:val="Heading2"/>
        <w:numPr>
          <w:ilvl w:val="0"/>
          <w:numId w:val="7"/>
        </w:numPr>
        <w:tabs>
          <w:tab w:pos="570" w:val="left" w:leader="none"/>
          <w:tab w:pos="571" w:val="left" w:leader="none"/>
        </w:tabs>
        <w:spacing w:line="240" w:lineRule="auto" w:before="3"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480003pt,19.445612pt" to="523.920003pt,19.445612pt" stroked="true" strokeweight="1.44pt" strokecolor="#000000">
            <v:stroke dashstyle="solid"/>
            <w10:wrap type="topAndBottom"/>
          </v:line>
        </w:pict>
      </w:r>
      <w:bookmarkStart w:name="_bookmark25" w:id="46"/>
      <w:bookmarkEnd w:id="46"/>
      <w:r>
        <w:rPr>
          <w:b w:val="0"/>
        </w:rPr>
      </w:r>
      <w:bookmarkStart w:name="_bookmark25" w:id="47"/>
      <w:bookmarkEnd w:id="47"/>
      <w:r>
        <w:rPr>
          <w:w w:val="95"/>
        </w:rPr>
        <w:t>其他需要关注的事项</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26" w:id="48"/>
      <w:bookmarkEnd w:id="48"/>
      <w:r>
        <w:rPr>
          <w:b w:val="0"/>
        </w:rPr>
      </w:r>
      <w:bookmarkStart w:name="_bookmark26" w:id="49"/>
      <w:bookmarkEnd w:id="49"/>
      <w:r>
        <w:rPr/>
        <w:t>基本保险金额的变更</w:t>
      </w:r>
    </w:p>
    <w:p>
      <w:pPr>
        <w:pStyle w:val="BodyText"/>
        <w:spacing w:line="273" w:lineRule="auto" w:before="177"/>
        <w:ind w:left="1609" w:right="208" w:hanging="1"/>
        <w:jc w:val="both"/>
      </w:pPr>
      <w:r>
        <w:rPr/>
        <w:t>您在本附加合同有效期内，可提出变更本附加合同基本保险金额的书面申请，缴付上述变更所需的费用，经我们同意并在本附加合同上批注后生效。若申请增加本附加合同的基本保险金额，增加的基本保险金额所对应的保险责任自批注上所载的生效日的零时起生效；若申请减少本附加合同的基本保险金额，基本保险金额的减少部分视为解除合同，减少的基本保险金额所对应的保险责任自批注上所载的生效日的零时起效力终止，累计已缴纳的保险费应以减少后的基本保险金额为基础计算。</w:t>
      </w:r>
    </w:p>
    <w:p>
      <w:pPr>
        <w:pStyle w:val="BodyText"/>
        <w:spacing w:before="6"/>
        <w:rPr>
          <w:sz w:val="22"/>
        </w:rPr>
      </w:pPr>
    </w:p>
    <w:p>
      <w:pPr>
        <w:pStyle w:val="Heading2"/>
        <w:numPr>
          <w:ilvl w:val="0"/>
          <w:numId w:val="7"/>
        </w:numPr>
        <w:tabs>
          <w:tab w:pos="570" w:val="left" w:leader="none"/>
          <w:tab w:pos="571" w:val="left" w:leader="none"/>
        </w:tabs>
        <w:spacing w:line="240" w:lineRule="auto" w:before="1" w:after="0"/>
        <w:ind w:left="570" w:right="0" w:hanging="432"/>
        <w:jc w:val="left"/>
        <w:rPr>
          <w:rFonts w:ascii="Times New Roman" w:eastAsia="Times New Roman"/>
        </w:rPr>
      </w:pPr>
      <w:r>
        <w:rPr/>
        <w:pict>
          <v:line style="position:absolute;mso-position-horizontal-relative:page;mso-position-vertical-relative:paragraph;z-index:1216;mso-wrap-distance-left:0;mso-wrap-distance-right:0" from="69.480003pt,19.345654pt" to="523.920003pt,19.345654pt" stroked="true" strokeweight="1.44pt" strokecolor="#000000">
            <v:stroke dashstyle="solid"/>
            <w10:wrap type="topAndBottom"/>
          </v:line>
        </w:pict>
      </w:r>
      <w:bookmarkStart w:name="_bookmark27" w:id="50"/>
      <w:bookmarkEnd w:id="50"/>
      <w:r>
        <w:rPr>
          <w:b w:val="0"/>
        </w:rPr>
      </w:r>
      <w:bookmarkStart w:name="_bookmark27" w:id="51"/>
      <w:bookmarkEnd w:id="51"/>
      <w:r>
        <w:rPr/>
        <w:t>释义</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28" w:id="52"/>
      <w:bookmarkEnd w:id="52"/>
      <w:r>
        <w:rPr>
          <w:b w:val="0"/>
        </w:rPr>
      </w:r>
      <w:bookmarkStart w:name="_bookmark28" w:id="53"/>
      <w:bookmarkEnd w:id="53"/>
      <w:r>
        <w:rPr/>
        <w:t>重大疾病</w:t>
      </w:r>
    </w:p>
    <w:p>
      <w:pPr>
        <w:pStyle w:val="BodyText"/>
        <w:spacing w:before="9"/>
        <w:rPr>
          <w:b/>
          <w:sz w:val="10"/>
        </w:rPr>
      </w:pPr>
    </w:p>
    <w:p>
      <w:pPr>
        <w:pStyle w:val="BodyText"/>
        <w:spacing w:line="273" w:lineRule="auto" w:before="37"/>
        <w:ind w:left="1609" w:right="211"/>
      </w:pPr>
      <w:r>
        <w:rPr/>
        <w:t>重大疾病指下列所定义的三十六项疾病或手术，其中前二十三种重大疾病采用中国保险行业协会颁布的《重大疾病保险的疾病定义使用规范》中的定义。</w:t>
      </w:r>
    </w:p>
    <w:p>
      <w:pPr>
        <w:pStyle w:val="Heading3"/>
        <w:numPr>
          <w:ilvl w:val="2"/>
          <w:numId w:val="7"/>
        </w:numPr>
        <w:tabs>
          <w:tab w:pos="858" w:val="left" w:leader="none"/>
          <w:tab w:pos="859" w:val="left" w:leader="none"/>
        </w:tabs>
        <w:spacing w:line="240" w:lineRule="auto" w:before="164" w:after="0"/>
        <w:ind w:left="858" w:right="0" w:hanging="720"/>
        <w:jc w:val="left"/>
      </w:pPr>
      <w:r>
        <w:rPr/>
        <w:t>恶性肿瘤</w:t>
      </w:r>
    </w:p>
    <w:p>
      <w:pPr>
        <w:pStyle w:val="BodyText"/>
        <w:spacing w:line="266" w:lineRule="auto" w:before="141"/>
        <w:ind w:left="16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609"/>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6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7"/>
        </w:numPr>
        <w:tabs>
          <w:tab w:pos="858" w:val="left" w:leader="none"/>
          <w:tab w:pos="859" w:val="left" w:leader="none"/>
        </w:tabs>
        <w:spacing w:line="240" w:lineRule="auto" w:before="177" w:after="0"/>
        <w:ind w:left="858" w:right="0" w:hanging="720"/>
        <w:jc w:val="left"/>
      </w:pPr>
      <w:r>
        <w:rPr/>
        <w:t>急性心肌梗塞</w:t>
      </w:r>
    </w:p>
    <w:p>
      <w:pPr>
        <w:pStyle w:val="BodyText"/>
        <w:spacing w:line="273" w:lineRule="auto" w:before="141"/>
        <w:ind w:left="1609" w:right="208"/>
      </w:pPr>
      <w:r>
        <w:rPr/>
        <w:t>指因冠状动脉阻塞导致的相应区域供血不足造成部分心肌坏死。须满足下列至少三项条件：</w:t>
      </w:r>
    </w:p>
    <w:p>
      <w:pPr>
        <w:pStyle w:val="BodyText"/>
        <w:spacing w:before="163"/>
        <w:ind w:left="1609"/>
      </w:pPr>
      <w:r>
        <w:rPr>
          <w:rFonts w:ascii="Times New Roman" w:eastAsia="Times New Roman"/>
        </w:rPr>
        <w:t>1</w:t>
      </w:r>
      <w:r>
        <w:rPr/>
        <w:t>． 典型临床表现，例如急性胸痛等；</w:t>
      </w:r>
    </w:p>
    <w:p>
      <w:pPr>
        <w:pStyle w:val="BodyText"/>
        <w:spacing w:before="176"/>
        <w:ind w:left="1609"/>
      </w:pPr>
      <w:r>
        <w:rPr>
          <w:rFonts w:ascii="Times New Roman" w:eastAsia="Times New Roman"/>
        </w:rPr>
        <w:t>2</w:t>
      </w:r>
      <w:r>
        <w:rPr/>
        <w:t>． 新近的心电图改变提示急性心肌梗塞；</w:t>
      </w:r>
    </w:p>
    <w:p>
      <w:pPr>
        <w:pStyle w:val="BodyText"/>
        <w:spacing w:before="176"/>
        <w:ind w:left="1609"/>
      </w:pPr>
      <w:r>
        <w:rPr>
          <w:rFonts w:ascii="Times New Roman" w:eastAsia="Times New Roman"/>
        </w:rPr>
        <w:t>3</w:t>
      </w:r>
      <w:r>
        <w:rPr/>
        <w:t>． 心肌酶或肌钙蛋白有诊断意义的升高，或呈符合急性心肌梗塞的动态性变化；</w:t>
      </w:r>
    </w:p>
    <w:p>
      <w:pPr>
        <w:pStyle w:val="BodyText"/>
        <w:spacing w:before="176"/>
        <w:ind w:left="16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7"/>
        </w:numPr>
        <w:tabs>
          <w:tab w:pos="858" w:val="left" w:leader="none"/>
          <w:tab w:pos="859" w:val="left" w:leader="none"/>
        </w:tabs>
        <w:spacing w:line="240" w:lineRule="auto" w:before="176" w:after="0"/>
        <w:ind w:left="858" w:right="0" w:hanging="720"/>
        <w:jc w:val="left"/>
      </w:pPr>
      <w:r>
        <w:rPr/>
        <w:t>脑中风后遗症</w:t>
      </w:r>
    </w:p>
    <w:p>
      <w:pPr>
        <w:pStyle w:val="BodyText"/>
        <w:spacing w:before="140"/>
        <w:ind w:left="1609"/>
      </w:pPr>
      <w:r>
        <w:rPr/>
        <w:t>指因脑血管的突发病变引起脑血管出血、栓塞或梗塞，并导致神经系统永久性的功</w:t>
      </w:r>
    </w:p>
    <w:p>
      <w:pPr>
        <w:spacing w:after="0"/>
        <w:sectPr>
          <w:pgSz w:w="11910" w:h="16840"/>
          <w:pgMar w:top="1380" w:bottom="280" w:left="1280" w:right="1240"/>
        </w:sectPr>
      </w:pPr>
    </w:p>
    <w:p>
      <w:pPr>
        <w:pStyle w:val="BodyText"/>
        <w:spacing w:line="256" w:lineRule="auto" w:before="29"/>
        <w:ind w:left="1589" w:right="149"/>
      </w:pPr>
      <w:r>
        <w:rPr/>
        <w:t>能障碍。神经系统永久性的功能障碍，指疾病确诊 </w:t>
      </w:r>
      <w:r>
        <w:rPr>
          <w:rFonts w:ascii="Times New Roman" w:eastAsia="Times New Roman"/>
        </w:rPr>
        <w:t>180 </w:t>
      </w:r>
      <w:r>
        <w:rPr/>
        <w:t>天后，仍遗留下列一种或一种以上障碍：</w:t>
      </w:r>
    </w:p>
    <w:p>
      <w:pPr>
        <w:spacing w:before="178"/>
        <w:ind w:left="158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589" w:firstLine="0"/>
      </w:pPr>
      <w:r>
        <w:rPr>
          <w:rFonts w:ascii="Times New Roman" w:eastAsia="Times New Roman"/>
          <w:b w:val="0"/>
        </w:rPr>
        <w:t>2</w:t>
      </w:r>
      <w:r>
        <w:rPr>
          <w:b w:val="0"/>
        </w:rPr>
        <w:t>． </w:t>
      </w:r>
      <w:r>
        <w:rPr/>
        <w:t>语言能力或咀嚼吞咽能力完全丧失；</w:t>
      </w:r>
    </w:p>
    <w:p>
      <w:pPr>
        <w:spacing w:line="256" w:lineRule="auto" w:before="177"/>
        <w:ind w:left="194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838" w:val="left" w:leader="none"/>
          <w:tab w:pos="839" w:val="left" w:leader="none"/>
        </w:tabs>
        <w:spacing w:line="240" w:lineRule="auto" w:before="178" w:after="0"/>
        <w:ind w:left="838" w:right="0" w:hanging="720"/>
        <w:jc w:val="left"/>
      </w:pPr>
      <w:r>
        <w:rPr>
          <w:spacing w:val="-2"/>
        </w:rPr>
        <w:t>重大器官移植术或造血干细胞移植术</w:t>
      </w:r>
    </w:p>
    <w:p>
      <w:pPr>
        <w:pStyle w:val="BodyText"/>
        <w:spacing w:line="273" w:lineRule="auto" w:before="141"/>
        <w:ind w:left="1589" w:right="208"/>
      </w:pPr>
      <w:r>
        <w:rPr/>
        <w:t>重大器官移植术，指因相应器官功能衰竭，已经实施了肾脏、肝脏、心脏或肺脏的异体移植手术。</w:t>
      </w:r>
    </w:p>
    <w:p>
      <w:pPr>
        <w:pStyle w:val="BodyText"/>
        <w:spacing w:line="273" w:lineRule="auto" w:before="163"/>
        <w:ind w:left="1589" w:right="107"/>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7"/>
        </w:rPr>
        <w:t>）</w:t>
      </w:r>
      <w:r>
        <w:rPr>
          <w:spacing w:val="-3"/>
        </w:rPr>
        <w:t>的异体移植手术。</w:t>
      </w:r>
    </w:p>
    <w:p>
      <w:pPr>
        <w:pStyle w:val="Heading3"/>
        <w:numPr>
          <w:ilvl w:val="2"/>
          <w:numId w:val="7"/>
        </w:numPr>
        <w:tabs>
          <w:tab w:pos="838" w:val="left" w:leader="none"/>
          <w:tab w:pos="839" w:val="left" w:leader="none"/>
        </w:tabs>
        <w:spacing w:line="240" w:lineRule="auto" w:before="163" w:after="0"/>
        <w:ind w:left="838" w:right="0" w:hanging="720"/>
        <w:jc w:val="left"/>
      </w:pPr>
      <w:r>
        <w:rPr/>
        <w:t>冠状动脉搭桥术（</w:t>
      </w:r>
      <w:r>
        <w:rPr>
          <w:spacing w:val="-3"/>
        </w:rPr>
        <w:t>或称冠状动脉旁路移植术</w:t>
      </w:r>
      <w:r>
        <w:rPr/>
        <w:t>）</w:t>
      </w:r>
    </w:p>
    <w:p>
      <w:pPr>
        <w:pStyle w:val="BodyText"/>
        <w:spacing w:before="141"/>
        <w:ind w:left="1589"/>
      </w:pPr>
      <w:r>
        <w:rPr/>
        <w:t>指为治疗严重的冠心病，实际实施了开胸进行的冠状动脉血管旁路移植的手术。</w:t>
      </w:r>
    </w:p>
    <w:p>
      <w:pPr>
        <w:pStyle w:val="BodyText"/>
        <w:spacing w:before="9"/>
        <w:rPr>
          <w:sz w:val="14"/>
        </w:rPr>
      </w:pPr>
    </w:p>
    <w:p>
      <w:pPr>
        <w:pStyle w:val="BodyText"/>
        <w:spacing w:line="273" w:lineRule="auto" w:before="1"/>
        <w:ind w:left="158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7"/>
        </w:numPr>
        <w:tabs>
          <w:tab w:pos="838" w:val="left" w:leader="none"/>
          <w:tab w:pos="839" w:val="left" w:leader="none"/>
        </w:tabs>
        <w:spacing w:line="240" w:lineRule="auto" w:before="164" w:after="0"/>
        <w:ind w:left="838" w:right="0" w:hanging="720"/>
        <w:jc w:val="left"/>
      </w:pPr>
      <w:r>
        <w:rPr/>
        <w:t>终末期肾病（</w:t>
      </w:r>
      <w:r>
        <w:rPr>
          <w:spacing w:val="-2"/>
        </w:rPr>
        <w:t>或称慢性肾功能衰竭尿毒症期</w:t>
      </w:r>
      <w:r>
        <w:rPr/>
        <w:t>）</w:t>
      </w:r>
    </w:p>
    <w:p>
      <w:pPr>
        <w:pStyle w:val="BodyText"/>
        <w:spacing w:line="256" w:lineRule="auto" w:before="141"/>
        <w:ind w:left="158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7"/>
        </w:numPr>
        <w:tabs>
          <w:tab w:pos="838" w:val="left" w:leader="none"/>
          <w:tab w:pos="839" w:val="left" w:leader="none"/>
        </w:tabs>
        <w:spacing w:line="240" w:lineRule="auto" w:before="178" w:after="0"/>
        <w:ind w:left="838" w:right="0" w:hanging="720"/>
        <w:jc w:val="left"/>
      </w:pPr>
      <w:r>
        <w:rPr/>
        <w:t>多个肢体缺失</w:t>
      </w:r>
    </w:p>
    <w:p>
      <w:pPr>
        <w:pStyle w:val="BodyText"/>
        <w:spacing w:line="273" w:lineRule="auto" w:before="141"/>
        <w:ind w:left="1589" w:right="203"/>
      </w:pPr>
      <w:r>
        <w:rPr/>
        <w:t>指因疾病或</w:t>
      </w:r>
      <w:r>
        <w:rPr>
          <w:b/>
        </w:rPr>
        <w:t>意外伤害</w:t>
      </w:r>
      <w:r>
        <w:rPr/>
        <w:t>导致两个或两个以上肢体自腕关节或踝关节近端（靠近躯干端）以上完全性断离。</w:t>
      </w:r>
    </w:p>
    <w:p>
      <w:pPr>
        <w:pStyle w:val="Heading3"/>
        <w:numPr>
          <w:ilvl w:val="2"/>
          <w:numId w:val="7"/>
        </w:numPr>
        <w:tabs>
          <w:tab w:pos="838" w:val="left" w:leader="none"/>
          <w:tab w:pos="839" w:val="left" w:leader="none"/>
        </w:tabs>
        <w:spacing w:line="240" w:lineRule="auto" w:before="163" w:after="0"/>
        <w:ind w:left="838" w:right="0" w:hanging="720"/>
        <w:jc w:val="left"/>
      </w:pPr>
      <w:r>
        <w:rPr>
          <w:spacing w:val="-1"/>
        </w:rPr>
        <w:t>急性或亚急性重症肝炎</w:t>
      </w:r>
    </w:p>
    <w:p>
      <w:pPr>
        <w:pStyle w:val="BodyText"/>
        <w:spacing w:line="273" w:lineRule="auto" w:before="140"/>
        <w:ind w:left="1589" w:right="208"/>
      </w:pPr>
      <w:r>
        <w:rPr/>
        <w:t>指因肝炎病毒感染引起肝脏组织弥漫性坏死，导致急性肝功能衰竭，且经血清学或病毒学检查证实，并须满足下列全部条件：</w:t>
      </w:r>
    </w:p>
    <w:p>
      <w:pPr>
        <w:pStyle w:val="BodyText"/>
        <w:spacing w:before="163"/>
        <w:ind w:left="1589"/>
      </w:pPr>
      <w:r>
        <w:rPr>
          <w:rFonts w:ascii="Times New Roman" w:eastAsia="Times New Roman"/>
        </w:rPr>
        <w:t>1</w:t>
      </w:r>
      <w:r>
        <w:rPr/>
        <w:t>． 重度黄疸或黄疸迅速加重；</w:t>
      </w:r>
    </w:p>
    <w:p>
      <w:pPr>
        <w:pStyle w:val="BodyText"/>
        <w:spacing w:before="177"/>
        <w:ind w:left="1589"/>
      </w:pPr>
      <w:r>
        <w:rPr>
          <w:rFonts w:ascii="Times New Roman" w:eastAsia="Times New Roman"/>
        </w:rPr>
        <w:t>2</w:t>
      </w:r>
      <w:r>
        <w:rPr/>
        <w:t>． 肝性脑病；</w:t>
      </w:r>
    </w:p>
    <w:p>
      <w:pPr>
        <w:pStyle w:val="BodyText"/>
        <w:spacing w:before="177"/>
        <w:ind w:left="158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589"/>
      </w:pPr>
      <w:r>
        <w:rPr>
          <w:rFonts w:ascii="Times New Roman" w:eastAsia="Times New Roman"/>
        </w:rPr>
        <w:t>4</w:t>
      </w:r>
      <w:r>
        <w:rPr/>
        <w:t>． 肝功能指标进行性恶化。</w:t>
      </w:r>
    </w:p>
    <w:p>
      <w:pPr>
        <w:pStyle w:val="Heading3"/>
        <w:numPr>
          <w:ilvl w:val="2"/>
          <w:numId w:val="7"/>
        </w:numPr>
        <w:tabs>
          <w:tab w:pos="838" w:val="left" w:leader="none"/>
          <w:tab w:pos="839" w:val="left" w:leader="none"/>
        </w:tabs>
        <w:spacing w:line="240" w:lineRule="auto" w:before="177" w:after="0"/>
        <w:ind w:left="838" w:right="0" w:hanging="720"/>
        <w:jc w:val="left"/>
      </w:pPr>
      <w:r>
        <w:rPr/>
        <w:t>良性脑肿瘤</w:t>
      </w:r>
    </w:p>
    <w:p>
      <w:pPr>
        <w:pStyle w:val="BodyText"/>
        <w:spacing w:line="264" w:lineRule="auto" w:before="141"/>
        <w:ind w:left="1589" w:right="109"/>
      </w:pPr>
      <w:r>
        <w:rPr>
          <w:spacing w:val="-3"/>
        </w:rPr>
        <w:t>指脑的良性肿瘤，已经引起颅内压增高，临床表现为视神经乳头水肿、精神症状、</w:t>
      </w:r>
      <w:r>
        <w:rPr>
          <w:spacing w:val="-21"/>
          <w:w w:val="100"/>
        </w:rPr>
        <w:t>癫痫及运动感觉障碍等，并危及生命。须由头颅断层扫描</w:t>
      </w:r>
      <w:r>
        <w:rPr>
          <w:spacing w:val="-1"/>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589"/>
      </w:pPr>
      <w:r>
        <w:rPr>
          <w:rFonts w:ascii="Times New Roman" w:eastAsia="Times New Roman"/>
        </w:rPr>
        <w:t>1</w:t>
      </w:r>
      <w:r>
        <w:rPr/>
        <w:t>． 实际实施了开颅进行的脑肿瘤完全切除或部分切除的手术；</w:t>
      </w:r>
    </w:p>
    <w:p>
      <w:pPr>
        <w:spacing w:after="0"/>
        <w:sectPr>
          <w:pgSz w:w="11910" w:h="16840"/>
          <w:pgMar w:top="1380" w:bottom="280" w:left="1300" w:right="1240"/>
        </w:sectPr>
      </w:pPr>
    </w:p>
    <w:p>
      <w:pPr>
        <w:pStyle w:val="BodyText"/>
        <w:spacing w:before="29"/>
        <w:ind w:left="1589"/>
      </w:pPr>
      <w:r>
        <w:rPr>
          <w:rFonts w:ascii="Times New Roman" w:eastAsia="Times New Roman"/>
        </w:rPr>
        <w:t>2</w:t>
      </w:r>
      <w:r>
        <w:rPr/>
        <w:t>． 实际实施了对脑肿瘤进行的放射治疗。</w:t>
      </w:r>
    </w:p>
    <w:p>
      <w:pPr>
        <w:pStyle w:val="BodyText"/>
        <w:spacing w:before="177"/>
        <w:ind w:left="158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7"/>
        </w:numPr>
        <w:tabs>
          <w:tab w:pos="839" w:val="left" w:leader="none"/>
        </w:tabs>
        <w:spacing w:line="240" w:lineRule="auto" w:before="0" w:after="0"/>
        <w:ind w:left="838" w:right="0" w:hanging="720"/>
        <w:jc w:val="left"/>
      </w:pPr>
      <w:r>
        <w:rPr>
          <w:spacing w:val="-1"/>
        </w:rPr>
        <w:t>慢性肝功能衰竭失代偿期</w:t>
      </w:r>
    </w:p>
    <w:p>
      <w:pPr>
        <w:pStyle w:val="BodyText"/>
        <w:spacing w:before="140"/>
        <w:ind w:left="1589"/>
      </w:pPr>
      <w:r>
        <w:rPr/>
        <w:t>指因慢性肝脏疾病导致肝功能衰竭。须满足下列全部条件：</w:t>
      </w:r>
    </w:p>
    <w:p>
      <w:pPr>
        <w:pStyle w:val="BodyText"/>
        <w:spacing w:before="9"/>
        <w:rPr>
          <w:sz w:val="14"/>
        </w:rPr>
      </w:pPr>
    </w:p>
    <w:p>
      <w:pPr>
        <w:pStyle w:val="BodyText"/>
        <w:ind w:left="1589"/>
      </w:pPr>
      <w:r>
        <w:rPr>
          <w:rFonts w:ascii="Times New Roman" w:eastAsia="Times New Roman"/>
        </w:rPr>
        <w:t>1</w:t>
      </w:r>
      <w:r>
        <w:rPr/>
        <w:t>． 持续性黄疸；</w:t>
      </w:r>
    </w:p>
    <w:p>
      <w:pPr>
        <w:pStyle w:val="BodyText"/>
        <w:spacing w:before="177"/>
        <w:ind w:left="1589"/>
      </w:pPr>
      <w:r>
        <w:rPr>
          <w:rFonts w:ascii="Times New Roman" w:eastAsia="Times New Roman"/>
        </w:rPr>
        <w:t>2</w:t>
      </w:r>
      <w:r>
        <w:rPr/>
        <w:t>． 腹水；</w:t>
      </w:r>
    </w:p>
    <w:p>
      <w:pPr>
        <w:pStyle w:val="BodyText"/>
        <w:spacing w:before="177"/>
        <w:ind w:left="1590"/>
      </w:pPr>
      <w:r>
        <w:rPr>
          <w:rFonts w:ascii="Times New Roman" w:eastAsia="Times New Roman"/>
        </w:rPr>
        <w:t>3</w:t>
      </w:r>
      <w:r>
        <w:rPr/>
        <w:t>． 肝性脑病；</w:t>
      </w:r>
    </w:p>
    <w:p>
      <w:pPr>
        <w:pStyle w:val="BodyText"/>
        <w:spacing w:before="177"/>
        <w:ind w:left="1590"/>
      </w:pPr>
      <w:r>
        <w:rPr>
          <w:rFonts w:ascii="Times New Roman" w:eastAsia="Times New Roman"/>
        </w:rPr>
        <w:t>4</w:t>
      </w:r>
      <w:r>
        <w:rPr/>
        <w:t>． 充血性脾肿大伴脾功能亢进或食管胃底静脉曲张。</w:t>
      </w:r>
    </w:p>
    <w:p>
      <w:pPr>
        <w:pStyle w:val="BodyText"/>
        <w:spacing w:before="177"/>
        <w:ind w:left="159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7"/>
        </w:numPr>
        <w:tabs>
          <w:tab w:pos="839" w:val="left" w:leader="none"/>
        </w:tabs>
        <w:spacing w:line="240" w:lineRule="auto" w:before="0" w:after="0"/>
        <w:ind w:left="838" w:right="0" w:hanging="720"/>
        <w:jc w:val="left"/>
      </w:pPr>
      <w:r>
        <w:rPr>
          <w:spacing w:val="-3"/>
        </w:rPr>
        <w:t>脑炎后遗症或脑膜炎后遗症</w:t>
      </w:r>
    </w:p>
    <w:p>
      <w:pPr>
        <w:pStyle w:val="BodyText"/>
        <w:spacing w:line="273" w:lineRule="auto" w:before="141"/>
        <w:ind w:left="158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58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589" w:firstLine="0"/>
      </w:pPr>
      <w:r>
        <w:rPr>
          <w:rFonts w:ascii="Times New Roman" w:eastAsia="Times New Roman"/>
          <w:b w:val="0"/>
        </w:rPr>
        <w:t>2</w:t>
      </w:r>
      <w:r>
        <w:rPr>
          <w:b w:val="0"/>
        </w:rPr>
        <w:t>． </w:t>
      </w:r>
      <w:r>
        <w:rPr/>
        <w:t>语言能力或咀嚼吞咽能力完全丧失；</w:t>
      </w:r>
    </w:p>
    <w:p>
      <w:pPr>
        <w:spacing w:line="256" w:lineRule="auto" w:before="177"/>
        <w:ind w:left="194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839" w:val="left" w:leader="none"/>
        </w:tabs>
        <w:spacing w:line="240" w:lineRule="auto" w:before="178" w:after="0"/>
        <w:ind w:left="838" w:right="0" w:hanging="720"/>
        <w:jc w:val="left"/>
      </w:pPr>
      <w:r>
        <w:rPr/>
        <w:t>双耳失聪</w:t>
      </w:r>
    </w:p>
    <w:p>
      <w:pPr>
        <w:spacing w:before="140"/>
        <w:ind w:left="158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58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589"/>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7"/>
        </w:numPr>
        <w:tabs>
          <w:tab w:pos="839" w:val="left" w:leader="none"/>
        </w:tabs>
        <w:spacing w:line="240" w:lineRule="auto" w:before="0" w:after="0"/>
        <w:ind w:left="838" w:right="0" w:hanging="720"/>
        <w:jc w:val="left"/>
      </w:pPr>
      <w:r>
        <w:rPr/>
        <w:t>双目失明</w:t>
      </w:r>
    </w:p>
    <w:p>
      <w:pPr>
        <w:spacing w:line="273" w:lineRule="auto" w:before="141"/>
        <w:ind w:left="158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589"/>
      </w:pPr>
      <w:r>
        <w:rPr>
          <w:rFonts w:ascii="Times New Roman" w:eastAsia="Times New Roman"/>
        </w:rPr>
        <w:t>1</w:t>
      </w:r>
      <w:r>
        <w:rPr/>
        <w:t>． 眼球缺失或摘除；</w:t>
      </w:r>
    </w:p>
    <w:p>
      <w:pPr>
        <w:pStyle w:val="BodyText"/>
        <w:spacing w:before="176"/>
        <w:ind w:left="1589"/>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6"/>
        <w:ind w:left="1590"/>
      </w:pPr>
      <w:r>
        <w:rPr>
          <w:rFonts w:ascii="Times New Roman" w:eastAsia="Times New Roman"/>
        </w:rPr>
        <w:t>3</w:t>
      </w:r>
      <w:r>
        <w:rPr/>
        <w:t>． 视野半径小于 </w:t>
      </w:r>
      <w:r>
        <w:rPr>
          <w:rFonts w:ascii="Times New Roman" w:eastAsia="Times New Roman"/>
        </w:rPr>
        <w:t>5 </w:t>
      </w:r>
      <w:r>
        <w:rPr/>
        <w:t>度。</w:t>
      </w:r>
    </w:p>
    <w:p>
      <w:pPr>
        <w:pStyle w:val="BodyText"/>
        <w:spacing w:before="176"/>
        <w:ind w:left="159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7"/>
        </w:numPr>
        <w:tabs>
          <w:tab w:pos="839" w:val="left" w:leader="none"/>
        </w:tabs>
        <w:spacing w:line="240" w:lineRule="auto" w:before="0" w:after="0"/>
        <w:ind w:left="838" w:right="0" w:hanging="720"/>
        <w:jc w:val="left"/>
      </w:pPr>
      <w:r>
        <w:rPr/>
        <w:t>心脏瓣膜手术</w:t>
      </w:r>
    </w:p>
    <w:p>
      <w:pPr>
        <w:pStyle w:val="BodyText"/>
        <w:spacing w:before="141"/>
        <w:ind w:left="1589"/>
      </w:pPr>
      <w:r>
        <w:rPr/>
        <w:t>指为治疗心脏瓣膜疾病，实际实施了开胸进行的心脏瓣膜置换或修复的手术。</w:t>
      </w:r>
    </w:p>
    <w:p>
      <w:pPr>
        <w:pStyle w:val="BodyText"/>
        <w:spacing w:before="10"/>
        <w:rPr>
          <w:sz w:val="14"/>
        </w:rPr>
      </w:pPr>
    </w:p>
    <w:p>
      <w:pPr>
        <w:pStyle w:val="Heading3"/>
        <w:numPr>
          <w:ilvl w:val="2"/>
          <w:numId w:val="7"/>
        </w:numPr>
        <w:tabs>
          <w:tab w:pos="839" w:val="left" w:leader="none"/>
        </w:tabs>
        <w:spacing w:line="240" w:lineRule="auto" w:before="0" w:after="0"/>
        <w:ind w:left="838" w:right="0" w:hanging="720"/>
        <w:jc w:val="left"/>
      </w:pPr>
      <w:r>
        <w:rPr/>
        <w:t>严重阿尔茨海默病</w:t>
      </w:r>
    </w:p>
    <w:p>
      <w:pPr>
        <w:pStyle w:val="BodyText"/>
        <w:spacing w:before="141"/>
        <w:ind w:left="1589"/>
      </w:pPr>
      <w:r>
        <w:rPr/>
        <w:t>指因大脑进行性、不可逆性改变导致智能严重衰退或丧失，临床表现为明显的认知</w:t>
      </w:r>
    </w:p>
    <w:p>
      <w:pPr>
        <w:spacing w:after="0"/>
        <w:sectPr>
          <w:pgSz w:w="11910" w:h="16840"/>
          <w:pgMar w:top="1380" w:bottom="280" w:left="1300" w:right="1240"/>
        </w:sectPr>
      </w:pPr>
    </w:p>
    <w:p>
      <w:pPr>
        <w:pStyle w:val="BodyText"/>
        <w:spacing w:line="266" w:lineRule="auto" w:before="9"/>
        <w:ind w:left="1589" w:right="208"/>
        <w:jc w:val="both"/>
      </w:pPr>
      <w:r>
        <w:rPr/>
        <w:t>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70"/>
        <w:ind w:left="1589"/>
        <w:rPr>
          <w:rFonts w:ascii="黑体" w:eastAsia="黑体" w:hint="eastAsia"/>
        </w:rPr>
      </w:pPr>
      <w:r>
        <w:rPr>
          <w:rFonts w:ascii="黑体" w:eastAsia="黑体" w:hint="eastAsia"/>
        </w:rPr>
        <w:t>神经官能症和精神疾病不在保障范围内。</w:t>
      </w:r>
    </w:p>
    <w:p>
      <w:pPr>
        <w:pStyle w:val="BodyText"/>
        <w:spacing w:before="10"/>
        <w:rPr>
          <w:rFonts w:ascii="黑体"/>
          <w:sz w:val="14"/>
        </w:rPr>
      </w:pPr>
    </w:p>
    <w:p>
      <w:pPr>
        <w:pStyle w:val="BodyText"/>
        <w:ind w:left="1589"/>
        <w:rPr>
          <w:rFonts w:ascii="黑体" w:eastAsia="黑体" w:hint="eastAsia"/>
        </w:rPr>
      </w:pPr>
      <w:r>
        <w:rPr>
          <w:rFonts w:ascii="黑体" w:eastAsia="黑体" w:hint="eastAsia"/>
        </w:rPr>
        <w:t>本附加合同仅对 </w:t>
      </w:r>
      <w:r>
        <w:rPr>
          <w:rFonts w:ascii="Times New Roman" w:eastAsia="Times New Roman"/>
        </w:rPr>
        <w:t>70 </w:t>
      </w:r>
      <w:r>
        <w:rPr>
          <w:rFonts w:ascii="黑体" w:eastAsia="黑体" w:hint="eastAsia"/>
        </w:rPr>
        <w:t>周岁及以下的被保险人予以理赔。</w:t>
      </w:r>
    </w:p>
    <w:p>
      <w:pPr>
        <w:pStyle w:val="Heading3"/>
        <w:numPr>
          <w:ilvl w:val="2"/>
          <w:numId w:val="7"/>
        </w:numPr>
        <w:tabs>
          <w:tab w:pos="839" w:val="left" w:leader="none"/>
        </w:tabs>
        <w:spacing w:line="240" w:lineRule="auto" w:before="177" w:after="0"/>
        <w:ind w:left="838" w:right="0" w:hanging="720"/>
        <w:jc w:val="left"/>
      </w:pPr>
      <w:r>
        <w:rPr/>
        <w:t>严重脑损伤</w:t>
      </w:r>
    </w:p>
    <w:p>
      <w:pPr>
        <w:pStyle w:val="BodyText"/>
        <w:spacing w:line="261" w:lineRule="auto" w:before="141"/>
        <w:ind w:left="158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58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589" w:firstLine="0"/>
      </w:pPr>
      <w:r>
        <w:rPr>
          <w:rFonts w:ascii="Times New Roman" w:eastAsia="Times New Roman"/>
          <w:b w:val="0"/>
        </w:rPr>
        <w:t>2</w:t>
      </w:r>
      <w:r>
        <w:rPr>
          <w:b w:val="0"/>
        </w:rPr>
        <w:t>． </w:t>
      </w:r>
      <w:r>
        <w:rPr/>
        <w:t>语言能力或咀嚼吞咽能力完全丧失；</w:t>
      </w:r>
    </w:p>
    <w:p>
      <w:pPr>
        <w:spacing w:line="256" w:lineRule="auto" w:before="177"/>
        <w:ind w:left="194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7"/>
        </w:numPr>
        <w:tabs>
          <w:tab w:pos="839" w:val="left" w:leader="none"/>
        </w:tabs>
        <w:spacing w:line="240" w:lineRule="auto" w:before="178" w:after="0"/>
        <w:ind w:left="838" w:right="0" w:hanging="720"/>
        <w:jc w:val="left"/>
      </w:pPr>
      <w:r>
        <w:rPr/>
        <w:t>严重帕金森病</w:t>
      </w:r>
    </w:p>
    <w:p>
      <w:pPr>
        <w:pStyle w:val="BodyText"/>
        <w:spacing w:line="273" w:lineRule="auto" w:before="141"/>
        <w:ind w:left="1589" w:right="208"/>
      </w:pPr>
      <w:r>
        <w:rPr/>
        <w:t>是一种中枢神经系统的退行性疾病，临床表现为震颤麻痹、共济失调等。须满足下列全部条件：</w:t>
      </w:r>
    </w:p>
    <w:p>
      <w:pPr>
        <w:pStyle w:val="BodyText"/>
        <w:spacing w:before="163"/>
        <w:ind w:left="1589"/>
      </w:pPr>
      <w:r>
        <w:rPr>
          <w:rFonts w:ascii="Times New Roman" w:eastAsia="Times New Roman"/>
        </w:rPr>
        <w:t>1</w:t>
      </w:r>
      <w:r>
        <w:rPr/>
        <w:t>． 药物治疗无法控制病情；</w:t>
      </w:r>
    </w:p>
    <w:p>
      <w:pPr>
        <w:spacing w:line="256" w:lineRule="auto" w:before="176"/>
        <w:ind w:left="194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589"/>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BodyText"/>
        <w:ind w:left="1589"/>
        <w:rPr>
          <w:rFonts w:ascii="黑体" w:eastAsia="黑体" w:hint="eastAsia"/>
        </w:rPr>
      </w:pPr>
      <w:r>
        <w:rPr>
          <w:rFonts w:ascii="黑体" w:eastAsia="黑体" w:hint="eastAsia"/>
        </w:rPr>
        <w:t>本附加合同仅对 </w:t>
      </w:r>
      <w:r>
        <w:rPr>
          <w:rFonts w:ascii="Times New Roman" w:eastAsia="Times New Roman"/>
        </w:rPr>
        <w:t>70 </w:t>
      </w:r>
      <w:r>
        <w:rPr>
          <w:rFonts w:ascii="黑体" w:eastAsia="黑体" w:hint="eastAsia"/>
        </w:rPr>
        <w:t>周岁及以下的被保险人予以理赔。</w:t>
      </w:r>
    </w:p>
    <w:p>
      <w:pPr>
        <w:pStyle w:val="Heading3"/>
        <w:numPr>
          <w:ilvl w:val="2"/>
          <w:numId w:val="7"/>
        </w:numPr>
        <w:tabs>
          <w:tab w:pos="839" w:val="left" w:leader="none"/>
        </w:tabs>
        <w:spacing w:line="240" w:lineRule="auto" w:before="177" w:after="0"/>
        <w:ind w:left="838" w:right="0" w:hanging="720"/>
        <w:jc w:val="left"/>
      </w:pPr>
      <w:r>
        <w:rPr/>
        <w:t>严重</w:t>
      </w:r>
      <w:r>
        <w:rPr>
          <w:rFonts w:ascii="MS PGothic" w:hAnsi="MS PGothic" w:eastAsia="MS PGothic" w:hint="eastAsia"/>
        </w:rPr>
        <w:t>Ⅲ</w:t>
      </w:r>
      <w:r>
        <w:rPr/>
        <w:t>度烧伤</w:t>
      </w:r>
    </w:p>
    <w:p>
      <w:pPr>
        <w:pStyle w:val="BodyText"/>
        <w:spacing w:line="256" w:lineRule="auto" w:before="141"/>
        <w:ind w:left="1590"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7"/>
        </w:numPr>
        <w:tabs>
          <w:tab w:pos="839" w:val="left" w:leader="none"/>
        </w:tabs>
        <w:spacing w:line="240" w:lineRule="auto" w:before="178" w:after="0"/>
        <w:ind w:left="838" w:right="0" w:hanging="720"/>
        <w:jc w:val="left"/>
      </w:pPr>
      <w:r>
        <w:rPr>
          <w:spacing w:val="-1"/>
        </w:rPr>
        <w:t>严重原发性肺动脉高压</w:t>
      </w:r>
    </w:p>
    <w:p>
      <w:pPr>
        <w:pStyle w:val="BodyText"/>
        <w:spacing w:line="264" w:lineRule="auto" w:before="141"/>
        <w:ind w:left="1589" w:right="106"/>
      </w:pPr>
      <w:r>
        <w:rPr>
          <w:spacing w:val="-4"/>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7"/>
        </w:numPr>
        <w:tabs>
          <w:tab w:pos="839" w:val="left" w:leader="none"/>
        </w:tabs>
        <w:spacing w:line="240" w:lineRule="auto" w:before="154" w:after="0"/>
        <w:ind w:left="838" w:right="0" w:hanging="720"/>
        <w:jc w:val="left"/>
      </w:pPr>
      <w:r>
        <w:rPr/>
        <w:t>严重运动神经元病</w:t>
      </w:r>
    </w:p>
    <w:p>
      <w:pPr>
        <w:pStyle w:val="BodyText"/>
        <w:spacing w:line="273" w:lineRule="auto" w:before="141"/>
        <w:ind w:left="158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spacing w:after="0" w:line="273" w:lineRule="auto"/>
        <w:jc w:val="both"/>
        <w:sectPr>
          <w:pgSz w:w="11910" w:h="16840"/>
          <w:pgMar w:top="1400" w:bottom="280" w:left="1300" w:right="1240"/>
        </w:sectPr>
      </w:pPr>
    </w:p>
    <w:p>
      <w:pPr>
        <w:pStyle w:val="Heading3"/>
        <w:numPr>
          <w:ilvl w:val="2"/>
          <w:numId w:val="7"/>
        </w:numPr>
        <w:tabs>
          <w:tab w:pos="839" w:val="left" w:leader="none"/>
        </w:tabs>
        <w:spacing w:line="240" w:lineRule="auto" w:before="29" w:after="0"/>
        <w:ind w:left="838" w:right="0" w:hanging="720"/>
        <w:jc w:val="left"/>
      </w:pPr>
      <w:r>
        <w:rPr/>
        <w:t>语言能力丧失</w:t>
      </w:r>
    </w:p>
    <w:p>
      <w:pPr>
        <w:pStyle w:val="BodyText"/>
        <w:spacing w:line="256" w:lineRule="auto" w:before="141"/>
        <w:ind w:left="1589" w:right="1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589" w:right="28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7"/>
        </w:numPr>
        <w:tabs>
          <w:tab w:pos="839" w:val="left" w:leader="none"/>
        </w:tabs>
        <w:spacing w:line="240" w:lineRule="auto" w:before="46" w:after="0"/>
        <w:ind w:left="838" w:right="0" w:hanging="720"/>
        <w:jc w:val="left"/>
      </w:pPr>
      <w:r>
        <w:rPr/>
        <w:t>重型再生障碍性贫血</w:t>
      </w:r>
    </w:p>
    <w:p>
      <w:pPr>
        <w:pStyle w:val="BodyText"/>
        <w:spacing w:line="273" w:lineRule="auto" w:before="141"/>
        <w:ind w:left="1589" w:right="108"/>
      </w:pPr>
      <w:r>
        <w:rPr/>
        <w:t>指因骨髓造血功能慢性持续性衰竭导致的贫血、中性粒细胞减少及血小板减少。须满足下列全部条件：</w:t>
      </w:r>
    </w:p>
    <w:p>
      <w:pPr>
        <w:pStyle w:val="BodyText"/>
        <w:spacing w:before="163"/>
        <w:ind w:left="1589"/>
        <w:jc w:val="both"/>
      </w:pPr>
      <w:r>
        <w:rPr>
          <w:rFonts w:ascii="Times New Roman" w:eastAsia="Times New Roman"/>
        </w:rPr>
        <w:t>1</w:t>
      </w:r>
      <w:r>
        <w:rPr/>
        <w:t>． 骨髓穿刺检查或骨髓活检结果支持诊断；</w:t>
      </w:r>
    </w:p>
    <w:p>
      <w:pPr>
        <w:pStyle w:val="BodyText"/>
        <w:spacing w:before="177"/>
        <w:ind w:left="1589"/>
        <w:jc w:val="both"/>
      </w:pPr>
      <w:r>
        <w:rPr>
          <w:rFonts w:ascii="Times New Roman" w:eastAsia="Times New Roman"/>
        </w:rPr>
        <w:t>2</w:t>
      </w:r>
      <w:r>
        <w:rPr/>
        <w:t>． 外周血象须具备以下三项条件：</w:t>
      </w:r>
    </w:p>
    <w:p>
      <w:pPr>
        <w:pStyle w:val="BodyText"/>
        <w:tabs>
          <w:tab w:pos="2458" w:val="left" w:leader="none"/>
        </w:tabs>
        <w:spacing w:before="177"/>
        <w:ind w:left="191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458" w:val="left" w:leader="none"/>
        </w:tabs>
        <w:spacing w:before="177"/>
        <w:ind w:left="191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91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7"/>
        </w:numPr>
        <w:tabs>
          <w:tab w:pos="839" w:val="left" w:leader="none"/>
        </w:tabs>
        <w:spacing w:line="240" w:lineRule="auto" w:before="177" w:after="0"/>
        <w:ind w:left="838" w:right="0" w:hanging="720"/>
        <w:jc w:val="left"/>
      </w:pPr>
      <w:r>
        <w:rPr/>
        <w:t>主动脉手术</w:t>
      </w:r>
    </w:p>
    <w:p>
      <w:pPr>
        <w:pStyle w:val="BodyText"/>
        <w:spacing w:line="273" w:lineRule="auto" w:before="141"/>
        <w:ind w:left="1589"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589"/>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7"/>
        </w:numPr>
        <w:tabs>
          <w:tab w:pos="839" w:val="left" w:leader="none"/>
        </w:tabs>
        <w:spacing w:line="240" w:lineRule="auto" w:before="0" w:after="0"/>
        <w:ind w:left="838" w:right="0" w:hanging="720"/>
        <w:jc w:val="left"/>
      </w:pPr>
      <w:r>
        <w:rPr/>
        <w:t>严重的系统性硬化症</w:t>
      </w:r>
    </w:p>
    <w:p>
      <w:pPr>
        <w:pStyle w:val="BodyText"/>
        <w:spacing w:line="273" w:lineRule="auto" w:before="140"/>
        <w:ind w:left="1589" w:right="108"/>
        <w:jc w:val="both"/>
      </w:pPr>
      <w:r>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BodyText"/>
        <w:spacing w:before="163"/>
        <w:ind w:left="1589"/>
      </w:pPr>
      <w:r>
        <w:rPr/>
        <w:t>肺脏：肺纤维化，已经发展为肺动脉高压、肺心病；</w:t>
      </w:r>
    </w:p>
    <w:p>
      <w:pPr>
        <w:pStyle w:val="BodyText"/>
        <w:spacing w:before="9"/>
        <w:rPr>
          <w:sz w:val="14"/>
        </w:rPr>
      </w:pPr>
    </w:p>
    <w:p>
      <w:pPr>
        <w:pStyle w:val="BodyText"/>
        <w:spacing w:line="408" w:lineRule="auto"/>
        <w:ind w:left="1589" w:right="737"/>
      </w:pPr>
      <w:r>
        <w:rPr/>
        <w:t>心脏：心室功能受损，至少达到美国纽约心脏病学会心功能状态分级Ⅲ级； 肾脏：肾脏受损，已经出现肾功能不全。</w:t>
      </w:r>
    </w:p>
    <w:p>
      <w:pPr>
        <w:pStyle w:val="BodyText"/>
        <w:spacing w:before="45"/>
        <w:ind w:left="1589"/>
        <w:jc w:val="both"/>
      </w:pPr>
      <w:r>
        <w:rPr/>
        <w:t>下列疾病不在保障范围内：</w:t>
      </w:r>
    </w:p>
    <w:p>
      <w:pPr>
        <w:pStyle w:val="BodyText"/>
        <w:spacing w:before="9"/>
        <w:rPr>
          <w:sz w:val="14"/>
        </w:rPr>
      </w:pPr>
    </w:p>
    <w:p>
      <w:pPr>
        <w:pStyle w:val="BodyText"/>
        <w:ind w:left="1589"/>
        <w:jc w:val="both"/>
      </w:pPr>
      <w:r>
        <w:rPr>
          <w:rFonts w:ascii="Times New Roman" w:eastAsia="Times New Roman"/>
        </w:rPr>
        <w:t>1</w:t>
      </w:r>
      <w:r>
        <w:rPr/>
        <w:t>． 局部性硬皮病（如：带状硬皮病、硬斑病）；</w:t>
      </w:r>
    </w:p>
    <w:p>
      <w:pPr>
        <w:pStyle w:val="BodyText"/>
        <w:spacing w:before="176"/>
        <w:ind w:left="1589"/>
        <w:jc w:val="both"/>
      </w:pPr>
      <w:r>
        <w:rPr>
          <w:rFonts w:ascii="Times New Roman" w:eastAsia="Times New Roman"/>
        </w:rPr>
        <w:t>2</w:t>
      </w:r>
      <w:r>
        <w:rPr/>
        <w:t>． 嗜酸性粒细胞性筋膜炎；</w:t>
      </w:r>
    </w:p>
    <w:p>
      <w:pPr>
        <w:pStyle w:val="BodyText"/>
        <w:spacing w:before="176"/>
        <w:ind w:left="1589"/>
        <w:jc w:val="both"/>
      </w:pPr>
      <w:r>
        <w:rPr>
          <w:rFonts w:ascii="Times New Roman" w:eastAsia="Times New Roman"/>
        </w:rPr>
        <w:t>3</w:t>
      </w:r>
      <w:r>
        <w:rPr/>
        <w:t>． </w:t>
      </w:r>
      <w:r>
        <w:rPr>
          <w:rFonts w:ascii="Times New Roman" w:eastAsia="Times New Roman"/>
        </w:rPr>
        <w:t>CREST </w:t>
      </w:r>
      <w:r>
        <w:rPr/>
        <w:t>综合征。</w:t>
      </w:r>
    </w:p>
    <w:p>
      <w:pPr>
        <w:pStyle w:val="Heading3"/>
        <w:numPr>
          <w:ilvl w:val="2"/>
          <w:numId w:val="7"/>
        </w:numPr>
        <w:tabs>
          <w:tab w:pos="839" w:val="left" w:leader="none"/>
        </w:tabs>
        <w:spacing w:line="240" w:lineRule="auto" w:before="176" w:after="0"/>
        <w:ind w:left="838" w:right="0" w:hanging="720"/>
        <w:jc w:val="left"/>
      </w:pPr>
      <w:r>
        <w:rPr/>
        <w:t>严重的原发性心肌病</w:t>
      </w:r>
    </w:p>
    <w:p>
      <w:pPr>
        <w:pStyle w:val="BodyText"/>
        <w:spacing w:line="273" w:lineRule="auto" w:before="140"/>
        <w:ind w:left="1589" w:right="108"/>
        <w:jc w:val="both"/>
      </w:pPr>
      <w:r>
        <w:rPr>
          <w:spacing w:val="-3"/>
        </w:rPr>
        <w:t>是指不明原因引起的一类心肌病变，包括原发性扩张型心肌病、原发性肥厚型心肌病及原发性限制型心肌病三种，病变必须已造成事实上心室功能障碍而出现明显的心功能衰竭，达到美国纽约心脏病协会心功能状态分级 </w:t>
      </w:r>
      <w:r>
        <w:rPr>
          <w:rFonts w:ascii="Times New Roman" w:eastAsia="Times New Roman"/>
          <w:spacing w:val="-3"/>
        </w:rPr>
        <w:t>IV</w:t>
      </w:r>
      <w:r>
        <w:rPr>
          <w:rFonts w:ascii="Times New Roman" w:eastAsia="Times New Roman"/>
          <w:spacing w:val="7"/>
        </w:rPr>
        <w:t>  </w:t>
      </w:r>
      <w:r>
        <w:rPr>
          <w:spacing w:val="-3"/>
        </w:rPr>
        <w:t>级，且有相关住院医疗</w:t>
      </w:r>
    </w:p>
    <w:p>
      <w:pPr>
        <w:spacing w:after="0" w:line="273" w:lineRule="auto"/>
        <w:jc w:val="both"/>
        <w:sectPr>
          <w:pgSz w:w="11910" w:h="16840"/>
          <w:pgMar w:top="1380" w:bottom="280" w:left="1300" w:right="1340"/>
        </w:sectPr>
      </w:pPr>
    </w:p>
    <w:p>
      <w:pPr>
        <w:pStyle w:val="BodyText"/>
        <w:spacing w:line="256" w:lineRule="auto" w:before="29"/>
        <w:ind w:left="1589" w:right="168"/>
      </w:pPr>
      <w:r>
        <w:rPr/>
        <w:t>记录显示 </w:t>
      </w:r>
      <w:r>
        <w:rPr>
          <w:rFonts w:ascii="Times New Roman" w:eastAsia="Times New Roman"/>
        </w:rPr>
        <w:t>IV </w:t>
      </w:r>
      <w:r>
        <w:rPr/>
        <w:t>级心功能状态持续至少 </w:t>
      </w:r>
      <w:r>
        <w:rPr>
          <w:rFonts w:ascii="Times New Roman" w:eastAsia="Times New Roman"/>
        </w:rPr>
        <w:t>180 </w:t>
      </w:r>
      <w:r>
        <w:rPr/>
        <w:t>天。该疾病索赔时须要经专科医师做出明确诊断。继发于全身性疾病或其它器官系统疾病不属本保障范围。</w:t>
      </w:r>
    </w:p>
    <w:p>
      <w:pPr>
        <w:pStyle w:val="Heading3"/>
        <w:numPr>
          <w:ilvl w:val="2"/>
          <w:numId w:val="7"/>
        </w:numPr>
        <w:tabs>
          <w:tab w:pos="839" w:val="left" w:leader="none"/>
        </w:tabs>
        <w:spacing w:line="240" w:lineRule="auto" w:before="178" w:after="0"/>
        <w:ind w:left="838" w:right="0" w:hanging="720"/>
        <w:jc w:val="left"/>
      </w:pPr>
      <w:r>
        <w:rPr/>
        <w:t>肾髓质囊性病</w:t>
      </w:r>
    </w:p>
    <w:p>
      <w:pPr>
        <w:pStyle w:val="BodyText"/>
        <w:spacing w:before="141"/>
        <w:ind w:left="1589"/>
      </w:pPr>
      <w:r>
        <w:rPr/>
        <w:t>肾髓质囊性病的诊断必须同时符合下列要求：</w:t>
      </w:r>
    </w:p>
    <w:p>
      <w:pPr>
        <w:pStyle w:val="BodyText"/>
        <w:spacing w:before="10"/>
        <w:rPr>
          <w:sz w:val="14"/>
        </w:rPr>
      </w:pPr>
    </w:p>
    <w:p>
      <w:pPr>
        <w:pStyle w:val="BodyText"/>
        <w:ind w:left="1589"/>
      </w:pPr>
      <w:r>
        <w:rPr>
          <w:rFonts w:ascii="Times New Roman" w:eastAsia="Times New Roman"/>
        </w:rPr>
        <w:t>1</w:t>
      </w:r>
      <w:r>
        <w:rPr/>
        <w:t>． 肾髓质有囊肿、肾小管萎缩及间质纤维化等病理改变；</w:t>
      </w:r>
    </w:p>
    <w:p>
      <w:pPr>
        <w:pStyle w:val="BodyText"/>
        <w:spacing w:before="177"/>
        <w:ind w:left="1589"/>
      </w:pPr>
      <w:r>
        <w:rPr>
          <w:rFonts w:ascii="Times New Roman" w:eastAsia="Times New Roman"/>
        </w:rPr>
        <w:t>2</w:t>
      </w:r>
      <w:r>
        <w:rPr/>
        <w:t>． 贫血、多尿及肾功能衰竭等临床表现；</w:t>
      </w:r>
    </w:p>
    <w:p>
      <w:pPr>
        <w:pStyle w:val="BodyText"/>
        <w:spacing w:before="177"/>
        <w:ind w:left="1589"/>
      </w:pPr>
      <w:r>
        <w:rPr>
          <w:rFonts w:ascii="Times New Roman" w:eastAsia="Times New Roman"/>
        </w:rPr>
        <w:t>3</w:t>
      </w:r>
      <w:r>
        <w:rPr/>
        <w:t>． 诊断须由肾组织活检确定。</w:t>
      </w:r>
    </w:p>
    <w:p>
      <w:pPr>
        <w:pStyle w:val="Heading3"/>
        <w:numPr>
          <w:ilvl w:val="2"/>
          <w:numId w:val="7"/>
        </w:numPr>
        <w:tabs>
          <w:tab w:pos="839" w:val="left" w:leader="none"/>
        </w:tabs>
        <w:spacing w:line="240" w:lineRule="auto" w:before="177" w:after="0"/>
        <w:ind w:left="838" w:right="0" w:hanging="720"/>
        <w:jc w:val="left"/>
      </w:pPr>
      <w:r>
        <w:rPr/>
        <w:t>主动脉夹层瘤</w:t>
      </w:r>
    </w:p>
    <w:p>
      <w:pPr>
        <w:pStyle w:val="BodyText"/>
        <w:spacing w:line="266" w:lineRule="auto" w:before="141"/>
        <w:ind w:left="1589" w:right="104"/>
      </w:pPr>
      <w:r>
        <w:rPr>
          <w:spacing w:val="-3"/>
        </w:rPr>
        <w:t>是指主动脉壁在受到某些病理因素的破坏后，高速、高压的主动脉血流将其内膜撕裂，以致主动脉腔内的血流通过主动脉内膜的破裂口进入主动脉内壁而形成血肿。</w:t>
      </w:r>
      <w:r>
        <w:rPr>
          <w:spacing w:val="-10"/>
          <w:w w:val="100"/>
        </w:rPr>
        <w:t>被保险人需通过电脑断层扫描</w:t>
      </w:r>
      <w:r>
        <w:rPr>
          <w:spacing w:val="-3"/>
          <w:w w:val="100"/>
        </w:rPr>
        <w:t>（</w:t>
      </w:r>
      <w:r>
        <w:rPr>
          <w:rFonts w:ascii="Times New Roman" w:eastAsia="Times New Roman"/>
          <w:w w:val="100"/>
        </w:rPr>
        <w:t>C</w:t>
      </w:r>
      <w:r>
        <w:rPr>
          <w:rFonts w:ascii="Times New Roman" w:eastAsia="Times New Roman"/>
          <w:spacing w:val="-2"/>
          <w:w w:val="100"/>
        </w:rPr>
        <w:t>T</w:t>
      </w:r>
      <w:r>
        <w:rPr>
          <w:spacing w:val="-89"/>
          <w:w w:val="100"/>
        </w:rPr>
        <w:t>）</w:t>
      </w:r>
      <w:r>
        <w:rPr>
          <w:spacing w:val="-32"/>
          <w:w w:val="100"/>
        </w:rPr>
        <w:t>、磁共振扫描</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89"/>
          <w:w w:val="100"/>
        </w:rPr>
        <w:t>）</w:t>
      </w:r>
      <w:r>
        <w:rPr>
          <w:spacing w:val="-24"/>
          <w:w w:val="100"/>
        </w:rPr>
        <w:t>、磁共振血管检验法</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2"/>
          <w:w w:val="100"/>
        </w:rPr>
        <w:t>A</w:t>
      </w:r>
      <w:r>
        <w:rPr>
          <w:w w:val="100"/>
        </w:rPr>
        <w:t>）</w:t>
      </w:r>
      <w:r>
        <w:rPr>
          <w:spacing w:val="-3"/>
        </w:rPr>
        <w:t>或血管扫描等检查</w:t>
      </w:r>
      <w:r>
        <w:rPr>
          <w:rFonts w:ascii="Times New Roman" w:eastAsia="Times New Roman"/>
          <w:spacing w:val="-3"/>
        </w:rPr>
        <w:t>,</w:t>
      </w:r>
      <w:r>
        <w:rPr>
          <w:spacing w:val="-3"/>
        </w:rPr>
        <w:t>并须经本公司指定或认可的医疗机构的心血管专科医师确诊</w:t>
      </w:r>
    </w:p>
    <w:p>
      <w:pPr>
        <w:pStyle w:val="Heading3"/>
        <w:numPr>
          <w:ilvl w:val="2"/>
          <w:numId w:val="7"/>
        </w:numPr>
        <w:tabs>
          <w:tab w:pos="839" w:val="left" w:leader="none"/>
        </w:tabs>
        <w:spacing w:line="240" w:lineRule="auto" w:before="151" w:after="0"/>
        <w:ind w:left="838" w:right="0" w:hanging="720"/>
        <w:jc w:val="left"/>
      </w:pPr>
      <w:r>
        <w:rPr/>
        <w:t>因输血感染艾滋病</w:t>
      </w:r>
    </w:p>
    <w:p>
      <w:pPr>
        <w:pStyle w:val="BodyText"/>
        <w:spacing w:before="140"/>
        <w:ind w:left="1589"/>
      </w:pPr>
      <w:r>
        <w:rPr/>
        <w:t>被保险人感染上人类免疫缺陷病毒（</w:t>
      </w:r>
      <w:r>
        <w:rPr>
          <w:rFonts w:ascii="Times New Roman" w:eastAsia="Times New Roman"/>
        </w:rPr>
        <w:t>HIV</w:t>
      </w:r>
      <w:r>
        <w:rPr/>
        <w:t>）并且符合下列所有条件：</w:t>
      </w:r>
    </w:p>
    <w:p>
      <w:pPr>
        <w:pStyle w:val="BodyText"/>
        <w:spacing w:line="256" w:lineRule="auto" w:before="176"/>
        <w:ind w:left="1949" w:right="212" w:hanging="361"/>
      </w:pPr>
      <w:r>
        <w:rPr>
          <w:rFonts w:ascii="Times New Roman" w:eastAsia="Times New Roman"/>
        </w:rPr>
        <w:t>1</w:t>
      </w:r>
      <w:r>
        <w:rPr/>
        <w:t>． 在保障起始日或复效日之后，被保险人因治疗必需而接受输血，并且因输血而感染</w:t>
      </w:r>
      <w:r>
        <w:rPr>
          <w:rFonts w:ascii="Times New Roman" w:eastAsia="Times New Roman"/>
        </w:rPr>
        <w:t>HIV</w:t>
      </w:r>
      <w:r>
        <w:rPr/>
        <w:t>；</w:t>
      </w:r>
    </w:p>
    <w:p>
      <w:pPr>
        <w:pStyle w:val="BodyText"/>
        <w:spacing w:before="160"/>
        <w:ind w:left="1589"/>
      </w:pPr>
      <w:r>
        <w:rPr>
          <w:rFonts w:ascii="Times New Roman" w:eastAsia="Times New Roman"/>
        </w:rPr>
        <w:t>2</w:t>
      </w:r>
      <w:r>
        <w:rPr/>
        <w:t>． 提供输血治疗的输血中心或医院出具该项输血感染属医疗责任事故的报告</w:t>
      </w:r>
    </w:p>
    <w:p>
      <w:pPr>
        <w:pStyle w:val="BodyText"/>
        <w:spacing w:before="177"/>
        <w:ind w:left="1590"/>
      </w:pPr>
      <w:r>
        <w:rPr>
          <w:rFonts w:ascii="Times New Roman" w:eastAsia="Times New Roman"/>
        </w:rPr>
        <w:t>3</w:t>
      </w:r>
      <w:r>
        <w:rPr/>
        <w:t>． 提供输血治疗的输血中心或医院必须拥有合法经营执照；</w:t>
      </w:r>
    </w:p>
    <w:p>
      <w:pPr>
        <w:pStyle w:val="BodyText"/>
        <w:spacing w:before="177"/>
        <w:ind w:left="1590"/>
      </w:pPr>
      <w:r>
        <w:rPr>
          <w:rFonts w:ascii="Times New Roman" w:eastAsia="Times New Roman"/>
        </w:rPr>
        <w:t>4</w:t>
      </w:r>
      <w:r>
        <w:rPr/>
        <w:t>． 受感染的被保险人不是血友病患者；</w:t>
      </w:r>
    </w:p>
    <w:p>
      <w:pPr>
        <w:pStyle w:val="BodyText"/>
        <w:spacing w:line="256" w:lineRule="auto" w:before="177"/>
        <w:ind w:left="1590" w:right="211"/>
      </w:pPr>
      <w:r>
        <w:rPr>
          <w:spacing w:val="-6"/>
        </w:rPr>
        <w:t>任何因其他传播方式</w:t>
      </w:r>
      <w:r>
        <w:rPr/>
        <w:t>（</w:t>
      </w:r>
      <w:r>
        <w:rPr>
          <w:spacing w:val="-6"/>
        </w:rPr>
        <w:t>包括：性传播或静脉注射毒品</w:t>
      </w:r>
      <w:r>
        <w:rPr>
          <w:spacing w:val="-20"/>
        </w:rPr>
        <w:t>）</w:t>
      </w:r>
      <w:r>
        <w:rPr>
          <w:spacing w:val="-11"/>
        </w:rPr>
        <w:t>导致的 </w:t>
      </w:r>
      <w:r>
        <w:rPr>
          <w:rFonts w:ascii="Times New Roman" w:eastAsia="Times New Roman"/>
        </w:rPr>
        <w:t>HIV </w:t>
      </w:r>
      <w:r>
        <w:rPr>
          <w:spacing w:val="-3"/>
        </w:rPr>
        <w:t>感染不在本保单</w:t>
      </w:r>
      <w:r>
        <w:rPr>
          <w:spacing w:val="-2"/>
        </w:rPr>
        <w:t>保障范围内。</w:t>
      </w:r>
    </w:p>
    <w:p>
      <w:pPr>
        <w:pStyle w:val="Heading3"/>
        <w:numPr>
          <w:ilvl w:val="2"/>
          <w:numId w:val="7"/>
        </w:numPr>
        <w:tabs>
          <w:tab w:pos="839" w:val="left" w:leader="none"/>
        </w:tabs>
        <w:spacing w:line="240" w:lineRule="auto" w:before="178" w:after="0"/>
        <w:ind w:left="838" w:right="0" w:hanging="720"/>
        <w:jc w:val="left"/>
      </w:pPr>
      <w:r>
        <w:rPr/>
        <w:t>重症肌无力</w:t>
      </w:r>
    </w:p>
    <w:p>
      <w:pPr>
        <w:pStyle w:val="BodyText"/>
        <w:spacing w:line="273" w:lineRule="auto" w:before="141"/>
        <w:ind w:left="1589" w:right="208"/>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BodyText"/>
        <w:spacing w:before="164"/>
        <w:ind w:left="1589"/>
      </w:pPr>
      <w:r>
        <w:rPr>
          <w:rFonts w:ascii="Times New Roman" w:eastAsia="Times New Roman"/>
        </w:rPr>
        <w:t>1</w:t>
      </w:r>
      <w:r>
        <w:rPr/>
        <w:t>． 经药物、胸腺手术治疗一年以上无法控制病情，丧失正常工作能力；</w:t>
      </w:r>
    </w:p>
    <w:p>
      <w:pPr>
        <w:pStyle w:val="BodyText"/>
        <w:spacing w:line="256" w:lineRule="auto" w:before="177"/>
        <w:ind w:left="1949" w:right="212" w:hanging="361"/>
      </w:pPr>
      <w:r>
        <w:rPr>
          <w:rFonts w:ascii="Times New Roman" w:eastAsia="Times New Roman"/>
        </w:rPr>
        <w:t>2</w:t>
      </w:r>
      <w:r>
        <w:rPr/>
        <w:t>． 出现眼睑下垂，或延髓肌受累引起的构音困难、进食呛咳，或由于肌无力累及延髓肌、呼吸肌而致机体呼吸功能不正常的危急状态即肌无力危象；</w:t>
      </w:r>
    </w:p>
    <w:p>
      <w:pPr>
        <w:pStyle w:val="BodyText"/>
        <w:spacing w:line="256" w:lineRule="auto" w:before="178"/>
        <w:ind w:left="1950" w:right="212" w:hanging="361"/>
      </w:pPr>
      <w:r>
        <w:rPr>
          <w:rFonts w:ascii="Times New Roman" w:eastAsia="Times New Roman"/>
        </w:rPr>
        <w:t>3</w:t>
      </w:r>
      <w:r>
        <w:rPr/>
        <w:t>． 症状缓解、复发及恶化交替出现，临床接受新斯的明等抗胆碱酯酶药物治疗的病史。</w:t>
      </w:r>
    </w:p>
    <w:p>
      <w:pPr>
        <w:pStyle w:val="Heading3"/>
        <w:numPr>
          <w:ilvl w:val="2"/>
          <w:numId w:val="7"/>
        </w:numPr>
        <w:tabs>
          <w:tab w:pos="839" w:val="left" w:leader="none"/>
        </w:tabs>
        <w:spacing w:line="240" w:lineRule="auto" w:before="178" w:after="0"/>
        <w:ind w:left="838" w:right="0" w:hanging="720"/>
        <w:jc w:val="left"/>
      </w:pPr>
      <w:r>
        <w:rPr>
          <w:spacing w:val="-1"/>
        </w:rPr>
        <w:t>严重的类风湿性关节炎</w:t>
      </w:r>
    </w:p>
    <w:p>
      <w:pPr>
        <w:pStyle w:val="BodyText"/>
        <w:spacing w:line="273" w:lineRule="auto" w:before="140"/>
        <w:ind w:left="1589" w:right="208"/>
      </w:pPr>
      <w:r>
        <w:rPr/>
        <w:t>是指广泛的慢性渐进性的关节损害，伴有明显的关节畸形，至少累及三个或三个以上关节（如：手，腕，肘，髋，膝，踝关节）。此疾病必须已经导致了自主生活能</w:t>
      </w:r>
    </w:p>
    <w:p>
      <w:pPr>
        <w:spacing w:after="0" w:line="273" w:lineRule="auto"/>
        <w:sectPr>
          <w:pgSz w:w="11910" w:h="16840"/>
          <w:pgMar w:top="1380" w:bottom="280" w:left="1300" w:right="1240"/>
        </w:sectPr>
      </w:pPr>
    </w:p>
    <w:p>
      <w:pPr>
        <w:pStyle w:val="BodyText"/>
        <w:spacing w:before="9"/>
        <w:ind w:left="1589"/>
      </w:pPr>
      <w:r>
        <w:rPr/>
        <w:t>力完全丧失，不能独立完成六项基本日常生活活动中的三项或三项以上的情形。</w:t>
      </w:r>
    </w:p>
    <w:p>
      <w:pPr>
        <w:pStyle w:val="BodyText"/>
        <w:spacing w:before="9"/>
        <w:rPr>
          <w:sz w:val="14"/>
        </w:rPr>
      </w:pPr>
    </w:p>
    <w:p>
      <w:pPr>
        <w:pStyle w:val="BodyText"/>
        <w:spacing w:before="1"/>
        <w:ind w:left="1589"/>
        <w:rPr>
          <w:rFonts w:ascii="Times New Roman" w:eastAsia="Times New Roman"/>
        </w:rPr>
      </w:pPr>
      <w:r>
        <w:rPr/>
        <w:t>上述疾病需由专科医生确诊，并提供相应医疗记录以证实上述病情已经存在至少 </w:t>
      </w:r>
      <w:r>
        <w:rPr>
          <w:rFonts w:ascii="Times New Roman" w:eastAsia="Times New Roman"/>
        </w:rPr>
        <w:t>3</w:t>
      </w:r>
    </w:p>
    <w:p>
      <w:pPr>
        <w:pStyle w:val="BodyText"/>
        <w:spacing w:before="21"/>
        <w:ind w:left="1589"/>
      </w:pPr>
      <w:r>
        <w:rPr/>
        <w:t>个月。</w:t>
      </w:r>
    </w:p>
    <w:p>
      <w:pPr>
        <w:pStyle w:val="BodyText"/>
        <w:spacing w:before="9"/>
        <w:rPr>
          <w:sz w:val="14"/>
        </w:rPr>
      </w:pPr>
    </w:p>
    <w:p>
      <w:pPr>
        <w:pStyle w:val="Heading3"/>
        <w:numPr>
          <w:ilvl w:val="2"/>
          <w:numId w:val="7"/>
        </w:numPr>
        <w:tabs>
          <w:tab w:pos="839" w:val="left" w:leader="none"/>
        </w:tabs>
        <w:spacing w:line="240" w:lineRule="auto" w:before="0" w:after="0"/>
        <w:ind w:left="838" w:right="0" w:hanging="720"/>
        <w:jc w:val="left"/>
      </w:pPr>
      <w:r>
        <w:rPr/>
        <w:t>系统性红斑狼疮</w:t>
      </w:r>
    </w:p>
    <w:p>
      <w:pPr>
        <w:pStyle w:val="BodyText"/>
        <w:spacing w:line="264" w:lineRule="auto" w:before="140"/>
        <w:ind w:left="1588" w:right="104"/>
      </w:pPr>
      <w:r>
        <w:rPr>
          <w:spacing w:val="-3"/>
        </w:rPr>
        <w:t>红斑狼疮是指由于自身抗体和免疫复合物的沉积破坏了血管和细胞而导致的累及多系统损害的一种自体免疫性疾病。本保障仅限于被保险人因系统性红斑狼疮并发狼</w:t>
      </w:r>
      <w:r>
        <w:rPr>
          <w:spacing w:val="-13"/>
        </w:rPr>
        <w:t>疮性肾炎并引起肾功能损害，且肾脏病理诊断符合以下列明的世界卫生组织</w:t>
      </w:r>
      <w:r>
        <w:rPr/>
        <w:t>（</w:t>
      </w:r>
      <w:r>
        <w:rPr>
          <w:rFonts w:ascii="Times New Roman" w:eastAsia="Times New Roman"/>
        </w:rPr>
        <w:t>WHO</w:t>
      </w:r>
      <w:r>
        <w:rPr/>
        <w:t>） </w:t>
      </w:r>
      <w:r>
        <w:rPr>
          <w:spacing w:val="-7"/>
        </w:rPr>
        <w:t>对狼疮性肾炎所分类中的第 </w:t>
      </w:r>
      <w:r>
        <w:rPr>
          <w:rFonts w:ascii="Times New Roman" w:eastAsia="Times New Roman"/>
          <w:spacing w:val="-2"/>
        </w:rPr>
        <w:t>III</w:t>
      </w:r>
      <w:r>
        <w:rPr>
          <w:spacing w:val="-17"/>
        </w:rPr>
        <w:t>、</w:t>
      </w:r>
      <w:r>
        <w:rPr>
          <w:rFonts w:ascii="Times New Roman" w:eastAsia="Times New Roman"/>
        </w:rPr>
        <w:t>IV</w:t>
      </w:r>
      <w:r>
        <w:rPr>
          <w:spacing w:val="-17"/>
        </w:rPr>
        <w:t>、</w:t>
      </w:r>
      <w:r>
        <w:rPr>
          <w:rFonts w:ascii="Times New Roman" w:eastAsia="Times New Roman"/>
        </w:rPr>
        <w:t>V</w:t>
      </w:r>
      <w:r>
        <w:rPr>
          <w:spacing w:val="-17"/>
        </w:rPr>
        <w:t>、</w:t>
      </w:r>
      <w:r>
        <w:rPr>
          <w:rFonts w:ascii="Times New Roman" w:eastAsia="Times New Roman"/>
        </w:rPr>
        <w:t>VI </w:t>
      </w:r>
      <w:r>
        <w:rPr>
          <w:spacing w:val="-5"/>
        </w:rPr>
        <w:t>型。诊断须由有资格的风湿和免疫病专</w:t>
      </w:r>
      <w:r>
        <w:rPr>
          <w:spacing w:val="-2"/>
        </w:rPr>
        <w:t>科医生确认。</w:t>
      </w:r>
    </w:p>
    <w:p>
      <w:pPr>
        <w:pStyle w:val="BodyText"/>
        <w:spacing w:before="171"/>
        <w:ind w:left="1588"/>
      </w:pPr>
      <w:r>
        <w:rPr/>
        <w:t>世界卫生组织（</w:t>
      </w:r>
      <w:r>
        <w:rPr>
          <w:rFonts w:ascii="Times New Roman" w:eastAsia="Times New Roman"/>
        </w:rPr>
        <w:t>WHO</w:t>
      </w:r>
      <w:r>
        <w:rPr/>
        <w:t>）对狼疮性肾炎的分类标准：</w:t>
      </w:r>
    </w:p>
    <w:p>
      <w:pPr>
        <w:pStyle w:val="BodyText"/>
        <w:spacing w:before="176"/>
        <w:ind w:left="1588"/>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spacing w:before="176"/>
        <w:ind w:left="1588"/>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spacing w:before="176"/>
        <w:ind w:left="1589"/>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6"/>
        <w:ind w:left="1589"/>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spacing w:before="176"/>
        <w:ind w:left="1589"/>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spacing w:before="176"/>
        <w:ind w:left="1589"/>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7"/>
        </w:numPr>
        <w:tabs>
          <w:tab w:pos="839" w:val="left" w:leader="none"/>
        </w:tabs>
        <w:spacing w:line="240" w:lineRule="auto" w:before="177" w:after="0"/>
        <w:ind w:left="838" w:right="0" w:hanging="720"/>
        <w:jc w:val="left"/>
      </w:pPr>
      <w:r>
        <w:rPr/>
        <w:t>慢性复发性胰腺炎</w:t>
      </w:r>
    </w:p>
    <w:p>
      <w:pPr>
        <w:pStyle w:val="BodyText"/>
        <w:spacing w:line="264" w:lineRule="auto" w:before="141"/>
        <w:ind w:left="1589" w:right="208"/>
        <w:jc w:val="both"/>
      </w:pPr>
      <w:r>
        <w:rPr>
          <w:spacing w:val="-3"/>
        </w:rPr>
        <w:t>有腹痛等典型症状的胰腺炎反复发作，导致胰腺进行性破坏，并导致胰腺功能紊乱而导致严重糖尿病以及营养不良、恶液质。</w:t>
      </w:r>
      <w:r>
        <w:rPr>
          <w:rFonts w:ascii="Times New Roman" w:eastAsia="Times New Roman"/>
          <w:spacing w:val="-3"/>
        </w:rPr>
        <w:t>CT </w:t>
      </w:r>
      <w:r>
        <w:rPr/>
        <w:t>检查证实胰腺存在广泛钙化，且必</w:t>
      </w:r>
      <w:r>
        <w:rPr>
          <w:spacing w:val="-5"/>
        </w:rPr>
        <w:t>须接受酶替代以及胰岛素替代治疗 </w:t>
      </w:r>
      <w:r>
        <w:rPr>
          <w:rFonts w:ascii="Times New Roman" w:eastAsia="Times New Roman"/>
        </w:rPr>
        <w:t>6 </w:t>
      </w:r>
      <w:r>
        <w:rPr>
          <w:spacing w:val="-3"/>
        </w:rPr>
        <w:t>个月以上。诊断必须由消化科专科医生确诊。</w:t>
      </w:r>
    </w:p>
    <w:p>
      <w:pPr>
        <w:pStyle w:val="BodyText"/>
        <w:spacing w:before="153"/>
        <w:ind w:left="1589"/>
      </w:pPr>
      <w:r>
        <w:rPr/>
        <w:t>酒精导致的慢性复发性胰腺炎除外。</w:t>
      </w:r>
    </w:p>
    <w:p>
      <w:pPr>
        <w:pStyle w:val="BodyText"/>
        <w:spacing w:before="9"/>
        <w:rPr>
          <w:sz w:val="14"/>
        </w:rPr>
      </w:pPr>
    </w:p>
    <w:p>
      <w:pPr>
        <w:pStyle w:val="Heading3"/>
        <w:numPr>
          <w:ilvl w:val="2"/>
          <w:numId w:val="7"/>
        </w:numPr>
        <w:tabs>
          <w:tab w:pos="839" w:val="left" w:leader="none"/>
        </w:tabs>
        <w:spacing w:line="240" w:lineRule="auto" w:before="0" w:after="0"/>
        <w:ind w:left="838" w:right="0" w:hanging="720"/>
        <w:jc w:val="left"/>
      </w:pPr>
      <w:r>
        <w:rPr/>
        <w:t>严重的肌营养不良症</w:t>
      </w:r>
    </w:p>
    <w:p>
      <w:pPr>
        <w:pStyle w:val="BodyText"/>
        <w:spacing w:line="273" w:lineRule="auto" w:before="140"/>
        <w:ind w:left="1589" w:right="211"/>
      </w:pPr>
      <w:r>
        <w:rPr/>
        <w:t>肌营养不良症是一组遗传性肌肉变性坏死性病变，临床特征为与神经系统无关的骨骼肌对称地进行性无力和萎缩，其诊断需同时符合以下条件：</w:t>
      </w:r>
    </w:p>
    <w:p>
      <w:pPr>
        <w:pStyle w:val="BodyText"/>
        <w:spacing w:before="163"/>
        <w:ind w:left="1589"/>
      </w:pPr>
      <w:r>
        <w:rPr>
          <w:rFonts w:ascii="Times New Roman" w:eastAsia="Times New Roman"/>
        </w:rPr>
        <w:t>1</w:t>
      </w:r>
      <w:r>
        <w:rPr/>
        <w:t>． 肌电图显示典型肌营养不良症的阳性改变；</w:t>
      </w:r>
    </w:p>
    <w:p>
      <w:pPr>
        <w:pStyle w:val="BodyText"/>
        <w:spacing w:before="177"/>
        <w:ind w:left="1589"/>
      </w:pPr>
      <w:r>
        <w:rPr>
          <w:rFonts w:ascii="Times New Roman" w:eastAsia="Times New Roman"/>
        </w:rPr>
        <w:t>2</w:t>
      </w:r>
      <w:r>
        <w:rPr/>
        <w:t>． 血清肌酸磷酸激酶（</w:t>
      </w:r>
      <w:r>
        <w:rPr>
          <w:rFonts w:ascii="Times New Roman" w:eastAsia="Times New Roman"/>
        </w:rPr>
        <w:t>CPK</w:t>
      </w:r>
      <w:r>
        <w:rPr/>
        <w:t>）升高</w:t>
      </w:r>
    </w:p>
    <w:p>
      <w:pPr>
        <w:pStyle w:val="BodyText"/>
        <w:spacing w:before="177"/>
        <w:ind w:left="1590"/>
      </w:pPr>
      <w:r>
        <w:rPr>
          <w:rFonts w:ascii="Times New Roman" w:eastAsia="Times New Roman"/>
        </w:rPr>
        <w:t>3</w:t>
      </w:r>
      <w:r>
        <w:rPr/>
        <w:t>． 肌肉活检的病理学诊断符合肌营养不良症的肌肉细胞变性、坏死等阳性改变。</w:t>
      </w:r>
    </w:p>
    <w:p>
      <w:pPr>
        <w:pStyle w:val="BodyText"/>
        <w:spacing w:line="256" w:lineRule="auto" w:before="177"/>
        <w:ind w:left="1950" w:right="150" w:hanging="361"/>
      </w:pPr>
      <w:r>
        <w:rPr>
          <w:rFonts w:ascii="Times New Roman" w:eastAsia="Times New Roman"/>
        </w:rPr>
        <w:t>4</w:t>
      </w:r>
      <w:r>
        <w:rPr/>
        <w:t>． 疾病确诊 </w:t>
      </w:r>
      <w:r>
        <w:rPr>
          <w:rFonts w:ascii="Times New Roman" w:eastAsia="Times New Roman"/>
        </w:rPr>
        <w:t>180 </w:t>
      </w:r>
      <w:r>
        <w:rPr/>
        <w:t>天以后，被保险人仍完全丧失独立生活能力，无法独立完成六项基本日常生活活动中的三项或三项以上</w:t>
      </w:r>
    </w:p>
    <w:p>
      <w:pPr>
        <w:pStyle w:val="Heading3"/>
        <w:numPr>
          <w:ilvl w:val="2"/>
          <w:numId w:val="7"/>
        </w:numPr>
        <w:tabs>
          <w:tab w:pos="839" w:val="left" w:leader="none"/>
        </w:tabs>
        <w:spacing w:line="240" w:lineRule="auto" w:before="178" w:after="0"/>
        <w:ind w:left="838" w:right="0" w:hanging="720"/>
        <w:jc w:val="left"/>
      </w:pPr>
      <w:r>
        <w:rPr/>
        <w:t>严重的多发性硬化</w:t>
      </w:r>
    </w:p>
    <w:p>
      <w:pPr>
        <w:pStyle w:val="BodyText"/>
        <w:spacing w:line="266" w:lineRule="auto" w:before="141"/>
        <w:ind w:left="1589" w:right="208"/>
        <w:jc w:val="both"/>
      </w:pPr>
      <w:r>
        <w:rPr>
          <w:spacing w:val="-3"/>
        </w:rPr>
        <w:t>多发性硬化症为中枢神经系统白质多灶性脱髓鞘病变，病变有时累及灰质。多发性硬化症必须由我们认可的医院的神经专科医生确诊。必须伴有典型的脱髓鞘症状和</w:t>
      </w:r>
      <w:r>
        <w:rPr>
          <w:spacing w:val="-5"/>
        </w:rPr>
        <w:t>运动及感觉功能障碍的证据并有 </w:t>
      </w:r>
      <w:r>
        <w:rPr>
          <w:rFonts w:ascii="Times New Roman" w:eastAsia="Times New Roman"/>
        </w:rPr>
        <w:t>MRI </w:t>
      </w:r>
      <w:r>
        <w:rPr>
          <w:spacing w:val="-3"/>
        </w:rPr>
        <w:t>和脑脊液检查的典型改变。 多发性硬化症必须造成神经系统永久性功能损害并且已导致被保险人自主生活能力完全丧失，无法</w:t>
      </w:r>
    </w:p>
    <w:p>
      <w:pPr>
        <w:spacing w:after="0" w:line="266" w:lineRule="auto"/>
        <w:jc w:val="both"/>
        <w:sectPr>
          <w:pgSz w:w="11910" w:h="16840"/>
          <w:pgMar w:top="1400" w:bottom="280" w:left="1300" w:right="1240"/>
        </w:sectPr>
      </w:pPr>
    </w:p>
    <w:p>
      <w:pPr>
        <w:pStyle w:val="BodyText"/>
        <w:spacing w:before="29"/>
        <w:ind w:left="1689"/>
      </w:pPr>
      <w:r>
        <w:rPr/>
        <w:t>独立完成六项基本日常生活活动中的三项或三项以上持续达 </w:t>
      </w:r>
      <w:r>
        <w:rPr>
          <w:rFonts w:ascii="Times New Roman" w:eastAsia="Times New Roman"/>
        </w:rPr>
        <w:t>180 </w:t>
      </w:r>
      <w:r>
        <w:rPr/>
        <w:t>天以上。</w:t>
      </w:r>
    </w:p>
    <w:p>
      <w:pPr>
        <w:pStyle w:val="Heading3"/>
        <w:numPr>
          <w:ilvl w:val="2"/>
          <w:numId w:val="7"/>
        </w:numPr>
        <w:tabs>
          <w:tab w:pos="939" w:val="left" w:leader="none"/>
        </w:tabs>
        <w:spacing w:line="240" w:lineRule="auto" w:before="177" w:after="0"/>
        <w:ind w:left="938" w:right="0" w:hanging="720"/>
        <w:jc w:val="left"/>
      </w:pPr>
      <w:r>
        <w:rPr/>
        <w:t>急性脊髓灰质炎</w:t>
      </w:r>
    </w:p>
    <w:p>
      <w:pPr>
        <w:pStyle w:val="BodyText"/>
        <w:spacing w:line="268" w:lineRule="auto" w:before="141"/>
        <w:ind w:left="1689" w:right="248"/>
        <w:jc w:val="both"/>
      </w:pPr>
      <w:r>
        <w:rPr/>
        <w:t>是指由于急性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w:t>
      </w:r>
    </w:p>
    <w:p>
      <w:pPr>
        <w:pStyle w:val="Heading3"/>
        <w:numPr>
          <w:ilvl w:val="2"/>
          <w:numId w:val="7"/>
        </w:numPr>
        <w:tabs>
          <w:tab w:pos="939" w:val="left" w:leader="none"/>
        </w:tabs>
        <w:spacing w:line="240" w:lineRule="auto" w:before="168" w:after="0"/>
        <w:ind w:left="938" w:right="0" w:hanging="720"/>
        <w:jc w:val="left"/>
      </w:pPr>
      <w:r>
        <w:rPr/>
        <w:t>终末期肺病</w:t>
      </w:r>
    </w:p>
    <w:p>
      <w:pPr>
        <w:pStyle w:val="BodyText"/>
        <w:spacing w:line="273" w:lineRule="auto" w:before="141"/>
        <w:ind w:left="1689" w:right="248"/>
      </w:pPr>
      <w:r>
        <w:rPr/>
        <w:t>是指被保险人必须经本公司认可的医院的呼吸科专科医师确诊患有慢性肺部疾病而出现慢性呼吸功能衰竭，其诊断标准包括以下各项：</w:t>
      </w:r>
    </w:p>
    <w:p>
      <w:pPr>
        <w:pStyle w:val="BodyText"/>
        <w:spacing w:before="163"/>
        <w:ind w:left="1689"/>
        <w:jc w:val="both"/>
      </w:pPr>
      <w:r>
        <w:rPr>
          <w:rFonts w:ascii="Times New Roman" w:eastAsia="Times New Roman"/>
        </w:rPr>
        <w:t>1</w:t>
      </w:r>
      <w:r>
        <w:rPr/>
        <w:t>． 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176"/>
        <w:ind w:left="1690"/>
        <w:jc w:val="both"/>
      </w:pPr>
      <w:r>
        <w:rPr>
          <w:rFonts w:ascii="Times New Roman" w:eastAsia="Times New Roman"/>
        </w:rPr>
        <w:t>2</w:t>
      </w:r>
      <w:r>
        <w:rPr/>
        <w:t>． 病人血氧不足必须持续地进行输氧治疗。</w:t>
      </w:r>
    </w:p>
    <w:p>
      <w:pPr>
        <w:pStyle w:val="BodyText"/>
        <w:spacing w:before="176"/>
        <w:ind w:left="1690"/>
        <w:jc w:val="both"/>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6"/>
        <w:ind w:left="1690"/>
        <w:jc w:val="both"/>
      </w:pPr>
      <w:r>
        <w:rPr/>
        <w:t>4． 休息时出现呼吸困难。</w:t>
      </w:r>
    </w:p>
    <w:p>
      <w:pPr>
        <w:pStyle w:val="BodyText"/>
        <w:spacing w:before="5"/>
        <w:rPr>
          <w:sz w:val="11"/>
        </w:rPr>
      </w:pPr>
    </w:p>
    <w:p>
      <w:pPr>
        <w:pStyle w:val="Heading3"/>
        <w:numPr>
          <w:ilvl w:val="2"/>
          <w:numId w:val="7"/>
        </w:numPr>
        <w:tabs>
          <w:tab w:pos="939" w:val="left" w:leader="none"/>
        </w:tabs>
        <w:spacing w:line="240" w:lineRule="auto" w:before="43" w:after="0"/>
        <w:ind w:left="938" w:right="0" w:hanging="720"/>
        <w:jc w:val="left"/>
      </w:pPr>
      <w:r>
        <w:rPr/>
        <w:t>组别</w:t>
      </w:r>
    </w:p>
    <w:p>
      <w:pPr>
        <w:pStyle w:val="BodyText"/>
        <w:spacing w:before="140"/>
        <w:ind w:left="1689"/>
      </w:pPr>
      <w:r>
        <w:rPr/>
        <w:t>本附加合同所列的 </w:t>
      </w:r>
      <w:r>
        <w:rPr>
          <w:rFonts w:ascii="Times New Roman" w:eastAsia="Times New Roman"/>
        </w:rPr>
        <w:t>36 </w:t>
      </w:r>
      <w:r>
        <w:rPr/>
        <w:t>种重大疾病分为以下 </w:t>
      </w:r>
      <w:r>
        <w:rPr>
          <w:rFonts w:ascii="Times New Roman" w:eastAsia="Times New Roman"/>
        </w:rPr>
        <w:t>2 </w:t>
      </w:r>
      <w:r>
        <w:rPr/>
        <w:t>组：</w:t>
      </w:r>
    </w:p>
    <w:p>
      <w:pPr>
        <w:pStyle w:val="BodyText"/>
        <w:spacing w:before="5"/>
        <w:rPr>
          <w:sz w:val="1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4642"/>
      </w:tblGrid>
      <w:tr>
        <w:trPr>
          <w:trHeight w:val="443" w:hRule="atLeast"/>
        </w:trPr>
        <w:tc>
          <w:tcPr>
            <w:tcW w:w="4644" w:type="dxa"/>
          </w:tcPr>
          <w:p>
            <w:pPr>
              <w:pStyle w:val="TableParagraph"/>
              <w:spacing w:line="278" w:lineRule="exact"/>
              <w:ind w:left="1539" w:right="1532"/>
              <w:jc w:val="center"/>
              <w:rPr>
                <w:sz w:val="21"/>
              </w:rPr>
            </w:pPr>
            <w:r>
              <w:rPr>
                <w:sz w:val="21"/>
              </w:rPr>
              <w:t>第一组（</w:t>
            </w:r>
            <w:r>
              <w:rPr>
                <w:rFonts w:ascii="Times New Roman" w:eastAsia="Times New Roman"/>
                <w:sz w:val="21"/>
              </w:rPr>
              <w:t>15 </w:t>
            </w:r>
            <w:r>
              <w:rPr>
                <w:sz w:val="21"/>
              </w:rPr>
              <w:t>种）</w:t>
            </w:r>
          </w:p>
        </w:tc>
        <w:tc>
          <w:tcPr>
            <w:tcW w:w="4642" w:type="dxa"/>
          </w:tcPr>
          <w:p>
            <w:pPr>
              <w:pStyle w:val="TableParagraph"/>
              <w:spacing w:line="278" w:lineRule="exact"/>
              <w:ind w:left="1536" w:right="1532"/>
              <w:jc w:val="center"/>
              <w:rPr>
                <w:sz w:val="21"/>
              </w:rPr>
            </w:pPr>
            <w:r>
              <w:rPr>
                <w:sz w:val="21"/>
              </w:rPr>
              <w:t>第二组（</w:t>
            </w:r>
            <w:r>
              <w:rPr>
                <w:rFonts w:ascii="Times New Roman" w:eastAsia="Times New Roman"/>
                <w:sz w:val="21"/>
              </w:rPr>
              <w:t>21 </w:t>
            </w:r>
            <w:r>
              <w:rPr>
                <w:sz w:val="21"/>
              </w:rPr>
              <w:t>种）</w:t>
            </w:r>
          </w:p>
        </w:tc>
      </w:tr>
      <w:tr>
        <w:trPr>
          <w:trHeight w:val="383" w:hRule="atLeast"/>
        </w:trPr>
        <w:tc>
          <w:tcPr>
            <w:tcW w:w="4644" w:type="dxa"/>
            <w:tcBorders>
              <w:bottom w:val="nil"/>
            </w:tcBorders>
          </w:tcPr>
          <w:p>
            <w:pPr>
              <w:pStyle w:val="TableParagraph"/>
              <w:tabs>
                <w:tab w:pos="738" w:val="left" w:leader="none"/>
              </w:tabs>
              <w:spacing w:line="278" w:lineRule="exact"/>
              <w:ind w:left="107"/>
              <w:rPr>
                <w:b/>
                <w:sz w:val="21"/>
              </w:rPr>
            </w:pPr>
            <w:r>
              <w:rPr>
                <w:rFonts w:ascii="Times New Roman" w:eastAsia="Times New Roman"/>
                <w:b/>
                <w:sz w:val="21"/>
              </w:rPr>
              <w:t>7.1.1</w:t>
              <w:tab/>
            </w:r>
            <w:r>
              <w:rPr>
                <w:b/>
                <w:sz w:val="21"/>
              </w:rPr>
              <w:t>恶性肿瘤</w:t>
            </w:r>
          </w:p>
        </w:tc>
        <w:tc>
          <w:tcPr>
            <w:tcW w:w="4642" w:type="dxa"/>
            <w:tcBorders>
              <w:bottom w:val="nil"/>
            </w:tcBorders>
          </w:tcPr>
          <w:p>
            <w:pPr>
              <w:pStyle w:val="TableParagraph"/>
              <w:tabs>
                <w:tab w:pos="736" w:val="left" w:leader="none"/>
              </w:tabs>
              <w:spacing w:line="278" w:lineRule="exact"/>
              <w:rPr>
                <w:b/>
                <w:sz w:val="21"/>
              </w:rPr>
            </w:pPr>
            <w:r>
              <w:rPr>
                <w:rFonts w:ascii="Times New Roman" w:eastAsia="Times New Roman"/>
                <w:b/>
                <w:sz w:val="21"/>
              </w:rPr>
              <w:t>7.1.2</w:t>
              <w:tab/>
            </w:r>
            <w:r>
              <w:rPr>
                <w:b/>
                <w:sz w:val="21"/>
              </w:rPr>
              <w:t>急性心肌梗塞</w:t>
            </w:r>
          </w:p>
        </w:tc>
      </w:tr>
      <w:tr>
        <w:trPr>
          <w:trHeight w:val="448" w:hRule="atLeast"/>
        </w:trPr>
        <w:tc>
          <w:tcPr>
            <w:tcW w:w="4644" w:type="dxa"/>
            <w:tcBorders>
              <w:top w:val="nil"/>
              <w:bottom w:val="nil"/>
            </w:tcBorders>
          </w:tcPr>
          <w:p>
            <w:pPr>
              <w:pStyle w:val="TableParagraph"/>
              <w:tabs>
                <w:tab w:pos="738" w:val="left" w:leader="none"/>
              </w:tabs>
              <w:spacing w:before="48"/>
              <w:ind w:left="107"/>
              <w:rPr>
                <w:b/>
                <w:sz w:val="21"/>
              </w:rPr>
            </w:pPr>
            <w:r>
              <w:rPr>
                <w:rFonts w:ascii="Times New Roman" w:eastAsia="Times New Roman"/>
                <w:b/>
                <w:sz w:val="21"/>
              </w:rPr>
              <w:t>7.1.4</w:t>
              <w:tab/>
            </w:r>
            <w:r>
              <w:rPr>
                <w:b/>
                <w:spacing w:val="-1"/>
                <w:sz w:val="21"/>
              </w:rPr>
              <w:t>重大器官移植术或造血干细胞移植术</w:t>
            </w:r>
          </w:p>
        </w:tc>
        <w:tc>
          <w:tcPr>
            <w:tcW w:w="4642" w:type="dxa"/>
            <w:tcBorders>
              <w:top w:val="nil"/>
              <w:bottom w:val="nil"/>
            </w:tcBorders>
          </w:tcPr>
          <w:p>
            <w:pPr>
              <w:pStyle w:val="TableParagraph"/>
              <w:tabs>
                <w:tab w:pos="736" w:val="left" w:leader="none"/>
              </w:tabs>
              <w:spacing w:before="48"/>
              <w:rPr>
                <w:b/>
                <w:sz w:val="21"/>
              </w:rPr>
            </w:pPr>
            <w:r>
              <w:rPr>
                <w:rFonts w:ascii="Times New Roman" w:eastAsia="Times New Roman"/>
                <w:b/>
                <w:sz w:val="21"/>
              </w:rPr>
              <w:t>7.1.3</w:t>
              <w:tab/>
            </w:r>
            <w:r>
              <w:rPr>
                <w:b/>
                <w:sz w:val="21"/>
              </w:rPr>
              <w:t>脑中风后遗症</w:t>
            </w:r>
          </w:p>
        </w:tc>
      </w:tr>
      <w:tr>
        <w:trPr>
          <w:trHeight w:val="724" w:hRule="atLeast"/>
        </w:trPr>
        <w:tc>
          <w:tcPr>
            <w:tcW w:w="4644" w:type="dxa"/>
            <w:tcBorders>
              <w:top w:val="nil"/>
              <w:bottom w:val="nil"/>
            </w:tcBorders>
          </w:tcPr>
          <w:p>
            <w:pPr>
              <w:pStyle w:val="TableParagraph"/>
              <w:tabs>
                <w:tab w:pos="738" w:val="left" w:leader="none"/>
              </w:tabs>
              <w:spacing w:line="256" w:lineRule="auto" w:before="52"/>
              <w:ind w:left="107" w:right="93"/>
              <w:rPr>
                <w:b/>
                <w:sz w:val="21"/>
              </w:rPr>
            </w:pPr>
            <w:r>
              <w:rPr>
                <w:rFonts w:ascii="Times New Roman" w:eastAsia="Times New Roman"/>
                <w:b/>
                <w:sz w:val="21"/>
              </w:rPr>
              <w:t>7.1.6</w:t>
              <w:tab/>
            </w:r>
            <w:r>
              <w:rPr>
                <w:b/>
                <w:sz w:val="21"/>
              </w:rPr>
              <w:t>终末期肾病（</w:t>
            </w:r>
            <w:r>
              <w:rPr>
                <w:b/>
                <w:spacing w:val="-2"/>
                <w:sz w:val="21"/>
              </w:rPr>
              <w:t>或称慢性肾功能衰竭尿毒症 期）</w:t>
            </w:r>
          </w:p>
        </w:tc>
        <w:tc>
          <w:tcPr>
            <w:tcW w:w="4642" w:type="dxa"/>
            <w:tcBorders>
              <w:top w:val="nil"/>
              <w:bottom w:val="nil"/>
            </w:tcBorders>
          </w:tcPr>
          <w:p>
            <w:pPr>
              <w:pStyle w:val="TableParagraph"/>
              <w:tabs>
                <w:tab w:pos="736" w:val="left" w:leader="none"/>
              </w:tabs>
              <w:spacing w:line="256" w:lineRule="auto" w:before="52"/>
              <w:ind w:right="94"/>
              <w:rPr>
                <w:b/>
                <w:sz w:val="21"/>
              </w:rPr>
            </w:pPr>
            <w:r>
              <w:rPr>
                <w:rFonts w:ascii="Times New Roman" w:eastAsia="Times New Roman"/>
                <w:b/>
                <w:sz w:val="21"/>
              </w:rPr>
              <w:t>7.1.5</w:t>
              <w:tab/>
            </w:r>
            <w:r>
              <w:rPr>
                <w:b/>
                <w:sz w:val="21"/>
              </w:rPr>
              <w:t>冠状动脉搭桥术</w:t>
            </w:r>
            <w:r>
              <w:rPr>
                <w:b/>
                <w:spacing w:val="-3"/>
                <w:sz w:val="21"/>
              </w:rPr>
              <w:t>（</w:t>
            </w:r>
            <w:r>
              <w:rPr>
                <w:b/>
                <w:sz w:val="21"/>
              </w:rPr>
              <w:t>或称冠状动脉旁路移植 术）</w:t>
            </w:r>
          </w:p>
        </w:tc>
      </w:tr>
      <w:tr>
        <w:trPr>
          <w:trHeight w:val="427" w:hRule="atLeast"/>
        </w:trPr>
        <w:tc>
          <w:tcPr>
            <w:tcW w:w="4644" w:type="dxa"/>
            <w:tcBorders>
              <w:top w:val="nil"/>
              <w:bottom w:val="nil"/>
            </w:tcBorders>
          </w:tcPr>
          <w:p>
            <w:pPr>
              <w:pStyle w:val="TableParagraph"/>
              <w:tabs>
                <w:tab w:pos="738" w:val="left" w:leader="none"/>
              </w:tabs>
              <w:spacing w:before="27"/>
              <w:ind w:left="107"/>
              <w:rPr>
                <w:b/>
                <w:sz w:val="21"/>
              </w:rPr>
            </w:pPr>
            <w:r>
              <w:rPr>
                <w:rFonts w:ascii="Times New Roman" w:eastAsia="Times New Roman"/>
                <w:b/>
                <w:sz w:val="21"/>
              </w:rPr>
              <w:t>7.1.8</w:t>
              <w:tab/>
            </w:r>
            <w:r>
              <w:rPr>
                <w:b/>
                <w:spacing w:val="-1"/>
                <w:sz w:val="21"/>
              </w:rPr>
              <w:t>急性或亚急性重症肝炎</w:t>
            </w:r>
          </w:p>
        </w:tc>
        <w:tc>
          <w:tcPr>
            <w:tcW w:w="4642" w:type="dxa"/>
            <w:tcBorders>
              <w:top w:val="nil"/>
              <w:bottom w:val="nil"/>
            </w:tcBorders>
          </w:tcPr>
          <w:p>
            <w:pPr>
              <w:pStyle w:val="TableParagraph"/>
              <w:tabs>
                <w:tab w:pos="736" w:val="left" w:leader="none"/>
              </w:tabs>
              <w:spacing w:before="27"/>
              <w:rPr>
                <w:b/>
                <w:sz w:val="21"/>
              </w:rPr>
            </w:pPr>
            <w:r>
              <w:rPr>
                <w:rFonts w:ascii="Times New Roman" w:eastAsia="Times New Roman"/>
                <w:b/>
                <w:sz w:val="21"/>
              </w:rPr>
              <w:t>7.1.7</w:t>
              <w:tab/>
            </w:r>
            <w:r>
              <w:rPr>
                <w:b/>
                <w:sz w:val="21"/>
              </w:rPr>
              <w:t>多个肢体缺失</w:t>
            </w:r>
          </w:p>
        </w:tc>
      </w:tr>
      <w:tr>
        <w:trPr>
          <w:trHeight w:val="454" w:hRule="atLeast"/>
        </w:trPr>
        <w:tc>
          <w:tcPr>
            <w:tcW w:w="4644" w:type="dxa"/>
            <w:tcBorders>
              <w:top w:val="nil"/>
              <w:bottom w:val="nil"/>
            </w:tcBorders>
          </w:tcPr>
          <w:p>
            <w:pPr>
              <w:pStyle w:val="TableParagraph"/>
              <w:tabs>
                <w:tab w:pos="738" w:val="left" w:leader="none"/>
              </w:tabs>
              <w:spacing w:before="52"/>
              <w:ind w:left="107"/>
              <w:rPr>
                <w:b/>
                <w:sz w:val="21"/>
              </w:rPr>
            </w:pPr>
            <w:r>
              <w:rPr>
                <w:rFonts w:ascii="Times New Roman" w:eastAsia="Times New Roman"/>
                <w:b/>
                <w:sz w:val="21"/>
              </w:rPr>
              <w:t>7.1.9</w:t>
              <w:tab/>
            </w:r>
            <w:r>
              <w:rPr>
                <w:b/>
                <w:sz w:val="21"/>
              </w:rPr>
              <w:t>良性脑肿瘤</w:t>
            </w:r>
          </w:p>
        </w:tc>
        <w:tc>
          <w:tcPr>
            <w:tcW w:w="4642" w:type="dxa"/>
            <w:tcBorders>
              <w:top w:val="nil"/>
              <w:bottom w:val="nil"/>
            </w:tcBorders>
          </w:tcPr>
          <w:p>
            <w:pPr>
              <w:pStyle w:val="TableParagraph"/>
              <w:tabs>
                <w:tab w:pos="830" w:val="left" w:leader="none"/>
              </w:tabs>
              <w:spacing w:before="52"/>
              <w:rPr>
                <w:b/>
                <w:sz w:val="21"/>
              </w:rPr>
            </w:pPr>
            <w:r>
              <w:rPr>
                <w:rFonts w:ascii="Times New Roman" w:eastAsia="Times New Roman"/>
                <w:b/>
                <w:spacing w:val="-3"/>
                <w:sz w:val="21"/>
              </w:rPr>
              <w:t>7.1.11</w:t>
              <w:tab/>
            </w:r>
            <w:r>
              <w:rPr>
                <w:b/>
                <w:spacing w:val="-1"/>
                <w:sz w:val="21"/>
              </w:rPr>
              <w:t>脑炎后遗症或脑膜炎后遗症</w:t>
            </w:r>
          </w:p>
        </w:tc>
      </w:tr>
      <w:tr>
        <w:trPr>
          <w:trHeight w:val="454" w:hRule="atLeast"/>
        </w:trPr>
        <w:tc>
          <w:tcPr>
            <w:tcW w:w="4644" w:type="dxa"/>
            <w:tcBorders>
              <w:top w:val="nil"/>
              <w:bottom w:val="nil"/>
            </w:tcBorders>
          </w:tcPr>
          <w:p>
            <w:pPr>
              <w:pStyle w:val="TableParagraph"/>
              <w:tabs>
                <w:tab w:pos="844" w:val="left" w:leader="none"/>
              </w:tabs>
              <w:spacing w:before="54"/>
              <w:ind w:left="107"/>
              <w:rPr>
                <w:b/>
                <w:sz w:val="21"/>
              </w:rPr>
            </w:pPr>
            <w:r>
              <w:rPr>
                <w:rFonts w:ascii="Times New Roman" w:eastAsia="Times New Roman"/>
                <w:b/>
                <w:sz w:val="21"/>
              </w:rPr>
              <w:t>7.1.10</w:t>
              <w:tab/>
            </w:r>
            <w:r>
              <w:rPr>
                <w:b/>
                <w:spacing w:val="-2"/>
                <w:sz w:val="21"/>
              </w:rPr>
              <w:t>慢性肝功能衰竭失代偿期</w:t>
            </w:r>
          </w:p>
        </w:tc>
        <w:tc>
          <w:tcPr>
            <w:tcW w:w="4642" w:type="dxa"/>
            <w:tcBorders>
              <w:top w:val="nil"/>
              <w:bottom w:val="nil"/>
            </w:tcBorders>
          </w:tcPr>
          <w:p>
            <w:pPr>
              <w:pStyle w:val="TableParagraph"/>
              <w:tabs>
                <w:tab w:pos="842" w:val="left" w:leader="none"/>
              </w:tabs>
              <w:spacing w:before="54"/>
              <w:rPr>
                <w:b/>
                <w:sz w:val="21"/>
              </w:rPr>
            </w:pPr>
            <w:r>
              <w:rPr>
                <w:rFonts w:ascii="Times New Roman" w:eastAsia="Times New Roman"/>
                <w:b/>
                <w:sz w:val="21"/>
              </w:rPr>
              <w:t>7.1.12</w:t>
              <w:tab/>
            </w:r>
            <w:r>
              <w:rPr>
                <w:b/>
                <w:sz w:val="21"/>
              </w:rPr>
              <w:t>双耳失聪</w:t>
            </w:r>
          </w:p>
        </w:tc>
      </w:tr>
      <w:tr>
        <w:trPr>
          <w:trHeight w:val="453"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hAnsi="Times New Roman" w:eastAsia="Times New Roman"/>
                <w:b/>
                <w:sz w:val="21"/>
              </w:rPr>
              <w:t>7.1.18</w:t>
              <w:tab/>
            </w:r>
            <w:r>
              <w:rPr>
                <w:b/>
                <w:sz w:val="21"/>
              </w:rPr>
              <w:t>严重</w:t>
            </w:r>
            <w:r>
              <w:rPr>
                <w:rFonts w:ascii="MS PGothic" w:hAnsi="MS PGothic" w:eastAsia="MS PGothic" w:hint="eastAsia"/>
                <w:b/>
                <w:sz w:val="21"/>
              </w:rPr>
              <w:t>Ⅲ</w:t>
            </w:r>
            <w:r>
              <w:rPr>
                <w:b/>
                <w:spacing w:val="-3"/>
                <w:sz w:val="21"/>
              </w:rPr>
              <w:t>度烧伤</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7.1.13</w:t>
              <w:tab/>
            </w:r>
            <w:r>
              <w:rPr>
                <w:b/>
                <w:sz w:val="21"/>
              </w:rPr>
              <w:t>双目失明</w:t>
            </w:r>
          </w:p>
        </w:tc>
      </w:tr>
      <w:tr>
        <w:trPr>
          <w:trHeight w:val="453"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7.1.22</w:t>
              <w:tab/>
            </w:r>
            <w:r>
              <w:rPr>
                <w:b/>
                <w:spacing w:val="-2"/>
                <w:sz w:val="21"/>
              </w:rPr>
              <w:t>重型再生障碍性贫血</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7.1.14</w:t>
              <w:tab/>
            </w:r>
            <w:r>
              <w:rPr>
                <w:b/>
                <w:sz w:val="21"/>
              </w:rPr>
              <w:t>心脏瓣膜手术</w:t>
            </w:r>
          </w:p>
        </w:tc>
      </w:tr>
      <w:tr>
        <w:trPr>
          <w:trHeight w:val="453"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7.1.24</w:t>
              <w:tab/>
            </w:r>
            <w:r>
              <w:rPr>
                <w:b/>
                <w:spacing w:val="-2"/>
                <w:sz w:val="21"/>
              </w:rPr>
              <w:t>严重的系统性硬化症</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7.1.15</w:t>
              <w:tab/>
            </w:r>
            <w:r>
              <w:rPr>
                <w:b/>
                <w:spacing w:val="-1"/>
                <w:sz w:val="21"/>
              </w:rPr>
              <w:t>严重阿尔茨海默病</w:t>
            </w:r>
          </w:p>
        </w:tc>
      </w:tr>
      <w:tr>
        <w:trPr>
          <w:trHeight w:val="453"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7.1.25</w:t>
              <w:tab/>
            </w:r>
            <w:r>
              <w:rPr>
                <w:b/>
                <w:spacing w:val="-2"/>
                <w:sz w:val="21"/>
              </w:rPr>
              <w:t>严重的原发性心肌病</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7.1.16</w:t>
              <w:tab/>
            </w:r>
            <w:r>
              <w:rPr>
                <w:b/>
                <w:sz w:val="21"/>
              </w:rPr>
              <w:t>严重脑损伤</w:t>
            </w:r>
          </w:p>
        </w:tc>
      </w:tr>
      <w:tr>
        <w:trPr>
          <w:trHeight w:val="454"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7.1.26</w:t>
              <w:tab/>
            </w:r>
            <w:r>
              <w:rPr>
                <w:b/>
                <w:sz w:val="21"/>
              </w:rPr>
              <w:t>肾髓质囊性病</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7.1.17</w:t>
              <w:tab/>
            </w:r>
            <w:r>
              <w:rPr>
                <w:b/>
                <w:sz w:val="21"/>
              </w:rPr>
              <w:t>严重帕金森病</w:t>
            </w:r>
          </w:p>
        </w:tc>
      </w:tr>
      <w:tr>
        <w:trPr>
          <w:trHeight w:val="454" w:hRule="atLeast"/>
        </w:trPr>
        <w:tc>
          <w:tcPr>
            <w:tcW w:w="4644" w:type="dxa"/>
            <w:tcBorders>
              <w:top w:val="nil"/>
              <w:bottom w:val="nil"/>
            </w:tcBorders>
          </w:tcPr>
          <w:p>
            <w:pPr>
              <w:pStyle w:val="TableParagraph"/>
              <w:tabs>
                <w:tab w:pos="844" w:val="left" w:leader="none"/>
              </w:tabs>
              <w:spacing w:before="54"/>
              <w:ind w:left="107"/>
              <w:rPr>
                <w:b/>
                <w:sz w:val="21"/>
              </w:rPr>
            </w:pPr>
            <w:r>
              <w:rPr>
                <w:rFonts w:ascii="Times New Roman" w:eastAsia="Times New Roman"/>
                <w:b/>
                <w:sz w:val="21"/>
              </w:rPr>
              <w:t>7.1.28</w:t>
              <w:tab/>
            </w:r>
            <w:r>
              <w:rPr>
                <w:b/>
                <w:spacing w:val="-1"/>
                <w:sz w:val="21"/>
              </w:rPr>
              <w:t>因输血感染艾滋病</w:t>
            </w:r>
          </w:p>
        </w:tc>
        <w:tc>
          <w:tcPr>
            <w:tcW w:w="4642" w:type="dxa"/>
            <w:tcBorders>
              <w:top w:val="nil"/>
              <w:bottom w:val="nil"/>
            </w:tcBorders>
          </w:tcPr>
          <w:p>
            <w:pPr>
              <w:pStyle w:val="TableParagraph"/>
              <w:tabs>
                <w:tab w:pos="842" w:val="left" w:leader="none"/>
              </w:tabs>
              <w:spacing w:before="54"/>
              <w:rPr>
                <w:b/>
                <w:sz w:val="21"/>
              </w:rPr>
            </w:pPr>
            <w:r>
              <w:rPr>
                <w:rFonts w:ascii="Times New Roman" w:eastAsia="Times New Roman"/>
                <w:b/>
                <w:sz w:val="21"/>
              </w:rPr>
              <w:t>7.1.19</w:t>
              <w:tab/>
            </w:r>
            <w:r>
              <w:rPr>
                <w:b/>
                <w:spacing w:val="-2"/>
                <w:sz w:val="21"/>
              </w:rPr>
              <w:t>严重原发性肺动脉高压</w:t>
            </w:r>
          </w:p>
        </w:tc>
      </w:tr>
      <w:tr>
        <w:trPr>
          <w:trHeight w:val="453"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7.1.31</w:t>
              <w:tab/>
            </w:r>
            <w:r>
              <w:rPr>
                <w:b/>
                <w:sz w:val="21"/>
              </w:rPr>
              <w:t>系统性红斑狼疮</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7.1.20</w:t>
              <w:tab/>
            </w:r>
            <w:r>
              <w:rPr>
                <w:b/>
                <w:spacing w:val="-1"/>
                <w:sz w:val="21"/>
              </w:rPr>
              <w:t>严重运动神经元病</w:t>
            </w:r>
          </w:p>
        </w:tc>
      </w:tr>
      <w:tr>
        <w:trPr>
          <w:trHeight w:val="518" w:hRule="atLeast"/>
        </w:trPr>
        <w:tc>
          <w:tcPr>
            <w:tcW w:w="4644" w:type="dxa"/>
            <w:tcBorders>
              <w:top w:val="nil"/>
              <w:bottom w:val="nil"/>
            </w:tcBorders>
          </w:tcPr>
          <w:p>
            <w:pPr>
              <w:pStyle w:val="TableParagraph"/>
              <w:tabs>
                <w:tab w:pos="844" w:val="left" w:leader="none"/>
              </w:tabs>
              <w:spacing w:before="52"/>
              <w:ind w:left="107"/>
              <w:rPr>
                <w:b/>
                <w:sz w:val="21"/>
              </w:rPr>
            </w:pPr>
            <w:r>
              <w:rPr>
                <w:rFonts w:ascii="Times New Roman" w:eastAsia="Times New Roman"/>
                <w:b/>
                <w:sz w:val="21"/>
              </w:rPr>
              <w:t>7.1.32</w:t>
              <w:tab/>
            </w:r>
            <w:r>
              <w:rPr>
                <w:b/>
                <w:spacing w:val="-1"/>
                <w:sz w:val="21"/>
              </w:rPr>
              <w:t>慢性复发性胰腺炎</w:t>
            </w: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7.1.21</w:t>
              <w:tab/>
            </w:r>
            <w:r>
              <w:rPr>
                <w:b/>
                <w:sz w:val="21"/>
              </w:rPr>
              <w:t>语言能力丧失</w:t>
            </w:r>
          </w:p>
        </w:tc>
      </w:tr>
    </w:tbl>
    <w:p>
      <w:pPr>
        <w:spacing w:after="0"/>
        <w:rPr>
          <w:sz w:val="21"/>
        </w:rPr>
        <w:sectPr>
          <w:pgSz w:w="11910" w:h="16840"/>
          <w:pgMar w:top="1380" w:bottom="280" w:left="1200" w:right="120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4642"/>
      </w:tblGrid>
      <w:tr>
        <w:trPr>
          <w:trHeight w:val="388" w:hRule="atLeast"/>
        </w:trPr>
        <w:tc>
          <w:tcPr>
            <w:tcW w:w="4644" w:type="dxa"/>
            <w:tcBorders>
              <w:top w:val="nil"/>
              <w:bottom w:val="nil"/>
            </w:tcBorders>
          </w:tcPr>
          <w:p>
            <w:pPr>
              <w:pStyle w:val="TableParagraph"/>
              <w:tabs>
                <w:tab w:pos="844" w:val="left" w:leader="none"/>
              </w:tabs>
              <w:spacing w:line="278" w:lineRule="exact"/>
              <w:ind w:left="107"/>
              <w:rPr>
                <w:b/>
                <w:sz w:val="21"/>
              </w:rPr>
            </w:pPr>
            <w:r>
              <w:rPr>
                <w:rFonts w:ascii="Times New Roman" w:eastAsia="Times New Roman"/>
                <w:b/>
                <w:sz w:val="21"/>
              </w:rPr>
              <w:t>7.1.36</w:t>
              <w:tab/>
            </w:r>
            <w:r>
              <w:rPr>
                <w:b/>
                <w:sz w:val="21"/>
              </w:rPr>
              <w:t>终末期肺病</w:t>
            </w:r>
          </w:p>
        </w:tc>
        <w:tc>
          <w:tcPr>
            <w:tcW w:w="4642" w:type="dxa"/>
            <w:tcBorders>
              <w:top w:val="nil"/>
              <w:bottom w:val="nil"/>
            </w:tcBorders>
          </w:tcPr>
          <w:p>
            <w:pPr>
              <w:pStyle w:val="TableParagraph"/>
              <w:tabs>
                <w:tab w:pos="842" w:val="left" w:leader="none"/>
              </w:tabs>
              <w:spacing w:line="278" w:lineRule="exact"/>
              <w:rPr>
                <w:b/>
                <w:sz w:val="21"/>
              </w:rPr>
            </w:pPr>
            <w:r>
              <w:rPr>
                <w:rFonts w:ascii="Times New Roman" w:eastAsia="Times New Roman"/>
                <w:b/>
                <w:sz w:val="21"/>
              </w:rPr>
              <w:t>7.1.23</w:t>
              <w:tab/>
            </w:r>
            <w:r>
              <w:rPr>
                <w:b/>
                <w:sz w:val="21"/>
              </w:rPr>
              <w:t>主动脉手术</w:t>
            </w:r>
          </w:p>
        </w:tc>
      </w:tr>
      <w:tr>
        <w:trPr>
          <w:trHeight w:val="453" w:hRule="atLeast"/>
        </w:trPr>
        <w:tc>
          <w:tcPr>
            <w:tcW w:w="4644" w:type="dxa"/>
            <w:tcBorders>
              <w:top w:val="nil"/>
              <w:bottom w:val="nil"/>
            </w:tcBorders>
          </w:tcPr>
          <w:p>
            <w:pPr>
              <w:pStyle w:val="TableParagraph"/>
              <w:ind w:left="0"/>
              <w:rPr>
                <w:rFonts w:ascii="Times New Roman"/>
                <w:sz w:val="20"/>
              </w:rPr>
            </w:pP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7.1.27</w:t>
              <w:tab/>
            </w:r>
            <w:r>
              <w:rPr>
                <w:b/>
                <w:sz w:val="21"/>
              </w:rPr>
              <w:t>主动脉夹层瘤</w:t>
            </w:r>
          </w:p>
        </w:tc>
      </w:tr>
      <w:tr>
        <w:trPr>
          <w:trHeight w:val="453" w:hRule="atLeast"/>
        </w:trPr>
        <w:tc>
          <w:tcPr>
            <w:tcW w:w="4644" w:type="dxa"/>
            <w:tcBorders>
              <w:top w:val="nil"/>
              <w:bottom w:val="nil"/>
            </w:tcBorders>
          </w:tcPr>
          <w:p>
            <w:pPr>
              <w:pStyle w:val="TableParagraph"/>
              <w:ind w:left="0"/>
              <w:rPr>
                <w:rFonts w:ascii="Times New Roman"/>
                <w:sz w:val="20"/>
              </w:rPr>
            </w:pP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7.1.29</w:t>
              <w:tab/>
            </w:r>
            <w:r>
              <w:rPr>
                <w:b/>
                <w:sz w:val="21"/>
              </w:rPr>
              <w:t>重症肌无力</w:t>
            </w:r>
          </w:p>
        </w:tc>
      </w:tr>
      <w:tr>
        <w:trPr>
          <w:trHeight w:val="454" w:hRule="atLeast"/>
        </w:trPr>
        <w:tc>
          <w:tcPr>
            <w:tcW w:w="4644" w:type="dxa"/>
            <w:tcBorders>
              <w:top w:val="nil"/>
              <w:bottom w:val="nil"/>
            </w:tcBorders>
          </w:tcPr>
          <w:p>
            <w:pPr>
              <w:pStyle w:val="TableParagraph"/>
              <w:ind w:left="0"/>
              <w:rPr>
                <w:rFonts w:ascii="Times New Roman"/>
                <w:sz w:val="20"/>
              </w:rPr>
            </w:pP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7.1.30</w:t>
              <w:tab/>
            </w:r>
            <w:r>
              <w:rPr>
                <w:b/>
                <w:spacing w:val="-2"/>
                <w:sz w:val="21"/>
              </w:rPr>
              <w:t>严重的类风湿性关节炎</w:t>
            </w:r>
          </w:p>
        </w:tc>
      </w:tr>
      <w:tr>
        <w:trPr>
          <w:trHeight w:val="454" w:hRule="atLeast"/>
        </w:trPr>
        <w:tc>
          <w:tcPr>
            <w:tcW w:w="4644" w:type="dxa"/>
            <w:tcBorders>
              <w:top w:val="nil"/>
              <w:bottom w:val="nil"/>
            </w:tcBorders>
          </w:tcPr>
          <w:p>
            <w:pPr>
              <w:pStyle w:val="TableParagraph"/>
              <w:ind w:left="0"/>
              <w:rPr>
                <w:rFonts w:ascii="Times New Roman"/>
                <w:sz w:val="20"/>
              </w:rPr>
            </w:pPr>
          </w:p>
        </w:tc>
        <w:tc>
          <w:tcPr>
            <w:tcW w:w="4642" w:type="dxa"/>
            <w:tcBorders>
              <w:top w:val="nil"/>
              <w:bottom w:val="nil"/>
            </w:tcBorders>
          </w:tcPr>
          <w:p>
            <w:pPr>
              <w:pStyle w:val="TableParagraph"/>
              <w:tabs>
                <w:tab w:pos="842" w:val="left" w:leader="none"/>
              </w:tabs>
              <w:spacing w:before="54"/>
              <w:rPr>
                <w:b/>
                <w:sz w:val="21"/>
              </w:rPr>
            </w:pPr>
            <w:r>
              <w:rPr>
                <w:rFonts w:ascii="Times New Roman" w:eastAsia="Times New Roman"/>
                <w:b/>
                <w:sz w:val="21"/>
              </w:rPr>
              <w:t>7.1.33</w:t>
              <w:tab/>
            </w:r>
            <w:r>
              <w:rPr>
                <w:b/>
                <w:spacing w:val="-3"/>
                <w:sz w:val="21"/>
              </w:rPr>
              <w:t>严重的肌营养不良症</w:t>
            </w:r>
          </w:p>
        </w:tc>
      </w:tr>
      <w:tr>
        <w:trPr>
          <w:trHeight w:val="453" w:hRule="atLeast"/>
        </w:trPr>
        <w:tc>
          <w:tcPr>
            <w:tcW w:w="4644" w:type="dxa"/>
            <w:tcBorders>
              <w:top w:val="nil"/>
              <w:bottom w:val="nil"/>
            </w:tcBorders>
          </w:tcPr>
          <w:p>
            <w:pPr>
              <w:pStyle w:val="TableParagraph"/>
              <w:ind w:left="0"/>
              <w:rPr>
                <w:rFonts w:ascii="Times New Roman"/>
                <w:sz w:val="20"/>
              </w:rPr>
            </w:pPr>
          </w:p>
        </w:tc>
        <w:tc>
          <w:tcPr>
            <w:tcW w:w="4642" w:type="dxa"/>
            <w:tcBorders>
              <w:top w:val="nil"/>
              <w:bottom w:val="nil"/>
            </w:tcBorders>
          </w:tcPr>
          <w:p>
            <w:pPr>
              <w:pStyle w:val="TableParagraph"/>
              <w:tabs>
                <w:tab w:pos="842" w:val="left" w:leader="none"/>
              </w:tabs>
              <w:spacing w:before="52"/>
              <w:rPr>
                <w:b/>
                <w:sz w:val="21"/>
              </w:rPr>
            </w:pPr>
            <w:r>
              <w:rPr>
                <w:rFonts w:ascii="Times New Roman" w:eastAsia="Times New Roman"/>
                <w:b/>
                <w:sz w:val="21"/>
              </w:rPr>
              <w:t>7.1.34</w:t>
              <w:tab/>
            </w:r>
            <w:r>
              <w:rPr>
                <w:b/>
                <w:spacing w:val="-1"/>
                <w:sz w:val="21"/>
              </w:rPr>
              <w:t>严重的多发性硬化</w:t>
            </w:r>
          </w:p>
        </w:tc>
      </w:tr>
      <w:tr>
        <w:trPr>
          <w:trHeight w:val="518" w:hRule="atLeast"/>
        </w:trPr>
        <w:tc>
          <w:tcPr>
            <w:tcW w:w="4644" w:type="dxa"/>
            <w:tcBorders>
              <w:top w:val="nil"/>
            </w:tcBorders>
          </w:tcPr>
          <w:p>
            <w:pPr>
              <w:pStyle w:val="TableParagraph"/>
              <w:ind w:left="0"/>
              <w:rPr>
                <w:rFonts w:ascii="Times New Roman"/>
                <w:sz w:val="20"/>
              </w:rPr>
            </w:pPr>
          </w:p>
        </w:tc>
        <w:tc>
          <w:tcPr>
            <w:tcW w:w="4642" w:type="dxa"/>
            <w:tcBorders>
              <w:top w:val="nil"/>
            </w:tcBorders>
          </w:tcPr>
          <w:p>
            <w:pPr>
              <w:pStyle w:val="TableParagraph"/>
              <w:tabs>
                <w:tab w:pos="842" w:val="left" w:leader="none"/>
              </w:tabs>
              <w:spacing w:before="52"/>
              <w:rPr>
                <w:b/>
                <w:sz w:val="21"/>
              </w:rPr>
            </w:pPr>
            <w:r>
              <w:rPr>
                <w:rFonts w:ascii="Times New Roman" w:eastAsia="Times New Roman"/>
                <w:b/>
                <w:sz w:val="21"/>
              </w:rPr>
              <w:t>7.1.35</w:t>
              <w:tab/>
            </w:r>
            <w:r>
              <w:rPr>
                <w:b/>
                <w:sz w:val="21"/>
              </w:rPr>
              <w:t>急性脊髓灰质炎</w:t>
            </w:r>
          </w:p>
        </w:tc>
      </w:tr>
    </w:tbl>
    <w:p>
      <w:pPr>
        <w:pStyle w:val="BodyText"/>
        <w:spacing w:before="8"/>
        <w:rPr>
          <w:sz w:val="7"/>
        </w:rPr>
      </w:pPr>
    </w:p>
    <w:p>
      <w:pPr>
        <w:pStyle w:val="Heading3"/>
        <w:numPr>
          <w:ilvl w:val="1"/>
          <w:numId w:val="9"/>
        </w:numPr>
        <w:tabs>
          <w:tab w:pos="794" w:val="left" w:leader="none"/>
          <w:tab w:pos="795" w:val="left" w:leader="none"/>
        </w:tabs>
        <w:spacing w:line="240" w:lineRule="auto" w:before="44" w:after="0"/>
        <w:ind w:left="794" w:right="0" w:hanging="576"/>
        <w:jc w:val="left"/>
      </w:pPr>
      <w:bookmarkStart w:name="_bookmark29" w:id="54"/>
      <w:bookmarkEnd w:id="54"/>
      <w:r>
        <w:rPr>
          <w:b w:val="0"/>
        </w:rPr>
      </w:r>
      <w:bookmarkStart w:name="_bookmark29" w:id="55"/>
      <w:bookmarkEnd w:id="55"/>
      <w:r>
        <w:rPr/>
        <w:t>肢体机能完全丧失</w:t>
      </w:r>
    </w:p>
    <w:p>
      <w:pPr>
        <w:pStyle w:val="BodyText"/>
        <w:spacing w:line="273" w:lineRule="auto" w:before="177"/>
        <w:ind w:left="1689" w:right="248"/>
      </w:pPr>
      <w:r>
        <w:rPr/>
        <w:t>指肢体的三大关节中的两大关节僵硬，或不能随意识活动。肢体是指包括肩关节的整个上肢或包括髋关节的整个下肢。</w:t>
      </w:r>
    </w:p>
    <w:p>
      <w:pPr>
        <w:pStyle w:val="Heading3"/>
        <w:numPr>
          <w:ilvl w:val="1"/>
          <w:numId w:val="9"/>
        </w:numPr>
        <w:tabs>
          <w:tab w:pos="794" w:val="left" w:leader="none"/>
          <w:tab w:pos="795" w:val="left" w:leader="none"/>
        </w:tabs>
        <w:spacing w:line="240" w:lineRule="auto" w:before="163" w:after="0"/>
        <w:ind w:left="794" w:right="0" w:hanging="576"/>
        <w:jc w:val="left"/>
      </w:pPr>
      <w:bookmarkStart w:name="_bookmark30" w:id="56"/>
      <w:bookmarkEnd w:id="56"/>
      <w:r>
        <w:rPr>
          <w:b w:val="0"/>
        </w:rPr>
      </w:r>
      <w:bookmarkStart w:name="_bookmark30" w:id="57"/>
      <w:bookmarkEnd w:id="57"/>
      <w:r>
        <w:rPr>
          <w:spacing w:val="-2"/>
        </w:rPr>
        <w:t>语言能力或咀嚼吞咽能力完全丧失</w:t>
      </w:r>
    </w:p>
    <w:p>
      <w:pPr>
        <w:pStyle w:val="BodyText"/>
        <w:spacing w:line="273" w:lineRule="auto" w:before="177"/>
        <w:ind w:left="1689" w:right="14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689" w:right="248"/>
      </w:pPr>
      <w:r>
        <w:rPr/>
        <w:t>咀嚼吞咽能力完全丧失，指因牙齿以外的原因导致器质障碍或机能障碍，以致不能作咀嚼吞咽运动，除流质食物外不能摄取或吞咽的状态。</w:t>
      </w:r>
    </w:p>
    <w:p>
      <w:pPr>
        <w:pStyle w:val="Heading3"/>
        <w:numPr>
          <w:ilvl w:val="1"/>
          <w:numId w:val="9"/>
        </w:numPr>
        <w:tabs>
          <w:tab w:pos="794" w:val="left" w:leader="none"/>
          <w:tab w:pos="795" w:val="left" w:leader="none"/>
        </w:tabs>
        <w:spacing w:line="240" w:lineRule="auto" w:before="164" w:after="0"/>
        <w:ind w:left="794" w:right="0" w:hanging="576"/>
        <w:jc w:val="left"/>
      </w:pPr>
      <w:bookmarkStart w:name="_bookmark31" w:id="58"/>
      <w:bookmarkEnd w:id="58"/>
      <w:r>
        <w:rPr>
          <w:b w:val="0"/>
        </w:rPr>
      </w:r>
      <w:bookmarkStart w:name="_bookmark31" w:id="59"/>
      <w:bookmarkEnd w:id="59"/>
      <w:r>
        <w:rPr>
          <w:spacing w:val="-1"/>
        </w:rPr>
        <w:t>六项基本日常生活活动</w:t>
      </w:r>
    </w:p>
    <w:p>
      <w:pPr>
        <w:pStyle w:val="BodyText"/>
        <w:spacing w:before="177"/>
        <w:ind w:left="16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689" w:right="14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9"/>
        </w:numPr>
        <w:tabs>
          <w:tab w:pos="794" w:val="left" w:leader="none"/>
          <w:tab w:pos="795" w:val="left" w:leader="none"/>
        </w:tabs>
        <w:spacing w:line="240" w:lineRule="auto" w:before="161" w:after="0"/>
        <w:ind w:left="794" w:right="0" w:hanging="576"/>
        <w:jc w:val="left"/>
      </w:pPr>
      <w:bookmarkStart w:name="_bookmark32" w:id="60"/>
      <w:bookmarkEnd w:id="60"/>
      <w:r>
        <w:rPr>
          <w:b w:val="0"/>
        </w:rPr>
      </w:r>
      <w:bookmarkStart w:name="_bookmark32" w:id="61"/>
      <w:bookmarkEnd w:id="61"/>
      <w:r>
        <w:rPr/>
        <w:t>永久不可逆</w:t>
      </w:r>
    </w:p>
    <w:p>
      <w:pPr>
        <w:pStyle w:val="BodyText"/>
        <w:spacing w:line="256" w:lineRule="auto" w:before="177"/>
        <w:ind w:left="1689" w:right="18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9"/>
        </w:numPr>
        <w:tabs>
          <w:tab w:pos="794" w:val="left" w:leader="none"/>
          <w:tab w:pos="795" w:val="left" w:leader="none"/>
        </w:tabs>
        <w:spacing w:line="240" w:lineRule="auto" w:before="178" w:after="0"/>
        <w:ind w:left="794" w:right="0" w:hanging="576"/>
        <w:jc w:val="left"/>
      </w:pPr>
      <w:bookmarkStart w:name="_bookmark33" w:id="62"/>
      <w:bookmarkEnd w:id="62"/>
      <w:r>
        <w:rPr>
          <w:b w:val="0"/>
        </w:rPr>
      </w:r>
      <w:bookmarkStart w:name="_bookmark33" w:id="63"/>
      <w:bookmarkEnd w:id="63"/>
      <w:r>
        <w:rPr/>
        <w:t>意外伤害</w:t>
      </w:r>
    </w:p>
    <w:p>
      <w:pPr>
        <w:pStyle w:val="BodyText"/>
        <w:spacing w:before="176"/>
        <w:ind w:left="1689"/>
      </w:pPr>
      <w:r>
        <w:rPr/>
        <w:t>指遭受外来的、突发的、非本意的、非疾病的客观事件直接致使身体受到的伤害。</w:t>
      </w:r>
    </w:p>
    <w:p>
      <w:pPr>
        <w:pStyle w:val="BodyText"/>
        <w:spacing w:before="9"/>
        <w:rPr>
          <w:sz w:val="14"/>
        </w:rPr>
      </w:pPr>
    </w:p>
    <w:p>
      <w:pPr>
        <w:pStyle w:val="Heading3"/>
        <w:numPr>
          <w:ilvl w:val="1"/>
          <w:numId w:val="9"/>
        </w:numPr>
        <w:tabs>
          <w:tab w:pos="794" w:val="left" w:leader="none"/>
          <w:tab w:pos="795" w:val="left" w:leader="none"/>
        </w:tabs>
        <w:spacing w:line="240" w:lineRule="auto" w:before="0" w:after="0"/>
        <w:ind w:left="794" w:right="0" w:hanging="576"/>
        <w:jc w:val="left"/>
      </w:pPr>
      <w:bookmarkStart w:name="_bookmark34" w:id="64"/>
      <w:bookmarkEnd w:id="64"/>
      <w:r>
        <w:rPr>
          <w:b w:val="0"/>
        </w:rPr>
      </w:r>
      <w:bookmarkStart w:name="_bookmark34" w:id="65"/>
      <w:bookmarkEnd w:id="65"/>
      <w:r>
        <w:rPr/>
        <w:t>发病</w:t>
      </w:r>
    </w:p>
    <w:p>
      <w:pPr>
        <w:pStyle w:val="BodyText"/>
        <w:spacing w:line="273" w:lineRule="auto" w:before="177"/>
        <w:ind w:left="1689" w:right="248"/>
      </w:pPr>
      <w:r>
        <w:rPr/>
        <w:t>指出现疾病的前兆或异常的身体状况，或已经显现足以促使一般普通谨慎人士引起注意、寻求诊断、治疗或护理的病症。</w:t>
      </w:r>
    </w:p>
    <w:p>
      <w:pPr>
        <w:pStyle w:val="Heading3"/>
        <w:numPr>
          <w:ilvl w:val="1"/>
          <w:numId w:val="9"/>
        </w:numPr>
        <w:tabs>
          <w:tab w:pos="794" w:val="left" w:leader="none"/>
          <w:tab w:pos="795" w:val="left" w:leader="none"/>
        </w:tabs>
        <w:spacing w:line="240" w:lineRule="auto" w:before="163" w:after="0"/>
        <w:ind w:left="794" w:right="0" w:hanging="576"/>
        <w:jc w:val="left"/>
      </w:pPr>
      <w:bookmarkStart w:name="_bookmark35" w:id="66"/>
      <w:bookmarkEnd w:id="66"/>
      <w:r>
        <w:rPr>
          <w:b w:val="0"/>
        </w:rPr>
      </w:r>
      <w:bookmarkStart w:name="_bookmark35" w:id="67"/>
      <w:bookmarkEnd w:id="67"/>
      <w:r>
        <w:rPr/>
        <w:t>指定或认可的医院</w:t>
      </w:r>
    </w:p>
    <w:p>
      <w:pPr>
        <w:pStyle w:val="BodyText"/>
        <w:spacing w:before="176"/>
        <w:ind w:left="1689"/>
      </w:pPr>
      <w:r>
        <w:rPr/>
        <w:t>本附加合同所称的指定或认可的医院应符合下列所有条件：</w:t>
      </w:r>
    </w:p>
    <w:p>
      <w:pPr>
        <w:pStyle w:val="BodyText"/>
        <w:spacing w:before="9"/>
        <w:rPr>
          <w:sz w:val="14"/>
        </w:rPr>
      </w:pPr>
    </w:p>
    <w:p>
      <w:pPr>
        <w:pStyle w:val="BodyText"/>
        <w:ind w:left="1689"/>
      </w:pPr>
      <w:r>
        <w:rPr>
          <w:rFonts w:ascii="Times New Roman" w:eastAsia="Times New Roman"/>
        </w:rPr>
        <w:t>1</w:t>
      </w:r>
      <w:r>
        <w:rPr/>
        <w:t>． 拥有合法经营执照；</w:t>
      </w:r>
    </w:p>
    <w:p>
      <w:pPr>
        <w:pStyle w:val="BodyText"/>
        <w:spacing w:before="177"/>
        <w:ind w:left="1689"/>
      </w:pPr>
      <w:r>
        <w:rPr>
          <w:rFonts w:ascii="Times New Roman" w:eastAsia="Times New Roman"/>
        </w:rPr>
        <w:t>2</w:t>
      </w:r>
      <w:r>
        <w:rPr/>
        <w:t>． 设立的主要目的为向受伤者和患病者提供留院治疗和护理服务；</w:t>
      </w:r>
    </w:p>
    <w:p>
      <w:pPr>
        <w:pStyle w:val="BodyText"/>
        <w:spacing w:before="177"/>
        <w:ind w:left="1689"/>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w:t>
      </w:r>
    </w:p>
    <w:p>
      <w:pPr>
        <w:spacing w:after="0"/>
        <w:sectPr>
          <w:pgSz w:w="11910" w:h="16840"/>
          <w:pgMar w:top="1420" w:bottom="280" w:left="1200" w:right="1200"/>
        </w:sectPr>
      </w:pPr>
    </w:p>
    <w:p>
      <w:pPr>
        <w:pStyle w:val="BodyText"/>
        <w:spacing w:before="9"/>
        <w:ind w:left="1949"/>
      </w:pPr>
      <w:r>
        <w:rPr/>
        <w:t>时的医疗和护理服务；</w:t>
      </w:r>
    </w:p>
    <w:p>
      <w:pPr>
        <w:pStyle w:val="BodyText"/>
        <w:spacing w:before="9"/>
        <w:rPr>
          <w:sz w:val="14"/>
        </w:rPr>
      </w:pPr>
    </w:p>
    <w:p>
      <w:pPr>
        <w:pStyle w:val="BodyText"/>
        <w:spacing w:line="256" w:lineRule="auto" w:before="1"/>
        <w:ind w:left="1949" w:right="213"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89"/>
      </w:pPr>
      <w:r>
        <w:rPr>
          <w:rFonts w:ascii="Times New Roman" w:eastAsia="Times New Roman"/>
        </w:rPr>
        <w:t>5</w:t>
      </w:r>
      <w:r>
        <w:rPr/>
        <w:t>． 非主要作为康复医院、诊所、护理、疗养、戒酒、戒毒或类似的医疗机构。</w:t>
      </w:r>
    </w:p>
    <w:p>
      <w:pPr>
        <w:pStyle w:val="BodyText"/>
        <w:spacing w:before="2"/>
        <w:rPr>
          <w:sz w:val="10"/>
        </w:rPr>
      </w:pPr>
    </w:p>
    <w:p>
      <w:pPr>
        <w:pStyle w:val="Heading3"/>
        <w:numPr>
          <w:ilvl w:val="1"/>
          <w:numId w:val="9"/>
        </w:numPr>
        <w:tabs>
          <w:tab w:pos="694" w:val="left" w:leader="none"/>
          <w:tab w:pos="695" w:val="left" w:leader="none"/>
        </w:tabs>
        <w:spacing w:line="240" w:lineRule="auto" w:before="44" w:after="0"/>
        <w:ind w:left="694" w:right="0" w:hanging="576"/>
        <w:jc w:val="left"/>
      </w:pPr>
      <w:bookmarkStart w:name="_bookmark36" w:id="68"/>
      <w:bookmarkEnd w:id="68"/>
      <w:r>
        <w:rPr>
          <w:b w:val="0"/>
        </w:rPr>
      </w:r>
      <w:bookmarkStart w:name="_bookmark36" w:id="69"/>
      <w:bookmarkEnd w:id="69"/>
      <w:r>
        <w:rPr/>
        <w:t>专科医生</w:t>
      </w:r>
    </w:p>
    <w:p>
      <w:pPr>
        <w:pStyle w:val="BodyText"/>
        <w:spacing w:before="10"/>
        <w:rPr>
          <w:b/>
          <w:sz w:val="10"/>
        </w:rPr>
      </w:pPr>
    </w:p>
    <w:p>
      <w:pPr>
        <w:pStyle w:val="BodyText"/>
        <w:spacing w:before="36"/>
        <w:ind w:left="1589"/>
      </w:pPr>
      <w:r>
        <w:rPr/>
        <w:t>专科医生应当同时满足以下四项资格条件：</w:t>
      </w:r>
    </w:p>
    <w:p>
      <w:pPr>
        <w:pStyle w:val="BodyText"/>
        <w:spacing w:before="9"/>
        <w:rPr>
          <w:sz w:val="14"/>
        </w:rPr>
      </w:pPr>
    </w:p>
    <w:p>
      <w:pPr>
        <w:pStyle w:val="BodyText"/>
        <w:ind w:left="1589"/>
      </w:pPr>
      <w:r>
        <w:rPr>
          <w:rFonts w:ascii="Times New Roman" w:eastAsia="Times New Roman"/>
        </w:rPr>
        <w:t>1</w:t>
      </w:r>
      <w:r>
        <w:rPr/>
        <w:t>． 具有有效的中华人民共和国《医师资格证书》；</w:t>
      </w:r>
    </w:p>
    <w:p>
      <w:pPr>
        <w:pStyle w:val="BodyText"/>
        <w:spacing w:before="177"/>
        <w:ind w:left="1589"/>
      </w:pPr>
      <w:r>
        <w:rPr>
          <w:rFonts w:ascii="Times New Roman" w:eastAsia="Times New Roman"/>
        </w:rPr>
        <w:t>2</w:t>
      </w:r>
      <w:r>
        <w:rPr/>
        <w:t>． 具有有效的中华人民共和国《医师执业证书》，并按期到相关部门登记注册；</w:t>
      </w:r>
    </w:p>
    <w:p>
      <w:pPr>
        <w:pStyle w:val="BodyText"/>
        <w:spacing w:before="177"/>
        <w:ind w:left="1589"/>
      </w:pPr>
      <w:r>
        <w:rPr>
          <w:rFonts w:ascii="Times New Roman" w:eastAsia="Times New Roman"/>
        </w:rPr>
        <w:t>3</w:t>
      </w:r>
      <w:r>
        <w:rPr/>
        <w:t>． 具有有效的中华人民共和国主治医师或主治医师以上职称的《医师职称证书》；</w:t>
      </w:r>
    </w:p>
    <w:p>
      <w:pPr>
        <w:pStyle w:val="BodyText"/>
        <w:spacing w:before="177"/>
        <w:ind w:left="1589"/>
      </w:pPr>
      <w:r>
        <w:rPr>
          <w:rFonts w:ascii="Times New Roman" w:eastAsia="Times New Roman"/>
        </w:rPr>
        <w:t>4</w:t>
      </w:r>
      <w:r>
        <w:rPr/>
        <w:t>． 在二级或二级以上医院的相应科室从事临床工作三年以上。</w:t>
      </w:r>
    </w:p>
    <w:p>
      <w:pPr>
        <w:pStyle w:val="BodyText"/>
        <w:spacing w:before="3"/>
        <w:rPr>
          <w:sz w:val="10"/>
        </w:rPr>
      </w:pPr>
    </w:p>
    <w:p>
      <w:pPr>
        <w:pStyle w:val="Heading3"/>
        <w:numPr>
          <w:ilvl w:val="1"/>
          <w:numId w:val="9"/>
        </w:numPr>
        <w:tabs>
          <w:tab w:pos="694" w:val="left" w:leader="none"/>
          <w:tab w:pos="695" w:val="left" w:leader="none"/>
        </w:tabs>
        <w:spacing w:line="240" w:lineRule="auto" w:before="43" w:after="0"/>
        <w:ind w:left="694" w:right="0" w:hanging="576"/>
        <w:jc w:val="left"/>
      </w:pPr>
      <w:bookmarkStart w:name="_bookmark37" w:id="70"/>
      <w:bookmarkEnd w:id="70"/>
      <w:r>
        <w:rPr>
          <w:b w:val="0"/>
        </w:rPr>
      </w:r>
      <w:bookmarkStart w:name="_bookmark37" w:id="71"/>
      <w:bookmarkEnd w:id="71"/>
      <w:r>
        <w:rPr/>
        <w:t>毒品</w:t>
      </w:r>
    </w:p>
    <w:p>
      <w:pPr>
        <w:pStyle w:val="BodyText"/>
        <w:spacing w:before="9"/>
        <w:rPr>
          <w:b/>
          <w:sz w:val="10"/>
        </w:rPr>
      </w:pPr>
    </w:p>
    <w:p>
      <w:pPr>
        <w:pStyle w:val="BodyText"/>
        <w:spacing w:line="273" w:lineRule="auto" w:before="37"/>
        <w:ind w:left="158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before="3"/>
        <w:rPr>
          <w:sz w:val="9"/>
        </w:rPr>
      </w:pPr>
    </w:p>
    <w:p>
      <w:pPr>
        <w:pStyle w:val="Heading3"/>
        <w:numPr>
          <w:ilvl w:val="1"/>
          <w:numId w:val="9"/>
        </w:numPr>
        <w:tabs>
          <w:tab w:pos="694" w:val="left" w:leader="none"/>
          <w:tab w:pos="695" w:val="left" w:leader="none"/>
        </w:tabs>
        <w:spacing w:line="240" w:lineRule="auto" w:before="43" w:after="0"/>
        <w:ind w:left="694" w:right="0" w:hanging="576"/>
        <w:jc w:val="left"/>
      </w:pPr>
      <w:bookmarkStart w:name="_bookmark38" w:id="72"/>
      <w:bookmarkEnd w:id="72"/>
      <w:r>
        <w:rPr>
          <w:b w:val="0"/>
        </w:rPr>
      </w:r>
      <w:bookmarkStart w:name="_bookmark38" w:id="73"/>
      <w:bookmarkEnd w:id="73"/>
      <w:r>
        <w:rPr/>
        <w:t>酒后驾驶</w:t>
      </w:r>
    </w:p>
    <w:p>
      <w:pPr>
        <w:pStyle w:val="BodyText"/>
        <w:spacing w:before="10"/>
        <w:rPr>
          <w:b/>
          <w:sz w:val="10"/>
        </w:rPr>
      </w:pPr>
    </w:p>
    <w:p>
      <w:pPr>
        <w:pStyle w:val="BodyText"/>
        <w:spacing w:line="273" w:lineRule="auto" w:before="36"/>
        <w:ind w:left="158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9"/>
        </w:numPr>
        <w:tabs>
          <w:tab w:pos="694" w:val="left" w:leader="none"/>
          <w:tab w:pos="695" w:val="left" w:leader="none"/>
        </w:tabs>
        <w:spacing w:line="240" w:lineRule="auto" w:before="163" w:after="0"/>
        <w:ind w:left="694" w:right="0" w:hanging="576"/>
        <w:jc w:val="left"/>
      </w:pPr>
      <w:bookmarkStart w:name="_bookmark39" w:id="74"/>
      <w:bookmarkEnd w:id="74"/>
      <w:r>
        <w:rPr>
          <w:b w:val="0"/>
        </w:rPr>
      </w:r>
      <w:bookmarkStart w:name="_bookmark39" w:id="75"/>
      <w:bookmarkEnd w:id="75"/>
      <w:r>
        <w:rPr>
          <w:spacing w:val="-1"/>
        </w:rPr>
        <w:t>无合法有效驾驶证驾驶</w:t>
      </w:r>
    </w:p>
    <w:p>
      <w:pPr>
        <w:pStyle w:val="BodyText"/>
        <w:spacing w:before="176"/>
        <w:ind w:left="1589"/>
        <w:jc w:val="both"/>
      </w:pPr>
      <w:r>
        <w:rPr/>
        <w:t>指下列情形之一：</w:t>
      </w:r>
    </w:p>
    <w:p>
      <w:pPr>
        <w:pStyle w:val="BodyText"/>
        <w:spacing w:before="9"/>
        <w:rPr>
          <w:sz w:val="14"/>
        </w:rPr>
      </w:pPr>
    </w:p>
    <w:p>
      <w:pPr>
        <w:pStyle w:val="ListParagraph"/>
        <w:numPr>
          <w:ilvl w:val="2"/>
          <w:numId w:val="9"/>
        </w:numPr>
        <w:tabs>
          <w:tab w:pos="1919" w:val="left" w:leader="none"/>
        </w:tabs>
        <w:spacing w:line="240" w:lineRule="auto" w:before="0" w:after="0"/>
        <w:ind w:left="1919" w:right="0" w:hanging="361"/>
        <w:jc w:val="both"/>
        <w:rPr>
          <w:sz w:val="21"/>
        </w:rPr>
      </w:pPr>
      <w:r>
        <w:rPr>
          <w:spacing w:val="-3"/>
          <w:sz w:val="21"/>
        </w:rPr>
        <w:t>没有取得驾驶资格；</w:t>
      </w:r>
    </w:p>
    <w:p>
      <w:pPr>
        <w:pStyle w:val="ListParagraph"/>
        <w:numPr>
          <w:ilvl w:val="2"/>
          <w:numId w:val="9"/>
        </w:numPr>
        <w:tabs>
          <w:tab w:pos="1919" w:val="left" w:leader="none"/>
        </w:tabs>
        <w:spacing w:line="240" w:lineRule="auto" w:before="177" w:after="0"/>
        <w:ind w:left="1918" w:right="0" w:hanging="360"/>
        <w:jc w:val="both"/>
        <w:rPr>
          <w:sz w:val="21"/>
        </w:rPr>
      </w:pPr>
      <w:r>
        <w:rPr>
          <w:spacing w:val="-3"/>
          <w:sz w:val="21"/>
        </w:rPr>
        <w:t>驾驶与驾驶证准驾车型不相符合的车辆；</w:t>
      </w:r>
    </w:p>
    <w:p>
      <w:pPr>
        <w:pStyle w:val="ListParagraph"/>
        <w:numPr>
          <w:ilvl w:val="2"/>
          <w:numId w:val="9"/>
        </w:numPr>
        <w:tabs>
          <w:tab w:pos="1919" w:val="left" w:leader="none"/>
        </w:tabs>
        <w:spacing w:line="240" w:lineRule="auto" w:before="177" w:after="0"/>
        <w:ind w:left="1918" w:right="0" w:hanging="360"/>
        <w:jc w:val="both"/>
        <w:rPr>
          <w:sz w:val="21"/>
        </w:rPr>
      </w:pPr>
      <w:r>
        <w:rPr>
          <w:spacing w:val="-3"/>
          <w:sz w:val="21"/>
        </w:rPr>
        <w:t>持审验不合格的驾驶证驾驶；</w:t>
      </w:r>
    </w:p>
    <w:p>
      <w:pPr>
        <w:pStyle w:val="ListParagraph"/>
        <w:numPr>
          <w:ilvl w:val="2"/>
          <w:numId w:val="9"/>
        </w:numPr>
        <w:tabs>
          <w:tab w:pos="1918" w:val="left" w:leader="none"/>
          <w:tab w:pos="1920" w:val="left" w:leader="none"/>
        </w:tabs>
        <w:spacing w:line="256" w:lineRule="auto" w:before="177" w:after="0"/>
        <w:ind w:left="1919" w:right="299" w:hanging="361"/>
        <w:jc w:val="left"/>
        <w:rPr>
          <w:sz w:val="21"/>
        </w:rPr>
      </w:pPr>
      <w:r>
        <w:rPr>
          <w:spacing w:val="-3"/>
          <w:sz w:val="21"/>
        </w:rPr>
        <w:t>持学习驾驶证学习驾车时，无教练员随车指导，或不按指定时间、路线学习驾车。</w:t>
      </w:r>
    </w:p>
    <w:p>
      <w:pPr>
        <w:pStyle w:val="Heading3"/>
        <w:numPr>
          <w:ilvl w:val="1"/>
          <w:numId w:val="9"/>
        </w:numPr>
        <w:tabs>
          <w:tab w:pos="694" w:val="left" w:leader="none"/>
          <w:tab w:pos="695" w:val="left" w:leader="none"/>
        </w:tabs>
        <w:spacing w:line="240" w:lineRule="auto" w:before="178" w:after="0"/>
        <w:ind w:left="694" w:right="0" w:hanging="576"/>
        <w:jc w:val="left"/>
      </w:pPr>
      <w:bookmarkStart w:name="_bookmark40" w:id="76"/>
      <w:bookmarkEnd w:id="76"/>
      <w:r>
        <w:rPr>
          <w:b w:val="0"/>
        </w:rPr>
      </w:r>
      <w:bookmarkStart w:name="_bookmark40" w:id="77"/>
      <w:bookmarkEnd w:id="77"/>
      <w:r>
        <w:rPr/>
        <w:t>无有效行驶证</w:t>
      </w:r>
    </w:p>
    <w:p>
      <w:pPr>
        <w:pStyle w:val="BodyText"/>
        <w:spacing w:before="177"/>
        <w:ind w:left="1589"/>
        <w:jc w:val="both"/>
      </w:pPr>
      <w:r>
        <w:rPr/>
        <w:t>指下列情形之一：</w:t>
      </w:r>
    </w:p>
    <w:p>
      <w:pPr>
        <w:pStyle w:val="BodyText"/>
        <w:spacing w:before="10"/>
        <w:rPr>
          <w:sz w:val="14"/>
        </w:rPr>
      </w:pPr>
    </w:p>
    <w:p>
      <w:pPr>
        <w:pStyle w:val="ListParagraph"/>
        <w:numPr>
          <w:ilvl w:val="2"/>
          <w:numId w:val="9"/>
        </w:numPr>
        <w:tabs>
          <w:tab w:pos="1919" w:val="left" w:leader="none"/>
        </w:tabs>
        <w:spacing w:line="240" w:lineRule="auto" w:before="0" w:after="0"/>
        <w:ind w:left="1918" w:right="0" w:hanging="360"/>
        <w:jc w:val="both"/>
        <w:rPr>
          <w:sz w:val="21"/>
        </w:rPr>
      </w:pPr>
      <w:r>
        <w:rPr>
          <w:spacing w:val="-3"/>
          <w:sz w:val="21"/>
        </w:rPr>
        <w:t>机动车被依法注销登记的；</w:t>
      </w:r>
    </w:p>
    <w:p>
      <w:pPr>
        <w:pStyle w:val="ListParagraph"/>
        <w:numPr>
          <w:ilvl w:val="2"/>
          <w:numId w:val="9"/>
        </w:numPr>
        <w:tabs>
          <w:tab w:pos="1919" w:val="left" w:leader="none"/>
        </w:tabs>
        <w:spacing w:line="240" w:lineRule="auto" w:before="177" w:after="0"/>
        <w:ind w:left="1918" w:right="0" w:hanging="360"/>
        <w:jc w:val="both"/>
        <w:rPr>
          <w:sz w:val="21"/>
        </w:rPr>
      </w:pPr>
      <w:r>
        <w:rPr>
          <w:spacing w:val="-3"/>
          <w:sz w:val="21"/>
        </w:rPr>
        <w:t>未依法按时进行或通过机动车安全技术检验。</w:t>
      </w:r>
    </w:p>
    <w:p>
      <w:pPr>
        <w:pStyle w:val="Heading3"/>
        <w:numPr>
          <w:ilvl w:val="1"/>
          <w:numId w:val="9"/>
        </w:numPr>
        <w:tabs>
          <w:tab w:pos="694" w:val="left" w:leader="none"/>
          <w:tab w:pos="695" w:val="left" w:leader="none"/>
        </w:tabs>
        <w:spacing w:line="240" w:lineRule="auto" w:before="177" w:after="0"/>
        <w:ind w:left="694" w:right="0" w:hanging="576"/>
        <w:jc w:val="left"/>
      </w:pPr>
      <w:bookmarkStart w:name="_bookmark41" w:id="78"/>
      <w:bookmarkEnd w:id="78"/>
      <w:r>
        <w:rPr>
          <w:b w:val="0"/>
        </w:rPr>
      </w:r>
      <w:bookmarkStart w:name="_bookmark41" w:id="79"/>
      <w:bookmarkEnd w:id="79"/>
      <w:r>
        <w:rPr>
          <w:spacing w:val="-2"/>
        </w:rPr>
        <w:t>感染艾滋病病毒或患艾滋病</w:t>
      </w:r>
    </w:p>
    <w:p>
      <w:pPr>
        <w:pStyle w:val="BodyText"/>
        <w:spacing w:line="256" w:lineRule="auto" w:before="177"/>
        <w:ind w:left="1589" w:right="146"/>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spacing w:after="0" w:line="256" w:lineRule="auto"/>
        <w:sectPr>
          <w:pgSz w:w="11910" w:h="16840"/>
          <w:pgMar w:top="1400" w:bottom="280" w:left="1300" w:right="1240"/>
        </w:sectPr>
      </w:pPr>
    </w:p>
    <w:p>
      <w:pPr>
        <w:pStyle w:val="BodyText"/>
        <w:spacing w:line="273" w:lineRule="auto" w:before="9"/>
        <w:ind w:left="158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9"/>
        </w:numPr>
        <w:tabs>
          <w:tab w:pos="694" w:val="left" w:leader="none"/>
          <w:tab w:pos="695" w:val="left" w:leader="none"/>
        </w:tabs>
        <w:spacing w:line="240" w:lineRule="auto" w:before="163" w:after="0"/>
        <w:ind w:left="694" w:right="0" w:hanging="576"/>
        <w:jc w:val="left"/>
      </w:pPr>
      <w:bookmarkStart w:name="_bookmark42" w:id="80"/>
      <w:bookmarkEnd w:id="80"/>
      <w:r>
        <w:rPr>
          <w:b w:val="0"/>
        </w:rPr>
      </w:r>
      <w:bookmarkStart w:name="_bookmark42" w:id="81"/>
      <w:bookmarkEnd w:id="81"/>
      <w:r>
        <w:rPr/>
        <w:t>遗传性疾病</w:t>
      </w:r>
    </w:p>
    <w:p>
      <w:pPr>
        <w:pStyle w:val="BodyText"/>
        <w:spacing w:line="273" w:lineRule="auto" w:before="176"/>
        <w:ind w:left="1589" w:right="208"/>
      </w:pPr>
      <w:r>
        <w:rPr/>
        <w:t>指生殖细胞或受精卵的遗传物质（染色体和基因）发生突变或畸变所引起的疾病， 通常具有由亲代传至后代的垂直传递的特征。</w:t>
      </w:r>
    </w:p>
    <w:p>
      <w:pPr>
        <w:pStyle w:val="Heading3"/>
        <w:numPr>
          <w:ilvl w:val="1"/>
          <w:numId w:val="9"/>
        </w:numPr>
        <w:tabs>
          <w:tab w:pos="694" w:val="left" w:leader="none"/>
          <w:tab w:pos="695" w:val="left" w:leader="none"/>
        </w:tabs>
        <w:spacing w:line="240" w:lineRule="auto" w:before="163" w:after="0"/>
        <w:ind w:left="694" w:right="0" w:hanging="576"/>
        <w:jc w:val="left"/>
      </w:pPr>
      <w:bookmarkStart w:name="_bookmark43" w:id="82"/>
      <w:bookmarkEnd w:id="82"/>
      <w:r>
        <w:rPr>
          <w:b w:val="0"/>
        </w:rPr>
      </w:r>
      <w:bookmarkStart w:name="_bookmark43" w:id="83"/>
      <w:bookmarkEnd w:id="83"/>
      <w:r>
        <w:rPr>
          <w:spacing w:val="-2"/>
        </w:rPr>
        <w:t>先天性畸形、变形或染色体异常</w:t>
      </w:r>
    </w:p>
    <w:p>
      <w:pPr>
        <w:pStyle w:val="BodyText"/>
        <w:spacing w:line="273" w:lineRule="auto" w:before="177"/>
        <w:ind w:left="1589" w:right="2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9"/>
        </w:numPr>
        <w:tabs>
          <w:tab w:pos="694" w:val="left" w:leader="none"/>
          <w:tab w:pos="695" w:val="left" w:leader="none"/>
        </w:tabs>
        <w:spacing w:line="240" w:lineRule="auto" w:before="144" w:after="0"/>
        <w:ind w:left="694" w:right="0" w:hanging="576"/>
        <w:jc w:val="left"/>
      </w:pPr>
      <w:bookmarkStart w:name="_bookmark44" w:id="84"/>
      <w:bookmarkEnd w:id="84"/>
      <w:r>
        <w:rPr>
          <w:b w:val="0"/>
        </w:rPr>
      </w:r>
      <w:bookmarkStart w:name="_bookmark44" w:id="85"/>
      <w:bookmarkEnd w:id="85"/>
      <w:r>
        <w:rPr/>
        <w:t>现金价值</w:t>
      </w:r>
    </w:p>
    <w:p>
      <w:pPr>
        <w:pStyle w:val="BodyText"/>
        <w:spacing w:line="273" w:lineRule="auto" w:before="176"/>
        <w:ind w:left="1589" w:right="208"/>
      </w:pPr>
      <w:r>
        <w:rPr/>
        <w:t>指保险单所具有的价值，通常体现为解除合同时，根据精算原理计算的，由我们退还的那部分金额。</w:t>
      </w:r>
    </w:p>
    <w:sectPr>
      <w:pgSz w:w="11910" w:h="16840"/>
      <w:pgMar w:top="14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PGothic">
    <w:altName w:val="MS PGothic"/>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794" w:hanging="576"/>
        <w:jc w:val="left"/>
      </w:pPr>
      <w:rPr>
        <w:rFonts w:hint="default"/>
      </w:rPr>
    </w:lvl>
    <w:lvl w:ilvl="1">
      <w:start w:val="2"/>
      <w:numFmt w:val="decimal"/>
      <w:lvlText w:val="%1.%2"/>
      <w:lvlJc w:val="left"/>
      <w:pPr>
        <w:ind w:left="794" w:hanging="576"/>
        <w:jc w:val="right"/>
      </w:pPr>
      <w:rPr>
        <w:rFonts w:hint="default" w:ascii="Times New Roman" w:hAnsi="Times New Roman" w:eastAsia="Times New Roman" w:cs="Times New Roman"/>
        <w:b/>
        <w:bCs/>
        <w:w w:val="100"/>
        <w:sz w:val="21"/>
        <w:szCs w:val="21"/>
      </w:rPr>
    </w:lvl>
    <w:lvl w:ilvl="2">
      <w:start w:val="1"/>
      <w:numFmt w:val="decimal"/>
      <w:lvlText w:val="%3."/>
      <w:lvlJc w:val="left"/>
      <w:pPr>
        <w:ind w:left="1919" w:hanging="361"/>
        <w:jc w:val="left"/>
      </w:pPr>
      <w:rPr>
        <w:rFonts w:hint="default" w:ascii="Times New Roman" w:hAnsi="Times New Roman" w:eastAsia="Times New Roman" w:cs="Times New Roman"/>
        <w:w w:val="100"/>
        <w:sz w:val="21"/>
        <w:szCs w:val="21"/>
      </w:rPr>
    </w:lvl>
    <w:lvl w:ilvl="3">
      <w:start w:val="0"/>
      <w:numFmt w:val="bullet"/>
      <w:lvlText w:val="•"/>
      <w:lvlJc w:val="left"/>
      <w:pPr>
        <w:ind w:left="3574" w:hanging="361"/>
      </w:pPr>
      <w:rPr>
        <w:rFonts w:hint="default"/>
      </w:rPr>
    </w:lvl>
    <w:lvl w:ilvl="4">
      <w:start w:val="0"/>
      <w:numFmt w:val="bullet"/>
      <w:lvlText w:val="•"/>
      <w:lvlJc w:val="left"/>
      <w:pPr>
        <w:ind w:left="4402" w:hanging="361"/>
      </w:pPr>
      <w:rPr>
        <w:rFonts w:hint="default"/>
      </w:rPr>
    </w:lvl>
    <w:lvl w:ilvl="5">
      <w:start w:val="0"/>
      <w:numFmt w:val="bullet"/>
      <w:lvlText w:val="•"/>
      <w:lvlJc w:val="left"/>
      <w:pPr>
        <w:ind w:left="5229" w:hanging="361"/>
      </w:pPr>
      <w:rPr>
        <w:rFonts w:hint="default"/>
      </w:rPr>
    </w:lvl>
    <w:lvl w:ilvl="6">
      <w:start w:val="0"/>
      <w:numFmt w:val="bullet"/>
      <w:lvlText w:val="•"/>
      <w:lvlJc w:val="left"/>
      <w:pPr>
        <w:ind w:left="6056" w:hanging="361"/>
      </w:pPr>
      <w:rPr>
        <w:rFonts w:hint="default"/>
      </w:rPr>
    </w:lvl>
    <w:lvl w:ilvl="7">
      <w:start w:val="0"/>
      <w:numFmt w:val="bullet"/>
      <w:lvlText w:val="•"/>
      <w:lvlJc w:val="left"/>
      <w:pPr>
        <w:ind w:left="6884" w:hanging="361"/>
      </w:pPr>
      <w:rPr>
        <w:rFonts w:hint="default"/>
      </w:rPr>
    </w:lvl>
    <w:lvl w:ilvl="8">
      <w:start w:val="0"/>
      <w:numFmt w:val="bullet"/>
      <w:lvlText w:val="•"/>
      <w:lvlJc w:val="left"/>
      <w:pPr>
        <w:ind w:left="7711" w:hanging="361"/>
      </w:pPr>
      <w:rPr>
        <w:rFonts w:hint="default"/>
      </w:rPr>
    </w:lvl>
  </w:abstractNum>
  <w:abstractNum w:abstractNumId="7">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40" w:hanging="317"/>
      </w:pPr>
      <w:rPr>
        <w:rFonts w:hint="default"/>
      </w:rPr>
    </w:lvl>
    <w:lvl w:ilvl="2">
      <w:start w:val="0"/>
      <w:numFmt w:val="bullet"/>
      <w:lvlText w:val="•"/>
      <w:lvlJc w:val="left"/>
      <w:pPr>
        <w:ind w:left="3381" w:hanging="317"/>
      </w:pPr>
      <w:rPr>
        <w:rFonts w:hint="default"/>
      </w:rPr>
    </w:lvl>
    <w:lvl w:ilvl="3">
      <w:start w:val="0"/>
      <w:numFmt w:val="bullet"/>
      <w:lvlText w:val="•"/>
      <w:lvlJc w:val="left"/>
      <w:pPr>
        <w:ind w:left="4121" w:hanging="317"/>
      </w:pPr>
      <w:rPr>
        <w:rFonts w:hint="default"/>
      </w:rPr>
    </w:lvl>
    <w:lvl w:ilvl="4">
      <w:start w:val="0"/>
      <w:numFmt w:val="bullet"/>
      <w:lvlText w:val="•"/>
      <w:lvlJc w:val="left"/>
      <w:pPr>
        <w:ind w:left="4862" w:hanging="317"/>
      </w:pPr>
      <w:rPr>
        <w:rFonts w:hint="default"/>
      </w:rPr>
    </w:lvl>
    <w:lvl w:ilvl="5">
      <w:start w:val="0"/>
      <w:numFmt w:val="bullet"/>
      <w:lvlText w:val="•"/>
      <w:lvlJc w:val="left"/>
      <w:pPr>
        <w:ind w:left="5603" w:hanging="317"/>
      </w:pPr>
      <w:rPr>
        <w:rFonts w:hint="default"/>
      </w:rPr>
    </w:lvl>
    <w:lvl w:ilvl="6">
      <w:start w:val="0"/>
      <w:numFmt w:val="bullet"/>
      <w:lvlText w:val="•"/>
      <w:lvlJc w:val="left"/>
      <w:pPr>
        <w:ind w:left="6343" w:hanging="317"/>
      </w:pPr>
      <w:rPr>
        <w:rFonts w:hint="default"/>
      </w:rPr>
    </w:lvl>
    <w:lvl w:ilvl="7">
      <w:start w:val="0"/>
      <w:numFmt w:val="bullet"/>
      <w:lvlText w:val="•"/>
      <w:lvlJc w:val="left"/>
      <w:pPr>
        <w:ind w:left="7084" w:hanging="317"/>
      </w:pPr>
      <w:rPr>
        <w:rFonts w:hint="default"/>
      </w:rPr>
    </w:lvl>
    <w:lvl w:ilvl="8">
      <w:start w:val="0"/>
      <w:numFmt w:val="bullet"/>
      <w:lvlText w:val="•"/>
      <w:lvlJc w:val="left"/>
      <w:pPr>
        <w:ind w:left="7825" w:hanging="317"/>
      </w:pPr>
      <w:rPr>
        <w:rFonts w:hint="default"/>
      </w:rPr>
    </w:lvl>
  </w:abstractNum>
  <w:abstractNum w:abstractNumId="6">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589" w:hanging="720"/>
        <w:jc w:val="left"/>
      </w:pPr>
      <w:rPr>
        <w:rFonts w:hint="default" w:ascii="Times New Roman" w:hAnsi="Times New Roman" w:eastAsia="Times New Roman" w:cs="Times New Roman"/>
        <w:b/>
        <w:bCs/>
        <w:w w:val="100"/>
        <w:sz w:val="21"/>
        <w:szCs w:val="21"/>
      </w:rPr>
    </w:lvl>
    <w:lvl w:ilvl="3">
      <w:start w:val="1"/>
      <w:numFmt w:val="decimal"/>
      <w:lvlText w:val="%4."/>
      <w:lvlJc w:val="left"/>
      <w:pPr>
        <w:ind w:left="1978" w:hanging="421"/>
        <w:jc w:val="left"/>
      </w:pPr>
      <w:rPr>
        <w:rFonts w:hint="default" w:ascii="Times New Roman" w:hAnsi="Times New Roman" w:eastAsia="Times New Roman" w:cs="Times New Roman"/>
        <w:w w:val="100"/>
        <w:sz w:val="21"/>
        <w:szCs w:val="21"/>
      </w:rPr>
    </w:lvl>
    <w:lvl w:ilvl="4">
      <w:start w:val="0"/>
      <w:numFmt w:val="bullet"/>
      <w:lvlText w:val="•"/>
      <w:lvlJc w:val="left"/>
      <w:pPr>
        <w:ind w:left="3023" w:hanging="421"/>
      </w:pPr>
      <w:rPr>
        <w:rFonts w:hint="default"/>
      </w:rPr>
    </w:lvl>
    <w:lvl w:ilvl="5">
      <w:start w:val="0"/>
      <w:numFmt w:val="bullet"/>
      <w:lvlText w:val="•"/>
      <w:lvlJc w:val="left"/>
      <w:pPr>
        <w:ind w:left="4067" w:hanging="421"/>
      </w:pPr>
      <w:rPr>
        <w:rFonts w:hint="default"/>
      </w:rPr>
    </w:lvl>
    <w:lvl w:ilvl="6">
      <w:start w:val="0"/>
      <w:numFmt w:val="bullet"/>
      <w:lvlText w:val="•"/>
      <w:lvlJc w:val="left"/>
      <w:pPr>
        <w:ind w:left="5111" w:hanging="421"/>
      </w:pPr>
      <w:rPr>
        <w:rFonts w:hint="default"/>
      </w:rPr>
    </w:lvl>
    <w:lvl w:ilvl="7">
      <w:start w:val="0"/>
      <w:numFmt w:val="bullet"/>
      <w:lvlText w:val="•"/>
      <w:lvlJc w:val="left"/>
      <w:pPr>
        <w:ind w:left="6155" w:hanging="421"/>
      </w:pPr>
      <w:rPr>
        <w:rFonts w:hint="default"/>
      </w:rPr>
    </w:lvl>
    <w:lvl w:ilvl="8">
      <w:start w:val="0"/>
      <w:numFmt w:val="bullet"/>
      <w:lvlText w:val="•"/>
      <w:lvlJc w:val="left"/>
      <w:pPr>
        <w:ind w:left="7198" w:hanging="421"/>
      </w:pPr>
      <w:rPr>
        <w:rFonts w:hint="default"/>
      </w:rPr>
    </w:lvl>
  </w:abstractNum>
  <w:abstractNum w:abstractNumId="5">
    <w:multiLevelType w:val="hybridMultilevel"/>
    <w:lvl w:ilvl="0">
      <w:start w:val="2"/>
      <w:numFmt w:val="decimal"/>
      <w:lvlText w:val="%1"/>
      <w:lvlJc w:val="left"/>
      <w:pPr>
        <w:ind w:left="694" w:hanging="576"/>
        <w:jc w:val="left"/>
      </w:pPr>
      <w:rPr>
        <w:rFonts w:hint="default"/>
      </w:rPr>
    </w:lvl>
    <w:lvl w:ilvl="1">
      <w:start w:val="4"/>
      <w:numFmt w:val="decimal"/>
      <w:lvlText w:val="%1.%2"/>
      <w:lvlJc w:val="left"/>
      <w:pPr>
        <w:ind w:left="694" w:hanging="576"/>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378" w:hanging="720"/>
        <w:jc w:val="left"/>
      </w:pPr>
      <w:rPr>
        <w:rFonts w:hint="default" w:ascii="Times New Roman" w:hAnsi="Times New Roman" w:eastAsia="Times New Roman" w:cs="Times New Roman"/>
        <w:b/>
        <w:bCs/>
        <w:w w:val="100"/>
        <w:sz w:val="21"/>
        <w:szCs w:val="21"/>
      </w:rPr>
    </w:lvl>
    <w:lvl w:ilvl="3">
      <w:start w:val="1"/>
      <w:numFmt w:val="decimal"/>
      <w:lvlText w:val="%4."/>
      <w:lvlJc w:val="left"/>
      <w:pPr>
        <w:ind w:left="1875" w:hanging="317"/>
        <w:jc w:val="left"/>
      </w:pPr>
      <w:rPr>
        <w:rFonts w:hint="default" w:ascii="Times New Roman" w:hAnsi="Times New Roman" w:eastAsia="Times New Roman" w:cs="Times New Roman"/>
        <w:w w:val="100"/>
        <w:sz w:val="21"/>
        <w:szCs w:val="21"/>
      </w:rPr>
    </w:lvl>
    <w:lvl w:ilvl="4">
      <w:start w:val="0"/>
      <w:numFmt w:val="bullet"/>
      <w:lvlText w:val="•"/>
      <w:lvlJc w:val="left"/>
      <w:pPr>
        <w:ind w:left="2952" w:hanging="317"/>
      </w:pPr>
      <w:rPr>
        <w:rFonts w:hint="default"/>
      </w:rPr>
    </w:lvl>
    <w:lvl w:ilvl="5">
      <w:start w:val="0"/>
      <w:numFmt w:val="bullet"/>
      <w:lvlText w:val="•"/>
      <w:lvlJc w:val="left"/>
      <w:pPr>
        <w:ind w:left="4004" w:hanging="317"/>
      </w:pPr>
      <w:rPr>
        <w:rFonts w:hint="default"/>
      </w:rPr>
    </w:lvl>
    <w:lvl w:ilvl="6">
      <w:start w:val="0"/>
      <w:numFmt w:val="bullet"/>
      <w:lvlText w:val="•"/>
      <w:lvlJc w:val="left"/>
      <w:pPr>
        <w:ind w:left="5057" w:hanging="317"/>
      </w:pPr>
      <w:rPr>
        <w:rFonts w:hint="default"/>
      </w:rPr>
    </w:lvl>
    <w:lvl w:ilvl="7">
      <w:start w:val="0"/>
      <w:numFmt w:val="bullet"/>
      <w:lvlText w:val="•"/>
      <w:lvlJc w:val="left"/>
      <w:pPr>
        <w:ind w:left="6109" w:hanging="317"/>
      </w:pPr>
      <w:rPr>
        <w:rFonts w:hint="default"/>
      </w:rPr>
    </w:lvl>
    <w:lvl w:ilvl="8">
      <w:start w:val="0"/>
      <w:numFmt w:val="bullet"/>
      <w:lvlText w:val="•"/>
      <w:lvlJc w:val="left"/>
      <w:pPr>
        <w:ind w:left="7161" w:hanging="317"/>
      </w:pPr>
      <w:rPr>
        <w:rFonts w:hint="default"/>
      </w:rPr>
    </w:lvl>
  </w:abstractNum>
  <w:abstractNum w:abstractNumId="4">
    <w:multiLevelType w:val="hybridMultilevel"/>
    <w:lvl w:ilvl="0">
      <w:start w:val="2"/>
      <w:numFmt w:val="decimal"/>
      <w:lvlText w:val="%1"/>
      <w:lvlJc w:val="left"/>
      <w:pPr>
        <w:ind w:left="944" w:hanging="826"/>
        <w:jc w:val="left"/>
      </w:pPr>
      <w:rPr>
        <w:rFonts w:hint="default"/>
      </w:rPr>
    </w:lvl>
    <w:lvl w:ilvl="1">
      <w:start w:val="3"/>
      <w:numFmt w:val="decimal"/>
      <w:lvlText w:val="%1.%2"/>
      <w:lvlJc w:val="left"/>
      <w:pPr>
        <w:ind w:left="944" w:hanging="826"/>
        <w:jc w:val="left"/>
      </w:pPr>
      <w:rPr>
        <w:rFonts w:hint="default"/>
      </w:rPr>
    </w:lvl>
    <w:lvl w:ilvl="2">
      <w:start w:val="1"/>
      <w:numFmt w:val="decimal"/>
      <w:lvlText w:val="%1.%2.%3"/>
      <w:lvlJc w:val="left"/>
      <w:pPr>
        <w:ind w:left="944" w:hanging="826"/>
        <w:jc w:val="left"/>
      </w:pPr>
      <w:rPr>
        <w:rFonts w:hint="default" w:ascii="Times New Roman" w:hAnsi="Times New Roman" w:eastAsia="Times New Roman" w:cs="Times New Roman"/>
        <w:b/>
        <w:bCs/>
        <w:w w:val="100"/>
        <w:sz w:val="21"/>
        <w:szCs w:val="21"/>
      </w:rPr>
    </w:lvl>
    <w:lvl w:ilvl="3">
      <w:start w:val="0"/>
      <w:numFmt w:val="bullet"/>
      <w:lvlText w:val="•"/>
      <w:lvlJc w:val="left"/>
      <w:pPr>
        <w:ind w:left="3437" w:hanging="826"/>
      </w:pPr>
      <w:rPr>
        <w:rFonts w:hint="default"/>
      </w:rPr>
    </w:lvl>
    <w:lvl w:ilvl="4">
      <w:start w:val="0"/>
      <w:numFmt w:val="bullet"/>
      <w:lvlText w:val="•"/>
      <w:lvlJc w:val="left"/>
      <w:pPr>
        <w:ind w:left="4270" w:hanging="826"/>
      </w:pPr>
      <w:rPr>
        <w:rFonts w:hint="default"/>
      </w:rPr>
    </w:lvl>
    <w:lvl w:ilvl="5">
      <w:start w:val="0"/>
      <w:numFmt w:val="bullet"/>
      <w:lvlText w:val="•"/>
      <w:lvlJc w:val="left"/>
      <w:pPr>
        <w:ind w:left="5103" w:hanging="826"/>
      </w:pPr>
      <w:rPr>
        <w:rFonts w:hint="default"/>
      </w:rPr>
    </w:lvl>
    <w:lvl w:ilvl="6">
      <w:start w:val="0"/>
      <w:numFmt w:val="bullet"/>
      <w:lvlText w:val="•"/>
      <w:lvlJc w:val="left"/>
      <w:pPr>
        <w:ind w:left="5935" w:hanging="826"/>
      </w:pPr>
      <w:rPr>
        <w:rFonts w:hint="default"/>
      </w:rPr>
    </w:lvl>
    <w:lvl w:ilvl="7">
      <w:start w:val="0"/>
      <w:numFmt w:val="bullet"/>
      <w:lvlText w:val="•"/>
      <w:lvlJc w:val="left"/>
      <w:pPr>
        <w:ind w:left="6768" w:hanging="826"/>
      </w:pPr>
      <w:rPr>
        <w:rFonts w:hint="default"/>
      </w:rPr>
    </w:lvl>
    <w:lvl w:ilvl="8">
      <w:start w:val="0"/>
      <w:numFmt w:val="bullet"/>
      <w:lvlText w:val="•"/>
      <w:lvlJc w:val="left"/>
      <w:pPr>
        <w:ind w:left="7601" w:hanging="826"/>
      </w:pPr>
      <w:rPr>
        <w:rFonts w:hint="default"/>
      </w:rPr>
    </w:lvl>
  </w:abstractNum>
  <w:abstractNum w:abstractNumId="3">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7"/>
      </w:pPr>
      <w:rPr>
        <w:rFonts w:hint="default"/>
      </w:rPr>
    </w:lvl>
    <w:lvl w:ilvl="4">
      <w:start w:val="0"/>
      <w:numFmt w:val="bullet"/>
      <w:lvlText w:val="•"/>
      <w:lvlJc w:val="left"/>
      <w:pPr>
        <w:ind w:left="3751" w:hanging="317"/>
      </w:pPr>
      <w:rPr>
        <w:rFonts w:hint="default"/>
      </w:rPr>
    </w:lvl>
    <w:lvl w:ilvl="5">
      <w:start w:val="0"/>
      <w:numFmt w:val="bullet"/>
      <w:lvlText w:val="•"/>
      <w:lvlJc w:val="left"/>
      <w:pPr>
        <w:ind w:left="4677"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454" w:hanging="317"/>
      </w:pPr>
      <w:rPr>
        <w:rFonts w:hint="default"/>
      </w:rPr>
    </w:lvl>
  </w:abstractNum>
  <w:abstractNum w:abstractNumId="1">
    <w:multiLevelType w:val="hybridMultilevel"/>
    <w:lvl w:ilvl="0">
      <w:start w:val="7"/>
      <w:numFmt w:val="decimal"/>
      <w:lvlText w:val="%1"/>
      <w:lvlJc w:val="left"/>
      <w:pPr>
        <w:ind w:left="692" w:hanging="421"/>
        <w:jc w:val="left"/>
      </w:pPr>
      <w:rPr>
        <w:rFonts w:hint="default"/>
      </w:rPr>
    </w:lvl>
    <w:lvl w:ilvl="1">
      <w:start w:val="5"/>
      <w:numFmt w:val="decimal"/>
      <w:lvlText w:val="%1.%2"/>
      <w:lvlJc w:val="left"/>
      <w:pPr>
        <w:ind w:left="693"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3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572" w:hanging="421"/>
      </w:pPr>
      <w:rPr>
        <w:rFonts w:hint="default"/>
      </w:rPr>
    </w:lvl>
    <w:lvl w:ilvl="5">
      <w:start w:val="0"/>
      <w:numFmt w:val="bullet"/>
      <w:lvlText w:val="•"/>
      <w:lvlJc w:val="left"/>
      <w:pPr>
        <w:ind w:left="1790" w:hanging="421"/>
      </w:pPr>
      <w:rPr>
        <w:rFonts w:hint="default"/>
      </w:rPr>
    </w:lvl>
    <w:lvl w:ilvl="6">
      <w:start w:val="0"/>
      <w:numFmt w:val="bullet"/>
      <w:lvlText w:val="•"/>
      <w:lvlJc w:val="left"/>
      <w:pPr>
        <w:ind w:left="2008" w:hanging="421"/>
      </w:pPr>
      <w:rPr>
        <w:rFonts w:hint="default"/>
      </w:rPr>
    </w:lvl>
    <w:lvl w:ilvl="7">
      <w:start w:val="0"/>
      <w:numFmt w:val="bullet"/>
      <w:lvlText w:val="•"/>
      <w:lvlJc w:val="left"/>
      <w:pPr>
        <w:ind w:left="2226" w:hanging="421"/>
      </w:pPr>
      <w:rPr>
        <w:rFonts w:hint="default"/>
      </w:rPr>
    </w:lvl>
    <w:lvl w:ilvl="8">
      <w:start w:val="0"/>
      <w:numFmt w:val="bullet"/>
      <w:lvlText w:val="•"/>
      <w:lvlJc w:val="left"/>
      <w:pPr>
        <w:ind w:left="2444" w:hanging="421"/>
      </w:pPr>
      <w:rPr>
        <w:rFonts w:hint="default"/>
      </w:rPr>
    </w:lvl>
  </w:abstractNum>
  <w:abstractNum w:abstractNumId="0">
    <w:multiLevelType w:val="hybridMultilevel"/>
    <w:lvl w:ilvl="0">
      <w:start w:val="4"/>
      <w:numFmt w:val="decimal"/>
      <w:lvlText w:val="%1"/>
      <w:lvlJc w:val="left"/>
      <w:pPr>
        <w:ind w:left="232" w:hanging="421"/>
        <w:jc w:val="left"/>
      </w:pPr>
      <w:rPr>
        <w:rFonts w:hint="default"/>
      </w:rPr>
    </w:lvl>
    <w:lvl w:ilvl="1">
      <w:start w:val="1"/>
      <w:numFmt w:val="decimal"/>
      <w:lvlText w:val="%1.%2"/>
      <w:lvlJc w:val="left"/>
      <w:pPr>
        <w:ind w:left="232" w:hanging="421"/>
        <w:jc w:val="left"/>
      </w:pPr>
      <w:rPr>
        <w:rFonts w:hint="default" w:ascii="Times New Roman" w:hAnsi="Times New Roman" w:eastAsia="Times New Roman" w:cs="Times New Roman"/>
        <w:w w:val="100"/>
        <w:sz w:val="21"/>
        <w:szCs w:val="21"/>
      </w:rPr>
    </w:lvl>
    <w:lvl w:ilvl="2">
      <w:start w:val="0"/>
      <w:numFmt w:val="bullet"/>
      <w:lvlText w:val="•"/>
      <w:lvlJc w:val="left"/>
      <w:pPr>
        <w:ind w:left="761" w:hanging="421"/>
      </w:pPr>
      <w:rPr>
        <w:rFonts w:hint="default"/>
      </w:rPr>
    </w:lvl>
    <w:lvl w:ilvl="3">
      <w:start w:val="0"/>
      <w:numFmt w:val="bullet"/>
      <w:lvlText w:val="•"/>
      <w:lvlJc w:val="left"/>
      <w:pPr>
        <w:ind w:left="1022" w:hanging="421"/>
      </w:pPr>
      <w:rPr>
        <w:rFonts w:hint="default"/>
      </w:rPr>
    </w:lvl>
    <w:lvl w:ilvl="4">
      <w:start w:val="0"/>
      <w:numFmt w:val="bullet"/>
      <w:lvlText w:val="•"/>
      <w:lvlJc w:val="left"/>
      <w:pPr>
        <w:ind w:left="1283" w:hanging="421"/>
      </w:pPr>
      <w:rPr>
        <w:rFonts w:hint="default"/>
      </w:rPr>
    </w:lvl>
    <w:lvl w:ilvl="5">
      <w:start w:val="0"/>
      <w:numFmt w:val="bullet"/>
      <w:lvlText w:val="•"/>
      <w:lvlJc w:val="left"/>
      <w:pPr>
        <w:ind w:left="1544" w:hanging="421"/>
      </w:pPr>
      <w:rPr>
        <w:rFonts w:hint="default"/>
      </w:rPr>
    </w:lvl>
    <w:lvl w:ilvl="6">
      <w:start w:val="0"/>
      <w:numFmt w:val="bullet"/>
      <w:lvlText w:val="•"/>
      <w:lvlJc w:val="left"/>
      <w:pPr>
        <w:ind w:left="1805" w:hanging="421"/>
      </w:pPr>
      <w:rPr>
        <w:rFonts w:hint="default"/>
      </w:rPr>
    </w:lvl>
    <w:lvl w:ilvl="7">
      <w:start w:val="0"/>
      <w:numFmt w:val="bullet"/>
      <w:lvlText w:val="•"/>
      <w:lvlJc w:val="left"/>
      <w:pPr>
        <w:ind w:left="2066" w:hanging="421"/>
      </w:pPr>
      <w:rPr>
        <w:rFonts w:hint="default"/>
      </w:rPr>
    </w:lvl>
    <w:lvl w:ilvl="8">
      <w:start w:val="0"/>
      <w:numFmt w:val="bullet"/>
      <w:lvlText w:val="•"/>
      <w:lvlJc w:val="left"/>
      <w:pPr>
        <w:ind w:left="2327" w:hanging="421"/>
      </w:pPr>
      <w:rPr>
        <w:rFonts w:hint="default"/>
      </w:rPr>
    </w:lvl>
  </w:abstractNum>
  <w:abstractNum w:abstractNumId="2">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421"/>
      </w:pPr>
      <w:rPr>
        <w:rFonts w:hint="default"/>
      </w:rPr>
    </w:lvl>
    <w:lvl w:ilvl="3">
      <w:start w:val="0"/>
      <w:numFmt w:val="bullet"/>
      <w:lvlText w:val="•"/>
      <w:lvlJc w:val="left"/>
      <w:pPr>
        <w:ind w:left="2885" w:hanging="421"/>
      </w:pPr>
      <w:rPr>
        <w:rFonts w:hint="default"/>
      </w:rPr>
    </w:lvl>
    <w:lvl w:ilvl="4">
      <w:start w:val="0"/>
      <w:numFmt w:val="bullet"/>
      <w:lvlText w:val="•"/>
      <w:lvlJc w:val="left"/>
      <w:pPr>
        <w:ind w:left="3968" w:hanging="421"/>
      </w:pPr>
      <w:rPr>
        <w:rFonts w:hint="default"/>
      </w:rPr>
    </w:lvl>
    <w:lvl w:ilvl="5">
      <w:start w:val="0"/>
      <w:numFmt w:val="bullet"/>
      <w:lvlText w:val="•"/>
      <w:lvlJc w:val="left"/>
      <w:pPr>
        <w:ind w:left="5051" w:hanging="421"/>
      </w:pPr>
      <w:rPr>
        <w:rFonts w:hint="default"/>
      </w:rPr>
    </w:lvl>
    <w:lvl w:ilvl="6">
      <w:start w:val="0"/>
      <w:numFmt w:val="bullet"/>
      <w:lvlText w:val="•"/>
      <w:lvlJc w:val="left"/>
      <w:pPr>
        <w:ind w:left="6134" w:hanging="421"/>
      </w:pPr>
      <w:rPr>
        <w:rFonts w:hint="default"/>
      </w:rPr>
    </w:lvl>
    <w:lvl w:ilvl="7">
      <w:start w:val="0"/>
      <w:numFmt w:val="bullet"/>
      <w:lvlText w:val="•"/>
      <w:lvlJc w:val="left"/>
      <w:pPr>
        <w:ind w:left="7217" w:hanging="421"/>
      </w:pPr>
      <w:rPr>
        <w:rFonts w:hint="default"/>
      </w:rPr>
    </w:lvl>
    <w:lvl w:ilvl="8">
      <w:start w:val="0"/>
      <w:numFmt w:val="bullet"/>
      <w:lvlText w:val="•"/>
      <w:lvlJc w:val="left"/>
      <w:pPr>
        <w:ind w:left="8300" w:hanging="421"/>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17"/>
      <w:outlineLvl w:val="1"/>
    </w:pPr>
    <w:rPr>
      <w:rFonts w:ascii="微软雅黑" w:hAnsi="微软雅黑" w:eastAsia="微软雅黑" w:cs="微软雅黑"/>
      <w:b/>
      <w:bCs/>
      <w:sz w:val="36"/>
      <w:szCs w:val="36"/>
    </w:rPr>
  </w:style>
  <w:style w:styleId="Heading2" w:type="paragraph">
    <w:name w:val="Heading 2"/>
    <w:basedOn w:val="Normal"/>
    <w:uiPriority w:val="1"/>
    <w:qFormat/>
    <w:pPr>
      <w:spacing w:before="1"/>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43"/>
      <w:ind w:left="83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177"/>
      <w:ind w:left="838" w:hanging="720"/>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2018-10-19T23:04:07Z</dcterms:created>
  <dcterms:modified xsi:type="dcterms:W3CDTF">2018-10-19T23:04:07Z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Acrobat PDFMaker 10.0 Word 版</vt:lpwstr>
  </property>
  <property fmtid="{D5CDD505-2E9C-101B-9397-08002B2CF9AE}" pid="4" name="LastSaved">
    <vt:filetime>2018-10-19T00:00:00Z</vt:filetime>
  </property>
</Properties>
</file>