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741" w:firstLine="0"/>
        <w:jc w:val="right"/>
        <w:rPr>
          <w:sz w:val="18"/>
        </w:rPr>
      </w:pPr>
      <w:r>
        <w:rPr/>
        <w:drawing>
          <wp:anchor distT="0" distB="0" distL="0" distR="0" allowOverlap="1" layoutInCell="1" locked="0" behindDoc="1" simplePos="0" relativeHeight="268388279">
            <wp:simplePos x="0" y="0"/>
            <wp:positionH relativeFrom="page">
              <wp:posOffset>5514340</wp:posOffset>
            </wp:positionH>
            <wp:positionV relativeFrom="paragraph">
              <wp:posOffset>195855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英大人寿[2015]疾病保险 007 号</w:t>
      </w:r>
    </w:p>
    <w:p>
      <w:pPr>
        <w:pStyle w:val="BodyText"/>
        <w:rPr>
          <w:sz w:val="20"/>
        </w:rPr>
      </w:pPr>
    </w:p>
    <w:p>
      <w:pPr>
        <w:pStyle w:val="BodyText"/>
        <w:rPr>
          <w:sz w:val="20"/>
        </w:rPr>
      </w:pPr>
    </w:p>
    <w:p>
      <w:pPr>
        <w:pStyle w:val="BodyText"/>
        <w:spacing w:before="11"/>
        <w:rPr>
          <w:sz w:val="26"/>
        </w:rPr>
      </w:pPr>
    </w:p>
    <w:p>
      <w:pPr>
        <w:spacing w:after="0"/>
        <w:rPr>
          <w:sz w:val="26"/>
        </w:rPr>
        <w:sectPr>
          <w:footerReference w:type="default" r:id="rId5"/>
          <w:type w:val="continuous"/>
          <w:pgSz w:w="11910" w:h="16840"/>
          <w:pgMar w:footer="919" w:top="320" w:bottom="1100" w:left="980" w:right="680"/>
          <w:pgNumType w:start="1"/>
        </w:sectPr>
      </w:pPr>
    </w:p>
    <w:p>
      <w:pPr>
        <w:tabs>
          <w:tab w:pos="2653" w:val="left" w:leader="none"/>
        </w:tabs>
        <w:spacing w:line="458" w:lineRule="exact" w:before="0"/>
        <w:ind w:left="323" w:right="0" w:firstLine="0"/>
        <w:jc w:val="left"/>
        <w:rPr>
          <w:b/>
          <w:sz w:val="30"/>
        </w:rPr>
      </w:pPr>
      <w:r>
        <w:rPr>
          <w:rFonts w:ascii="Microsoft JhengHei" w:eastAsia="Microsoft JhengHei" w:hint="eastAsia"/>
          <w:b/>
          <w:sz w:val="32"/>
        </w:rPr>
        <w:t>附件</w:t>
      </w:r>
      <w:r>
        <w:rPr>
          <w:rFonts w:ascii="Microsoft JhengHei" w:eastAsia="Microsoft JhengHei" w:hint="eastAsia"/>
          <w:b/>
          <w:spacing w:val="-11"/>
          <w:sz w:val="32"/>
        </w:rPr>
        <w:t> </w:t>
      </w:r>
      <w:r>
        <w:rPr>
          <w:rFonts w:ascii="微软雅黑" w:eastAsia="微软雅黑" w:hint="eastAsia"/>
          <w:b/>
          <w:sz w:val="32"/>
        </w:rPr>
        <w:t>1-2</w:t>
        <w:tab/>
      </w:r>
      <w:r>
        <w:rPr>
          <w:b/>
          <w:sz w:val="30"/>
        </w:rPr>
        <w:t>英大安康宝</w:t>
      </w:r>
      <w:r>
        <w:rPr>
          <w:b/>
          <w:spacing w:val="-80"/>
          <w:sz w:val="30"/>
        </w:rPr>
        <w:t> </w:t>
      </w:r>
      <w:r>
        <w:rPr>
          <w:b/>
          <w:sz w:val="30"/>
        </w:rPr>
        <w:t>B</w:t>
      </w:r>
      <w:r>
        <w:rPr>
          <w:b/>
          <w:spacing w:val="-77"/>
          <w:sz w:val="30"/>
        </w:rPr>
        <w:t> </w:t>
      </w:r>
      <w:r>
        <w:rPr>
          <w:b/>
          <w:sz w:val="30"/>
        </w:rPr>
        <w:t>款重大疾病保险条款</w:t>
      </w:r>
    </w:p>
    <w:p>
      <w:pPr>
        <w:spacing w:before="182"/>
        <w:ind w:left="4341" w:right="0" w:firstLine="0"/>
        <w:jc w:val="left"/>
        <w:rPr>
          <w:b/>
          <w:sz w:val="30"/>
        </w:rPr>
      </w:pPr>
      <w:r>
        <w:rPr>
          <w:b/>
          <w:w w:val="95"/>
          <w:sz w:val="30"/>
        </w:rPr>
        <w:t>阅读指引</w:t>
      </w:r>
    </w:p>
    <w:p>
      <w:pPr>
        <w:pStyle w:val="BodyText"/>
        <w:spacing w:before="1"/>
        <w:rPr>
          <w:b/>
          <w:sz w:val="22"/>
        </w:rPr>
      </w:pPr>
      <w:r>
        <w:rPr/>
        <w:br w:type="column"/>
      </w:r>
      <w:r>
        <w:rPr>
          <w:b/>
          <w:sz w:val="22"/>
        </w:rPr>
      </w:r>
    </w:p>
    <w:p>
      <w:pPr>
        <w:spacing w:before="0"/>
        <w:ind w:left="67" w:right="0" w:firstLine="0"/>
        <w:jc w:val="left"/>
        <w:rPr>
          <w:sz w:val="18"/>
        </w:rPr>
      </w:pPr>
      <w:r>
        <w:rPr>
          <w:sz w:val="18"/>
        </w:rPr>
        <w:t>请扫描以查询验证条款</w:t>
      </w:r>
    </w:p>
    <w:p>
      <w:pPr>
        <w:spacing w:after="0"/>
        <w:jc w:val="left"/>
        <w:rPr>
          <w:sz w:val="18"/>
        </w:rPr>
        <w:sectPr>
          <w:type w:val="continuous"/>
          <w:pgSz w:w="11910" w:h="16840"/>
          <w:pgMar w:top="320" w:bottom="1100" w:left="980" w:right="680"/>
          <w:cols w:num="2" w:equalWidth="0">
            <w:col w:w="7172" w:space="40"/>
            <w:col w:w="3038"/>
          </w:cols>
        </w:sectPr>
      </w:pPr>
    </w:p>
    <w:p>
      <w:pPr>
        <w:pStyle w:val="BodyText"/>
        <w:spacing w:before="12"/>
        <w:rPr>
          <w:sz w:val="8"/>
        </w:rPr>
      </w:pPr>
    </w:p>
    <w:p>
      <w:pPr>
        <w:pStyle w:val="BodyText"/>
        <w:spacing w:before="36"/>
        <w:ind w:left="189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873" w:val="left" w:leader="none"/>
        </w:tabs>
        <w:spacing w:before="144"/>
        <w:ind w:left="32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1141" w:val="left" w:leader="none"/>
          <w:tab w:pos="1142" w:val="left" w:leader="none"/>
        </w:tabs>
        <w:spacing w:line="240" w:lineRule="auto" w:before="100" w:after="0"/>
        <w:ind w:left="1142" w:right="0" w:hanging="399"/>
        <w:jc w:val="left"/>
        <w:rPr>
          <w:sz w:val="21"/>
        </w:rPr>
      </w:pPr>
      <w:r>
        <w:rPr>
          <w:spacing w:val="-3"/>
          <w:w w:val="100"/>
          <w:sz w:val="21"/>
        </w:rPr>
        <w:t>被保险人可以享受本合同提供的保障</w:t>
      </w:r>
      <w:r>
        <w:rPr>
          <w:spacing w:val="-3"/>
          <w:w w:val="201"/>
          <w:sz w:val="21"/>
        </w:rPr>
        <w:t>„„„„„„„„„„„„„„„„„„„„„„</w:t>
      </w:r>
      <w:r>
        <w:rPr>
          <w:w w:val="100"/>
          <w:sz w:val="21"/>
        </w:rPr>
        <w:t>2.4</w:t>
      </w:r>
    </w:p>
    <w:p>
      <w:pPr>
        <w:pStyle w:val="ListParagraph"/>
        <w:numPr>
          <w:ilvl w:val="0"/>
          <w:numId w:val="1"/>
        </w:numPr>
        <w:tabs>
          <w:tab w:pos="1141" w:val="left" w:leader="none"/>
          <w:tab w:pos="1142" w:val="left" w:leader="none"/>
        </w:tabs>
        <w:spacing w:line="240" w:lineRule="auto" w:before="21" w:after="0"/>
        <w:ind w:left="1142" w:right="0" w:hanging="399"/>
        <w:jc w:val="left"/>
        <w:rPr>
          <w:sz w:val="21"/>
        </w:rPr>
      </w:pPr>
      <w:r>
        <w:rPr>
          <w:spacing w:val="-3"/>
          <w:w w:val="110"/>
          <w:sz w:val="21"/>
        </w:rPr>
        <w:t>犹豫期内您可以要求退还扣除工本费外的全部保险费</w:t>
      </w:r>
      <w:r>
        <w:rPr>
          <w:spacing w:val="-1"/>
          <w:w w:val="160"/>
          <w:sz w:val="21"/>
        </w:rPr>
        <w:t>„„„„„„„„„„„„„„„4.1</w:t>
      </w:r>
    </w:p>
    <w:p>
      <w:pPr>
        <w:pStyle w:val="ListParagraph"/>
        <w:numPr>
          <w:ilvl w:val="0"/>
          <w:numId w:val="1"/>
        </w:numPr>
        <w:tabs>
          <w:tab w:pos="1141" w:val="left" w:leader="none"/>
          <w:tab w:pos="1142" w:val="left" w:leader="none"/>
        </w:tabs>
        <w:spacing w:line="240" w:lineRule="auto" w:before="21" w:after="0"/>
        <w:ind w:left="1142" w:right="0" w:hanging="399"/>
        <w:jc w:val="left"/>
        <w:rPr>
          <w:sz w:val="21"/>
        </w:rPr>
      </w:pPr>
      <w:r>
        <w:rPr>
          <w:spacing w:val="-3"/>
          <w:w w:val="100"/>
          <w:sz w:val="21"/>
        </w:rPr>
        <w:t>您有按本合同约定申请保单借款的权</w:t>
      </w:r>
      <w:r>
        <w:rPr>
          <w:spacing w:val="-2"/>
          <w:w w:val="134"/>
          <w:sz w:val="21"/>
        </w:rPr>
        <w:t>利„</w:t>
      </w:r>
      <w:r>
        <w:rPr>
          <w:spacing w:val="-3"/>
          <w:w w:val="201"/>
          <w:sz w:val="21"/>
        </w:rPr>
        <w:t>„„„„„„„„„„„„„„„„„„„„</w:t>
      </w:r>
      <w:r>
        <w:rPr>
          <w:w w:val="100"/>
          <w:sz w:val="21"/>
        </w:rPr>
        <w:t>4.2</w:t>
      </w:r>
    </w:p>
    <w:p>
      <w:pPr>
        <w:pStyle w:val="ListParagraph"/>
        <w:numPr>
          <w:ilvl w:val="0"/>
          <w:numId w:val="1"/>
        </w:numPr>
        <w:tabs>
          <w:tab w:pos="1141" w:val="left" w:leader="none"/>
          <w:tab w:pos="1142" w:val="left" w:leader="none"/>
        </w:tabs>
        <w:spacing w:line="240" w:lineRule="auto" w:before="21" w:after="0"/>
        <w:ind w:left="1142" w:right="0" w:hanging="399"/>
        <w:jc w:val="left"/>
        <w:rPr>
          <w:sz w:val="21"/>
        </w:rPr>
      </w:pPr>
      <w:r>
        <w:rPr>
          <w:spacing w:val="-3"/>
          <w:w w:val="120"/>
          <w:sz w:val="21"/>
        </w:rPr>
        <w:t>您有退保的权利</w:t>
      </w:r>
      <w:r>
        <w:rPr>
          <w:spacing w:val="-2"/>
          <w:w w:val="170"/>
          <w:sz w:val="21"/>
        </w:rPr>
        <w:t>„„„„„„„„„„„„„„„„„„„„„„„„„„„„„„„4.5</w:t>
      </w:r>
    </w:p>
    <w:p>
      <w:pPr>
        <w:tabs>
          <w:tab w:pos="882" w:val="left" w:leader="none"/>
        </w:tabs>
        <w:spacing w:before="145"/>
        <w:ind w:left="32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2"/>
          <w:sz w:val="21"/>
        </w:rPr>
        <w:t>您应当特别注意的事项</w:t>
      </w:r>
    </w:p>
    <w:p>
      <w:pPr>
        <w:pStyle w:val="ListParagraph"/>
        <w:numPr>
          <w:ilvl w:val="0"/>
          <w:numId w:val="1"/>
        </w:numPr>
        <w:tabs>
          <w:tab w:pos="1141" w:val="left" w:leader="none"/>
          <w:tab w:pos="1142" w:val="left" w:leader="none"/>
        </w:tabs>
        <w:spacing w:line="240" w:lineRule="auto" w:before="100" w:after="0"/>
        <w:ind w:left="1142" w:right="0" w:hanging="399"/>
        <w:jc w:val="left"/>
        <w:rPr>
          <w:sz w:val="21"/>
        </w:rPr>
      </w:pPr>
      <w:r>
        <w:rPr>
          <w:spacing w:val="-3"/>
          <w:w w:val="100"/>
          <w:sz w:val="21"/>
        </w:rPr>
        <w:t>在某些情况下，我们不承担保险责任</w:t>
      </w:r>
      <w:r>
        <w:rPr>
          <w:spacing w:val="-3"/>
          <w:w w:val="201"/>
          <w:sz w:val="21"/>
        </w:rPr>
        <w:t>„„„„„„„„„„„„„„„„„„„„„„</w:t>
      </w:r>
      <w:r>
        <w:rPr>
          <w:w w:val="100"/>
          <w:sz w:val="21"/>
        </w:rPr>
        <w:t>2.5</w:t>
      </w:r>
    </w:p>
    <w:p>
      <w:pPr>
        <w:pStyle w:val="ListParagraph"/>
        <w:numPr>
          <w:ilvl w:val="0"/>
          <w:numId w:val="1"/>
        </w:numPr>
        <w:tabs>
          <w:tab w:pos="1141" w:val="left" w:leader="none"/>
          <w:tab w:pos="1142" w:val="left" w:leader="none"/>
        </w:tabs>
        <w:spacing w:line="240" w:lineRule="auto" w:before="22" w:after="0"/>
        <w:ind w:left="1142" w:right="0" w:hanging="399"/>
        <w:jc w:val="left"/>
        <w:rPr>
          <w:sz w:val="21"/>
        </w:rPr>
      </w:pPr>
      <w:r>
        <w:rPr>
          <w:spacing w:val="-3"/>
          <w:w w:val="125"/>
          <w:sz w:val="21"/>
        </w:rPr>
        <w:t>您应当按时交纳保险费</w:t>
      </w:r>
      <w:r>
        <w:rPr>
          <w:spacing w:val="-1"/>
          <w:w w:val="170"/>
          <w:sz w:val="21"/>
        </w:rPr>
        <w:t>„„„„„„„„„„„„„„„„„„„„„„„„„„„„3.1</w:t>
      </w:r>
    </w:p>
    <w:p>
      <w:pPr>
        <w:pStyle w:val="ListParagraph"/>
        <w:numPr>
          <w:ilvl w:val="0"/>
          <w:numId w:val="1"/>
        </w:numPr>
        <w:tabs>
          <w:tab w:pos="1141" w:val="left" w:leader="none"/>
          <w:tab w:pos="1142" w:val="left" w:leader="none"/>
        </w:tabs>
        <w:spacing w:line="240" w:lineRule="auto" w:before="22" w:after="0"/>
        <w:ind w:left="1142" w:right="0" w:hanging="399"/>
        <w:jc w:val="left"/>
        <w:rPr>
          <w:sz w:val="21"/>
        </w:rPr>
      </w:pPr>
      <w:r>
        <w:rPr>
          <w:spacing w:val="-3"/>
          <w:w w:val="115"/>
          <w:sz w:val="21"/>
        </w:rPr>
        <w:t>您有如实告知的义务</w:t>
      </w:r>
      <w:r>
        <w:rPr>
          <w:spacing w:val="-1"/>
          <w:w w:val="175"/>
          <w:sz w:val="21"/>
        </w:rPr>
        <w:t>„„„„„„„„„„„„„„„„„„„„„„„„„„„„„3.3</w:t>
      </w:r>
    </w:p>
    <w:p>
      <w:pPr>
        <w:pStyle w:val="ListParagraph"/>
        <w:numPr>
          <w:ilvl w:val="0"/>
          <w:numId w:val="1"/>
        </w:numPr>
        <w:tabs>
          <w:tab w:pos="1141" w:val="left" w:leader="none"/>
          <w:tab w:pos="1142" w:val="left" w:leader="none"/>
        </w:tabs>
        <w:spacing w:line="240" w:lineRule="auto" w:before="22" w:after="0"/>
        <w:ind w:left="1142" w:right="0" w:hanging="399"/>
        <w:jc w:val="left"/>
        <w:rPr>
          <w:sz w:val="21"/>
        </w:rPr>
      </w:pPr>
      <w:r>
        <w:rPr>
          <w:spacing w:val="-3"/>
          <w:w w:val="110"/>
          <w:sz w:val="21"/>
        </w:rPr>
        <w:t>退保会给您造成一定的损失，请您慎重决策</w:t>
      </w:r>
      <w:r>
        <w:rPr>
          <w:spacing w:val="-1"/>
          <w:w w:val="165"/>
          <w:sz w:val="21"/>
        </w:rPr>
        <w:t>„„„„„„„„„„„„„„„„„„„4.5</w:t>
      </w:r>
    </w:p>
    <w:p>
      <w:pPr>
        <w:pStyle w:val="ListParagraph"/>
        <w:numPr>
          <w:ilvl w:val="0"/>
          <w:numId w:val="1"/>
        </w:numPr>
        <w:tabs>
          <w:tab w:pos="1141" w:val="left" w:leader="none"/>
          <w:tab w:pos="1142" w:val="left" w:leader="none"/>
        </w:tabs>
        <w:spacing w:line="240" w:lineRule="auto" w:before="22" w:after="0"/>
        <w:ind w:left="1142" w:right="0" w:hanging="399"/>
        <w:jc w:val="left"/>
        <w:rPr>
          <w:sz w:val="21"/>
        </w:rPr>
      </w:pPr>
      <w:r>
        <w:rPr>
          <w:spacing w:val="-3"/>
          <w:w w:val="110"/>
          <w:sz w:val="21"/>
        </w:rPr>
        <w:t>保险事故发生后请您及时通知我们</w:t>
      </w:r>
      <w:r>
        <w:rPr>
          <w:spacing w:val="-1"/>
          <w:w w:val="170"/>
          <w:sz w:val="21"/>
        </w:rPr>
        <w:t>„„„„„„„„„„„„„„„„„„„„„„„6.2</w:t>
      </w:r>
    </w:p>
    <w:p>
      <w:pPr>
        <w:pStyle w:val="ListParagraph"/>
        <w:numPr>
          <w:ilvl w:val="0"/>
          <w:numId w:val="1"/>
        </w:numPr>
        <w:tabs>
          <w:tab w:pos="1141" w:val="left" w:leader="none"/>
          <w:tab w:pos="1142" w:val="left" w:leader="none"/>
        </w:tabs>
        <w:spacing w:line="240" w:lineRule="auto" w:before="22" w:after="0"/>
        <w:ind w:left="1142" w:right="0" w:hanging="399"/>
        <w:jc w:val="left"/>
        <w:rPr>
          <w:sz w:val="21"/>
        </w:rPr>
      </w:pPr>
      <w:r>
        <w:rPr>
          <w:spacing w:val="-3"/>
          <w:w w:val="110"/>
          <w:sz w:val="21"/>
        </w:rPr>
        <w:t>我们对一些重要术语进行了解释，并作了显著标识，请您注意</w:t>
      </w:r>
      <w:r>
        <w:rPr>
          <w:spacing w:val="-1"/>
          <w:w w:val="150"/>
          <w:sz w:val="21"/>
        </w:rPr>
        <w:t>„„„„„„„„„„„8</w:t>
      </w:r>
    </w:p>
    <w:p>
      <w:pPr>
        <w:tabs>
          <w:tab w:pos="882" w:val="left" w:leader="none"/>
        </w:tabs>
        <w:spacing w:before="146"/>
        <w:ind w:left="32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882" w:val="left" w:leader="none"/>
        </w:tabs>
        <w:spacing w:before="225"/>
        <w:ind w:left="32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5"/>
        <w:rPr>
          <w:b/>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3"/>
        <w:gridCol w:w="3021"/>
        <w:gridCol w:w="4109"/>
      </w:tblGrid>
      <w:tr>
        <w:trPr>
          <w:trHeight w:val="6502" w:hRule="atLeast"/>
        </w:trPr>
        <w:tc>
          <w:tcPr>
            <w:tcW w:w="2893" w:type="dxa"/>
          </w:tcPr>
          <w:p>
            <w:pPr>
              <w:pStyle w:val="TableParagraph"/>
              <w:numPr>
                <w:ilvl w:val="0"/>
                <w:numId w:val="2"/>
              </w:numPr>
              <w:tabs>
                <w:tab w:pos="631" w:val="left" w:leader="none"/>
                <w:tab w:pos="632" w:val="left" w:leader="none"/>
              </w:tabs>
              <w:spacing w:line="211" w:lineRule="exact" w:before="0" w:after="0"/>
              <w:ind w:left="632" w:right="0" w:hanging="423"/>
              <w:jc w:val="left"/>
              <w:rPr>
                <w:b/>
                <w:sz w:val="21"/>
              </w:rPr>
            </w:pPr>
            <w:r>
              <w:rPr>
                <w:b/>
                <w:sz w:val="21"/>
              </w:rPr>
              <w:t>您与我们的合同</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3"/>
                <w:sz w:val="21"/>
              </w:rPr>
              <w:t>合同构成</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3"/>
                <w:sz w:val="21"/>
              </w:rPr>
              <w:t>合同生效</w:t>
            </w:r>
          </w:p>
          <w:p>
            <w:pPr>
              <w:pStyle w:val="TableParagraph"/>
              <w:numPr>
                <w:ilvl w:val="0"/>
                <w:numId w:val="2"/>
              </w:numPr>
              <w:tabs>
                <w:tab w:pos="631" w:val="left" w:leader="none"/>
                <w:tab w:pos="632" w:val="left" w:leader="none"/>
              </w:tabs>
              <w:spacing w:line="240" w:lineRule="auto" w:before="22" w:after="0"/>
              <w:ind w:left="632" w:right="0" w:hanging="423"/>
              <w:jc w:val="left"/>
              <w:rPr>
                <w:b/>
                <w:sz w:val="21"/>
              </w:rPr>
            </w:pPr>
            <w:r>
              <w:rPr>
                <w:b/>
                <w:sz w:val="21"/>
              </w:rPr>
              <w:t>您获得的保障</w:t>
            </w:r>
          </w:p>
          <w:p>
            <w:pPr>
              <w:pStyle w:val="TableParagraph"/>
              <w:numPr>
                <w:ilvl w:val="1"/>
                <w:numId w:val="2"/>
              </w:numPr>
              <w:tabs>
                <w:tab w:pos="943" w:val="left" w:leader="none"/>
                <w:tab w:pos="944" w:val="left" w:leader="none"/>
              </w:tabs>
              <w:spacing w:line="240" w:lineRule="auto" w:before="24" w:after="0"/>
              <w:ind w:left="943" w:right="0" w:hanging="525"/>
              <w:jc w:val="left"/>
              <w:rPr>
                <w:sz w:val="21"/>
              </w:rPr>
            </w:pPr>
            <w:r>
              <w:rPr>
                <w:spacing w:val="-3"/>
                <w:sz w:val="21"/>
              </w:rPr>
              <w:t>基本保险金额</w:t>
            </w:r>
          </w:p>
          <w:p>
            <w:pPr>
              <w:pStyle w:val="TableParagraph"/>
              <w:numPr>
                <w:ilvl w:val="1"/>
                <w:numId w:val="2"/>
              </w:numPr>
              <w:tabs>
                <w:tab w:pos="943" w:val="left" w:leader="none"/>
                <w:tab w:pos="944" w:val="left" w:leader="none"/>
              </w:tabs>
              <w:spacing w:line="240" w:lineRule="auto" w:before="24" w:after="0"/>
              <w:ind w:left="943" w:right="0" w:hanging="525"/>
              <w:jc w:val="left"/>
              <w:rPr>
                <w:sz w:val="21"/>
              </w:rPr>
            </w:pPr>
            <w:r>
              <w:rPr>
                <w:spacing w:val="-2"/>
                <w:sz w:val="21"/>
              </w:rPr>
              <w:t>保险金额</w:t>
            </w:r>
          </w:p>
          <w:p>
            <w:pPr>
              <w:pStyle w:val="TableParagraph"/>
              <w:numPr>
                <w:ilvl w:val="1"/>
                <w:numId w:val="2"/>
              </w:numPr>
              <w:tabs>
                <w:tab w:pos="943" w:val="left" w:leader="none"/>
                <w:tab w:pos="944" w:val="left" w:leader="none"/>
              </w:tabs>
              <w:spacing w:line="240" w:lineRule="auto" w:before="24" w:after="0"/>
              <w:ind w:left="943" w:right="0" w:hanging="525"/>
              <w:jc w:val="left"/>
              <w:rPr>
                <w:sz w:val="21"/>
              </w:rPr>
            </w:pPr>
            <w:r>
              <w:rPr>
                <w:spacing w:val="-2"/>
                <w:sz w:val="21"/>
              </w:rPr>
              <w:t>保险期间</w:t>
            </w:r>
          </w:p>
          <w:p>
            <w:pPr>
              <w:pStyle w:val="TableParagraph"/>
              <w:numPr>
                <w:ilvl w:val="1"/>
                <w:numId w:val="2"/>
              </w:numPr>
              <w:tabs>
                <w:tab w:pos="943" w:val="left" w:leader="none"/>
                <w:tab w:pos="944" w:val="left" w:leader="none"/>
              </w:tabs>
              <w:spacing w:line="240" w:lineRule="auto" w:before="24" w:after="0"/>
              <w:ind w:left="943" w:right="0" w:hanging="525"/>
              <w:jc w:val="left"/>
              <w:rPr>
                <w:sz w:val="21"/>
              </w:rPr>
            </w:pPr>
            <w:r>
              <w:rPr>
                <w:spacing w:val="-2"/>
                <w:sz w:val="21"/>
              </w:rPr>
              <w:t>保险责任</w:t>
            </w:r>
          </w:p>
          <w:p>
            <w:pPr>
              <w:pStyle w:val="TableParagraph"/>
              <w:numPr>
                <w:ilvl w:val="1"/>
                <w:numId w:val="2"/>
              </w:numPr>
              <w:tabs>
                <w:tab w:pos="943" w:val="left" w:leader="none"/>
                <w:tab w:pos="944" w:val="left" w:leader="none"/>
              </w:tabs>
              <w:spacing w:line="240" w:lineRule="auto" w:before="24" w:after="0"/>
              <w:ind w:left="943" w:right="0" w:hanging="525"/>
              <w:jc w:val="left"/>
              <w:rPr>
                <w:sz w:val="21"/>
              </w:rPr>
            </w:pPr>
            <w:r>
              <w:rPr>
                <w:spacing w:val="-2"/>
                <w:sz w:val="21"/>
              </w:rPr>
              <w:t>责任免除</w:t>
            </w:r>
          </w:p>
          <w:p>
            <w:pPr>
              <w:pStyle w:val="TableParagraph"/>
              <w:numPr>
                <w:ilvl w:val="0"/>
                <w:numId w:val="2"/>
              </w:numPr>
              <w:tabs>
                <w:tab w:pos="631" w:val="left" w:leader="none"/>
                <w:tab w:pos="632" w:val="left" w:leader="none"/>
              </w:tabs>
              <w:spacing w:line="240" w:lineRule="auto" w:before="23" w:after="0"/>
              <w:ind w:left="632" w:right="0" w:hanging="423"/>
              <w:jc w:val="left"/>
              <w:rPr>
                <w:b/>
                <w:sz w:val="21"/>
              </w:rPr>
            </w:pPr>
            <w:r>
              <w:rPr>
                <w:b/>
                <w:sz w:val="21"/>
              </w:rPr>
              <w:t>您的义务</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3"/>
                <w:sz w:val="21"/>
              </w:rPr>
              <w:t>保险费的交纳</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2"/>
                <w:sz w:val="21"/>
              </w:rPr>
              <w:t>宽限期间</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2"/>
                <w:sz w:val="21"/>
              </w:rPr>
              <w:t>如实告知</w:t>
            </w:r>
          </w:p>
          <w:p>
            <w:pPr>
              <w:pStyle w:val="TableParagraph"/>
              <w:numPr>
                <w:ilvl w:val="0"/>
                <w:numId w:val="2"/>
              </w:numPr>
              <w:tabs>
                <w:tab w:pos="622" w:val="left" w:leader="none"/>
                <w:tab w:pos="623" w:val="left" w:leader="none"/>
              </w:tabs>
              <w:spacing w:line="240" w:lineRule="auto" w:before="25" w:after="0"/>
              <w:ind w:left="622" w:right="0" w:hanging="422"/>
              <w:jc w:val="left"/>
              <w:rPr>
                <w:b/>
                <w:sz w:val="21"/>
              </w:rPr>
            </w:pPr>
            <w:r>
              <w:rPr>
                <w:b/>
                <w:spacing w:val="-1"/>
                <w:sz w:val="21"/>
              </w:rPr>
              <w:t>您对本合同拥有的权利</w:t>
            </w:r>
          </w:p>
          <w:p>
            <w:pPr>
              <w:pStyle w:val="TableParagraph"/>
              <w:numPr>
                <w:ilvl w:val="1"/>
                <w:numId w:val="2"/>
              </w:numPr>
              <w:tabs>
                <w:tab w:pos="943" w:val="left" w:leader="none"/>
                <w:tab w:pos="944" w:val="left" w:leader="none"/>
              </w:tabs>
              <w:spacing w:line="240" w:lineRule="auto" w:before="23" w:after="0"/>
              <w:ind w:left="943" w:right="0" w:hanging="525"/>
              <w:jc w:val="left"/>
              <w:rPr>
                <w:sz w:val="21"/>
              </w:rPr>
            </w:pPr>
            <w:r>
              <w:rPr>
                <w:spacing w:val="-2"/>
                <w:sz w:val="21"/>
              </w:rPr>
              <w:t>犹豫期</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2"/>
                <w:sz w:val="21"/>
              </w:rPr>
              <w:t>保单借款</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3"/>
                <w:sz w:val="21"/>
              </w:rPr>
              <w:t>基本保险金额变更</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3"/>
                <w:sz w:val="21"/>
              </w:rPr>
              <w:t>合同内容的变更</w:t>
            </w:r>
          </w:p>
          <w:p>
            <w:pPr>
              <w:pStyle w:val="TableParagraph"/>
              <w:numPr>
                <w:ilvl w:val="1"/>
                <w:numId w:val="2"/>
              </w:numPr>
              <w:tabs>
                <w:tab w:pos="943" w:val="left" w:leader="none"/>
                <w:tab w:pos="944" w:val="left" w:leader="none"/>
              </w:tabs>
              <w:spacing w:line="240" w:lineRule="auto" w:before="25" w:after="0"/>
              <w:ind w:left="943" w:right="0" w:hanging="525"/>
              <w:jc w:val="left"/>
              <w:rPr>
                <w:sz w:val="21"/>
              </w:rPr>
            </w:pPr>
            <w:r>
              <w:rPr>
                <w:spacing w:val="-2"/>
                <w:sz w:val="21"/>
              </w:rPr>
              <w:t>解除合同</w:t>
            </w:r>
          </w:p>
          <w:p>
            <w:pPr>
              <w:pStyle w:val="TableParagraph"/>
              <w:numPr>
                <w:ilvl w:val="0"/>
                <w:numId w:val="2"/>
              </w:numPr>
              <w:tabs>
                <w:tab w:pos="622" w:val="left" w:leader="none"/>
                <w:tab w:pos="623" w:val="left" w:leader="none"/>
              </w:tabs>
              <w:spacing w:line="240" w:lineRule="auto" w:before="25" w:after="0"/>
              <w:ind w:left="622" w:right="0" w:hanging="422"/>
              <w:jc w:val="left"/>
              <w:rPr>
                <w:b/>
                <w:sz w:val="21"/>
              </w:rPr>
            </w:pPr>
            <w:r>
              <w:rPr>
                <w:b/>
                <w:spacing w:val="-1"/>
                <w:sz w:val="21"/>
              </w:rPr>
              <w:t>合同效力的中止及恢复</w:t>
            </w:r>
          </w:p>
          <w:p>
            <w:pPr>
              <w:pStyle w:val="TableParagraph"/>
              <w:numPr>
                <w:ilvl w:val="1"/>
                <w:numId w:val="2"/>
              </w:numPr>
              <w:tabs>
                <w:tab w:pos="943" w:val="left" w:leader="none"/>
                <w:tab w:pos="944" w:val="left" w:leader="none"/>
              </w:tabs>
              <w:spacing w:line="240" w:lineRule="auto" w:before="23" w:after="0"/>
              <w:ind w:left="943" w:right="0" w:hanging="525"/>
              <w:jc w:val="left"/>
              <w:rPr>
                <w:sz w:val="21"/>
              </w:rPr>
            </w:pPr>
            <w:r>
              <w:rPr>
                <w:spacing w:val="-2"/>
                <w:sz w:val="21"/>
              </w:rPr>
              <w:t>效力中止</w:t>
            </w:r>
          </w:p>
          <w:p>
            <w:pPr>
              <w:pStyle w:val="TableParagraph"/>
              <w:numPr>
                <w:ilvl w:val="1"/>
                <w:numId w:val="2"/>
              </w:numPr>
              <w:tabs>
                <w:tab w:pos="943" w:val="left" w:leader="none"/>
                <w:tab w:pos="944" w:val="left" w:leader="none"/>
              </w:tabs>
              <w:spacing w:line="255" w:lineRule="exact" w:before="25" w:after="0"/>
              <w:ind w:left="943" w:right="0" w:hanging="525"/>
              <w:jc w:val="left"/>
              <w:rPr>
                <w:sz w:val="21"/>
              </w:rPr>
            </w:pPr>
            <w:r>
              <w:rPr>
                <w:spacing w:val="-2"/>
                <w:sz w:val="21"/>
              </w:rPr>
              <w:t>效力恢复</w:t>
            </w:r>
          </w:p>
        </w:tc>
        <w:tc>
          <w:tcPr>
            <w:tcW w:w="3021" w:type="dxa"/>
          </w:tcPr>
          <w:p>
            <w:pPr>
              <w:pStyle w:val="TableParagraph"/>
              <w:numPr>
                <w:ilvl w:val="0"/>
                <w:numId w:val="3"/>
              </w:numPr>
              <w:tabs>
                <w:tab w:pos="583" w:val="left" w:leader="none"/>
                <w:tab w:pos="584" w:val="left" w:leader="none"/>
              </w:tabs>
              <w:spacing w:line="211" w:lineRule="exact" w:before="0" w:after="0"/>
              <w:ind w:left="583" w:right="0" w:hanging="422"/>
              <w:jc w:val="left"/>
              <w:rPr>
                <w:b/>
                <w:sz w:val="21"/>
              </w:rPr>
            </w:pPr>
            <w:r>
              <w:rPr>
                <w:b/>
                <w:sz w:val="21"/>
              </w:rPr>
              <w:t>如何申请领取保险金</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3"/>
                <w:sz w:val="21"/>
              </w:rPr>
              <w:t>受益人指定与变更</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3"/>
                <w:sz w:val="21"/>
              </w:rPr>
              <w:t>保险事故通知</w:t>
            </w:r>
          </w:p>
          <w:p>
            <w:pPr>
              <w:pStyle w:val="TableParagraph"/>
              <w:numPr>
                <w:ilvl w:val="1"/>
                <w:numId w:val="3"/>
              </w:numPr>
              <w:tabs>
                <w:tab w:pos="897" w:val="left" w:leader="none"/>
                <w:tab w:pos="898" w:val="left" w:leader="none"/>
              </w:tabs>
              <w:spacing w:line="240" w:lineRule="auto" w:before="22" w:after="0"/>
              <w:ind w:left="897" w:right="0" w:hanging="525"/>
              <w:jc w:val="left"/>
              <w:rPr>
                <w:sz w:val="21"/>
              </w:rPr>
            </w:pPr>
            <w:r>
              <w:rPr>
                <w:spacing w:val="-3"/>
                <w:sz w:val="21"/>
              </w:rPr>
              <w:t>保险金申请时效</w:t>
            </w:r>
          </w:p>
          <w:p>
            <w:pPr>
              <w:pStyle w:val="TableParagraph"/>
              <w:numPr>
                <w:ilvl w:val="1"/>
                <w:numId w:val="3"/>
              </w:numPr>
              <w:tabs>
                <w:tab w:pos="897" w:val="left" w:leader="none"/>
                <w:tab w:pos="898" w:val="left" w:leader="none"/>
              </w:tabs>
              <w:spacing w:line="240" w:lineRule="auto" w:before="24" w:after="0"/>
              <w:ind w:left="897" w:right="0" w:hanging="525"/>
              <w:jc w:val="left"/>
              <w:rPr>
                <w:sz w:val="21"/>
              </w:rPr>
            </w:pPr>
            <w:r>
              <w:rPr>
                <w:spacing w:val="-3"/>
                <w:sz w:val="21"/>
              </w:rPr>
              <w:t>保险金申请</w:t>
            </w:r>
          </w:p>
          <w:p>
            <w:pPr>
              <w:pStyle w:val="TableParagraph"/>
              <w:numPr>
                <w:ilvl w:val="1"/>
                <w:numId w:val="3"/>
              </w:numPr>
              <w:tabs>
                <w:tab w:pos="897" w:val="left" w:leader="none"/>
                <w:tab w:pos="898" w:val="left" w:leader="none"/>
              </w:tabs>
              <w:spacing w:line="240" w:lineRule="auto" w:before="24" w:after="0"/>
              <w:ind w:left="897" w:right="0" w:hanging="525"/>
              <w:jc w:val="left"/>
              <w:rPr>
                <w:sz w:val="21"/>
              </w:rPr>
            </w:pPr>
            <w:r>
              <w:rPr>
                <w:spacing w:val="-3"/>
                <w:sz w:val="21"/>
              </w:rPr>
              <w:t>保险金给付</w:t>
            </w:r>
          </w:p>
          <w:p>
            <w:pPr>
              <w:pStyle w:val="TableParagraph"/>
              <w:numPr>
                <w:ilvl w:val="1"/>
                <w:numId w:val="3"/>
              </w:numPr>
              <w:tabs>
                <w:tab w:pos="897" w:val="left" w:leader="none"/>
                <w:tab w:pos="898" w:val="left" w:leader="none"/>
              </w:tabs>
              <w:spacing w:line="240" w:lineRule="auto" w:before="24" w:after="0"/>
              <w:ind w:left="897" w:right="0" w:hanging="525"/>
              <w:jc w:val="left"/>
              <w:rPr>
                <w:sz w:val="21"/>
              </w:rPr>
            </w:pPr>
            <w:r>
              <w:rPr>
                <w:spacing w:val="-3"/>
                <w:sz w:val="21"/>
              </w:rPr>
              <w:t>宣告死亡处理</w:t>
            </w:r>
          </w:p>
          <w:p>
            <w:pPr>
              <w:pStyle w:val="TableParagraph"/>
              <w:numPr>
                <w:ilvl w:val="0"/>
                <w:numId w:val="3"/>
              </w:numPr>
              <w:tabs>
                <w:tab w:pos="583" w:val="left" w:leader="none"/>
                <w:tab w:pos="584" w:val="left" w:leader="none"/>
              </w:tabs>
              <w:spacing w:line="240" w:lineRule="auto" w:before="24" w:after="0"/>
              <w:ind w:left="583" w:right="0" w:hanging="422"/>
              <w:jc w:val="left"/>
              <w:rPr>
                <w:b/>
                <w:sz w:val="21"/>
              </w:rPr>
            </w:pPr>
            <w:r>
              <w:rPr>
                <w:b/>
                <w:spacing w:val="-1"/>
                <w:sz w:val="21"/>
              </w:rPr>
              <w:t>您需要关注的其他事项</w:t>
            </w:r>
          </w:p>
          <w:p>
            <w:pPr>
              <w:pStyle w:val="TableParagraph"/>
              <w:numPr>
                <w:ilvl w:val="1"/>
                <w:numId w:val="3"/>
              </w:numPr>
              <w:tabs>
                <w:tab w:pos="897" w:val="left" w:leader="none"/>
                <w:tab w:pos="898" w:val="left" w:leader="none"/>
              </w:tabs>
              <w:spacing w:line="240" w:lineRule="auto" w:before="24" w:after="0"/>
              <w:ind w:left="897" w:right="0" w:hanging="525"/>
              <w:jc w:val="left"/>
              <w:rPr>
                <w:sz w:val="21"/>
              </w:rPr>
            </w:pPr>
            <w:r>
              <w:rPr>
                <w:spacing w:val="-3"/>
                <w:sz w:val="21"/>
              </w:rPr>
              <w:t>投保年龄范围</w:t>
            </w:r>
          </w:p>
          <w:p>
            <w:pPr>
              <w:pStyle w:val="TableParagraph"/>
              <w:numPr>
                <w:ilvl w:val="1"/>
                <w:numId w:val="3"/>
              </w:numPr>
              <w:tabs>
                <w:tab w:pos="897" w:val="left" w:leader="none"/>
                <w:tab w:pos="898" w:val="left" w:leader="none"/>
              </w:tabs>
              <w:spacing w:line="240" w:lineRule="auto" w:before="23" w:after="0"/>
              <w:ind w:left="897" w:right="0" w:hanging="525"/>
              <w:jc w:val="left"/>
              <w:rPr>
                <w:sz w:val="21"/>
              </w:rPr>
            </w:pPr>
            <w:r>
              <w:rPr>
                <w:spacing w:val="-3"/>
                <w:sz w:val="21"/>
              </w:rPr>
              <w:t>年龄计算及错误处理</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2"/>
                <w:sz w:val="21"/>
              </w:rPr>
              <w:t>欠款扣除</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3"/>
                <w:sz w:val="21"/>
              </w:rPr>
              <w:t>通讯地址变更</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2"/>
                <w:sz w:val="21"/>
              </w:rPr>
              <w:t>司法鉴定</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2"/>
                <w:sz w:val="21"/>
              </w:rPr>
              <w:t>争议处理</w:t>
            </w:r>
          </w:p>
          <w:p>
            <w:pPr>
              <w:pStyle w:val="TableParagraph"/>
              <w:numPr>
                <w:ilvl w:val="0"/>
                <w:numId w:val="3"/>
              </w:numPr>
              <w:tabs>
                <w:tab w:pos="583" w:val="left" w:leader="none"/>
                <w:tab w:pos="584" w:val="left" w:leader="none"/>
              </w:tabs>
              <w:spacing w:line="240" w:lineRule="auto" w:before="23" w:after="0"/>
              <w:ind w:left="583" w:right="0" w:hanging="422"/>
              <w:jc w:val="left"/>
              <w:rPr>
                <w:b/>
                <w:sz w:val="21"/>
              </w:rPr>
            </w:pPr>
            <w:r>
              <w:rPr>
                <w:b/>
                <w:spacing w:val="-1"/>
                <w:sz w:val="21"/>
              </w:rPr>
              <w:t>您需要了解的重要术语</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3"/>
                <w:sz w:val="21"/>
              </w:rPr>
              <w:t>保险单周年日</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3"/>
                <w:sz w:val="21"/>
              </w:rPr>
              <w:t>保险单年度</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3"/>
                <w:sz w:val="21"/>
              </w:rPr>
              <w:t>保险费应付日</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pacing w:val="-2"/>
                <w:sz w:val="21"/>
              </w:rPr>
              <w:t>意外伤害</w:t>
            </w:r>
          </w:p>
          <w:p>
            <w:pPr>
              <w:pStyle w:val="TableParagraph"/>
              <w:numPr>
                <w:ilvl w:val="1"/>
                <w:numId w:val="3"/>
              </w:numPr>
              <w:tabs>
                <w:tab w:pos="897" w:val="left" w:leader="none"/>
                <w:tab w:pos="898" w:val="left" w:leader="none"/>
              </w:tabs>
              <w:spacing w:line="240" w:lineRule="auto" w:before="25" w:after="0"/>
              <w:ind w:left="897" w:right="0" w:hanging="525"/>
              <w:jc w:val="left"/>
              <w:rPr>
                <w:sz w:val="21"/>
              </w:rPr>
            </w:pPr>
            <w:r>
              <w:rPr>
                <w:sz w:val="21"/>
              </w:rPr>
              <w:t>医院</w:t>
            </w:r>
          </w:p>
          <w:p>
            <w:pPr>
              <w:pStyle w:val="TableParagraph"/>
              <w:numPr>
                <w:ilvl w:val="1"/>
                <w:numId w:val="3"/>
              </w:numPr>
              <w:tabs>
                <w:tab w:pos="897" w:val="left" w:leader="none"/>
                <w:tab w:pos="898" w:val="left" w:leader="none"/>
              </w:tabs>
              <w:spacing w:line="240" w:lineRule="auto" w:before="23" w:after="0"/>
              <w:ind w:left="897" w:right="0" w:hanging="525"/>
              <w:jc w:val="left"/>
              <w:rPr>
                <w:sz w:val="21"/>
              </w:rPr>
            </w:pPr>
            <w:r>
              <w:rPr>
                <w:spacing w:val="-2"/>
                <w:sz w:val="21"/>
              </w:rPr>
              <w:t>重大疾病</w:t>
            </w:r>
          </w:p>
          <w:p>
            <w:pPr>
              <w:pStyle w:val="TableParagraph"/>
              <w:numPr>
                <w:ilvl w:val="1"/>
                <w:numId w:val="3"/>
              </w:numPr>
              <w:tabs>
                <w:tab w:pos="897" w:val="left" w:leader="none"/>
                <w:tab w:pos="898" w:val="left" w:leader="none"/>
              </w:tabs>
              <w:spacing w:line="255" w:lineRule="exact" w:before="25" w:after="0"/>
              <w:ind w:left="897" w:right="0" w:hanging="525"/>
              <w:jc w:val="left"/>
              <w:rPr>
                <w:sz w:val="21"/>
              </w:rPr>
            </w:pPr>
            <w:r>
              <w:rPr>
                <w:spacing w:val="-2"/>
                <w:sz w:val="21"/>
              </w:rPr>
              <w:t>轻症疾病</w:t>
            </w:r>
          </w:p>
        </w:tc>
        <w:tc>
          <w:tcPr>
            <w:tcW w:w="4109" w:type="dxa"/>
          </w:tcPr>
          <w:p>
            <w:pPr>
              <w:pStyle w:val="TableParagraph"/>
              <w:numPr>
                <w:ilvl w:val="1"/>
                <w:numId w:val="4"/>
              </w:numPr>
              <w:tabs>
                <w:tab w:pos="757" w:val="left" w:leader="none"/>
                <w:tab w:pos="758" w:val="left" w:leader="none"/>
              </w:tabs>
              <w:spacing w:line="211" w:lineRule="exact" w:before="0" w:after="0"/>
              <w:ind w:left="757" w:right="0" w:hanging="526"/>
              <w:jc w:val="left"/>
              <w:rPr>
                <w:sz w:val="21"/>
              </w:rPr>
            </w:pPr>
            <w:r>
              <w:rPr>
                <w:spacing w:val="-3"/>
                <w:sz w:val="21"/>
              </w:rPr>
              <w:t>六项基本日常生活活动</w:t>
            </w:r>
          </w:p>
          <w:p>
            <w:pPr>
              <w:pStyle w:val="TableParagraph"/>
              <w:numPr>
                <w:ilvl w:val="1"/>
                <w:numId w:val="4"/>
              </w:numPr>
              <w:tabs>
                <w:tab w:pos="757" w:val="left" w:leader="none"/>
                <w:tab w:pos="758" w:val="left" w:leader="none"/>
              </w:tabs>
              <w:spacing w:line="240" w:lineRule="auto" w:before="25" w:after="0"/>
              <w:ind w:left="757" w:right="0" w:hanging="526"/>
              <w:jc w:val="left"/>
              <w:rPr>
                <w:sz w:val="21"/>
              </w:rPr>
            </w:pPr>
            <w:r>
              <w:rPr>
                <w:sz w:val="21"/>
              </w:rPr>
              <w:t>周岁</w:t>
            </w:r>
          </w:p>
          <w:p>
            <w:pPr>
              <w:pStyle w:val="TableParagraph"/>
              <w:numPr>
                <w:ilvl w:val="1"/>
                <w:numId w:val="4"/>
              </w:numPr>
              <w:tabs>
                <w:tab w:pos="758" w:val="left" w:leader="none"/>
              </w:tabs>
              <w:spacing w:line="240" w:lineRule="auto" w:before="25" w:after="0"/>
              <w:ind w:left="757" w:right="0" w:hanging="526"/>
              <w:jc w:val="left"/>
              <w:rPr>
                <w:sz w:val="21"/>
              </w:rPr>
            </w:pPr>
            <w:r>
              <w:rPr>
                <w:sz w:val="21"/>
              </w:rPr>
              <w:t>全残</w:t>
            </w:r>
          </w:p>
          <w:p>
            <w:pPr>
              <w:pStyle w:val="TableParagraph"/>
              <w:numPr>
                <w:ilvl w:val="1"/>
                <w:numId w:val="4"/>
              </w:numPr>
              <w:tabs>
                <w:tab w:pos="758" w:val="left" w:leader="none"/>
              </w:tabs>
              <w:spacing w:line="240" w:lineRule="auto" w:before="22" w:after="0"/>
              <w:ind w:left="757" w:right="0" w:hanging="526"/>
              <w:jc w:val="left"/>
              <w:rPr>
                <w:sz w:val="21"/>
              </w:rPr>
            </w:pPr>
            <w:r>
              <w:rPr>
                <w:spacing w:val="-2"/>
                <w:sz w:val="21"/>
              </w:rPr>
              <w:t>现金价值</w:t>
            </w:r>
          </w:p>
          <w:p>
            <w:pPr>
              <w:pStyle w:val="TableParagraph"/>
              <w:numPr>
                <w:ilvl w:val="1"/>
                <w:numId w:val="4"/>
              </w:numPr>
              <w:tabs>
                <w:tab w:pos="758" w:val="left" w:leader="none"/>
              </w:tabs>
              <w:spacing w:line="240" w:lineRule="auto" w:before="24" w:after="0"/>
              <w:ind w:left="757" w:right="0" w:hanging="526"/>
              <w:jc w:val="left"/>
              <w:rPr>
                <w:sz w:val="21"/>
              </w:rPr>
            </w:pPr>
            <w:r>
              <w:rPr>
                <w:sz w:val="21"/>
              </w:rPr>
              <w:t>毒品</w:t>
            </w:r>
          </w:p>
          <w:p>
            <w:pPr>
              <w:pStyle w:val="TableParagraph"/>
              <w:numPr>
                <w:ilvl w:val="1"/>
                <w:numId w:val="4"/>
              </w:numPr>
              <w:tabs>
                <w:tab w:pos="758" w:val="left" w:leader="none"/>
              </w:tabs>
              <w:spacing w:line="240" w:lineRule="auto" w:before="24" w:after="0"/>
              <w:ind w:left="757" w:right="0" w:hanging="526"/>
              <w:jc w:val="left"/>
              <w:rPr>
                <w:sz w:val="21"/>
              </w:rPr>
            </w:pPr>
            <w:r>
              <w:rPr>
                <w:spacing w:val="-2"/>
                <w:sz w:val="21"/>
              </w:rPr>
              <w:t>酒后驾驶</w:t>
            </w:r>
          </w:p>
          <w:p>
            <w:pPr>
              <w:pStyle w:val="TableParagraph"/>
              <w:numPr>
                <w:ilvl w:val="1"/>
                <w:numId w:val="4"/>
              </w:numPr>
              <w:tabs>
                <w:tab w:pos="758" w:val="left" w:leader="none"/>
              </w:tabs>
              <w:spacing w:line="240" w:lineRule="auto" w:before="24" w:after="0"/>
              <w:ind w:left="757" w:right="0" w:hanging="526"/>
              <w:jc w:val="left"/>
              <w:rPr>
                <w:sz w:val="21"/>
              </w:rPr>
            </w:pPr>
            <w:r>
              <w:rPr>
                <w:spacing w:val="-3"/>
                <w:sz w:val="21"/>
              </w:rPr>
              <w:t>无合法有效驾驶证驾驶</w:t>
            </w:r>
          </w:p>
          <w:p>
            <w:pPr>
              <w:pStyle w:val="TableParagraph"/>
              <w:numPr>
                <w:ilvl w:val="1"/>
                <w:numId w:val="4"/>
              </w:numPr>
              <w:tabs>
                <w:tab w:pos="758" w:val="left" w:leader="none"/>
              </w:tabs>
              <w:spacing w:line="240" w:lineRule="auto" w:before="24" w:after="0"/>
              <w:ind w:left="757" w:right="0" w:hanging="526"/>
              <w:jc w:val="left"/>
              <w:rPr>
                <w:sz w:val="21"/>
              </w:rPr>
            </w:pPr>
            <w:r>
              <w:rPr>
                <w:spacing w:val="-3"/>
                <w:sz w:val="21"/>
              </w:rPr>
              <w:t>无有效行驶证</w:t>
            </w:r>
          </w:p>
          <w:p>
            <w:pPr>
              <w:pStyle w:val="TableParagraph"/>
              <w:numPr>
                <w:ilvl w:val="1"/>
                <w:numId w:val="4"/>
              </w:numPr>
              <w:tabs>
                <w:tab w:pos="758" w:val="left" w:leader="none"/>
              </w:tabs>
              <w:spacing w:line="240" w:lineRule="auto" w:before="24" w:after="0"/>
              <w:ind w:left="757" w:right="0" w:hanging="526"/>
              <w:jc w:val="left"/>
              <w:rPr>
                <w:sz w:val="21"/>
              </w:rPr>
            </w:pPr>
            <w:r>
              <w:rPr>
                <w:spacing w:val="-3"/>
                <w:sz w:val="21"/>
              </w:rPr>
              <w:t>感染艾滋病病毒或患艾滋病</w:t>
            </w:r>
          </w:p>
          <w:p>
            <w:pPr>
              <w:pStyle w:val="TableParagraph"/>
              <w:numPr>
                <w:ilvl w:val="1"/>
                <w:numId w:val="4"/>
              </w:numPr>
              <w:tabs>
                <w:tab w:pos="758" w:val="left" w:leader="none"/>
              </w:tabs>
              <w:spacing w:line="240" w:lineRule="auto" w:before="23" w:after="0"/>
              <w:ind w:left="757" w:right="0" w:hanging="526"/>
              <w:jc w:val="left"/>
              <w:rPr>
                <w:sz w:val="21"/>
              </w:rPr>
            </w:pPr>
            <w:r>
              <w:rPr>
                <w:spacing w:val="-3"/>
                <w:sz w:val="21"/>
              </w:rPr>
              <w:t>遗传性疾病</w:t>
            </w:r>
          </w:p>
          <w:p>
            <w:pPr>
              <w:pStyle w:val="TableParagraph"/>
              <w:numPr>
                <w:ilvl w:val="1"/>
                <w:numId w:val="4"/>
              </w:numPr>
              <w:tabs>
                <w:tab w:pos="758" w:val="left" w:leader="none"/>
              </w:tabs>
              <w:spacing w:line="240" w:lineRule="auto" w:before="25" w:after="0"/>
              <w:ind w:left="757" w:right="0" w:hanging="526"/>
              <w:jc w:val="left"/>
              <w:rPr>
                <w:sz w:val="21"/>
              </w:rPr>
            </w:pPr>
            <w:r>
              <w:rPr>
                <w:spacing w:val="-3"/>
                <w:sz w:val="21"/>
              </w:rPr>
              <w:t>先天性畸形、变性及染色体异常</w:t>
            </w:r>
          </w:p>
          <w:p>
            <w:pPr>
              <w:pStyle w:val="TableParagraph"/>
              <w:numPr>
                <w:ilvl w:val="1"/>
                <w:numId w:val="4"/>
              </w:numPr>
              <w:tabs>
                <w:tab w:pos="758" w:val="left" w:leader="none"/>
              </w:tabs>
              <w:spacing w:line="240" w:lineRule="auto" w:before="25" w:after="0"/>
              <w:ind w:left="757" w:right="0" w:hanging="526"/>
              <w:jc w:val="left"/>
              <w:rPr>
                <w:sz w:val="21"/>
              </w:rPr>
            </w:pPr>
            <w:r>
              <w:rPr>
                <w:spacing w:val="-3"/>
                <w:sz w:val="21"/>
              </w:rPr>
              <w:t>现金价值余额</w:t>
            </w:r>
          </w:p>
          <w:p>
            <w:pPr>
              <w:pStyle w:val="TableParagraph"/>
              <w:numPr>
                <w:ilvl w:val="1"/>
                <w:numId w:val="4"/>
              </w:numPr>
              <w:tabs>
                <w:tab w:pos="758" w:val="left" w:leader="none"/>
              </w:tabs>
              <w:spacing w:line="240" w:lineRule="auto" w:before="25" w:after="0"/>
              <w:ind w:left="757" w:right="0" w:hanging="526"/>
              <w:jc w:val="left"/>
              <w:rPr>
                <w:sz w:val="21"/>
              </w:rPr>
            </w:pPr>
            <w:r>
              <w:rPr>
                <w:sz w:val="21"/>
              </w:rPr>
              <w:t>利息</w:t>
            </w:r>
          </w:p>
          <w:p>
            <w:pPr>
              <w:pStyle w:val="TableParagraph"/>
              <w:numPr>
                <w:ilvl w:val="1"/>
                <w:numId w:val="4"/>
              </w:numPr>
              <w:tabs>
                <w:tab w:pos="758" w:val="left" w:leader="none"/>
              </w:tabs>
              <w:spacing w:line="240" w:lineRule="auto" w:before="25" w:after="0"/>
              <w:ind w:left="757" w:right="0" w:hanging="526"/>
              <w:jc w:val="left"/>
              <w:rPr>
                <w:sz w:val="21"/>
              </w:rPr>
            </w:pPr>
            <w:r>
              <w:rPr>
                <w:spacing w:val="-2"/>
                <w:sz w:val="21"/>
              </w:rPr>
              <w:t>不可抗力</w:t>
            </w:r>
          </w:p>
          <w:p>
            <w:pPr>
              <w:pStyle w:val="TableParagraph"/>
              <w:numPr>
                <w:ilvl w:val="1"/>
                <w:numId w:val="4"/>
              </w:numPr>
              <w:tabs>
                <w:tab w:pos="758" w:val="left" w:leader="none"/>
              </w:tabs>
              <w:spacing w:line="240" w:lineRule="auto" w:before="23" w:after="0"/>
              <w:ind w:left="757" w:right="0" w:hanging="526"/>
              <w:jc w:val="left"/>
              <w:rPr>
                <w:sz w:val="21"/>
              </w:rPr>
            </w:pPr>
            <w:r>
              <w:rPr>
                <w:spacing w:val="-3"/>
                <w:sz w:val="21"/>
              </w:rPr>
              <w:t>伤残鉴定机构</w:t>
            </w:r>
          </w:p>
          <w:p>
            <w:pPr>
              <w:pStyle w:val="TableParagraph"/>
              <w:numPr>
                <w:ilvl w:val="1"/>
                <w:numId w:val="4"/>
              </w:numPr>
              <w:tabs>
                <w:tab w:pos="758" w:val="left" w:leader="none"/>
              </w:tabs>
              <w:spacing w:line="240" w:lineRule="auto" w:before="25" w:after="0"/>
              <w:ind w:left="757" w:right="0" w:hanging="526"/>
              <w:jc w:val="left"/>
              <w:rPr>
                <w:sz w:val="21"/>
              </w:rPr>
            </w:pPr>
            <w:r>
              <w:rPr>
                <w:spacing w:val="-2"/>
                <w:sz w:val="21"/>
              </w:rPr>
              <w:t>专科医生</w:t>
            </w:r>
          </w:p>
          <w:p>
            <w:pPr>
              <w:pStyle w:val="TableParagraph"/>
              <w:numPr>
                <w:ilvl w:val="1"/>
                <w:numId w:val="4"/>
              </w:numPr>
              <w:tabs>
                <w:tab w:pos="758" w:val="left" w:leader="none"/>
              </w:tabs>
              <w:spacing w:line="240" w:lineRule="auto" w:before="25" w:after="0"/>
              <w:ind w:left="757" w:right="0" w:hanging="526"/>
              <w:jc w:val="left"/>
              <w:rPr>
                <w:sz w:val="21"/>
              </w:rPr>
            </w:pPr>
            <w:r>
              <w:rPr>
                <w:spacing w:val="-2"/>
                <w:sz w:val="21"/>
              </w:rPr>
              <w:t>原位癌</w:t>
            </w:r>
          </w:p>
          <w:p>
            <w:pPr>
              <w:pStyle w:val="TableParagraph"/>
              <w:numPr>
                <w:ilvl w:val="1"/>
                <w:numId w:val="4"/>
              </w:numPr>
              <w:tabs>
                <w:tab w:pos="758" w:val="left" w:leader="none"/>
              </w:tabs>
              <w:spacing w:line="240" w:lineRule="auto" w:before="25" w:after="0"/>
              <w:ind w:left="757" w:right="0" w:hanging="526"/>
              <w:jc w:val="left"/>
              <w:rPr>
                <w:sz w:val="21"/>
              </w:rPr>
            </w:pPr>
            <w:r>
              <w:rPr>
                <w:spacing w:val="-3"/>
                <w:sz w:val="21"/>
              </w:rPr>
              <w:t>肢体能力完全丧失</w:t>
            </w:r>
          </w:p>
          <w:p>
            <w:pPr>
              <w:pStyle w:val="TableParagraph"/>
              <w:numPr>
                <w:ilvl w:val="1"/>
                <w:numId w:val="4"/>
              </w:numPr>
              <w:tabs>
                <w:tab w:pos="758" w:val="left" w:leader="none"/>
              </w:tabs>
              <w:spacing w:line="240" w:lineRule="auto" w:before="25" w:after="0"/>
              <w:ind w:left="757" w:right="0" w:hanging="526"/>
              <w:jc w:val="left"/>
              <w:rPr>
                <w:sz w:val="21"/>
              </w:rPr>
            </w:pPr>
            <w:r>
              <w:rPr>
                <w:spacing w:val="-3"/>
                <w:sz w:val="21"/>
              </w:rPr>
              <w:t>语言能力或咀嚼吞咽能力完全丧失</w:t>
            </w:r>
          </w:p>
          <w:p>
            <w:pPr>
              <w:pStyle w:val="TableParagraph"/>
              <w:numPr>
                <w:ilvl w:val="1"/>
                <w:numId w:val="4"/>
              </w:numPr>
              <w:tabs>
                <w:tab w:pos="758" w:val="left" w:leader="none"/>
              </w:tabs>
              <w:spacing w:line="240" w:lineRule="auto" w:before="25" w:after="0"/>
              <w:ind w:left="757" w:right="0" w:hanging="526"/>
              <w:jc w:val="left"/>
              <w:rPr>
                <w:sz w:val="21"/>
              </w:rPr>
            </w:pPr>
            <w:r>
              <w:rPr>
                <w:spacing w:val="-3"/>
                <w:sz w:val="21"/>
              </w:rPr>
              <w:t>永久不可逆</w:t>
            </w:r>
          </w:p>
          <w:p>
            <w:pPr>
              <w:pStyle w:val="TableParagraph"/>
              <w:numPr>
                <w:ilvl w:val="1"/>
                <w:numId w:val="4"/>
              </w:numPr>
              <w:tabs>
                <w:tab w:pos="758" w:val="left" w:leader="none"/>
              </w:tabs>
              <w:spacing w:line="240" w:lineRule="auto" w:before="23" w:after="0"/>
              <w:ind w:left="757" w:right="0" w:hanging="526"/>
              <w:jc w:val="left"/>
              <w:rPr>
                <w:sz w:val="21"/>
              </w:rPr>
            </w:pPr>
            <w:r>
              <w:rPr>
                <w:spacing w:val="-2"/>
                <w:sz w:val="21"/>
              </w:rPr>
              <w:t>借款利率</w:t>
            </w:r>
          </w:p>
        </w:tc>
      </w:tr>
    </w:tbl>
    <w:p>
      <w:pPr>
        <w:spacing w:after="0" w:line="240" w:lineRule="auto"/>
        <w:jc w:val="left"/>
        <w:rPr>
          <w:sz w:val="21"/>
        </w:rPr>
        <w:sectPr>
          <w:type w:val="continuous"/>
          <w:pgSz w:w="11910" w:h="16840"/>
          <w:pgMar w:top="320" w:bottom="1100" w:left="980" w:right="680"/>
        </w:sectPr>
      </w:pPr>
    </w:p>
    <w:p>
      <w:pPr>
        <w:pStyle w:val="BodyText"/>
        <w:spacing w:before="6"/>
        <w:rPr>
          <w:rFonts w:ascii="Times New Roman"/>
          <w:sz w:val="28"/>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9"/>
        <w:gridCol w:w="1874"/>
        <w:gridCol w:w="5936"/>
      </w:tblGrid>
      <w:tr>
        <w:trPr>
          <w:trHeight w:val="1060" w:hRule="atLeast"/>
        </w:trPr>
        <w:tc>
          <w:tcPr>
            <w:tcW w:w="8819" w:type="dxa"/>
            <w:gridSpan w:val="3"/>
          </w:tcPr>
          <w:p>
            <w:pPr>
              <w:pStyle w:val="TableParagraph"/>
              <w:spacing w:line="319" w:lineRule="exact"/>
              <w:ind w:left="2208" w:right="2209"/>
              <w:jc w:val="center"/>
              <w:rPr>
                <w:b/>
                <w:sz w:val="32"/>
              </w:rPr>
            </w:pPr>
            <w:r>
              <w:rPr>
                <w:b/>
                <w:w w:val="95"/>
                <w:sz w:val="32"/>
              </w:rPr>
              <w:t>英大泰和人寿保险股份有限公司</w:t>
            </w:r>
          </w:p>
          <w:p>
            <w:pPr>
              <w:pStyle w:val="TableParagraph"/>
              <w:spacing w:before="108"/>
              <w:ind w:left="2211" w:right="2209"/>
              <w:jc w:val="center"/>
              <w:rPr>
                <w:b/>
                <w:sz w:val="28"/>
              </w:rPr>
            </w:pPr>
            <w:r>
              <w:rPr>
                <w:b/>
                <w:sz w:val="28"/>
              </w:rPr>
              <w:t>英大安康宝 B 款重大疾病保险条款</w:t>
            </w:r>
          </w:p>
        </w:tc>
      </w:tr>
      <w:tr>
        <w:trPr>
          <w:trHeight w:val="889" w:hRule="atLeast"/>
        </w:trPr>
        <w:tc>
          <w:tcPr>
            <w:tcW w:w="8819" w:type="dxa"/>
            <w:gridSpan w:val="3"/>
          </w:tcPr>
          <w:p>
            <w:pPr>
              <w:pStyle w:val="TableParagraph"/>
              <w:spacing w:before="7"/>
              <w:rPr>
                <w:rFonts w:ascii="Times New Roman"/>
                <w:sz w:val="17"/>
              </w:rPr>
            </w:pPr>
          </w:p>
          <w:p>
            <w:pPr>
              <w:pStyle w:val="TableParagraph"/>
              <w:ind w:left="194"/>
              <w:rPr>
                <w:b/>
                <w:sz w:val="21"/>
              </w:rPr>
            </w:pPr>
            <w:r>
              <w:rPr>
                <w:b/>
                <w:spacing w:val="-23"/>
                <w:w w:val="100"/>
                <w:sz w:val="21"/>
              </w:rPr>
              <w:t>在本条款中，“您”指投保人，“我们”、“我们公司”均指英大泰和人寿保险股份有限公司。</w:t>
            </w:r>
          </w:p>
        </w:tc>
      </w:tr>
      <w:tr>
        <w:trPr>
          <w:trHeight w:val="446" w:hRule="atLeast"/>
        </w:trPr>
        <w:tc>
          <w:tcPr>
            <w:tcW w:w="1009" w:type="dxa"/>
            <w:shd w:val="clear" w:color="auto" w:fill="CCCCCC"/>
          </w:tcPr>
          <w:p>
            <w:pPr>
              <w:pStyle w:val="TableParagraph"/>
              <w:spacing w:before="43"/>
              <w:ind w:left="110"/>
              <w:rPr>
                <w:rFonts w:ascii="Wingdings" w:hAnsi="Wingdings"/>
                <w:sz w:val="32"/>
              </w:rPr>
            </w:pPr>
            <w:r>
              <w:rPr>
                <w:rFonts w:ascii="Wingdings" w:hAnsi="Wingdings"/>
                <w:w w:val="99"/>
                <w:sz w:val="32"/>
              </w:rPr>
              <w:t></w:t>
            </w:r>
          </w:p>
        </w:tc>
        <w:tc>
          <w:tcPr>
            <w:tcW w:w="1874" w:type="dxa"/>
            <w:shd w:val="clear" w:color="auto" w:fill="CCCCCC"/>
          </w:tcPr>
          <w:p>
            <w:pPr>
              <w:pStyle w:val="TableParagraph"/>
              <w:spacing w:before="52"/>
              <w:ind w:left="370"/>
              <w:rPr>
                <w:b/>
                <w:sz w:val="21"/>
              </w:rPr>
            </w:pPr>
            <w:r>
              <w:rPr>
                <w:b/>
                <w:sz w:val="21"/>
              </w:rPr>
              <w:t>您与我们的合同</w:t>
            </w:r>
          </w:p>
        </w:tc>
        <w:tc>
          <w:tcPr>
            <w:tcW w:w="5936" w:type="dxa"/>
            <w:shd w:val="clear" w:color="auto" w:fill="CCCCCC"/>
          </w:tcPr>
          <w:p>
            <w:pPr>
              <w:pStyle w:val="TableParagraph"/>
              <w:rPr>
                <w:rFonts w:ascii="Times New Roman"/>
                <w:sz w:val="20"/>
              </w:rPr>
            </w:pPr>
          </w:p>
        </w:tc>
      </w:tr>
      <w:tr>
        <w:trPr>
          <w:trHeight w:val="1423" w:hRule="atLeast"/>
        </w:trPr>
        <w:tc>
          <w:tcPr>
            <w:tcW w:w="1009" w:type="dxa"/>
          </w:tcPr>
          <w:p>
            <w:pPr>
              <w:pStyle w:val="TableParagraph"/>
              <w:spacing w:before="9"/>
              <w:ind w:left="110"/>
              <w:rPr>
                <w:sz w:val="21"/>
              </w:rPr>
            </w:pPr>
            <w:r>
              <w:rPr>
                <w:sz w:val="21"/>
              </w:rPr>
              <w:t>1.1</w:t>
            </w:r>
          </w:p>
        </w:tc>
        <w:tc>
          <w:tcPr>
            <w:tcW w:w="1874" w:type="dxa"/>
          </w:tcPr>
          <w:p>
            <w:pPr>
              <w:pStyle w:val="TableParagraph"/>
              <w:spacing w:before="9"/>
              <w:ind w:left="370"/>
              <w:rPr>
                <w:sz w:val="21"/>
              </w:rPr>
            </w:pPr>
            <w:r>
              <w:rPr>
                <w:sz w:val="21"/>
              </w:rPr>
              <w:t>合同构成</w:t>
            </w:r>
          </w:p>
        </w:tc>
        <w:tc>
          <w:tcPr>
            <w:tcW w:w="5936" w:type="dxa"/>
          </w:tcPr>
          <w:p>
            <w:pPr>
              <w:pStyle w:val="TableParagraph"/>
              <w:spacing w:line="261" w:lineRule="auto" w:before="9"/>
              <w:ind w:left="107" w:right="149"/>
              <w:jc w:val="both"/>
              <w:rPr>
                <w:sz w:val="21"/>
              </w:rPr>
            </w:pPr>
            <w:r>
              <w:rPr>
                <w:spacing w:val="-9"/>
                <w:sz w:val="21"/>
              </w:rPr>
              <w:t>英大安康宝 </w:t>
            </w:r>
            <w:r>
              <w:rPr>
                <w:sz w:val="21"/>
              </w:rPr>
              <w:t>B</w:t>
            </w:r>
            <w:r>
              <w:rPr>
                <w:spacing w:val="-7"/>
                <w:sz w:val="21"/>
              </w:rPr>
              <w:t> 款重大疾病保险合同</w:t>
            </w:r>
            <w:r>
              <w:rPr>
                <w:spacing w:val="-3"/>
                <w:sz w:val="21"/>
              </w:rPr>
              <w:t>（以下简称本合同</w:t>
            </w:r>
            <w:r>
              <w:rPr>
                <w:sz w:val="21"/>
              </w:rPr>
              <w:t>）</w:t>
            </w:r>
            <w:r>
              <w:rPr>
                <w:spacing w:val="-2"/>
                <w:sz w:val="21"/>
              </w:rPr>
              <w:t>由保险</w:t>
            </w:r>
            <w:r>
              <w:rPr>
                <w:spacing w:val="-3"/>
                <w:sz w:val="21"/>
              </w:rPr>
              <w:t>单及其所附条款、声明、批注、批单，以及与本合同有关的投保单、其他投保文件、复效申请书、健康声明书及其他约定书共同构成。</w:t>
            </w:r>
          </w:p>
        </w:tc>
      </w:tr>
      <w:tr>
        <w:trPr>
          <w:trHeight w:val="1968" w:hRule="atLeast"/>
        </w:trPr>
        <w:tc>
          <w:tcPr>
            <w:tcW w:w="1009" w:type="dxa"/>
          </w:tcPr>
          <w:p>
            <w:pPr>
              <w:pStyle w:val="TableParagraph"/>
              <w:spacing w:before="175"/>
              <w:ind w:left="110"/>
              <w:rPr>
                <w:sz w:val="21"/>
              </w:rPr>
            </w:pPr>
            <w:r>
              <w:rPr>
                <w:sz w:val="21"/>
              </w:rPr>
              <w:t>1.2</w:t>
            </w:r>
          </w:p>
        </w:tc>
        <w:tc>
          <w:tcPr>
            <w:tcW w:w="1874" w:type="dxa"/>
          </w:tcPr>
          <w:p>
            <w:pPr>
              <w:pStyle w:val="TableParagraph"/>
              <w:spacing w:before="175"/>
              <w:ind w:left="370"/>
              <w:rPr>
                <w:sz w:val="21"/>
              </w:rPr>
            </w:pPr>
            <w:r>
              <w:rPr>
                <w:sz w:val="21"/>
              </w:rPr>
              <w:t>合同生效</w:t>
            </w:r>
          </w:p>
        </w:tc>
        <w:tc>
          <w:tcPr>
            <w:tcW w:w="5936" w:type="dxa"/>
          </w:tcPr>
          <w:p>
            <w:pPr>
              <w:pStyle w:val="TableParagraph"/>
              <w:spacing w:before="4"/>
              <w:rPr>
                <w:rFonts w:ascii="Times New Roman"/>
                <w:sz w:val="18"/>
              </w:rPr>
            </w:pPr>
          </w:p>
          <w:p>
            <w:pPr>
              <w:pStyle w:val="TableParagraph"/>
              <w:spacing w:line="300" w:lineRule="auto"/>
              <w:ind w:left="107" w:right="-15" w:firstLine="21"/>
              <w:rPr>
                <w:sz w:val="21"/>
              </w:rPr>
            </w:pPr>
            <w:r>
              <w:rPr>
                <w:spacing w:val="-3"/>
                <w:sz w:val="21"/>
              </w:rPr>
              <w:t>本合同以我们同意承保、收取首期保险费并签发保险单为生效</w:t>
            </w:r>
            <w:r>
              <w:rPr>
                <w:spacing w:val="-4"/>
                <w:w w:val="100"/>
                <w:sz w:val="21"/>
              </w:rPr>
              <w:t>条件，生效日载明于保险单上。</w:t>
            </w:r>
            <w:r>
              <w:rPr>
                <w:b/>
                <w:spacing w:val="-1"/>
                <w:w w:val="100"/>
                <w:sz w:val="21"/>
              </w:rPr>
              <w:t>保险单周年日</w:t>
            </w:r>
            <w:r>
              <w:rPr>
                <w:spacing w:val="-3"/>
                <w:w w:val="100"/>
                <w:sz w:val="21"/>
              </w:rPr>
              <w:t>（</w:t>
            </w:r>
            <w:r>
              <w:rPr>
                <w:w w:val="100"/>
                <w:sz w:val="21"/>
              </w:rPr>
              <w:t>见</w:t>
            </w:r>
            <w:r>
              <w:rPr>
                <w:spacing w:val="-54"/>
                <w:sz w:val="21"/>
              </w:rPr>
              <w:t> </w:t>
            </w:r>
            <w:r>
              <w:rPr>
                <w:w w:val="100"/>
                <w:sz w:val="21"/>
              </w:rPr>
              <w:t>8.1</w:t>
            </w:r>
            <w:r>
              <w:rPr>
                <w:spacing w:val="-106"/>
                <w:w w:val="100"/>
                <w:sz w:val="21"/>
              </w:rPr>
              <w:t>）</w:t>
            </w:r>
            <w:r>
              <w:rPr>
                <w:spacing w:val="-5"/>
                <w:w w:val="100"/>
                <w:sz w:val="21"/>
              </w:rPr>
              <w:t>、</w:t>
            </w:r>
            <w:r>
              <w:rPr>
                <w:b/>
                <w:w w:val="100"/>
                <w:sz w:val="21"/>
              </w:rPr>
              <w:t>保险</w:t>
            </w:r>
            <w:r>
              <w:rPr>
                <w:b/>
                <w:spacing w:val="-5"/>
                <w:w w:val="100"/>
                <w:sz w:val="21"/>
              </w:rPr>
              <w:t>单年度</w:t>
            </w:r>
            <w:r>
              <w:rPr>
                <w:spacing w:val="-3"/>
                <w:w w:val="100"/>
                <w:sz w:val="21"/>
              </w:rPr>
              <w:t>（</w:t>
            </w:r>
            <w:r>
              <w:rPr>
                <w:w w:val="100"/>
                <w:sz w:val="21"/>
              </w:rPr>
              <w:t>见</w:t>
            </w:r>
            <w:r>
              <w:rPr>
                <w:spacing w:val="-53"/>
                <w:sz w:val="21"/>
              </w:rPr>
              <w:t> </w:t>
            </w:r>
            <w:r>
              <w:rPr>
                <w:spacing w:val="-3"/>
                <w:w w:val="100"/>
                <w:sz w:val="21"/>
              </w:rPr>
              <w:t>8</w:t>
            </w:r>
            <w:r>
              <w:rPr>
                <w:w w:val="100"/>
                <w:sz w:val="21"/>
              </w:rPr>
              <w:t>.2</w:t>
            </w:r>
            <w:r>
              <w:rPr>
                <w:spacing w:val="-108"/>
                <w:w w:val="100"/>
                <w:sz w:val="21"/>
              </w:rPr>
              <w:t>）</w:t>
            </w:r>
            <w:r>
              <w:rPr>
                <w:spacing w:val="-17"/>
                <w:w w:val="100"/>
                <w:sz w:val="21"/>
              </w:rPr>
              <w:t>、</w:t>
            </w:r>
            <w:r>
              <w:rPr>
                <w:b/>
                <w:spacing w:val="-3"/>
                <w:w w:val="100"/>
                <w:sz w:val="21"/>
              </w:rPr>
              <w:t>保险费应付日</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3"/>
                <w:w w:val="100"/>
                <w:sz w:val="21"/>
              </w:rPr>
              <w:t>3</w:t>
            </w:r>
            <w:r>
              <w:rPr>
                <w:spacing w:val="-15"/>
                <w:w w:val="100"/>
                <w:sz w:val="21"/>
              </w:rPr>
              <w:t>）</w:t>
            </w:r>
            <w:r>
              <w:rPr>
                <w:spacing w:val="-3"/>
                <w:w w:val="100"/>
                <w:sz w:val="21"/>
              </w:rPr>
              <w:t>均依据生效日确定。</w:t>
            </w:r>
            <w:r>
              <w:rPr>
                <w:spacing w:val="-3"/>
                <w:sz w:val="21"/>
              </w:rPr>
              <w:t>我们自本合同生效日零时开始承担本合同约定的保险责任。</w:t>
            </w:r>
          </w:p>
        </w:tc>
      </w:tr>
      <w:tr>
        <w:trPr>
          <w:trHeight w:val="446" w:hRule="atLeast"/>
        </w:trPr>
        <w:tc>
          <w:tcPr>
            <w:tcW w:w="1009" w:type="dxa"/>
            <w:shd w:val="clear" w:color="auto" w:fill="C0C0C0"/>
          </w:tcPr>
          <w:p>
            <w:pPr>
              <w:pStyle w:val="TableParagraph"/>
              <w:spacing w:before="43"/>
              <w:ind w:left="110"/>
              <w:rPr>
                <w:rFonts w:ascii="Wingdings" w:hAnsi="Wingdings"/>
                <w:sz w:val="32"/>
              </w:rPr>
            </w:pPr>
            <w:r>
              <w:rPr>
                <w:rFonts w:ascii="Wingdings" w:hAnsi="Wingdings"/>
                <w:w w:val="99"/>
                <w:sz w:val="32"/>
              </w:rPr>
              <w:t></w:t>
            </w:r>
          </w:p>
        </w:tc>
        <w:tc>
          <w:tcPr>
            <w:tcW w:w="1874" w:type="dxa"/>
            <w:shd w:val="clear" w:color="auto" w:fill="C0C0C0"/>
          </w:tcPr>
          <w:p>
            <w:pPr>
              <w:pStyle w:val="TableParagraph"/>
              <w:spacing w:before="54"/>
              <w:ind w:left="370"/>
              <w:rPr>
                <w:b/>
                <w:sz w:val="21"/>
              </w:rPr>
            </w:pPr>
            <w:r>
              <w:rPr>
                <w:b/>
                <w:sz w:val="21"/>
              </w:rPr>
              <w:t>您获得的保障</w:t>
            </w:r>
          </w:p>
        </w:tc>
        <w:tc>
          <w:tcPr>
            <w:tcW w:w="5936" w:type="dxa"/>
            <w:shd w:val="clear" w:color="auto" w:fill="C0C0C0"/>
          </w:tcPr>
          <w:p>
            <w:pPr>
              <w:pStyle w:val="TableParagraph"/>
              <w:rPr>
                <w:rFonts w:ascii="Times New Roman"/>
                <w:sz w:val="20"/>
              </w:rPr>
            </w:pPr>
          </w:p>
        </w:tc>
      </w:tr>
      <w:tr>
        <w:trPr>
          <w:trHeight w:val="929" w:hRule="atLeast"/>
        </w:trPr>
        <w:tc>
          <w:tcPr>
            <w:tcW w:w="1009" w:type="dxa"/>
          </w:tcPr>
          <w:p>
            <w:pPr>
              <w:pStyle w:val="TableParagraph"/>
              <w:spacing w:before="11"/>
              <w:ind w:left="110"/>
              <w:rPr>
                <w:sz w:val="21"/>
              </w:rPr>
            </w:pPr>
            <w:r>
              <w:rPr>
                <w:sz w:val="21"/>
              </w:rPr>
              <w:t>2.1</w:t>
            </w:r>
          </w:p>
        </w:tc>
        <w:tc>
          <w:tcPr>
            <w:tcW w:w="1874" w:type="dxa"/>
          </w:tcPr>
          <w:p>
            <w:pPr>
              <w:pStyle w:val="TableParagraph"/>
              <w:spacing w:before="11"/>
              <w:ind w:left="370"/>
              <w:rPr>
                <w:sz w:val="21"/>
              </w:rPr>
            </w:pPr>
            <w:r>
              <w:rPr>
                <w:sz w:val="21"/>
              </w:rPr>
              <w:t>基本保险金额</w:t>
            </w:r>
          </w:p>
        </w:tc>
        <w:tc>
          <w:tcPr>
            <w:tcW w:w="5936" w:type="dxa"/>
          </w:tcPr>
          <w:p>
            <w:pPr>
              <w:pStyle w:val="TableParagraph"/>
              <w:spacing w:line="300" w:lineRule="auto" w:before="47"/>
              <w:ind w:left="107" w:right="104"/>
              <w:rPr>
                <w:sz w:val="21"/>
              </w:rPr>
            </w:pPr>
            <w:r>
              <w:rPr>
                <w:sz w:val="21"/>
              </w:rPr>
              <w:t>本合同的基本保险金额由您在投保时与我们约定，并在保险单上载明。</w:t>
            </w:r>
          </w:p>
        </w:tc>
      </w:tr>
      <w:tr>
        <w:trPr>
          <w:trHeight w:val="1986" w:hRule="atLeast"/>
        </w:trPr>
        <w:tc>
          <w:tcPr>
            <w:tcW w:w="1009" w:type="dxa"/>
          </w:tcPr>
          <w:p>
            <w:pPr>
              <w:pStyle w:val="TableParagraph"/>
              <w:spacing w:before="4"/>
              <w:rPr>
                <w:rFonts w:ascii="Times New Roman"/>
                <w:sz w:val="17"/>
              </w:rPr>
            </w:pPr>
          </w:p>
          <w:p>
            <w:pPr>
              <w:pStyle w:val="TableParagraph"/>
              <w:ind w:left="110"/>
              <w:rPr>
                <w:sz w:val="21"/>
              </w:rPr>
            </w:pPr>
            <w:r>
              <w:rPr>
                <w:sz w:val="21"/>
              </w:rPr>
              <w:t>2.2</w:t>
            </w:r>
          </w:p>
        </w:tc>
        <w:tc>
          <w:tcPr>
            <w:tcW w:w="1874" w:type="dxa"/>
          </w:tcPr>
          <w:p>
            <w:pPr>
              <w:pStyle w:val="TableParagraph"/>
              <w:spacing w:before="4"/>
              <w:rPr>
                <w:rFonts w:ascii="Times New Roman"/>
                <w:sz w:val="17"/>
              </w:rPr>
            </w:pPr>
          </w:p>
          <w:p>
            <w:pPr>
              <w:pStyle w:val="TableParagraph"/>
              <w:ind w:left="370"/>
              <w:rPr>
                <w:sz w:val="21"/>
              </w:rPr>
            </w:pPr>
            <w:r>
              <w:rPr>
                <w:sz w:val="21"/>
              </w:rPr>
              <w:t>保险金额</w:t>
            </w:r>
          </w:p>
        </w:tc>
        <w:tc>
          <w:tcPr>
            <w:tcW w:w="5936" w:type="dxa"/>
          </w:tcPr>
          <w:p>
            <w:pPr>
              <w:pStyle w:val="TableParagraph"/>
              <w:spacing w:before="3"/>
              <w:rPr>
                <w:rFonts w:ascii="Times New Roman"/>
                <w:sz w:val="19"/>
              </w:rPr>
            </w:pPr>
          </w:p>
          <w:p>
            <w:pPr>
              <w:pStyle w:val="TableParagraph"/>
              <w:ind w:left="107"/>
              <w:rPr>
                <w:sz w:val="21"/>
              </w:rPr>
            </w:pPr>
            <w:r>
              <w:rPr>
                <w:sz w:val="21"/>
              </w:rPr>
              <w:t>本合同的保险金额按以下规则确定：</w:t>
            </w:r>
          </w:p>
          <w:p>
            <w:pPr>
              <w:pStyle w:val="TableParagraph"/>
              <w:spacing w:line="273" w:lineRule="auto" w:before="37"/>
              <w:ind w:left="107" w:right="148"/>
              <w:rPr>
                <w:sz w:val="21"/>
              </w:rPr>
            </w:pPr>
            <w:r>
              <w:rPr>
                <w:spacing w:val="-3"/>
                <w:sz w:val="21"/>
              </w:rPr>
              <w:t>本合同首个保险单年度的保险金额等于基本保险金额，第二个</w:t>
            </w:r>
            <w:r>
              <w:rPr>
                <w:spacing w:val="-5"/>
                <w:sz w:val="21"/>
              </w:rPr>
              <w:t>保险单年度的保险金额等于基本保险金额的 </w:t>
            </w:r>
            <w:r>
              <w:rPr>
                <w:sz w:val="21"/>
              </w:rPr>
              <w:t>1.5</w:t>
            </w:r>
            <w:r>
              <w:rPr>
                <w:spacing w:val="-8"/>
                <w:sz w:val="21"/>
              </w:rPr>
              <w:t> 倍，第三个保</w:t>
            </w:r>
          </w:p>
          <w:p>
            <w:pPr>
              <w:pStyle w:val="TableParagraph"/>
              <w:spacing w:line="273" w:lineRule="auto" w:before="8"/>
              <w:ind w:left="107" w:right="139"/>
              <w:rPr>
                <w:sz w:val="21"/>
              </w:rPr>
            </w:pPr>
            <w:r>
              <w:rPr>
                <w:sz w:val="21"/>
              </w:rPr>
              <w:t>险单年度及后续保险单年度的保险金额等于基本保险金额的 2 倍。</w:t>
            </w:r>
          </w:p>
        </w:tc>
      </w:tr>
      <w:tr>
        <w:trPr>
          <w:trHeight w:val="1058" w:hRule="atLeast"/>
        </w:trPr>
        <w:tc>
          <w:tcPr>
            <w:tcW w:w="1009" w:type="dxa"/>
          </w:tcPr>
          <w:p>
            <w:pPr>
              <w:pStyle w:val="TableParagraph"/>
              <w:spacing w:before="177"/>
              <w:ind w:left="110"/>
              <w:rPr>
                <w:sz w:val="21"/>
              </w:rPr>
            </w:pPr>
            <w:r>
              <w:rPr>
                <w:sz w:val="21"/>
              </w:rPr>
              <w:t>2.3</w:t>
            </w:r>
          </w:p>
        </w:tc>
        <w:tc>
          <w:tcPr>
            <w:tcW w:w="1874" w:type="dxa"/>
          </w:tcPr>
          <w:p>
            <w:pPr>
              <w:pStyle w:val="TableParagraph"/>
              <w:spacing w:before="177"/>
              <w:ind w:left="370"/>
              <w:rPr>
                <w:sz w:val="21"/>
              </w:rPr>
            </w:pPr>
            <w:r>
              <w:rPr>
                <w:sz w:val="21"/>
              </w:rPr>
              <w:t>保险期间</w:t>
            </w:r>
          </w:p>
        </w:tc>
        <w:tc>
          <w:tcPr>
            <w:tcW w:w="5936" w:type="dxa"/>
          </w:tcPr>
          <w:p>
            <w:pPr>
              <w:pStyle w:val="TableParagraph"/>
              <w:spacing w:before="3"/>
              <w:rPr>
                <w:rFonts w:ascii="Times New Roman"/>
                <w:sz w:val="17"/>
              </w:rPr>
            </w:pPr>
          </w:p>
          <w:p>
            <w:pPr>
              <w:pStyle w:val="TableParagraph"/>
              <w:spacing w:line="273" w:lineRule="auto" w:before="1"/>
              <w:ind w:left="107" w:right="37"/>
              <w:rPr>
                <w:sz w:val="21"/>
              </w:rPr>
            </w:pPr>
            <w:r>
              <w:rPr>
                <w:sz w:val="21"/>
              </w:rPr>
              <w:t>本合同的保险期间载明于保险单上,从生效日的零时开始，到期满日的二十四时终止。</w:t>
            </w:r>
          </w:p>
        </w:tc>
      </w:tr>
      <w:tr>
        <w:trPr>
          <w:trHeight w:val="754" w:hRule="atLeast"/>
        </w:trPr>
        <w:tc>
          <w:tcPr>
            <w:tcW w:w="1009" w:type="dxa"/>
          </w:tcPr>
          <w:p>
            <w:pPr>
              <w:pStyle w:val="TableParagraph"/>
              <w:spacing w:before="1"/>
              <w:rPr>
                <w:rFonts w:ascii="Times New Roman"/>
                <w:sz w:val="18"/>
              </w:rPr>
            </w:pPr>
          </w:p>
          <w:p>
            <w:pPr>
              <w:pStyle w:val="TableParagraph"/>
              <w:ind w:left="110"/>
              <w:rPr>
                <w:sz w:val="21"/>
              </w:rPr>
            </w:pPr>
            <w:r>
              <w:rPr>
                <w:sz w:val="21"/>
              </w:rPr>
              <w:t>2.4</w:t>
            </w:r>
          </w:p>
        </w:tc>
        <w:tc>
          <w:tcPr>
            <w:tcW w:w="1874" w:type="dxa"/>
          </w:tcPr>
          <w:p>
            <w:pPr>
              <w:pStyle w:val="TableParagraph"/>
              <w:spacing w:before="1"/>
              <w:rPr>
                <w:rFonts w:ascii="Times New Roman"/>
                <w:sz w:val="18"/>
              </w:rPr>
            </w:pPr>
          </w:p>
          <w:p>
            <w:pPr>
              <w:pStyle w:val="TableParagraph"/>
              <w:ind w:left="370"/>
              <w:rPr>
                <w:sz w:val="21"/>
              </w:rPr>
            </w:pPr>
            <w:r>
              <w:rPr>
                <w:sz w:val="21"/>
              </w:rPr>
              <w:t>保险责任</w:t>
            </w:r>
          </w:p>
        </w:tc>
        <w:tc>
          <w:tcPr>
            <w:tcW w:w="5936" w:type="dxa"/>
          </w:tcPr>
          <w:p>
            <w:pPr>
              <w:pStyle w:val="TableParagraph"/>
              <w:spacing w:before="1"/>
              <w:rPr>
                <w:rFonts w:ascii="Times New Roman"/>
                <w:sz w:val="18"/>
              </w:rPr>
            </w:pPr>
          </w:p>
          <w:p>
            <w:pPr>
              <w:pStyle w:val="TableParagraph"/>
              <w:ind w:left="107"/>
              <w:rPr>
                <w:sz w:val="21"/>
              </w:rPr>
            </w:pPr>
            <w:r>
              <w:rPr>
                <w:sz w:val="21"/>
              </w:rPr>
              <w:t>在本合同保险期间内且本合同有效，我们承担下列保险责任：</w:t>
            </w:r>
          </w:p>
        </w:tc>
      </w:tr>
      <w:tr>
        <w:trPr>
          <w:trHeight w:val="2424" w:hRule="atLeast"/>
        </w:trPr>
        <w:tc>
          <w:tcPr>
            <w:tcW w:w="1009" w:type="dxa"/>
          </w:tcPr>
          <w:p>
            <w:pPr>
              <w:pStyle w:val="TableParagraph"/>
              <w:spacing w:before="9"/>
              <w:rPr>
                <w:rFonts w:ascii="Times New Roman"/>
                <w:sz w:val="17"/>
              </w:rPr>
            </w:pPr>
          </w:p>
          <w:p>
            <w:pPr>
              <w:pStyle w:val="TableParagraph"/>
              <w:spacing w:before="1"/>
              <w:ind w:left="110"/>
              <w:rPr>
                <w:i/>
                <w:sz w:val="22"/>
              </w:rPr>
            </w:pPr>
            <w:r>
              <w:rPr>
                <w:i/>
                <w:sz w:val="22"/>
              </w:rPr>
              <w:t>2.4.1</w:t>
            </w:r>
          </w:p>
        </w:tc>
        <w:tc>
          <w:tcPr>
            <w:tcW w:w="1874" w:type="dxa"/>
          </w:tcPr>
          <w:p>
            <w:pPr>
              <w:pStyle w:val="TableParagraph"/>
              <w:spacing w:before="10"/>
              <w:rPr>
                <w:rFonts w:ascii="Times New Roman"/>
                <w:sz w:val="18"/>
              </w:rPr>
            </w:pPr>
          </w:p>
          <w:p>
            <w:pPr>
              <w:pStyle w:val="TableParagraph"/>
              <w:spacing w:line="295" w:lineRule="auto"/>
              <w:ind w:left="370" w:right="105"/>
              <w:rPr>
                <w:sz w:val="21"/>
              </w:rPr>
            </w:pPr>
            <w:r>
              <w:rPr>
                <w:sz w:val="21"/>
              </w:rPr>
              <w:t>重大疾病保险金</w:t>
            </w:r>
          </w:p>
        </w:tc>
        <w:tc>
          <w:tcPr>
            <w:tcW w:w="5936" w:type="dxa"/>
          </w:tcPr>
          <w:p>
            <w:pPr>
              <w:pStyle w:val="TableParagraph"/>
              <w:spacing w:before="10"/>
              <w:rPr>
                <w:rFonts w:ascii="Times New Roman"/>
                <w:sz w:val="19"/>
              </w:rPr>
            </w:pPr>
          </w:p>
          <w:p>
            <w:pPr>
              <w:pStyle w:val="TableParagraph"/>
              <w:spacing w:line="280" w:lineRule="auto"/>
              <w:ind w:left="107" w:right="98"/>
              <w:jc w:val="both"/>
              <w:rPr>
                <w:sz w:val="21"/>
              </w:rPr>
            </w:pPr>
            <w:r>
              <w:rPr>
                <w:spacing w:val="-3"/>
                <w:w w:val="100"/>
                <w:sz w:val="21"/>
              </w:rPr>
              <w:t>如果被保险人因</w:t>
            </w:r>
            <w:r>
              <w:rPr>
                <w:b/>
                <w:spacing w:val="-2"/>
                <w:w w:val="100"/>
                <w:sz w:val="21"/>
              </w:rPr>
              <w:t>意外伤害</w:t>
            </w:r>
            <w:r>
              <w:rPr>
                <w:w w:val="100"/>
                <w:sz w:val="21"/>
              </w:rPr>
              <w:t>（见</w:t>
            </w:r>
            <w:r>
              <w:rPr>
                <w:spacing w:val="-53"/>
                <w:sz w:val="21"/>
              </w:rPr>
              <w:t> </w:t>
            </w:r>
            <w:r>
              <w:rPr>
                <w:w w:val="100"/>
                <w:sz w:val="21"/>
              </w:rPr>
              <w:t>8</w:t>
            </w:r>
            <w:r>
              <w:rPr>
                <w:spacing w:val="-3"/>
                <w:w w:val="100"/>
                <w:sz w:val="21"/>
              </w:rPr>
              <w:t>.</w:t>
            </w:r>
            <w:r>
              <w:rPr>
                <w:spacing w:val="-1"/>
                <w:w w:val="100"/>
                <w:sz w:val="21"/>
              </w:rPr>
              <w:t>4</w:t>
            </w:r>
            <w:r>
              <w:rPr>
                <w:spacing w:val="-106"/>
                <w:w w:val="100"/>
                <w:sz w:val="21"/>
              </w:rPr>
              <w:t>）</w:t>
            </w:r>
            <w:r>
              <w:rPr>
                <w:spacing w:val="-4"/>
                <w:w w:val="100"/>
                <w:sz w:val="21"/>
              </w:rPr>
              <w:t>，或在本合同生效之日</w:t>
            </w:r>
            <w:r>
              <w:rPr>
                <w:w w:val="100"/>
                <w:sz w:val="21"/>
              </w:rPr>
              <w:t>（或</w:t>
            </w:r>
            <w:r>
              <w:rPr>
                <w:spacing w:val="-3"/>
                <w:sz w:val="21"/>
              </w:rPr>
              <w:t>最后复效之日，以较迟者为准）</w:t>
            </w:r>
            <w:r>
              <w:rPr>
                <w:spacing w:val="-8"/>
                <w:sz w:val="21"/>
              </w:rPr>
              <w:t>起 </w:t>
            </w:r>
            <w:r>
              <w:rPr>
                <w:sz w:val="21"/>
              </w:rPr>
              <w:t>180</w:t>
            </w:r>
            <w:r>
              <w:rPr>
                <w:spacing w:val="-6"/>
                <w:sz w:val="21"/>
              </w:rPr>
              <w:t> 天后因意外伤害之外的原因首次发病，并经</w:t>
            </w:r>
            <w:r>
              <w:rPr>
                <w:b/>
                <w:spacing w:val="-6"/>
                <w:sz w:val="21"/>
              </w:rPr>
              <w:t>医院</w:t>
            </w:r>
            <w:r>
              <w:rPr>
                <w:spacing w:val="-6"/>
                <w:sz w:val="21"/>
              </w:rPr>
              <w:t>（</w:t>
            </w:r>
            <w:r>
              <w:rPr>
                <w:spacing w:val="20"/>
                <w:sz w:val="21"/>
              </w:rPr>
              <w:t>见 </w:t>
            </w:r>
            <w:r>
              <w:rPr>
                <w:sz w:val="21"/>
              </w:rPr>
              <w:t>8.5）确诊初次发生本合同约定</w:t>
            </w:r>
            <w:r>
              <w:rPr>
                <w:spacing w:val="-3"/>
                <w:w w:val="100"/>
                <w:sz w:val="21"/>
              </w:rPr>
              <w:t>的一种或多种</w:t>
            </w:r>
            <w:r>
              <w:rPr>
                <w:b/>
                <w:spacing w:val="-1"/>
                <w:w w:val="100"/>
                <w:sz w:val="21"/>
              </w:rPr>
              <w:t>重大疾病</w:t>
            </w:r>
            <w:r>
              <w:rPr>
                <w:spacing w:val="-3"/>
                <w:w w:val="100"/>
                <w:sz w:val="21"/>
              </w:rPr>
              <w:t>（</w:t>
            </w:r>
            <w:r>
              <w:rPr>
                <w:w w:val="100"/>
                <w:sz w:val="21"/>
              </w:rPr>
              <w:t>见</w:t>
            </w:r>
            <w:r>
              <w:rPr>
                <w:spacing w:val="-53"/>
                <w:sz w:val="21"/>
              </w:rPr>
              <w:t> </w:t>
            </w:r>
            <w:r>
              <w:rPr>
                <w:w w:val="100"/>
                <w:sz w:val="21"/>
              </w:rPr>
              <w:t>8.</w:t>
            </w:r>
            <w:r>
              <w:rPr>
                <w:spacing w:val="-3"/>
                <w:w w:val="100"/>
                <w:sz w:val="21"/>
              </w:rPr>
              <w:t>6</w:t>
            </w:r>
            <w:r>
              <w:rPr>
                <w:spacing w:val="-106"/>
                <w:w w:val="100"/>
                <w:sz w:val="21"/>
              </w:rPr>
              <w:t>）</w:t>
            </w:r>
            <w:r>
              <w:rPr>
                <w:spacing w:val="-3"/>
                <w:w w:val="100"/>
                <w:sz w:val="21"/>
              </w:rPr>
              <w:t>，我们按本合同的保险金额给</w:t>
            </w:r>
            <w:r>
              <w:rPr>
                <w:spacing w:val="-3"/>
                <w:sz w:val="21"/>
              </w:rPr>
              <w:t>付重大疾病保险金,本合同终止。</w:t>
            </w:r>
          </w:p>
          <w:p>
            <w:pPr>
              <w:pStyle w:val="TableParagraph"/>
              <w:spacing w:before="5"/>
              <w:rPr>
                <w:rFonts w:ascii="Times New Roman"/>
                <w:sz w:val="28"/>
              </w:rPr>
            </w:pPr>
          </w:p>
          <w:p>
            <w:pPr>
              <w:pStyle w:val="TableParagraph"/>
              <w:spacing w:line="255" w:lineRule="exact"/>
              <w:ind w:left="107"/>
              <w:jc w:val="both"/>
              <w:rPr>
                <w:sz w:val="21"/>
              </w:rPr>
            </w:pPr>
            <w:r>
              <w:rPr>
                <w:sz w:val="21"/>
              </w:rPr>
              <w:t>如果被保险人在初次发生本合同约定的一种或多种重大疾病</w:t>
            </w:r>
          </w:p>
        </w:tc>
      </w:tr>
    </w:tbl>
    <w:p>
      <w:pPr>
        <w:spacing w:after="0" w:line="255" w:lineRule="exact"/>
        <w:jc w:val="both"/>
        <w:rPr>
          <w:sz w:val="21"/>
        </w:rPr>
        <w:sectPr>
          <w:pgSz w:w="11910" w:h="16840"/>
          <w:pgMar w:header="0" w:footer="919" w:top="1580" w:bottom="1100" w:left="1200" w:right="14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875"/>
        <w:gridCol w:w="6137"/>
      </w:tblGrid>
      <w:tr>
        <w:trPr>
          <w:trHeight w:val="1097" w:hRule="atLeast"/>
        </w:trPr>
        <w:tc>
          <w:tcPr>
            <w:tcW w:w="1099" w:type="dxa"/>
          </w:tcPr>
          <w:p>
            <w:pPr>
              <w:pStyle w:val="TableParagraph"/>
              <w:rPr>
                <w:rFonts w:ascii="Times New Roman"/>
                <w:sz w:val="20"/>
              </w:rPr>
            </w:pPr>
          </w:p>
        </w:tc>
        <w:tc>
          <w:tcPr>
            <w:tcW w:w="1875" w:type="dxa"/>
          </w:tcPr>
          <w:p>
            <w:pPr>
              <w:pStyle w:val="TableParagraph"/>
              <w:rPr>
                <w:rFonts w:ascii="Times New Roman"/>
                <w:sz w:val="20"/>
              </w:rPr>
            </w:pPr>
          </w:p>
        </w:tc>
        <w:tc>
          <w:tcPr>
            <w:tcW w:w="6137" w:type="dxa"/>
          </w:tcPr>
          <w:p>
            <w:pPr>
              <w:pStyle w:val="TableParagraph"/>
              <w:spacing w:line="211" w:lineRule="exact"/>
              <w:ind w:left="106"/>
              <w:rPr>
                <w:sz w:val="21"/>
              </w:rPr>
            </w:pPr>
            <w:r>
              <w:rPr>
                <w:sz w:val="21"/>
              </w:rPr>
              <w:t>前，我们已因其发生本合同约定的</w:t>
            </w:r>
            <w:r>
              <w:rPr>
                <w:b/>
                <w:sz w:val="21"/>
              </w:rPr>
              <w:t>轻症疾病</w:t>
            </w:r>
            <w:r>
              <w:rPr>
                <w:sz w:val="21"/>
              </w:rPr>
              <w:t>（见 8.7）给付了</w:t>
            </w:r>
          </w:p>
          <w:p>
            <w:pPr>
              <w:pStyle w:val="TableParagraph"/>
              <w:spacing w:line="278" w:lineRule="auto" w:before="44"/>
              <w:ind w:left="106" w:right="305"/>
              <w:rPr>
                <w:sz w:val="21"/>
              </w:rPr>
            </w:pPr>
            <w:r>
              <w:rPr>
                <w:sz w:val="21"/>
              </w:rPr>
              <w:t>轻症疾病保险金，则在给付重大疾病保险金时，将等额扣减轻</w:t>
            </w:r>
            <w:r>
              <w:rPr>
                <w:spacing w:val="-3"/>
                <w:sz w:val="21"/>
              </w:rPr>
              <w:t>症疾病保险金的累计给付总额（不计利息</w:t>
            </w:r>
            <w:r>
              <w:rPr>
                <w:spacing w:val="-106"/>
                <w:sz w:val="21"/>
              </w:rPr>
              <w:t>）</w:t>
            </w:r>
            <w:r>
              <w:rPr>
                <w:sz w:val="21"/>
              </w:rPr>
              <w:t>。</w:t>
            </w:r>
          </w:p>
        </w:tc>
      </w:tr>
      <w:tr>
        <w:trPr>
          <w:trHeight w:val="3255" w:hRule="atLeast"/>
        </w:trPr>
        <w:tc>
          <w:tcPr>
            <w:tcW w:w="1099" w:type="dxa"/>
          </w:tcPr>
          <w:p>
            <w:pPr>
              <w:pStyle w:val="TableParagraph"/>
              <w:spacing w:before="182"/>
              <w:ind w:left="200"/>
              <w:rPr>
                <w:i/>
                <w:sz w:val="22"/>
              </w:rPr>
            </w:pPr>
            <w:r>
              <w:rPr>
                <w:i/>
                <w:sz w:val="22"/>
              </w:rPr>
              <w:t>2.4.2</w:t>
            </w:r>
          </w:p>
        </w:tc>
        <w:tc>
          <w:tcPr>
            <w:tcW w:w="1875" w:type="dxa"/>
          </w:tcPr>
          <w:p>
            <w:pPr>
              <w:pStyle w:val="TableParagraph"/>
              <w:spacing w:before="10"/>
              <w:rPr>
                <w:rFonts w:ascii="Times New Roman"/>
                <w:sz w:val="16"/>
              </w:rPr>
            </w:pPr>
          </w:p>
          <w:p>
            <w:pPr>
              <w:pStyle w:val="TableParagraph"/>
              <w:spacing w:line="295" w:lineRule="auto"/>
              <w:ind w:left="370" w:right="106"/>
              <w:rPr>
                <w:sz w:val="21"/>
              </w:rPr>
            </w:pPr>
            <w:r>
              <w:rPr>
                <w:sz w:val="21"/>
              </w:rPr>
              <w:t>轻症疾病保险金</w:t>
            </w:r>
          </w:p>
        </w:tc>
        <w:tc>
          <w:tcPr>
            <w:tcW w:w="6137" w:type="dxa"/>
          </w:tcPr>
          <w:p>
            <w:pPr>
              <w:pStyle w:val="TableParagraph"/>
              <w:spacing w:before="10"/>
              <w:rPr>
                <w:rFonts w:ascii="Times New Roman"/>
                <w:sz w:val="17"/>
              </w:rPr>
            </w:pPr>
          </w:p>
          <w:p>
            <w:pPr>
              <w:pStyle w:val="TableParagraph"/>
              <w:spacing w:line="278" w:lineRule="auto" w:before="1"/>
              <w:ind w:left="106" w:right="197"/>
              <w:rPr>
                <w:sz w:val="21"/>
              </w:rPr>
            </w:pPr>
            <w:r>
              <w:rPr>
                <w:sz w:val="21"/>
              </w:rPr>
              <w:t>如果被保险人因意外伤害，或在本合同生效之日（或最后复效</w:t>
            </w:r>
            <w:r>
              <w:rPr>
                <w:spacing w:val="-3"/>
                <w:sz w:val="21"/>
              </w:rPr>
              <w:t>之日，以较迟者为准</w:t>
            </w:r>
            <w:r>
              <w:rPr>
                <w:sz w:val="21"/>
              </w:rPr>
              <w:t>）</w:t>
            </w:r>
            <w:r>
              <w:rPr>
                <w:spacing w:val="-12"/>
                <w:sz w:val="21"/>
              </w:rPr>
              <w:t>起 </w:t>
            </w:r>
            <w:r>
              <w:rPr>
                <w:sz w:val="21"/>
              </w:rPr>
              <w:t>180</w:t>
            </w:r>
            <w:r>
              <w:rPr>
                <w:spacing w:val="-5"/>
                <w:sz w:val="21"/>
              </w:rPr>
              <w:t> 天后因意外伤害之外的原因首次</w:t>
            </w:r>
            <w:r>
              <w:rPr>
                <w:spacing w:val="-10"/>
                <w:sz w:val="21"/>
              </w:rPr>
              <w:t>发病，并经医院确诊初次发生本合同约定的任何一种轻症疾病， </w:t>
            </w:r>
            <w:r>
              <w:rPr>
                <w:spacing w:val="-7"/>
                <w:sz w:val="21"/>
              </w:rPr>
              <w:t>我们将按本合同保险金额的 </w:t>
            </w:r>
            <w:r>
              <w:rPr>
                <w:sz w:val="21"/>
              </w:rPr>
              <w:t>20</w:t>
            </w:r>
            <w:r>
              <w:rPr>
                <w:spacing w:val="-3"/>
                <w:sz w:val="21"/>
              </w:rPr>
              <w:t>%给付轻症疾病保险金。</w:t>
            </w:r>
          </w:p>
          <w:p>
            <w:pPr>
              <w:pStyle w:val="TableParagraph"/>
              <w:rPr>
                <w:rFonts w:ascii="Times New Roman"/>
                <w:sz w:val="27"/>
              </w:rPr>
            </w:pPr>
          </w:p>
          <w:p>
            <w:pPr>
              <w:pStyle w:val="TableParagraph"/>
              <w:spacing w:line="273" w:lineRule="auto"/>
              <w:ind w:left="106" w:right="241"/>
              <w:jc w:val="both"/>
              <w:rPr>
                <w:sz w:val="21"/>
              </w:rPr>
            </w:pPr>
            <w:r>
              <w:rPr>
                <w:spacing w:val="-9"/>
                <w:sz w:val="21"/>
              </w:rPr>
              <w:t>同一轻症疾病仅给付一次轻症疾病保险金，轻症疾病保险金的累</w:t>
            </w:r>
            <w:r>
              <w:rPr>
                <w:spacing w:val="-12"/>
                <w:sz w:val="21"/>
              </w:rPr>
              <w:t>计给付总额</w:t>
            </w:r>
            <w:r>
              <w:rPr>
                <w:sz w:val="21"/>
              </w:rPr>
              <w:t>（</w:t>
            </w:r>
            <w:r>
              <w:rPr>
                <w:spacing w:val="-3"/>
                <w:sz w:val="21"/>
              </w:rPr>
              <w:t>不计利息</w:t>
            </w:r>
            <w:r>
              <w:rPr>
                <w:spacing w:val="-34"/>
                <w:sz w:val="21"/>
              </w:rPr>
              <w:t>）</w:t>
            </w:r>
            <w:r>
              <w:rPr>
                <w:spacing w:val="-6"/>
                <w:sz w:val="21"/>
              </w:rPr>
              <w:t>以本合同的保险金额为限，轻症疾病保</w:t>
            </w:r>
            <w:r>
              <w:rPr>
                <w:spacing w:val="-8"/>
                <w:sz w:val="21"/>
              </w:rPr>
              <w:t>险金的累计给付总额</w:t>
            </w:r>
            <w:r>
              <w:rPr>
                <w:sz w:val="21"/>
              </w:rPr>
              <w:t>（</w:t>
            </w:r>
            <w:r>
              <w:rPr>
                <w:spacing w:val="-3"/>
                <w:sz w:val="21"/>
              </w:rPr>
              <w:t>不计利息</w:t>
            </w:r>
            <w:r>
              <w:rPr>
                <w:spacing w:val="-34"/>
                <w:sz w:val="21"/>
              </w:rPr>
              <w:t>）</w:t>
            </w:r>
            <w:r>
              <w:rPr>
                <w:spacing w:val="-6"/>
                <w:sz w:val="21"/>
              </w:rPr>
              <w:t>达到本合同的保险金额时，本</w:t>
            </w:r>
            <w:r>
              <w:rPr>
                <w:spacing w:val="-2"/>
                <w:sz w:val="21"/>
              </w:rPr>
              <w:t>合同终止。</w:t>
            </w:r>
          </w:p>
        </w:tc>
      </w:tr>
      <w:tr>
        <w:trPr>
          <w:trHeight w:val="2984" w:hRule="atLeast"/>
        </w:trPr>
        <w:tc>
          <w:tcPr>
            <w:tcW w:w="1099" w:type="dxa"/>
          </w:tcPr>
          <w:p>
            <w:pPr>
              <w:pStyle w:val="TableParagraph"/>
              <w:spacing w:before="189"/>
              <w:ind w:left="200"/>
              <w:rPr>
                <w:i/>
                <w:sz w:val="22"/>
              </w:rPr>
            </w:pPr>
            <w:r>
              <w:rPr>
                <w:i/>
                <w:sz w:val="22"/>
              </w:rPr>
              <w:t>2.4.3</w:t>
            </w:r>
          </w:p>
        </w:tc>
        <w:tc>
          <w:tcPr>
            <w:tcW w:w="1875" w:type="dxa"/>
          </w:tcPr>
          <w:p>
            <w:pPr>
              <w:pStyle w:val="TableParagraph"/>
              <w:spacing w:before="5"/>
              <w:rPr>
                <w:rFonts w:ascii="Times New Roman"/>
                <w:sz w:val="16"/>
              </w:rPr>
            </w:pPr>
          </w:p>
          <w:p>
            <w:pPr>
              <w:pStyle w:val="TableParagraph"/>
              <w:ind w:left="370"/>
              <w:rPr>
                <w:sz w:val="21"/>
              </w:rPr>
            </w:pPr>
            <w:r>
              <w:rPr>
                <w:sz w:val="21"/>
              </w:rPr>
              <w:t>护理辅助金</w:t>
            </w:r>
          </w:p>
        </w:tc>
        <w:tc>
          <w:tcPr>
            <w:tcW w:w="6137" w:type="dxa"/>
          </w:tcPr>
          <w:p>
            <w:pPr>
              <w:pStyle w:val="TableParagraph"/>
              <w:spacing w:before="6"/>
              <w:rPr>
                <w:rFonts w:ascii="Times New Roman"/>
                <w:sz w:val="18"/>
              </w:rPr>
            </w:pPr>
          </w:p>
          <w:p>
            <w:pPr>
              <w:pStyle w:val="TableParagraph"/>
              <w:spacing w:line="278" w:lineRule="auto"/>
              <w:ind w:left="106" w:right="298"/>
              <w:jc w:val="both"/>
              <w:rPr>
                <w:sz w:val="21"/>
              </w:rPr>
            </w:pPr>
            <w:r>
              <w:rPr>
                <w:sz w:val="21"/>
              </w:rPr>
              <w:t>如果被保险人因意外伤害，或在本合同生效之日（或最后复效</w:t>
            </w:r>
            <w:r>
              <w:rPr>
                <w:spacing w:val="-3"/>
                <w:sz w:val="21"/>
              </w:rPr>
              <w:t>之日，以较迟者为准</w:t>
            </w:r>
            <w:r>
              <w:rPr>
                <w:sz w:val="21"/>
              </w:rPr>
              <w:t>）</w:t>
            </w:r>
            <w:r>
              <w:rPr>
                <w:spacing w:val="-9"/>
                <w:sz w:val="21"/>
              </w:rPr>
              <w:t>起 </w:t>
            </w:r>
            <w:r>
              <w:rPr>
                <w:sz w:val="21"/>
              </w:rPr>
              <w:t>180</w:t>
            </w:r>
            <w:r>
              <w:rPr>
                <w:spacing w:val="-5"/>
                <w:sz w:val="21"/>
              </w:rPr>
              <w:t> 天后因意外伤害之外的原因首次发病，并经医院确诊初次发生本合同约定的自主生活能力永久完全丧失</w:t>
            </w:r>
            <w:r>
              <w:rPr>
                <w:b/>
                <w:sz w:val="21"/>
              </w:rPr>
              <w:t>，</w:t>
            </w:r>
            <w:r>
              <w:rPr>
                <w:spacing w:val="-6"/>
                <w:sz w:val="21"/>
              </w:rPr>
              <w:t>即发病之日起 </w:t>
            </w:r>
            <w:r>
              <w:rPr>
                <w:sz w:val="21"/>
              </w:rPr>
              <w:t>180</w:t>
            </w:r>
            <w:r>
              <w:rPr>
                <w:spacing w:val="-5"/>
                <w:sz w:val="21"/>
              </w:rPr>
              <w:t> 天后仍无法独立完成</w:t>
            </w:r>
            <w:r>
              <w:rPr>
                <w:b/>
                <w:sz w:val="21"/>
              </w:rPr>
              <w:t>六项基本日常生活活动</w:t>
            </w:r>
            <w:r>
              <w:rPr>
                <w:sz w:val="21"/>
              </w:rPr>
              <w:t>（</w:t>
            </w:r>
            <w:r>
              <w:rPr>
                <w:spacing w:val="20"/>
                <w:sz w:val="21"/>
              </w:rPr>
              <w:t>见 </w:t>
            </w:r>
            <w:r>
              <w:rPr>
                <w:sz w:val="21"/>
              </w:rPr>
              <w:t>8.8）中的三项或三项以上，且首次发病时间</w:t>
            </w:r>
            <w:r>
              <w:rPr>
                <w:spacing w:val="-9"/>
                <w:sz w:val="21"/>
              </w:rPr>
              <w:t>在被保险人年满 </w:t>
            </w:r>
            <w:r>
              <w:rPr>
                <w:sz w:val="21"/>
              </w:rPr>
              <w:t>70 </w:t>
            </w:r>
            <w:r>
              <w:rPr>
                <w:b/>
                <w:sz w:val="21"/>
              </w:rPr>
              <w:t>周岁</w:t>
            </w:r>
            <w:r>
              <w:rPr>
                <w:spacing w:val="-3"/>
                <w:sz w:val="21"/>
              </w:rPr>
              <w:t>（</w:t>
            </w:r>
            <w:r>
              <w:rPr>
                <w:spacing w:val="-23"/>
                <w:sz w:val="21"/>
              </w:rPr>
              <w:t>见 </w:t>
            </w:r>
            <w:r>
              <w:rPr>
                <w:sz w:val="21"/>
              </w:rPr>
              <w:t>8.9）</w:t>
            </w:r>
            <w:r>
              <w:rPr>
                <w:spacing w:val="-3"/>
                <w:sz w:val="21"/>
              </w:rPr>
              <w:t>的首个保险单周年日之前， </w:t>
            </w:r>
            <w:r>
              <w:rPr>
                <w:sz w:val="21"/>
              </w:rPr>
              <w:t>我们将按本合同保险金额的 20%给付护理辅助金。护理辅助金</w:t>
            </w:r>
            <w:r>
              <w:rPr>
                <w:spacing w:val="-3"/>
                <w:sz w:val="21"/>
              </w:rPr>
              <w:t>的给付以一次为限，给付一次后本项保险责任终止。</w:t>
            </w:r>
          </w:p>
        </w:tc>
      </w:tr>
      <w:tr>
        <w:trPr>
          <w:trHeight w:val="3148" w:hRule="atLeast"/>
        </w:trPr>
        <w:tc>
          <w:tcPr>
            <w:tcW w:w="1099" w:type="dxa"/>
          </w:tcPr>
          <w:p>
            <w:pPr>
              <w:pStyle w:val="TableParagraph"/>
              <w:spacing w:before="191"/>
              <w:ind w:left="200"/>
              <w:rPr>
                <w:i/>
                <w:sz w:val="22"/>
              </w:rPr>
            </w:pPr>
            <w:r>
              <w:rPr>
                <w:i/>
                <w:sz w:val="22"/>
              </w:rPr>
              <w:t>2.4.4</w:t>
            </w:r>
          </w:p>
        </w:tc>
        <w:tc>
          <w:tcPr>
            <w:tcW w:w="1875" w:type="dxa"/>
          </w:tcPr>
          <w:p>
            <w:pPr>
              <w:pStyle w:val="TableParagraph"/>
              <w:spacing w:before="7"/>
              <w:rPr>
                <w:rFonts w:ascii="Times New Roman"/>
                <w:sz w:val="17"/>
              </w:rPr>
            </w:pPr>
          </w:p>
          <w:p>
            <w:pPr>
              <w:pStyle w:val="TableParagraph"/>
              <w:spacing w:line="295" w:lineRule="auto"/>
              <w:ind w:left="370" w:right="105"/>
              <w:rPr>
                <w:sz w:val="21"/>
              </w:rPr>
            </w:pPr>
            <w:r>
              <w:rPr>
                <w:sz w:val="21"/>
              </w:rPr>
              <w:t>身故或全残保险金</w:t>
            </w:r>
          </w:p>
        </w:tc>
        <w:tc>
          <w:tcPr>
            <w:tcW w:w="6137" w:type="dxa"/>
          </w:tcPr>
          <w:p>
            <w:pPr>
              <w:pStyle w:val="TableParagraph"/>
              <w:spacing w:before="9"/>
              <w:rPr>
                <w:rFonts w:ascii="Times New Roman"/>
                <w:sz w:val="17"/>
              </w:rPr>
            </w:pPr>
          </w:p>
          <w:p>
            <w:pPr>
              <w:pStyle w:val="TableParagraph"/>
              <w:spacing w:line="300" w:lineRule="auto"/>
              <w:ind w:left="106" w:right="245"/>
              <w:jc w:val="both"/>
              <w:rPr>
                <w:sz w:val="21"/>
              </w:rPr>
            </w:pPr>
            <w:r>
              <w:rPr>
                <w:spacing w:val="1"/>
                <w:sz w:val="21"/>
              </w:rPr>
              <w:t>如果被保险人在年满 </w:t>
            </w:r>
            <w:r>
              <w:rPr>
                <w:sz w:val="21"/>
              </w:rPr>
              <w:t>18 周岁的首个保险单周年日之前身故或</w:t>
            </w:r>
            <w:r>
              <w:rPr>
                <w:b/>
                <w:spacing w:val="1"/>
                <w:w w:val="100"/>
                <w:sz w:val="21"/>
              </w:rPr>
              <w:t>全残</w:t>
            </w:r>
            <w:r>
              <w:rPr>
                <w:w w:val="100"/>
                <w:sz w:val="21"/>
              </w:rPr>
              <w:t>（见</w:t>
            </w:r>
            <w:r>
              <w:rPr>
                <w:sz w:val="21"/>
              </w:rPr>
              <w:t> </w:t>
            </w:r>
            <w:r>
              <w:rPr>
                <w:w w:val="100"/>
                <w:sz w:val="21"/>
              </w:rPr>
              <w:t>8.10</w:t>
            </w:r>
            <w:r>
              <w:rPr>
                <w:spacing w:val="-106"/>
                <w:w w:val="100"/>
                <w:sz w:val="21"/>
              </w:rPr>
              <w:t>）</w:t>
            </w:r>
            <w:r>
              <w:rPr>
                <w:w w:val="100"/>
                <w:sz w:val="21"/>
              </w:rPr>
              <w:t>，我们按本合同的累计已交纳保险费（不计利</w:t>
            </w:r>
            <w:r>
              <w:rPr>
                <w:sz w:val="21"/>
              </w:rPr>
              <w:t>息）</w:t>
            </w:r>
            <w:r>
              <w:rPr>
                <w:spacing w:val="-3"/>
                <w:sz w:val="21"/>
              </w:rPr>
              <w:t>与被保险人身故或全残之日的本合同</w:t>
            </w:r>
            <w:r>
              <w:rPr>
                <w:b/>
                <w:sz w:val="21"/>
              </w:rPr>
              <w:t>现金价值</w:t>
            </w:r>
            <w:r>
              <w:rPr>
                <w:sz w:val="21"/>
              </w:rPr>
              <w:t>（</w:t>
            </w:r>
            <w:r>
              <w:rPr>
                <w:spacing w:val="7"/>
                <w:sz w:val="21"/>
              </w:rPr>
              <w:t>见 </w:t>
            </w:r>
            <w:r>
              <w:rPr>
                <w:sz w:val="21"/>
              </w:rPr>
              <w:t>8.11） 较大者给付身故或全残保险金，本合同终止；如果被保险人在</w:t>
            </w:r>
            <w:r>
              <w:rPr>
                <w:spacing w:val="-15"/>
                <w:sz w:val="21"/>
              </w:rPr>
              <w:t>年满 </w:t>
            </w:r>
            <w:r>
              <w:rPr>
                <w:sz w:val="21"/>
              </w:rPr>
              <w:t>18</w:t>
            </w:r>
            <w:r>
              <w:rPr>
                <w:spacing w:val="-12"/>
                <w:sz w:val="21"/>
              </w:rPr>
              <w:t> 周岁的首个保险单周年日之后身故或全残，我们按本合</w:t>
            </w:r>
            <w:r>
              <w:rPr>
                <w:spacing w:val="-6"/>
                <w:sz w:val="21"/>
              </w:rPr>
              <w:t>同累计已交纳保险费</w:t>
            </w:r>
            <w:r>
              <w:rPr>
                <w:spacing w:val="-3"/>
                <w:sz w:val="21"/>
              </w:rPr>
              <w:t>（</w:t>
            </w:r>
            <w:r>
              <w:rPr>
                <w:spacing w:val="-2"/>
                <w:sz w:val="21"/>
              </w:rPr>
              <w:t>不计利息</w:t>
            </w:r>
            <w:r>
              <w:rPr>
                <w:spacing w:val="-5"/>
                <w:sz w:val="21"/>
              </w:rPr>
              <w:t>）</w:t>
            </w:r>
            <w:r>
              <w:rPr>
                <w:spacing w:val="-22"/>
                <w:sz w:val="21"/>
              </w:rPr>
              <w:t>的 </w:t>
            </w:r>
            <w:r>
              <w:rPr>
                <w:sz w:val="21"/>
              </w:rPr>
              <w:t>105</w:t>
            </w:r>
            <w:r>
              <w:rPr>
                <w:spacing w:val="-2"/>
                <w:sz w:val="21"/>
              </w:rPr>
              <w:t>%与被保险人身故或全残之日的本合同现金价值较大者给付身故或全残保险金，本合</w:t>
            </w:r>
            <w:r>
              <w:rPr>
                <w:spacing w:val="-3"/>
                <w:sz w:val="21"/>
              </w:rPr>
              <w:t>同终止。</w:t>
            </w:r>
          </w:p>
        </w:tc>
      </w:tr>
      <w:tr>
        <w:trPr>
          <w:trHeight w:val="3095" w:hRule="atLeast"/>
        </w:trPr>
        <w:tc>
          <w:tcPr>
            <w:tcW w:w="1099" w:type="dxa"/>
          </w:tcPr>
          <w:p>
            <w:pPr>
              <w:pStyle w:val="TableParagraph"/>
              <w:spacing w:before="3"/>
              <w:rPr>
                <w:rFonts w:ascii="Times New Roman"/>
                <w:sz w:val="17"/>
              </w:rPr>
            </w:pPr>
          </w:p>
          <w:p>
            <w:pPr>
              <w:pStyle w:val="TableParagraph"/>
              <w:spacing w:before="1"/>
              <w:ind w:left="200"/>
              <w:rPr>
                <w:i/>
                <w:sz w:val="22"/>
              </w:rPr>
            </w:pPr>
            <w:r>
              <w:rPr>
                <w:i/>
                <w:sz w:val="22"/>
              </w:rPr>
              <w:t>2.4.5</w:t>
            </w:r>
          </w:p>
        </w:tc>
        <w:tc>
          <w:tcPr>
            <w:tcW w:w="1875" w:type="dxa"/>
          </w:tcPr>
          <w:p>
            <w:pPr>
              <w:pStyle w:val="TableParagraph"/>
              <w:spacing w:before="4"/>
              <w:rPr>
                <w:rFonts w:ascii="Times New Roman"/>
                <w:sz w:val="18"/>
              </w:rPr>
            </w:pPr>
          </w:p>
          <w:p>
            <w:pPr>
              <w:pStyle w:val="TableParagraph"/>
              <w:spacing w:line="295" w:lineRule="auto"/>
              <w:ind w:left="370" w:right="106"/>
              <w:rPr>
                <w:sz w:val="21"/>
              </w:rPr>
            </w:pPr>
            <w:r>
              <w:rPr>
                <w:sz w:val="21"/>
              </w:rPr>
              <w:t>保险金给付限制</w:t>
            </w:r>
          </w:p>
        </w:tc>
        <w:tc>
          <w:tcPr>
            <w:tcW w:w="6137" w:type="dxa"/>
          </w:tcPr>
          <w:p>
            <w:pPr>
              <w:pStyle w:val="TableParagraph"/>
              <w:spacing w:before="4"/>
              <w:rPr>
                <w:rFonts w:ascii="Times New Roman"/>
                <w:sz w:val="19"/>
              </w:rPr>
            </w:pPr>
          </w:p>
          <w:p>
            <w:pPr>
              <w:pStyle w:val="TableParagraph"/>
              <w:ind w:left="106"/>
              <w:rPr>
                <w:sz w:val="21"/>
              </w:rPr>
            </w:pPr>
            <w:r>
              <w:rPr>
                <w:sz w:val="21"/>
              </w:rPr>
              <w:t>如果在本合同生效之日（或最后复效之日，以较迟者为准）起</w:t>
            </w:r>
          </w:p>
          <w:p>
            <w:pPr>
              <w:pStyle w:val="TableParagraph"/>
              <w:spacing w:line="278" w:lineRule="auto" w:before="46"/>
              <w:ind w:left="106" w:right="303"/>
              <w:jc w:val="both"/>
              <w:rPr>
                <w:sz w:val="21"/>
              </w:rPr>
            </w:pPr>
            <w:r>
              <w:rPr>
                <w:sz w:val="21"/>
              </w:rPr>
              <w:t>180 天内，被保险人因意外伤害之外的原因首次发病，并经医院确诊初次发生本合同约定的重大疾病、轻症疾病或自主生活能力永久完全丧失，我们无息返还本合同的累计已交纳保险费</w:t>
            </w:r>
          </w:p>
          <w:p>
            <w:pPr>
              <w:pStyle w:val="TableParagraph"/>
              <w:spacing w:before="13"/>
              <w:ind w:left="106"/>
              <w:rPr>
                <w:sz w:val="21"/>
              </w:rPr>
            </w:pPr>
            <w:r>
              <w:rPr>
                <w:sz w:val="21"/>
              </w:rPr>
              <w:t>（不计利息），本合同终止。</w:t>
            </w:r>
          </w:p>
          <w:p>
            <w:pPr>
              <w:pStyle w:val="TableParagraph"/>
              <w:rPr>
                <w:rFonts w:ascii="Times New Roman"/>
                <w:sz w:val="20"/>
              </w:rPr>
            </w:pPr>
          </w:p>
          <w:p>
            <w:pPr>
              <w:pStyle w:val="TableParagraph"/>
              <w:spacing w:line="300" w:lineRule="auto" w:before="124"/>
              <w:ind w:left="106" w:right="307"/>
              <w:rPr>
                <w:sz w:val="21"/>
              </w:rPr>
            </w:pPr>
            <w:r>
              <w:rPr>
                <w:sz w:val="21"/>
              </w:rPr>
              <w:t>保险责任中提及的“累计已交纳保险费”按照应给付相应保险金时本合同的基本保险金额对应的年交保险费和保险单年度数</w:t>
            </w:r>
          </w:p>
          <w:p>
            <w:pPr>
              <w:pStyle w:val="TableParagraph"/>
              <w:spacing w:line="255" w:lineRule="exact" w:before="16"/>
              <w:ind w:left="106"/>
              <w:jc w:val="both"/>
              <w:rPr>
                <w:sz w:val="21"/>
              </w:rPr>
            </w:pPr>
            <w:r>
              <w:rPr>
                <w:sz w:val="21"/>
              </w:rPr>
              <w:t>（交费期满后为交费期间年数）计算。</w:t>
            </w:r>
          </w:p>
        </w:tc>
      </w:tr>
    </w:tbl>
    <w:p>
      <w:pPr>
        <w:spacing w:after="0" w:line="255" w:lineRule="exact"/>
        <w:jc w:val="both"/>
        <w:rPr>
          <w:sz w:val="21"/>
        </w:rPr>
        <w:sectPr>
          <w:pgSz w:w="11910" w:h="16840"/>
          <w:pgMar w:header="0" w:footer="919" w:top="1520" w:bottom="1100" w:left="1200" w:right="1240"/>
        </w:sectPr>
      </w:pPr>
    </w:p>
    <w:p>
      <w:pPr>
        <w:pStyle w:val="BodyText"/>
        <w:spacing w:after="1"/>
        <w:rPr>
          <w:rFonts w:ascii="Times New Roman"/>
          <w:sz w:val="23"/>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14"/>
        <w:gridCol w:w="6003"/>
      </w:tblGrid>
      <w:tr>
        <w:trPr>
          <w:trHeight w:val="974" w:hRule="atLeast"/>
        </w:trPr>
        <w:tc>
          <w:tcPr>
            <w:tcW w:w="904" w:type="dxa"/>
          </w:tcPr>
          <w:p>
            <w:pPr>
              <w:pStyle w:val="TableParagraph"/>
              <w:rPr>
                <w:rFonts w:ascii="Times New Roman"/>
                <w:sz w:val="20"/>
              </w:rPr>
            </w:pPr>
          </w:p>
        </w:tc>
        <w:tc>
          <w:tcPr>
            <w:tcW w:w="1914" w:type="dxa"/>
          </w:tcPr>
          <w:p>
            <w:pPr>
              <w:pStyle w:val="TableParagraph"/>
              <w:rPr>
                <w:rFonts w:ascii="Times New Roman"/>
                <w:sz w:val="20"/>
              </w:rPr>
            </w:pPr>
          </w:p>
        </w:tc>
        <w:tc>
          <w:tcPr>
            <w:tcW w:w="6003" w:type="dxa"/>
          </w:tcPr>
          <w:p>
            <w:pPr>
              <w:pStyle w:val="TableParagraph"/>
              <w:spacing w:line="211" w:lineRule="exact"/>
              <w:ind w:left="172"/>
              <w:rPr>
                <w:b/>
                <w:sz w:val="21"/>
              </w:rPr>
            </w:pPr>
            <w:r>
              <w:rPr>
                <w:b/>
                <w:sz w:val="21"/>
              </w:rPr>
              <w:t>重大疾病保险金、身故保险金、全残保险金，我们仅给付其中</w:t>
            </w:r>
          </w:p>
          <w:p>
            <w:pPr>
              <w:pStyle w:val="TableParagraph"/>
              <w:spacing w:line="292" w:lineRule="auto" w:before="61"/>
              <w:ind w:left="172" w:right="107"/>
              <w:rPr>
                <w:b/>
                <w:sz w:val="21"/>
              </w:rPr>
            </w:pPr>
            <w:r>
              <w:rPr>
                <w:b/>
                <w:sz w:val="21"/>
              </w:rPr>
              <w:t>一项。被保险人同时满足重大疾病保险金和全残保险金给付标准的，我们给付重大疾病保险金与全残保险金中的较大者。</w:t>
            </w:r>
          </w:p>
        </w:tc>
      </w:tr>
      <w:tr>
        <w:trPr>
          <w:trHeight w:val="9199" w:hRule="atLeast"/>
        </w:trPr>
        <w:tc>
          <w:tcPr>
            <w:tcW w:w="904" w:type="dxa"/>
          </w:tcPr>
          <w:p>
            <w:pPr>
              <w:pStyle w:val="TableParagraph"/>
              <w:spacing w:before="27"/>
              <w:ind w:left="110"/>
              <w:rPr>
                <w:sz w:val="21"/>
              </w:rPr>
            </w:pPr>
            <w:r>
              <w:rPr>
                <w:sz w:val="21"/>
              </w:rPr>
              <w:t>2.5</w:t>
            </w:r>
          </w:p>
        </w:tc>
        <w:tc>
          <w:tcPr>
            <w:tcW w:w="1914" w:type="dxa"/>
          </w:tcPr>
          <w:p>
            <w:pPr>
              <w:pStyle w:val="TableParagraph"/>
              <w:spacing w:before="27"/>
              <w:ind w:left="475"/>
              <w:rPr>
                <w:sz w:val="21"/>
              </w:rPr>
            </w:pPr>
            <w:r>
              <w:rPr>
                <w:sz w:val="21"/>
              </w:rPr>
              <w:t>责任免除</w:t>
            </w:r>
          </w:p>
        </w:tc>
        <w:tc>
          <w:tcPr>
            <w:tcW w:w="6003" w:type="dxa"/>
          </w:tcPr>
          <w:p>
            <w:pPr>
              <w:pStyle w:val="TableParagraph"/>
              <w:spacing w:line="295" w:lineRule="auto" w:before="61"/>
              <w:ind w:left="172" w:right="100"/>
              <w:jc w:val="both"/>
              <w:rPr>
                <w:rFonts w:ascii="黑体" w:eastAsia="黑体" w:hint="eastAsia"/>
                <w:sz w:val="21"/>
              </w:rPr>
            </w:pPr>
            <w:r>
              <w:rPr>
                <w:rFonts w:ascii="黑体" w:eastAsia="黑体" w:hint="eastAsia"/>
                <w:sz w:val="21"/>
              </w:rPr>
              <w:t>因下列情形之一，导致被保险人满足</w:t>
            </w:r>
            <w:r>
              <w:rPr>
                <w:rFonts w:ascii="黑体" w:eastAsia="黑体" w:hint="eastAsia"/>
                <w:b/>
                <w:sz w:val="21"/>
              </w:rPr>
              <w:t>重大疾病保险金</w:t>
            </w:r>
            <w:r>
              <w:rPr>
                <w:rFonts w:ascii="黑体" w:eastAsia="黑体" w:hint="eastAsia"/>
                <w:sz w:val="21"/>
              </w:rPr>
              <w:t>、</w:t>
            </w:r>
            <w:r>
              <w:rPr>
                <w:rFonts w:ascii="黑体" w:eastAsia="黑体" w:hint="eastAsia"/>
                <w:b/>
                <w:sz w:val="21"/>
              </w:rPr>
              <w:t>轻症疾病保险金</w:t>
            </w:r>
            <w:r>
              <w:rPr>
                <w:rFonts w:ascii="黑体" w:eastAsia="黑体" w:hint="eastAsia"/>
                <w:sz w:val="21"/>
              </w:rPr>
              <w:t>、</w:t>
            </w:r>
            <w:r>
              <w:rPr>
                <w:rFonts w:ascii="黑体" w:eastAsia="黑体" w:hint="eastAsia"/>
                <w:b/>
                <w:sz w:val="21"/>
              </w:rPr>
              <w:t>护理辅助金、身故或全残保险金</w:t>
            </w:r>
            <w:r>
              <w:rPr>
                <w:rFonts w:ascii="黑体" w:eastAsia="黑体" w:hint="eastAsia"/>
                <w:sz w:val="21"/>
              </w:rPr>
              <w:t>给付标准的，我们不承担保险责任：</w:t>
            </w:r>
          </w:p>
          <w:p>
            <w:pPr>
              <w:pStyle w:val="TableParagraph"/>
              <w:spacing w:before="13"/>
              <w:ind w:left="172"/>
              <w:rPr>
                <w:rFonts w:ascii="黑体" w:eastAsia="黑体" w:hint="eastAsia"/>
                <w:sz w:val="21"/>
              </w:rPr>
            </w:pPr>
            <w:r>
              <w:rPr>
                <w:rFonts w:ascii="黑体" w:eastAsia="黑体" w:hint="eastAsia"/>
                <w:sz w:val="21"/>
              </w:rPr>
              <w:t>一、投保人对被保险人的故意杀害、故意伤害；</w:t>
            </w:r>
          </w:p>
          <w:p>
            <w:pPr>
              <w:pStyle w:val="TableParagraph"/>
              <w:spacing w:line="295" w:lineRule="auto" w:before="61"/>
              <w:ind w:left="592" w:right="105" w:hanging="420"/>
              <w:rPr>
                <w:rFonts w:ascii="黑体" w:eastAsia="黑体" w:hint="eastAsia"/>
                <w:sz w:val="21"/>
              </w:rPr>
            </w:pPr>
            <w:r>
              <w:rPr>
                <w:rFonts w:ascii="黑体" w:eastAsia="黑体" w:hint="eastAsia"/>
                <w:sz w:val="21"/>
              </w:rPr>
              <w:t>二、被保险人故意自伤、故意犯罪或抗拒依法采取的刑事强制措施；</w:t>
            </w:r>
          </w:p>
          <w:p>
            <w:pPr>
              <w:pStyle w:val="TableParagraph"/>
              <w:spacing w:before="13"/>
              <w:ind w:left="172"/>
              <w:rPr>
                <w:rFonts w:ascii="黑体" w:eastAsia="黑体" w:hint="eastAsia"/>
                <w:sz w:val="21"/>
              </w:rPr>
            </w:pPr>
            <w:r>
              <w:rPr>
                <w:rFonts w:ascii="黑体" w:eastAsia="黑体" w:hint="eastAsia"/>
                <w:spacing w:val="-3"/>
                <w:w w:val="100"/>
                <w:sz w:val="21"/>
              </w:rPr>
              <w:t>三、被保险人服用、吸食或注射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r>
              <w:rPr>
                <w:rFonts w:ascii="黑体" w:eastAsia="黑体" w:hint="eastAsia"/>
                <w:w w:val="100"/>
                <w:sz w:val="21"/>
              </w:rPr>
              <w:t>；</w:t>
            </w:r>
          </w:p>
          <w:p>
            <w:pPr>
              <w:pStyle w:val="TableParagraph"/>
              <w:spacing w:line="295" w:lineRule="auto" w:before="61"/>
              <w:ind w:left="487" w:right="103" w:hanging="315"/>
              <w:rPr>
                <w:rFonts w:ascii="黑体" w:eastAsia="黑体" w:hint="eastAsia"/>
                <w:sz w:val="21"/>
              </w:rPr>
            </w:pPr>
            <w:r>
              <w:rPr>
                <w:rFonts w:ascii="黑体" w:eastAsia="黑体" w:hint="eastAsia"/>
                <w:spacing w:val="-14"/>
                <w:sz w:val="21"/>
              </w:rPr>
              <w:t>四、被保险人自本合同成立之日或最后复效日起二年内自杀</w:t>
            </w:r>
            <w:r>
              <w:rPr>
                <w:rFonts w:ascii="黑体" w:eastAsia="黑体" w:hint="eastAsia"/>
                <w:spacing w:val="-3"/>
                <w:sz w:val="21"/>
              </w:rPr>
              <w:t>（</w:t>
            </w:r>
            <w:r>
              <w:rPr>
                <w:rFonts w:ascii="黑体" w:eastAsia="黑体" w:hint="eastAsia"/>
                <w:sz w:val="21"/>
              </w:rPr>
              <w:t>被</w:t>
            </w:r>
            <w:r>
              <w:rPr>
                <w:rFonts w:ascii="黑体" w:eastAsia="黑体" w:hint="eastAsia"/>
                <w:spacing w:val="-3"/>
                <w:w w:val="100"/>
                <w:sz w:val="21"/>
              </w:rPr>
              <w:t>保险人自杀时为无民事行为能力人的除外</w:t>
            </w:r>
            <w:r>
              <w:rPr>
                <w:rFonts w:ascii="黑体" w:eastAsia="黑体" w:hint="eastAsia"/>
                <w:spacing w:val="-106"/>
                <w:w w:val="100"/>
                <w:sz w:val="21"/>
              </w:rPr>
              <w:t>）</w:t>
            </w:r>
            <w:r>
              <w:rPr>
                <w:rFonts w:ascii="黑体" w:eastAsia="黑体" w:hint="eastAsia"/>
                <w:w w:val="100"/>
                <w:sz w:val="21"/>
              </w:rPr>
              <w:t>；</w:t>
            </w:r>
          </w:p>
          <w:p>
            <w:pPr>
              <w:pStyle w:val="TableParagraph"/>
              <w:spacing w:before="13"/>
              <w:ind w:left="172"/>
              <w:rPr>
                <w:rFonts w:ascii="黑体" w:eastAsia="黑体" w:hint="eastAsia"/>
                <w:sz w:val="21"/>
              </w:rPr>
            </w:pPr>
            <w:r>
              <w:rPr>
                <w:rFonts w:ascii="黑体" w:eastAsia="黑体" w:hint="eastAsia"/>
                <w:spacing w:val="-8"/>
                <w:w w:val="100"/>
                <w:sz w:val="21"/>
              </w:rPr>
              <w:t>五、被保险人</w:t>
            </w:r>
            <w:r>
              <w:rPr>
                <w:rFonts w:ascii="黑体" w:eastAsia="黑体" w:hint="eastAsia"/>
                <w:b/>
                <w:spacing w:val="-8"/>
                <w:w w:val="100"/>
                <w:sz w:val="21"/>
              </w:rPr>
              <w:t>酒后驾驶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8"/>
                <w:w w:val="100"/>
                <w:sz w:val="21"/>
              </w:rPr>
              <w:t>）</w:t>
            </w:r>
            <w:r>
              <w:rPr>
                <w:rFonts w:ascii="黑体" w:eastAsia="黑体" w:hint="eastAsia"/>
                <w:spacing w:val="-32"/>
                <w:w w:val="100"/>
                <w:sz w:val="21"/>
              </w:rPr>
              <w:t>、</w:t>
            </w:r>
            <w:r>
              <w:rPr>
                <w:rFonts w:ascii="黑体" w:eastAsia="黑体" w:hint="eastAsia"/>
                <w:b/>
                <w:spacing w:val="-4"/>
                <w:w w:val="100"/>
                <w:sz w:val="21"/>
              </w:rPr>
              <w:t>无合法有效驾驶证驾驶</w:t>
            </w:r>
            <w:r>
              <w:rPr>
                <w:rFonts w:ascii="黑体" w:eastAsia="黑体" w:hint="eastAsia"/>
                <w:spacing w:val="-3"/>
                <w:w w:val="100"/>
                <w:sz w:val="21"/>
              </w:rPr>
              <w:t>（见</w:t>
            </w:r>
          </w:p>
          <w:p>
            <w:pPr>
              <w:pStyle w:val="TableParagraph"/>
              <w:spacing w:before="61"/>
              <w:ind w:left="592"/>
              <w:rPr>
                <w:rFonts w:ascii="黑体" w:eastAsia="黑体" w:hint="eastAsia"/>
                <w:sz w:val="21"/>
              </w:rPr>
            </w:pPr>
            <w:r>
              <w:rPr>
                <w:rFonts w:ascii="黑体" w:eastAsia="黑体" w:hint="eastAsia"/>
                <w:sz w:val="21"/>
              </w:rPr>
              <w:t>8.14）或驾驶</w:t>
            </w:r>
            <w:r>
              <w:rPr>
                <w:rFonts w:ascii="黑体" w:eastAsia="黑体" w:hint="eastAsia"/>
                <w:b/>
                <w:sz w:val="21"/>
              </w:rPr>
              <w:t>无有效行驶证</w:t>
            </w:r>
            <w:r>
              <w:rPr>
                <w:rFonts w:ascii="黑体" w:eastAsia="黑体" w:hint="eastAsia"/>
                <w:sz w:val="21"/>
              </w:rPr>
              <w:t>（见 8.15）的机动车；</w:t>
            </w:r>
          </w:p>
          <w:p>
            <w:pPr>
              <w:pStyle w:val="TableParagraph"/>
              <w:spacing w:line="295" w:lineRule="auto" w:before="61"/>
              <w:ind w:left="592" w:right="105" w:hanging="420"/>
              <w:jc w:val="both"/>
              <w:rPr>
                <w:rFonts w:ascii="黑体" w:hAnsi="黑体" w:eastAsia="黑体" w:hint="eastAsia"/>
                <w:sz w:val="21"/>
              </w:rPr>
            </w:pPr>
            <w:r>
              <w:rPr>
                <w:rFonts w:ascii="黑体" w:hAnsi="黑体" w:eastAsia="黑体" w:hint="eastAsia"/>
                <w:w w:val="100"/>
                <w:sz w:val="21"/>
              </w:rPr>
              <w:t>六、被保险人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w w:val="100"/>
                <w:sz w:val="21"/>
              </w:rPr>
              <w:t>8.</w:t>
            </w:r>
            <w:r>
              <w:rPr>
                <w:rFonts w:ascii="黑体" w:hAnsi="黑体" w:eastAsia="黑体" w:hint="eastAsia"/>
                <w:spacing w:val="-3"/>
                <w:w w:val="100"/>
                <w:sz w:val="21"/>
              </w:rPr>
              <w:t>1</w:t>
            </w:r>
            <w:r>
              <w:rPr>
                <w:rFonts w:ascii="黑体" w:hAnsi="黑体" w:eastAsia="黑体" w:hint="eastAsia"/>
                <w:w w:val="100"/>
                <w:sz w:val="21"/>
              </w:rPr>
              <w:t>6</w:t>
            </w:r>
            <w:r>
              <w:rPr>
                <w:rFonts w:ascii="黑体" w:hAnsi="黑体" w:eastAsia="黑体" w:hint="eastAsia"/>
                <w:spacing w:val="-104"/>
                <w:w w:val="100"/>
                <w:sz w:val="21"/>
              </w:rPr>
              <w:t>）</w:t>
            </w:r>
            <w:r>
              <w:rPr>
                <w:rFonts w:ascii="黑体" w:hAnsi="黑体" w:eastAsia="黑体" w:hint="eastAsia"/>
                <w:w w:val="100"/>
                <w:sz w:val="21"/>
              </w:rPr>
              <w:t>，被保险</w:t>
            </w:r>
            <w:r>
              <w:rPr>
                <w:rFonts w:ascii="黑体" w:hAnsi="黑体" w:eastAsia="黑体" w:hint="eastAsia"/>
                <w:sz w:val="21"/>
              </w:rPr>
              <w:t>人感染艾滋病病毒但符合本合同“经输血导致的人类免疫缺陷病毒感染”或“因职业关系导致的人类免疫缺陷病毒</w:t>
            </w:r>
            <w:r>
              <w:rPr>
                <w:rFonts w:ascii="黑体" w:hAnsi="黑体" w:eastAsia="黑体" w:hint="eastAsia"/>
                <w:spacing w:val="-3"/>
                <w:sz w:val="21"/>
              </w:rPr>
              <w:t>感染”定义的不在此限；</w:t>
            </w:r>
          </w:p>
          <w:p>
            <w:pPr>
              <w:pStyle w:val="TableParagraph"/>
              <w:spacing w:line="292" w:lineRule="auto" w:before="16"/>
              <w:ind w:left="172" w:right="2042"/>
              <w:rPr>
                <w:rFonts w:ascii="黑体" w:eastAsia="黑体" w:hint="eastAsia"/>
                <w:sz w:val="21"/>
              </w:rPr>
            </w:pPr>
            <w:r>
              <w:rPr>
                <w:rFonts w:ascii="黑体" w:eastAsia="黑体" w:hint="eastAsia"/>
                <w:sz w:val="21"/>
              </w:rPr>
              <w:t>七、战争、军事冲突、暴乱或武装叛乱； 八、核爆炸、核辐射或核污染；</w:t>
            </w:r>
          </w:p>
          <w:p>
            <w:pPr>
              <w:pStyle w:val="TableParagraph"/>
              <w:spacing w:before="15"/>
              <w:ind w:left="172"/>
              <w:rPr>
                <w:rFonts w:ascii="黑体" w:eastAsia="黑体" w:hint="eastAsia"/>
                <w:b/>
                <w:sz w:val="21"/>
              </w:rPr>
            </w:pPr>
            <w:r>
              <w:rPr>
                <w:rFonts w:ascii="黑体" w:eastAsia="黑体" w:hint="eastAsia"/>
                <w:w w:val="100"/>
                <w:sz w:val="21"/>
              </w:rPr>
              <w:t>九、</w:t>
            </w:r>
            <w:r>
              <w:rPr>
                <w:rFonts w:ascii="黑体" w:eastAsia="黑体" w:hint="eastAsia"/>
                <w:b/>
                <w:w w:val="100"/>
                <w:sz w:val="21"/>
              </w:rPr>
              <w:t>遗传性疾病</w:t>
            </w:r>
            <w:r>
              <w:rPr>
                <w:rFonts w:ascii="黑体" w:eastAsia="黑体" w:hint="eastAsia"/>
                <w:w w:val="100"/>
                <w:sz w:val="21"/>
              </w:rPr>
              <w:t>（见</w:t>
            </w:r>
            <w:r>
              <w:rPr>
                <w:rFonts w:ascii="黑体" w:eastAsia="黑体" w:hint="eastAsia"/>
                <w:spacing w:val="0"/>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先天性畸形、变形及染色体异常</w:t>
            </w:r>
          </w:p>
          <w:p>
            <w:pPr>
              <w:pStyle w:val="TableParagraph"/>
              <w:spacing w:before="61"/>
              <w:ind w:left="592"/>
              <w:rPr>
                <w:rFonts w:ascii="黑体" w:eastAsia="黑体" w:hint="eastAsia"/>
                <w:sz w:val="21"/>
              </w:rPr>
            </w:pP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8</w:t>
            </w:r>
            <w:r>
              <w:rPr>
                <w:rFonts w:ascii="黑体" w:eastAsia="黑体" w:hint="eastAsia"/>
                <w:spacing w:val="-108"/>
                <w:w w:val="100"/>
                <w:sz w:val="21"/>
              </w:rPr>
              <w:t>）</w:t>
            </w:r>
            <w:r>
              <w:rPr>
                <w:rFonts w:ascii="黑体" w:eastAsia="黑体" w:hint="eastAsia"/>
                <w:w w:val="100"/>
                <w:sz w:val="21"/>
              </w:rPr>
              <w:t>。</w:t>
            </w:r>
          </w:p>
          <w:p>
            <w:pPr>
              <w:pStyle w:val="TableParagraph"/>
              <w:spacing w:line="295" w:lineRule="auto" w:before="63"/>
              <w:ind w:left="172" w:right="103"/>
              <w:jc w:val="both"/>
              <w:rPr>
                <w:rFonts w:ascii="黑体" w:eastAsia="黑体" w:hint="eastAsia"/>
                <w:sz w:val="21"/>
              </w:rPr>
            </w:pPr>
            <w:r>
              <w:rPr>
                <w:rFonts w:ascii="黑体" w:eastAsia="黑体" w:hint="eastAsia"/>
                <w:sz w:val="21"/>
              </w:rPr>
              <w:t>发Th上述第一种情形导致被保险人满足重大疾病保险金、轻症疾病保险金、护理辅助金、身故或全残保险金给付标准的，本</w:t>
            </w:r>
            <w:r>
              <w:rPr>
                <w:rFonts w:ascii="黑体" w:eastAsia="黑体" w:hint="eastAsia"/>
                <w:spacing w:val="-5"/>
                <w:sz w:val="21"/>
              </w:rPr>
              <w:t>合同终止，您已交足 </w:t>
            </w:r>
            <w:r>
              <w:rPr>
                <w:rFonts w:ascii="黑体" w:eastAsia="黑体" w:hint="eastAsia"/>
                <w:sz w:val="21"/>
              </w:rPr>
              <w:t>2</w:t>
            </w:r>
            <w:r>
              <w:rPr>
                <w:rFonts w:ascii="黑体" w:eastAsia="黑体" w:hint="eastAsia"/>
                <w:spacing w:val="-5"/>
                <w:sz w:val="21"/>
              </w:rPr>
              <w:t> 年以上保费的，我们向保险金受益人退</w:t>
            </w:r>
            <w:r>
              <w:rPr>
                <w:rFonts w:ascii="黑体" w:eastAsia="黑体" w:hint="eastAsia"/>
                <w:spacing w:val="-4"/>
                <w:sz w:val="21"/>
              </w:rPr>
              <w:t>还本合同的现金价值。</w:t>
            </w:r>
          </w:p>
          <w:p>
            <w:pPr>
              <w:pStyle w:val="TableParagraph"/>
              <w:spacing w:line="292" w:lineRule="auto" w:before="12"/>
              <w:ind w:left="172" w:right="108"/>
              <w:jc w:val="both"/>
              <w:rPr>
                <w:rFonts w:ascii="黑体" w:eastAsia="黑体" w:hint="eastAsia"/>
                <w:sz w:val="21"/>
              </w:rPr>
            </w:pPr>
            <w:r>
              <w:rPr>
                <w:rFonts w:ascii="黑体" w:eastAsia="黑体" w:hint="eastAsia"/>
                <w:sz w:val="21"/>
              </w:rPr>
              <w:t>发Th上述其他情形导致被保险人满足重大疾病保险金、轻症疾病保险金、护理辅助金、身故或全残保险金给付标准的，本合同终止，我们退还本合同的现金价值。</w:t>
            </w:r>
          </w:p>
        </w:tc>
      </w:tr>
      <w:tr>
        <w:trPr>
          <w:trHeight w:val="446" w:hRule="atLeast"/>
        </w:trPr>
        <w:tc>
          <w:tcPr>
            <w:tcW w:w="904" w:type="dxa"/>
            <w:shd w:val="clear" w:color="auto" w:fill="C0C0C0"/>
          </w:tcPr>
          <w:p>
            <w:pPr>
              <w:pStyle w:val="TableParagraph"/>
              <w:spacing w:before="43"/>
              <w:ind w:left="110"/>
              <w:rPr>
                <w:rFonts w:ascii="Wingdings" w:hAnsi="Wingdings"/>
                <w:sz w:val="32"/>
              </w:rPr>
            </w:pPr>
            <w:r>
              <w:rPr>
                <w:rFonts w:ascii="Wingdings" w:hAnsi="Wingdings"/>
                <w:w w:val="99"/>
                <w:sz w:val="32"/>
              </w:rPr>
              <w:t></w:t>
            </w:r>
          </w:p>
        </w:tc>
        <w:tc>
          <w:tcPr>
            <w:tcW w:w="1914" w:type="dxa"/>
            <w:shd w:val="clear" w:color="auto" w:fill="C0C0C0"/>
          </w:tcPr>
          <w:p>
            <w:pPr>
              <w:pStyle w:val="TableParagraph"/>
              <w:spacing w:before="52"/>
              <w:ind w:left="475"/>
              <w:rPr>
                <w:b/>
                <w:sz w:val="21"/>
              </w:rPr>
            </w:pPr>
            <w:r>
              <w:rPr>
                <w:b/>
                <w:sz w:val="21"/>
              </w:rPr>
              <w:t>您的义务</w:t>
            </w:r>
          </w:p>
        </w:tc>
        <w:tc>
          <w:tcPr>
            <w:tcW w:w="6003" w:type="dxa"/>
            <w:shd w:val="clear" w:color="auto" w:fill="C0C0C0"/>
          </w:tcPr>
          <w:p>
            <w:pPr>
              <w:pStyle w:val="TableParagraph"/>
              <w:rPr>
                <w:rFonts w:ascii="Times New Roman"/>
                <w:sz w:val="20"/>
              </w:rPr>
            </w:pPr>
          </w:p>
        </w:tc>
      </w:tr>
      <w:tr>
        <w:trPr>
          <w:trHeight w:val="1953" w:hRule="atLeast"/>
        </w:trPr>
        <w:tc>
          <w:tcPr>
            <w:tcW w:w="904" w:type="dxa"/>
          </w:tcPr>
          <w:p>
            <w:pPr>
              <w:pStyle w:val="TableParagraph"/>
              <w:spacing w:before="45"/>
              <w:ind w:left="110"/>
              <w:rPr>
                <w:sz w:val="21"/>
              </w:rPr>
            </w:pPr>
            <w:r>
              <w:rPr>
                <w:sz w:val="21"/>
              </w:rPr>
              <w:t>3.1</w:t>
            </w:r>
          </w:p>
        </w:tc>
        <w:tc>
          <w:tcPr>
            <w:tcW w:w="1914" w:type="dxa"/>
          </w:tcPr>
          <w:p>
            <w:pPr>
              <w:pStyle w:val="TableParagraph"/>
              <w:spacing w:before="9"/>
              <w:ind w:left="475"/>
              <w:rPr>
                <w:sz w:val="21"/>
              </w:rPr>
            </w:pPr>
            <w:r>
              <w:rPr>
                <w:sz w:val="21"/>
              </w:rPr>
              <w:t>保险费的交纳</w:t>
            </w:r>
          </w:p>
        </w:tc>
        <w:tc>
          <w:tcPr>
            <w:tcW w:w="6003" w:type="dxa"/>
          </w:tcPr>
          <w:p>
            <w:pPr>
              <w:pStyle w:val="TableParagraph"/>
              <w:spacing w:line="300" w:lineRule="auto" w:before="45"/>
              <w:ind w:left="172" w:right="108"/>
              <w:jc w:val="both"/>
              <w:rPr>
                <w:sz w:val="21"/>
              </w:rPr>
            </w:pPr>
            <w:r>
              <w:rPr>
                <w:sz w:val="21"/>
              </w:rPr>
              <w:t>本合同的交费方式和交费期间在投保时由您和我们约定，并在保险单上载明。</w:t>
            </w:r>
          </w:p>
          <w:p>
            <w:pPr>
              <w:pStyle w:val="TableParagraph"/>
              <w:spacing w:line="300" w:lineRule="auto" w:before="15"/>
              <w:ind w:left="172" w:right="108"/>
              <w:jc w:val="both"/>
              <w:rPr>
                <w:sz w:val="21"/>
              </w:rPr>
            </w:pPr>
            <w:r>
              <w:rPr>
                <w:sz w:val="21"/>
              </w:rPr>
              <w:t>您应按本合同约定的交费金额、交费期间、保险费应付日等交纳本合同的保险费。分期交纳保险费的，第二期及以后各期的保险费应在保险费应付日或应付日前交纳。</w:t>
            </w:r>
          </w:p>
        </w:tc>
      </w:tr>
      <w:tr>
        <w:trPr>
          <w:trHeight w:val="814" w:hRule="atLeast"/>
        </w:trPr>
        <w:tc>
          <w:tcPr>
            <w:tcW w:w="904" w:type="dxa"/>
          </w:tcPr>
          <w:p>
            <w:pPr>
              <w:pStyle w:val="TableParagraph"/>
              <w:spacing w:before="1"/>
              <w:rPr>
                <w:rFonts w:ascii="Times New Roman"/>
                <w:sz w:val="17"/>
              </w:rPr>
            </w:pPr>
          </w:p>
          <w:p>
            <w:pPr>
              <w:pStyle w:val="TableParagraph"/>
              <w:ind w:left="110"/>
              <w:rPr>
                <w:sz w:val="21"/>
              </w:rPr>
            </w:pPr>
            <w:r>
              <w:rPr>
                <w:sz w:val="21"/>
              </w:rPr>
              <w:t>3.2</w:t>
            </w:r>
          </w:p>
        </w:tc>
        <w:tc>
          <w:tcPr>
            <w:tcW w:w="1914" w:type="dxa"/>
          </w:tcPr>
          <w:p>
            <w:pPr>
              <w:pStyle w:val="TableParagraph"/>
              <w:spacing w:before="1"/>
              <w:rPr>
                <w:rFonts w:ascii="Times New Roman"/>
                <w:sz w:val="17"/>
              </w:rPr>
            </w:pPr>
          </w:p>
          <w:p>
            <w:pPr>
              <w:pStyle w:val="TableParagraph"/>
              <w:ind w:left="475"/>
              <w:rPr>
                <w:sz w:val="21"/>
              </w:rPr>
            </w:pPr>
            <w:r>
              <w:rPr>
                <w:sz w:val="21"/>
              </w:rPr>
              <w:t>宽限期间</w:t>
            </w:r>
          </w:p>
        </w:tc>
        <w:tc>
          <w:tcPr>
            <w:tcW w:w="6003" w:type="dxa"/>
          </w:tcPr>
          <w:p>
            <w:pPr>
              <w:pStyle w:val="TableParagraph"/>
              <w:spacing w:line="340" w:lineRule="atLeast" w:before="131"/>
              <w:ind w:left="172" w:right="108"/>
              <w:rPr>
                <w:sz w:val="21"/>
              </w:rPr>
            </w:pPr>
            <w:r>
              <w:rPr>
                <w:sz w:val="21"/>
              </w:rPr>
              <w:t>如果您到期未交纳保险费，自保险费应付日的次日零时起六十日为宽限期间。对宽限期间内发生的保险事故，我们承担保险</w:t>
            </w:r>
          </w:p>
        </w:tc>
      </w:tr>
    </w:tbl>
    <w:p>
      <w:pPr>
        <w:spacing w:after="0" w:line="340" w:lineRule="atLeast"/>
        <w:rPr>
          <w:sz w:val="21"/>
        </w:rPr>
        <w:sectPr>
          <w:pgSz w:w="11910" w:h="16840"/>
          <w:pgMar w:header="0" w:footer="919" w:top="1580" w:bottom="1100" w:left="1200" w:right="144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85"/>
        <w:gridCol w:w="5932"/>
      </w:tblGrid>
      <w:tr>
        <w:trPr>
          <w:trHeight w:val="1161" w:hRule="atLeast"/>
        </w:trPr>
        <w:tc>
          <w:tcPr>
            <w:tcW w:w="904" w:type="dxa"/>
          </w:tcPr>
          <w:p>
            <w:pPr>
              <w:pStyle w:val="TableParagraph"/>
              <w:rPr>
                <w:rFonts w:ascii="Times New Roman"/>
                <w:sz w:val="20"/>
              </w:rPr>
            </w:pPr>
          </w:p>
        </w:tc>
        <w:tc>
          <w:tcPr>
            <w:tcW w:w="1985" w:type="dxa"/>
          </w:tcPr>
          <w:p>
            <w:pPr>
              <w:pStyle w:val="TableParagraph"/>
              <w:rPr>
                <w:rFonts w:ascii="Times New Roman"/>
                <w:sz w:val="20"/>
              </w:rPr>
            </w:pPr>
          </w:p>
        </w:tc>
        <w:tc>
          <w:tcPr>
            <w:tcW w:w="5932" w:type="dxa"/>
          </w:tcPr>
          <w:p>
            <w:pPr>
              <w:pStyle w:val="TableParagraph"/>
              <w:spacing w:line="203" w:lineRule="exact"/>
              <w:ind w:left="101"/>
              <w:rPr>
                <w:sz w:val="21"/>
              </w:rPr>
            </w:pPr>
            <w:r>
              <w:rPr>
                <w:sz w:val="21"/>
              </w:rPr>
              <w:t>责任，但在给付保险金时会扣除您欠交的保险费。</w:t>
            </w:r>
          </w:p>
          <w:p>
            <w:pPr>
              <w:pStyle w:val="TableParagraph"/>
              <w:spacing w:line="300" w:lineRule="auto" w:before="68"/>
              <w:ind w:left="101" w:right="108"/>
              <w:rPr>
                <w:sz w:val="21"/>
              </w:rPr>
            </w:pPr>
            <w:r>
              <w:rPr>
                <w:sz w:val="21"/>
              </w:rPr>
              <w:t>如果您在宽限期间结束时仍未交纳保险费，则本合同在宽限期间期满日的次日零时起效力中止，本合同另有约定的除外。</w:t>
            </w:r>
          </w:p>
        </w:tc>
      </w:tr>
      <w:tr>
        <w:trPr>
          <w:trHeight w:val="5726" w:hRule="atLeast"/>
        </w:trPr>
        <w:tc>
          <w:tcPr>
            <w:tcW w:w="904" w:type="dxa"/>
          </w:tcPr>
          <w:p>
            <w:pPr>
              <w:pStyle w:val="TableParagraph"/>
              <w:spacing w:before="9"/>
              <w:rPr>
                <w:rFonts w:ascii="Times New Roman"/>
                <w:sz w:val="19"/>
              </w:rPr>
            </w:pPr>
          </w:p>
          <w:p>
            <w:pPr>
              <w:pStyle w:val="TableParagraph"/>
              <w:ind w:left="110"/>
              <w:rPr>
                <w:sz w:val="21"/>
              </w:rPr>
            </w:pPr>
            <w:r>
              <w:rPr>
                <w:sz w:val="21"/>
              </w:rPr>
              <w:t>3.3</w:t>
            </w:r>
          </w:p>
        </w:tc>
        <w:tc>
          <w:tcPr>
            <w:tcW w:w="1985" w:type="dxa"/>
          </w:tcPr>
          <w:p>
            <w:pPr>
              <w:pStyle w:val="TableParagraph"/>
              <w:spacing w:before="7"/>
              <w:rPr>
                <w:rFonts w:ascii="Times New Roman"/>
                <w:sz w:val="16"/>
              </w:rPr>
            </w:pPr>
          </w:p>
          <w:p>
            <w:pPr>
              <w:pStyle w:val="TableParagraph"/>
              <w:spacing w:before="1"/>
              <w:ind w:left="475"/>
              <w:rPr>
                <w:sz w:val="21"/>
              </w:rPr>
            </w:pPr>
            <w:r>
              <w:rPr>
                <w:sz w:val="21"/>
              </w:rPr>
              <w:t>如实告知</w:t>
            </w:r>
          </w:p>
        </w:tc>
        <w:tc>
          <w:tcPr>
            <w:tcW w:w="5932" w:type="dxa"/>
          </w:tcPr>
          <w:p>
            <w:pPr>
              <w:pStyle w:val="TableParagraph"/>
              <w:spacing w:before="9"/>
              <w:rPr>
                <w:rFonts w:ascii="Times New Roman"/>
                <w:sz w:val="19"/>
              </w:rPr>
            </w:pPr>
          </w:p>
          <w:p>
            <w:pPr>
              <w:pStyle w:val="TableParagraph"/>
              <w:spacing w:line="300" w:lineRule="auto"/>
              <w:ind w:left="101" w:right="106"/>
              <w:jc w:val="both"/>
              <w:rPr>
                <w:sz w:val="21"/>
              </w:rPr>
            </w:pPr>
            <w:r>
              <w:rPr>
                <w:sz w:val="21"/>
              </w:rPr>
              <w:t>在订立本合同时，我们会向您说明本合同的条款内容，特别是责任免除条款。我们会就您和被保险人的有关情况提出书面询问，您应当如实告知。</w:t>
            </w:r>
          </w:p>
          <w:p>
            <w:pPr>
              <w:pStyle w:val="TableParagraph"/>
              <w:spacing w:line="300" w:lineRule="auto" w:before="15"/>
              <w:ind w:left="101" w:right="108"/>
              <w:jc w:val="both"/>
              <w:rPr>
                <w:sz w:val="21"/>
              </w:rPr>
            </w:pPr>
            <w:r>
              <w:rPr>
                <w:sz w:val="21"/>
              </w:rPr>
              <w:t>您故意或者因重大过失未履行前款规定的如实告知义务，足以影响我们决定是否同意承保或者提高保险费率的，我们有权解除本合同。</w:t>
            </w:r>
          </w:p>
          <w:p>
            <w:pPr>
              <w:pStyle w:val="TableParagraph"/>
              <w:spacing w:line="300" w:lineRule="auto" w:before="15"/>
              <w:ind w:left="101" w:right="108"/>
              <w:jc w:val="both"/>
              <w:rPr>
                <w:sz w:val="21"/>
              </w:rPr>
            </w:pPr>
            <w:r>
              <w:rPr>
                <w:sz w:val="21"/>
              </w:rPr>
              <w:t>前款规定的合同解除权，自我们知道有解除事由之日起，超过三十日不行使而消灭。自本合同成立之日起超过二年的，我们不得解除本合同；发生保险事故的，我们承担给付保险金的责任。</w:t>
            </w:r>
          </w:p>
          <w:p>
            <w:pPr>
              <w:pStyle w:val="TableParagraph"/>
              <w:spacing w:line="300" w:lineRule="auto" w:before="15"/>
              <w:ind w:left="101" w:right="108"/>
              <w:jc w:val="both"/>
              <w:rPr>
                <w:sz w:val="21"/>
              </w:rPr>
            </w:pPr>
            <w:r>
              <w:rPr>
                <w:sz w:val="21"/>
              </w:rPr>
              <w:t>您故意不履行如实告知义务的，我们对于本合同解除前发生的保险事故，不承担给付保险金的责任，并不退还保险费。</w:t>
            </w:r>
          </w:p>
          <w:p>
            <w:pPr>
              <w:pStyle w:val="TableParagraph"/>
              <w:spacing w:line="300" w:lineRule="auto" w:before="15"/>
              <w:ind w:left="101" w:right="106"/>
              <w:jc w:val="both"/>
              <w:rPr>
                <w:sz w:val="21"/>
              </w:rPr>
            </w:pPr>
            <w:r>
              <w:rPr>
                <w:sz w:val="21"/>
              </w:rPr>
              <w:t>您因重大过失未履行如实告知义务，对保险事故的发生有严重影响的，我们对于本合同解除前发生的保险事故，不承担给付保险金的责任，但退还保险费。</w:t>
            </w:r>
          </w:p>
        </w:tc>
      </w:tr>
      <w:tr>
        <w:trPr>
          <w:trHeight w:val="446" w:hRule="atLeast"/>
        </w:trPr>
        <w:tc>
          <w:tcPr>
            <w:tcW w:w="904" w:type="dxa"/>
            <w:shd w:val="clear" w:color="auto" w:fill="CCCCCC"/>
          </w:tcPr>
          <w:p>
            <w:pPr>
              <w:pStyle w:val="TableParagraph"/>
              <w:spacing w:before="35"/>
              <w:ind w:left="110"/>
              <w:rPr>
                <w:rFonts w:ascii="Wingdings" w:hAnsi="Wingdings"/>
                <w:sz w:val="32"/>
              </w:rPr>
            </w:pPr>
            <w:r>
              <w:rPr>
                <w:rFonts w:ascii="Wingdings" w:hAnsi="Wingdings"/>
                <w:w w:val="99"/>
                <w:sz w:val="32"/>
              </w:rPr>
              <w:t></w:t>
            </w:r>
          </w:p>
        </w:tc>
        <w:tc>
          <w:tcPr>
            <w:tcW w:w="7917" w:type="dxa"/>
            <w:gridSpan w:val="2"/>
            <w:shd w:val="clear" w:color="auto" w:fill="CCCCCC"/>
          </w:tcPr>
          <w:p>
            <w:pPr>
              <w:pStyle w:val="TableParagraph"/>
              <w:spacing w:before="46"/>
              <w:ind w:left="475"/>
              <w:rPr>
                <w:b/>
                <w:sz w:val="21"/>
              </w:rPr>
            </w:pPr>
            <w:r>
              <w:rPr>
                <w:b/>
                <w:sz w:val="21"/>
              </w:rPr>
              <w:t>您对本合同拥有的权利</w:t>
            </w:r>
          </w:p>
        </w:tc>
      </w:tr>
      <w:tr>
        <w:trPr>
          <w:trHeight w:val="2664" w:hRule="atLeast"/>
        </w:trPr>
        <w:tc>
          <w:tcPr>
            <w:tcW w:w="904" w:type="dxa"/>
          </w:tcPr>
          <w:p>
            <w:pPr>
              <w:pStyle w:val="TableParagraph"/>
              <w:spacing w:before="3"/>
              <w:ind w:left="110"/>
              <w:rPr>
                <w:sz w:val="21"/>
              </w:rPr>
            </w:pPr>
            <w:r>
              <w:rPr>
                <w:sz w:val="21"/>
              </w:rPr>
              <w:t>4.1</w:t>
            </w:r>
          </w:p>
        </w:tc>
        <w:tc>
          <w:tcPr>
            <w:tcW w:w="1985" w:type="dxa"/>
          </w:tcPr>
          <w:p>
            <w:pPr>
              <w:pStyle w:val="TableParagraph"/>
              <w:spacing w:before="39"/>
              <w:ind w:left="475"/>
              <w:rPr>
                <w:sz w:val="21"/>
              </w:rPr>
            </w:pPr>
            <w:r>
              <w:rPr>
                <w:sz w:val="21"/>
              </w:rPr>
              <w:t>犹豫期</w:t>
            </w:r>
          </w:p>
        </w:tc>
        <w:tc>
          <w:tcPr>
            <w:tcW w:w="5932" w:type="dxa"/>
          </w:tcPr>
          <w:p>
            <w:pPr>
              <w:pStyle w:val="TableParagraph"/>
              <w:spacing w:line="300" w:lineRule="auto" w:before="39"/>
              <w:ind w:left="111" w:right="105"/>
              <w:jc w:val="both"/>
              <w:rPr>
                <w:sz w:val="21"/>
              </w:rPr>
            </w:pPr>
            <w:r>
              <w:rPr>
                <w:sz w:val="21"/>
              </w:rPr>
              <w:t>如果未发生保险金给付，自本合同签收日起十日内，您可以解除本合同。</w:t>
            </w:r>
          </w:p>
          <w:p>
            <w:pPr>
              <w:pStyle w:val="TableParagraph"/>
              <w:spacing w:line="300" w:lineRule="auto" w:before="15"/>
              <w:ind w:left="111" w:right="40"/>
              <w:jc w:val="both"/>
              <w:rPr>
                <w:sz w:val="21"/>
              </w:rPr>
            </w:pPr>
            <w:r>
              <w:rPr>
                <w:sz w:val="21"/>
              </w:rPr>
              <w:t>在解除合同时，您需要填写书面申请书，并提供您的保险合同及身份证明。自您书面申请解除本合同时起（若为邮寄，则以</w:t>
            </w:r>
            <w:r>
              <w:rPr>
                <w:spacing w:val="-2"/>
                <w:w w:val="100"/>
                <w:sz w:val="21"/>
              </w:rPr>
              <w:t>寄发邮戳为准</w:t>
            </w:r>
            <w:r>
              <w:rPr>
                <w:spacing w:val="-108"/>
                <w:w w:val="100"/>
                <w:sz w:val="21"/>
              </w:rPr>
              <w:t>）</w:t>
            </w:r>
            <w:r>
              <w:rPr>
                <w:spacing w:val="-3"/>
                <w:w w:val="100"/>
                <w:sz w:val="21"/>
              </w:rPr>
              <w:t>，本合同即被解除，我们自始不承担保险责任。</w:t>
            </w:r>
            <w:r>
              <w:rPr>
                <w:spacing w:val="-12"/>
                <w:sz w:val="21"/>
              </w:rPr>
              <w:t>在本合同解除后，我们将在扣除不超过 </w:t>
            </w:r>
            <w:r>
              <w:rPr>
                <w:sz w:val="21"/>
              </w:rPr>
              <w:t>10</w:t>
            </w:r>
            <w:r>
              <w:rPr>
                <w:spacing w:val="-8"/>
                <w:sz w:val="21"/>
              </w:rPr>
              <w:t> 元的工本费后无息退</w:t>
            </w:r>
            <w:r>
              <w:rPr>
                <w:spacing w:val="-5"/>
                <w:sz w:val="21"/>
              </w:rPr>
              <w:t>还您所交纳的保险费。</w:t>
            </w:r>
          </w:p>
        </w:tc>
      </w:tr>
      <w:tr>
        <w:trPr>
          <w:trHeight w:val="2149" w:hRule="atLeast"/>
        </w:trPr>
        <w:tc>
          <w:tcPr>
            <w:tcW w:w="904" w:type="dxa"/>
          </w:tcPr>
          <w:p>
            <w:pPr>
              <w:pStyle w:val="TableParagraph"/>
              <w:spacing w:before="3"/>
              <w:rPr>
                <w:rFonts w:ascii="Times New Roman"/>
                <w:sz w:val="18"/>
              </w:rPr>
            </w:pPr>
          </w:p>
          <w:p>
            <w:pPr>
              <w:pStyle w:val="TableParagraph"/>
              <w:ind w:left="110"/>
              <w:rPr>
                <w:sz w:val="21"/>
              </w:rPr>
            </w:pPr>
            <w:r>
              <w:rPr>
                <w:sz w:val="21"/>
              </w:rPr>
              <w:t>4.2</w:t>
            </w:r>
          </w:p>
        </w:tc>
        <w:tc>
          <w:tcPr>
            <w:tcW w:w="1985" w:type="dxa"/>
          </w:tcPr>
          <w:p>
            <w:pPr>
              <w:pStyle w:val="TableParagraph"/>
              <w:spacing w:before="3"/>
              <w:rPr>
                <w:rFonts w:ascii="Times New Roman"/>
                <w:sz w:val="18"/>
              </w:rPr>
            </w:pPr>
          </w:p>
          <w:p>
            <w:pPr>
              <w:pStyle w:val="TableParagraph"/>
              <w:ind w:left="475"/>
              <w:rPr>
                <w:sz w:val="21"/>
              </w:rPr>
            </w:pPr>
            <w:r>
              <w:rPr>
                <w:sz w:val="21"/>
              </w:rPr>
              <w:t>保单借款</w:t>
            </w:r>
          </w:p>
        </w:tc>
        <w:tc>
          <w:tcPr>
            <w:tcW w:w="5932" w:type="dxa"/>
          </w:tcPr>
          <w:p>
            <w:pPr>
              <w:pStyle w:val="TableParagraph"/>
              <w:spacing w:before="3"/>
              <w:rPr>
                <w:rFonts w:ascii="Times New Roman"/>
                <w:sz w:val="18"/>
              </w:rPr>
            </w:pPr>
          </w:p>
          <w:p>
            <w:pPr>
              <w:pStyle w:val="TableParagraph"/>
              <w:spacing w:line="300" w:lineRule="auto"/>
              <w:ind w:left="111" w:right="103"/>
              <w:jc w:val="both"/>
              <w:rPr>
                <w:sz w:val="21"/>
              </w:rPr>
            </w:pPr>
            <w:r>
              <w:rPr>
                <w:sz w:val="21"/>
              </w:rPr>
              <w:t>如果本合同有效且具有现金价值，经我们同意，您可以书面申请保单借款。最高借款金额不得超过申请时本合同</w:t>
            </w:r>
            <w:r>
              <w:rPr>
                <w:b/>
                <w:sz w:val="21"/>
              </w:rPr>
              <w:t>现金价值余额</w:t>
            </w:r>
            <w:r>
              <w:rPr>
                <w:sz w:val="21"/>
              </w:rPr>
              <w:t>（见 8.19）的百分之八十。</w:t>
            </w:r>
          </w:p>
          <w:p>
            <w:pPr>
              <w:pStyle w:val="TableParagraph"/>
              <w:spacing w:line="300" w:lineRule="auto" w:before="15"/>
              <w:ind w:left="111" w:right="103"/>
              <w:jc w:val="both"/>
              <w:rPr>
                <w:sz w:val="21"/>
              </w:rPr>
            </w:pPr>
            <w:r>
              <w:rPr>
                <w:spacing w:val="-3"/>
                <w:sz w:val="21"/>
              </w:rPr>
              <w:t>当保单借款及</w:t>
            </w:r>
            <w:r>
              <w:rPr>
                <w:b/>
                <w:spacing w:val="-4"/>
                <w:sz w:val="21"/>
              </w:rPr>
              <w:t>利息</w:t>
            </w:r>
            <w:r>
              <w:rPr>
                <w:sz w:val="21"/>
              </w:rPr>
              <w:t>（</w:t>
            </w:r>
            <w:r>
              <w:rPr>
                <w:spacing w:val="-14"/>
                <w:sz w:val="21"/>
              </w:rPr>
              <w:t>见 </w:t>
            </w:r>
            <w:r>
              <w:rPr>
                <w:spacing w:val="-3"/>
                <w:sz w:val="21"/>
              </w:rPr>
              <w:t>8.20）达到本合同及其附加合同现金价值之和时，本合同及其附加合同效力中止。</w:t>
            </w:r>
          </w:p>
        </w:tc>
      </w:tr>
      <w:tr>
        <w:trPr>
          <w:trHeight w:val="1524" w:hRule="atLeast"/>
        </w:trPr>
        <w:tc>
          <w:tcPr>
            <w:tcW w:w="904" w:type="dxa"/>
          </w:tcPr>
          <w:p>
            <w:pPr>
              <w:pStyle w:val="TableParagraph"/>
              <w:spacing w:before="4"/>
              <w:rPr>
                <w:rFonts w:ascii="Times New Roman"/>
                <w:sz w:val="18"/>
              </w:rPr>
            </w:pPr>
          </w:p>
          <w:p>
            <w:pPr>
              <w:pStyle w:val="TableParagraph"/>
              <w:ind w:left="110"/>
              <w:rPr>
                <w:sz w:val="21"/>
              </w:rPr>
            </w:pPr>
            <w:r>
              <w:rPr>
                <w:sz w:val="21"/>
              </w:rPr>
              <w:t>4.3</w:t>
            </w:r>
          </w:p>
        </w:tc>
        <w:tc>
          <w:tcPr>
            <w:tcW w:w="1985" w:type="dxa"/>
          </w:tcPr>
          <w:p>
            <w:pPr>
              <w:pStyle w:val="TableParagraph"/>
              <w:spacing w:before="4"/>
              <w:rPr>
                <w:rFonts w:ascii="Times New Roman"/>
                <w:sz w:val="18"/>
              </w:rPr>
            </w:pPr>
          </w:p>
          <w:p>
            <w:pPr>
              <w:pStyle w:val="TableParagraph"/>
              <w:spacing w:line="300" w:lineRule="auto"/>
              <w:ind w:left="475" w:right="101"/>
              <w:rPr>
                <w:sz w:val="21"/>
              </w:rPr>
            </w:pPr>
            <w:r>
              <w:rPr>
                <w:sz w:val="21"/>
              </w:rPr>
              <w:t>基本保险金额变更</w:t>
            </w:r>
          </w:p>
        </w:tc>
        <w:tc>
          <w:tcPr>
            <w:tcW w:w="5932" w:type="dxa"/>
          </w:tcPr>
          <w:p>
            <w:pPr>
              <w:pStyle w:val="TableParagraph"/>
              <w:spacing w:before="4"/>
              <w:rPr>
                <w:rFonts w:ascii="Times New Roman"/>
                <w:sz w:val="18"/>
              </w:rPr>
            </w:pPr>
          </w:p>
          <w:p>
            <w:pPr>
              <w:pStyle w:val="TableParagraph"/>
              <w:spacing w:line="300" w:lineRule="auto"/>
              <w:ind w:left="111" w:right="105"/>
              <w:jc w:val="both"/>
              <w:rPr>
                <w:sz w:val="21"/>
              </w:rPr>
            </w:pPr>
            <w:r>
              <w:rPr>
                <w:sz w:val="21"/>
              </w:rPr>
              <w:t>在本合同有效期间内，您可以书面申请减少本合同的基本保险金额，经我们同意并在保险单或其他保险凭证上批注或者附贴批单。减少后的基本保险金额不得低于变更时我们规定的最低</w:t>
            </w:r>
          </w:p>
          <w:p>
            <w:pPr>
              <w:pStyle w:val="TableParagraph"/>
              <w:spacing w:line="263" w:lineRule="exact" w:before="15"/>
              <w:ind w:left="111"/>
              <w:jc w:val="both"/>
              <w:rPr>
                <w:sz w:val="21"/>
              </w:rPr>
            </w:pPr>
            <w:r>
              <w:rPr>
                <w:sz w:val="21"/>
              </w:rPr>
              <w:t>基本保险金额。对基本保险金额减少的，我们退还本合同基本</w:t>
            </w:r>
          </w:p>
        </w:tc>
      </w:tr>
    </w:tbl>
    <w:p>
      <w:pPr>
        <w:spacing w:after="0" w:line="263" w:lineRule="exact"/>
        <w:jc w:val="both"/>
        <w:rPr>
          <w:sz w:val="21"/>
        </w:rPr>
        <w:sectPr>
          <w:pgSz w:w="11910" w:h="16840"/>
          <w:pgMar w:header="0" w:footer="919" w:top="1520" w:bottom="1100" w:left="1200" w:right="144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85"/>
        <w:gridCol w:w="5932"/>
      </w:tblGrid>
      <w:tr>
        <w:trPr>
          <w:trHeight w:val="493" w:hRule="atLeast"/>
        </w:trPr>
        <w:tc>
          <w:tcPr>
            <w:tcW w:w="904" w:type="dxa"/>
          </w:tcPr>
          <w:p>
            <w:pPr>
              <w:pStyle w:val="TableParagraph"/>
              <w:rPr>
                <w:rFonts w:ascii="Times New Roman"/>
                <w:sz w:val="20"/>
              </w:rPr>
            </w:pPr>
          </w:p>
        </w:tc>
        <w:tc>
          <w:tcPr>
            <w:tcW w:w="1985" w:type="dxa"/>
          </w:tcPr>
          <w:p>
            <w:pPr>
              <w:pStyle w:val="TableParagraph"/>
              <w:rPr>
                <w:rFonts w:ascii="Times New Roman"/>
                <w:sz w:val="20"/>
              </w:rPr>
            </w:pPr>
          </w:p>
        </w:tc>
        <w:tc>
          <w:tcPr>
            <w:tcW w:w="5932" w:type="dxa"/>
          </w:tcPr>
          <w:p>
            <w:pPr>
              <w:pStyle w:val="TableParagraph"/>
              <w:spacing w:line="203" w:lineRule="exact"/>
              <w:ind w:left="111"/>
              <w:rPr>
                <w:sz w:val="21"/>
              </w:rPr>
            </w:pPr>
            <w:r>
              <w:rPr>
                <w:sz w:val="21"/>
              </w:rPr>
              <w:t>保险金额减少部分的现金价值，基本保险金额相应降低。</w:t>
            </w:r>
          </w:p>
        </w:tc>
      </w:tr>
      <w:tr>
        <w:trPr>
          <w:trHeight w:val="1462" w:hRule="atLeast"/>
        </w:trPr>
        <w:tc>
          <w:tcPr>
            <w:tcW w:w="904" w:type="dxa"/>
          </w:tcPr>
          <w:p>
            <w:pPr>
              <w:pStyle w:val="TableParagraph"/>
              <w:spacing w:before="2"/>
              <w:rPr>
                <w:rFonts w:ascii="Times New Roman"/>
                <w:sz w:val="18"/>
              </w:rPr>
            </w:pPr>
          </w:p>
          <w:p>
            <w:pPr>
              <w:pStyle w:val="TableParagraph"/>
              <w:spacing w:before="1"/>
              <w:ind w:left="110"/>
              <w:rPr>
                <w:sz w:val="21"/>
              </w:rPr>
            </w:pPr>
            <w:r>
              <w:rPr>
                <w:sz w:val="21"/>
              </w:rPr>
              <w:t>4.4</w:t>
            </w:r>
          </w:p>
        </w:tc>
        <w:tc>
          <w:tcPr>
            <w:tcW w:w="1985" w:type="dxa"/>
          </w:tcPr>
          <w:p>
            <w:pPr>
              <w:pStyle w:val="TableParagraph"/>
              <w:spacing w:before="2"/>
              <w:rPr>
                <w:rFonts w:ascii="Times New Roman"/>
                <w:sz w:val="18"/>
              </w:rPr>
            </w:pPr>
          </w:p>
          <w:p>
            <w:pPr>
              <w:pStyle w:val="TableParagraph"/>
              <w:spacing w:line="300" w:lineRule="auto" w:before="1"/>
              <w:ind w:left="475" w:right="101"/>
              <w:rPr>
                <w:sz w:val="21"/>
              </w:rPr>
            </w:pPr>
            <w:r>
              <w:rPr>
                <w:sz w:val="21"/>
              </w:rPr>
              <w:t>合同内容的变更</w:t>
            </w:r>
          </w:p>
        </w:tc>
        <w:tc>
          <w:tcPr>
            <w:tcW w:w="5932" w:type="dxa"/>
          </w:tcPr>
          <w:p>
            <w:pPr>
              <w:pStyle w:val="TableParagraph"/>
              <w:spacing w:before="2"/>
              <w:rPr>
                <w:rFonts w:ascii="Times New Roman"/>
                <w:sz w:val="18"/>
              </w:rPr>
            </w:pPr>
          </w:p>
          <w:p>
            <w:pPr>
              <w:pStyle w:val="TableParagraph"/>
              <w:spacing w:line="300" w:lineRule="auto" w:before="1"/>
              <w:ind w:left="111" w:right="105"/>
              <w:jc w:val="both"/>
              <w:rPr>
                <w:sz w:val="21"/>
              </w:rPr>
            </w:pPr>
            <w:r>
              <w:rPr>
                <w:sz w:val="21"/>
              </w:rPr>
              <w:t>在本合同有效期间内，经我们的同意，您可以书面申请变更本合同的有关内容。变更本合同内容的，由我们在保险单或其他保险凭证上批注或者附贴批单。</w:t>
            </w:r>
          </w:p>
        </w:tc>
      </w:tr>
      <w:tr>
        <w:trPr>
          <w:trHeight w:val="3350" w:hRule="atLeast"/>
        </w:trPr>
        <w:tc>
          <w:tcPr>
            <w:tcW w:w="904" w:type="dxa"/>
          </w:tcPr>
          <w:p>
            <w:pPr>
              <w:pStyle w:val="TableParagraph"/>
              <w:spacing w:before="4"/>
              <w:rPr>
                <w:rFonts w:ascii="Times New Roman"/>
                <w:sz w:val="18"/>
              </w:rPr>
            </w:pPr>
          </w:p>
          <w:p>
            <w:pPr>
              <w:pStyle w:val="TableParagraph"/>
              <w:ind w:left="110"/>
              <w:rPr>
                <w:sz w:val="21"/>
              </w:rPr>
            </w:pPr>
            <w:r>
              <w:rPr>
                <w:sz w:val="21"/>
              </w:rPr>
              <w:t>4.5</w:t>
            </w:r>
          </w:p>
        </w:tc>
        <w:tc>
          <w:tcPr>
            <w:tcW w:w="1985" w:type="dxa"/>
          </w:tcPr>
          <w:p>
            <w:pPr>
              <w:pStyle w:val="TableParagraph"/>
              <w:spacing w:before="4"/>
              <w:rPr>
                <w:rFonts w:ascii="Times New Roman"/>
                <w:sz w:val="18"/>
              </w:rPr>
            </w:pPr>
          </w:p>
          <w:p>
            <w:pPr>
              <w:pStyle w:val="TableParagraph"/>
              <w:ind w:left="475"/>
              <w:rPr>
                <w:sz w:val="21"/>
              </w:rPr>
            </w:pPr>
            <w:r>
              <w:rPr>
                <w:sz w:val="21"/>
              </w:rPr>
              <w:t>解除合同</w:t>
            </w:r>
          </w:p>
        </w:tc>
        <w:tc>
          <w:tcPr>
            <w:tcW w:w="5932" w:type="dxa"/>
          </w:tcPr>
          <w:p>
            <w:pPr>
              <w:pStyle w:val="TableParagraph"/>
              <w:spacing w:before="4"/>
              <w:rPr>
                <w:rFonts w:ascii="Times New Roman"/>
                <w:sz w:val="18"/>
              </w:rPr>
            </w:pPr>
          </w:p>
          <w:p>
            <w:pPr>
              <w:pStyle w:val="TableParagraph"/>
              <w:spacing w:line="300" w:lineRule="auto"/>
              <w:ind w:left="111" w:right="105"/>
              <w:rPr>
                <w:sz w:val="21"/>
              </w:rPr>
            </w:pPr>
            <w:r>
              <w:rPr>
                <w:sz w:val="21"/>
              </w:rPr>
              <w:t>在本合同保险期间内，您可以书面申请解除本合同，并向我们提供下列证明和资料：</w:t>
            </w:r>
          </w:p>
          <w:p>
            <w:pPr>
              <w:pStyle w:val="TableParagraph"/>
              <w:spacing w:before="15"/>
              <w:ind w:left="111"/>
              <w:rPr>
                <w:sz w:val="21"/>
              </w:rPr>
            </w:pPr>
            <w:r>
              <w:rPr>
                <w:sz w:val="21"/>
              </w:rPr>
              <w:t>一、保险合同；</w:t>
            </w:r>
          </w:p>
          <w:p>
            <w:pPr>
              <w:pStyle w:val="TableParagraph"/>
              <w:spacing w:line="300" w:lineRule="auto" w:before="68"/>
              <w:ind w:left="111" w:right="3715"/>
              <w:rPr>
                <w:sz w:val="21"/>
              </w:rPr>
            </w:pPr>
            <w:r>
              <w:rPr>
                <w:sz w:val="21"/>
              </w:rPr>
              <w:t>二、解除合同申请书； 三、您的身份证明。</w:t>
            </w:r>
          </w:p>
          <w:p>
            <w:pPr>
              <w:pStyle w:val="TableParagraph"/>
              <w:spacing w:line="300" w:lineRule="auto" w:before="15"/>
              <w:ind w:left="111" w:right="103"/>
              <w:jc w:val="both"/>
              <w:rPr>
                <w:sz w:val="21"/>
              </w:rPr>
            </w:pPr>
            <w:r>
              <w:rPr>
                <w:sz w:val="21"/>
              </w:rPr>
              <w:t>自我们收到上述证明和资料之日起，本合同终止。我们在收到上述证明和资料之日起三十日内退还本合同终止之日的现金价值。</w:t>
            </w:r>
          </w:p>
        </w:tc>
      </w:tr>
      <w:tr>
        <w:trPr>
          <w:trHeight w:val="446" w:hRule="atLeast"/>
        </w:trPr>
        <w:tc>
          <w:tcPr>
            <w:tcW w:w="904" w:type="dxa"/>
            <w:shd w:val="clear" w:color="auto" w:fill="CCCCCC"/>
          </w:tcPr>
          <w:p>
            <w:pPr>
              <w:pStyle w:val="TableParagraph"/>
              <w:spacing w:before="35"/>
              <w:ind w:left="110"/>
              <w:rPr>
                <w:rFonts w:ascii="Wingdings" w:hAnsi="Wingdings"/>
                <w:sz w:val="32"/>
              </w:rPr>
            </w:pPr>
            <w:r>
              <w:rPr>
                <w:rFonts w:ascii="Wingdings" w:hAnsi="Wingdings"/>
                <w:w w:val="99"/>
                <w:sz w:val="32"/>
              </w:rPr>
              <w:t></w:t>
            </w:r>
          </w:p>
        </w:tc>
        <w:tc>
          <w:tcPr>
            <w:tcW w:w="7917" w:type="dxa"/>
            <w:gridSpan w:val="2"/>
            <w:shd w:val="clear" w:color="auto" w:fill="CCCCCC"/>
          </w:tcPr>
          <w:p>
            <w:pPr>
              <w:pStyle w:val="TableParagraph"/>
              <w:spacing w:before="44"/>
              <w:ind w:left="475"/>
              <w:rPr>
                <w:b/>
                <w:sz w:val="21"/>
              </w:rPr>
            </w:pPr>
            <w:r>
              <w:rPr>
                <w:b/>
                <w:sz w:val="21"/>
              </w:rPr>
              <w:t>合同效力的中止及恢复</w:t>
            </w:r>
          </w:p>
        </w:tc>
      </w:tr>
      <w:tr>
        <w:trPr>
          <w:trHeight w:val="604" w:hRule="atLeast"/>
        </w:trPr>
        <w:tc>
          <w:tcPr>
            <w:tcW w:w="904" w:type="dxa"/>
          </w:tcPr>
          <w:p>
            <w:pPr>
              <w:pStyle w:val="TableParagraph"/>
              <w:spacing w:before="39"/>
              <w:ind w:left="110"/>
              <w:rPr>
                <w:sz w:val="21"/>
              </w:rPr>
            </w:pPr>
            <w:r>
              <w:rPr>
                <w:sz w:val="21"/>
              </w:rPr>
              <w:t>5.1</w:t>
            </w:r>
          </w:p>
        </w:tc>
        <w:tc>
          <w:tcPr>
            <w:tcW w:w="1985" w:type="dxa"/>
          </w:tcPr>
          <w:p>
            <w:pPr>
              <w:pStyle w:val="TableParagraph"/>
              <w:spacing w:before="39"/>
              <w:ind w:left="475"/>
              <w:rPr>
                <w:sz w:val="21"/>
              </w:rPr>
            </w:pPr>
            <w:r>
              <w:rPr>
                <w:sz w:val="21"/>
              </w:rPr>
              <w:t>效力中止</w:t>
            </w:r>
          </w:p>
        </w:tc>
        <w:tc>
          <w:tcPr>
            <w:tcW w:w="5932" w:type="dxa"/>
          </w:tcPr>
          <w:p>
            <w:pPr>
              <w:pStyle w:val="TableParagraph"/>
              <w:spacing w:before="39"/>
              <w:ind w:left="101"/>
              <w:rPr>
                <w:sz w:val="21"/>
              </w:rPr>
            </w:pPr>
            <w:r>
              <w:rPr>
                <w:sz w:val="21"/>
              </w:rPr>
              <w:t>在本合同效力中止期间，我们不承担本合同约定的保险责任。</w:t>
            </w:r>
          </w:p>
        </w:tc>
      </w:tr>
      <w:tr>
        <w:trPr>
          <w:trHeight w:val="2321" w:hRule="atLeast"/>
        </w:trPr>
        <w:tc>
          <w:tcPr>
            <w:tcW w:w="904" w:type="dxa"/>
          </w:tcPr>
          <w:p>
            <w:pPr>
              <w:pStyle w:val="TableParagraph"/>
              <w:spacing w:before="3"/>
              <w:rPr>
                <w:rFonts w:ascii="Times New Roman"/>
                <w:sz w:val="18"/>
              </w:rPr>
            </w:pPr>
          </w:p>
          <w:p>
            <w:pPr>
              <w:pStyle w:val="TableParagraph"/>
              <w:ind w:left="110"/>
              <w:rPr>
                <w:sz w:val="21"/>
              </w:rPr>
            </w:pPr>
            <w:r>
              <w:rPr>
                <w:sz w:val="21"/>
              </w:rPr>
              <w:t>5.2</w:t>
            </w:r>
          </w:p>
        </w:tc>
        <w:tc>
          <w:tcPr>
            <w:tcW w:w="1985" w:type="dxa"/>
          </w:tcPr>
          <w:p>
            <w:pPr>
              <w:pStyle w:val="TableParagraph"/>
              <w:spacing w:before="3"/>
              <w:rPr>
                <w:rFonts w:ascii="Times New Roman"/>
                <w:sz w:val="18"/>
              </w:rPr>
            </w:pPr>
          </w:p>
          <w:p>
            <w:pPr>
              <w:pStyle w:val="TableParagraph"/>
              <w:ind w:left="475"/>
              <w:rPr>
                <w:sz w:val="21"/>
              </w:rPr>
            </w:pPr>
            <w:r>
              <w:rPr>
                <w:sz w:val="21"/>
              </w:rPr>
              <w:t>效力恢复</w:t>
            </w:r>
          </w:p>
        </w:tc>
        <w:tc>
          <w:tcPr>
            <w:tcW w:w="5932" w:type="dxa"/>
          </w:tcPr>
          <w:p>
            <w:pPr>
              <w:pStyle w:val="TableParagraph"/>
              <w:spacing w:before="3"/>
              <w:rPr>
                <w:rFonts w:ascii="Times New Roman"/>
                <w:sz w:val="18"/>
              </w:rPr>
            </w:pPr>
          </w:p>
          <w:p>
            <w:pPr>
              <w:pStyle w:val="TableParagraph"/>
              <w:spacing w:line="300" w:lineRule="auto"/>
              <w:ind w:left="101" w:right="108"/>
              <w:jc w:val="both"/>
              <w:rPr>
                <w:sz w:val="21"/>
              </w:rPr>
            </w:pPr>
            <w:r>
              <w:rPr>
                <w:sz w:val="21"/>
              </w:rPr>
              <w:t>自本合同效力中止之日起二年内，您可以书面申请恢复本合同效力。在我们与您协商并达成协议，您补交保险费之日起，合同效力恢复。</w:t>
            </w:r>
          </w:p>
          <w:p>
            <w:pPr>
              <w:pStyle w:val="TableParagraph"/>
              <w:spacing w:line="300" w:lineRule="auto" w:before="15"/>
              <w:ind w:left="101" w:right="106"/>
              <w:jc w:val="both"/>
              <w:rPr>
                <w:sz w:val="21"/>
              </w:rPr>
            </w:pPr>
            <w:r>
              <w:rPr>
                <w:sz w:val="21"/>
              </w:rPr>
              <w:t>如果自本合同效力中止之日起满二年双方未达成合同效力恢复协议的，我们可以解除本合同，并退还本合同的现金价值。</w:t>
            </w:r>
          </w:p>
        </w:tc>
      </w:tr>
      <w:tr>
        <w:trPr>
          <w:trHeight w:val="444" w:hRule="atLeast"/>
        </w:trPr>
        <w:tc>
          <w:tcPr>
            <w:tcW w:w="904" w:type="dxa"/>
            <w:shd w:val="clear" w:color="auto" w:fill="CCCCCC"/>
          </w:tcPr>
          <w:p>
            <w:pPr>
              <w:pStyle w:val="TableParagraph"/>
              <w:spacing w:before="35"/>
              <w:ind w:left="110"/>
              <w:rPr>
                <w:rFonts w:ascii="Wingdings" w:hAnsi="Wingdings"/>
                <w:sz w:val="32"/>
              </w:rPr>
            </w:pPr>
            <w:r>
              <w:rPr>
                <w:rFonts w:ascii="Wingdings" w:hAnsi="Wingdings"/>
                <w:w w:val="99"/>
                <w:sz w:val="32"/>
              </w:rPr>
              <w:t></w:t>
            </w:r>
          </w:p>
        </w:tc>
        <w:tc>
          <w:tcPr>
            <w:tcW w:w="7917" w:type="dxa"/>
            <w:gridSpan w:val="2"/>
            <w:shd w:val="clear" w:color="auto" w:fill="CCCCCC"/>
          </w:tcPr>
          <w:p>
            <w:pPr>
              <w:pStyle w:val="TableParagraph"/>
              <w:spacing w:before="44"/>
              <w:ind w:left="475"/>
              <w:rPr>
                <w:b/>
                <w:sz w:val="21"/>
              </w:rPr>
            </w:pPr>
            <w:r>
              <w:rPr>
                <w:b/>
                <w:sz w:val="21"/>
              </w:rPr>
              <w:t>如何申请领取保险金</w:t>
            </w:r>
          </w:p>
        </w:tc>
      </w:tr>
      <w:tr>
        <w:trPr>
          <w:trHeight w:val="4441" w:hRule="atLeast"/>
        </w:trPr>
        <w:tc>
          <w:tcPr>
            <w:tcW w:w="904" w:type="dxa"/>
          </w:tcPr>
          <w:p>
            <w:pPr>
              <w:pStyle w:val="TableParagraph"/>
              <w:spacing w:before="39"/>
              <w:ind w:left="110"/>
              <w:rPr>
                <w:sz w:val="21"/>
              </w:rPr>
            </w:pPr>
            <w:r>
              <w:rPr>
                <w:sz w:val="21"/>
              </w:rPr>
              <w:t>6.1</w:t>
            </w:r>
          </w:p>
        </w:tc>
        <w:tc>
          <w:tcPr>
            <w:tcW w:w="1985" w:type="dxa"/>
          </w:tcPr>
          <w:p>
            <w:pPr>
              <w:pStyle w:val="TableParagraph"/>
              <w:spacing w:line="300" w:lineRule="auto" w:before="39"/>
              <w:ind w:left="475" w:right="111"/>
              <w:rPr>
                <w:sz w:val="21"/>
              </w:rPr>
            </w:pPr>
            <w:r>
              <w:rPr>
                <w:sz w:val="21"/>
              </w:rPr>
              <w:t>受益人指定与变更</w:t>
            </w:r>
          </w:p>
        </w:tc>
        <w:tc>
          <w:tcPr>
            <w:tcW w:w="5932" w:type="dxa"/>
          </w:tcPr>
          <w:p>
            <w:pPr>
              <w:pStyle w:val="TableParagraph"/>
              <w:spacing w:line="300" w:lineRule="auto" w:before="39"/>
              <w:ind w:left="101" w:right="-15"/>
              <w:rPr>
                <w:sz w:val="21"/>
              </w:rPr>
            </w:pPr>
            <w:r>
              <w:rPr>
                <w:sz w:val="21"/>
              </w:rPr>
              <w:t>您或被保险人可以指定或变更受益人，但您指定或变更受益人须征得被保险人同意。您为与您有劳动关系的劳动者投保人身保险，不得指定被保险人及其近亲属以外的人为受益人。如果</w:t>
            </w:r>
            <w:r>
              <w:rPr>
                <w:spacing w:val="-9"/>
                <w:sz w:val="21"/>
              </w:rPr>
              <w:t>受益人为数人时，您或被保险人应当确定受益顺序和受益份额； </w:t>
            </w:r>
            <w:r>
              <w:rPr>
                <w:spacing w:val="-5"/>
                <w:sz w:val="21"/>
              </w:rPr>
              <w:t>如果没有确定受益份额，各受益人按照相等份额享有受益权。您或被保险人变更受益人必须书面通知我们，由我们在保险单</w:t>
            </w:r>
            <w:r>
              <w:rPr>
                <w:spacing w:val="-4"/>
                <w:sz w:val="21"/>
              </w:rPr>
              <w:t>或者其他保险凭证上批注或者附贴批单。</w:t>
            </w:r>
          </w:p>
          <w:p>
            <w:pPr>
              <w:pStyle w:val="TableParagraph"/>
              <w:spacing w:line="300" w:lineRule="auto" w:before="15"/>
              <w:ind w:left="101" w:right="106"/>
              <w:rPr>
                <w:sz w:val="21"/>
              </w:rPr>
            </w:pPr>
            <w:r>
              <w:rPr>
                <w:sz w:val="21"/>
              </w:rPr>
              <w:t>除另有约定外，重大疾病保险金、轻症疾病保险金、护理辅助金、全残保险金的受益人为被保险人本人。</w:t>
            </w:r>
          </w:p>
          <w:p>
            <w:pPr>
              <w:pStyle w:val="TableParagraph"/>
              <w:spacing w:line="300" w:lineRule="auto" w:before="15"/>
              <w:ind w:left="101" w:right="108"/>
              <w:jc w:val="both"/>
              <w:rPr>
                <w:sz w:val="21"/>
              </w:rPr>
            </w:pPr>
            <w:r>
              <w:rPr>
                <w:sz w:val="21"/>
              </w:rPr>
              <w:t>如果被保险人身故后，有下列情形之一的，保险金作为被保险人的遗产，由我们依照《中华人民共和国继承法》的规定履行给付保险金的义务：</w:t>
            </w:r>
          </w:p>
          <w:p>
            <w:pPr>
              <w:pStyle w:val="TableParagraph"/>
              <w:spacing w:line="263" w:lineRule="exact" w:before="15"/>
              <w:ind w:left="101"/>
              <w:rPr>
                <w:sz w:val="21"/>
              </w:rPr>
            </w:pPr>
            <w:r>
              <w:rPr>
                <w:sz w:val="21"/>
              </w:rPr>
              <w:t>一、 没有指定受益人，或者受益人指定不明无法确定的；</w:t>
            </w:r>
          </w:p>
        </w:tc>
      </w:tr>
    </w:tbl>
    <w:p>
      <w:pPr>
        <w:spacing w:after="0" w:line="263" w:lineRule="exact"/>
        <w:rPr>
          <w:sz w:val="21"/>
        </w:rPr>
        <w:sectPr>
          <w:pgSz w:w="11910" w:h="16840"/>
          <w:pgMar w:header="0" w:footer="919" w:top="1520" w:bottom="1100" w:left="1200" w:right="14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2019"/>
        <w:gridCol w:w="6097"/>
      </w:tblGrid>
      <w:tr>
        <w:trPr>
          <w:trHeight w:val="2880" w:hRule="atLeast"/>
        </w:trPr>
        <w:tc>
          <w:tcPr>
            <w:tcW w:w="993" w:type="dxa"/>
          </w:tcPr>
          <w:p>
            <w:pPr>
              <w:pStyle w:val="TableParagraph"/>
              <w:rPr>
                <w:rFonts w:ascii="Times New Roman"/>
                <w:sz w:val="20"/>
              </w:rPr>
            </w:pPr>
          </w:p>
        </w:tc>
        <w:tc>
          <w:tcPr>
            <w:tcW w:w="2019" w:type="dxa"/>
          </w:tcPr>
          <w:p>
            <w:pPr>
              <w:pStyle w:val="TableParagraph"/>
              <w:rPr>
                <w:rFonts w:ascii="Times New Roman"/>
                <w:sz w:val="20"/>
              </w:rPr>
            </w:pPr>
          </w:p>
        </w:tc>
        <w:tc>
          <w:tcPr>
            <w:tcW w:w="6097" w:type="dxa"/>
          </w:tcPr>
          <w:p>
            <w:pPr>
              <w:pStyle w:val="TableParagraph"/>
              <w:spacing w:line="203" w:lineRule="exact"/>
              <w:ind w:left="68"/>
              <w:rPr>
                <w:sz w:val="21"/>
              </w:rPr>
            </w:pPr>
            <w:r>
              <w:rPr>
                <w:sz w:val="21"/>
              </w:rPr>
              <w:t>二、 受益人先于被保险人身故，没有其他受益人的；</w:t>
            </w:r>
          </w:p>
          <w:p>
            <w:pPr>
              <w:pStyle w:val="TableParagraph"/>
              <w:spacing w:line="300" w:lineRule="auto" w:before="68"/>
              <w:ind w:left="68" w:right="301"/>
              <w:jc w:val="both"/>
              <w:rPr>
                <w:sz w:val="21"/>
              </w:rPr>
            </w:pPr>
            <w:r>
              <w:rPr>
                <w:spacing w:val="-5"/>
                <w:sz w:val="21"/>
              </w:rPr>
              <w:t>三、 受益人依法丧失受益权或者放弃受益权，没有其他受益人的。</w:t>
            </w:r>
          </w:p>
          <w:p>
            <w:pPr>
              <w:pStyle w:val="TableParagraph"/>
              <w:spacing w:line="300" w:lineRule="auto" w:before="15"/>
              <w:ind w:left="68" w:right="307"/>
              <w:jc w:val="both"/>
              <w:rPr>
                <w:sz w:val="21"/>
              </w:rPr>
            </w:pPr>
            <w:r>
              <w:rPr>
                <w:sz w:val="21"/>
              </w:rPr>
              <w:t>被保险人身故且受益人依法丧失受益权或者放弃受益权，有其他受益人时，其依法丧失或放弃的受益份额由我们按照本合同确定的受益顺序和受益比例之比给付其他受益人。</w:t>
            </w:r>
          </w:p>
          <w:p>
            <w:pPr>
              <w:pStyle w:val="TableParagraph"/>
              <w:spacing w:line="300" w:lineRule="auto" w:before="15"/>
              <w:ind w:left="68" w:right="307"/>
              <w:jc w:val="both"/>
              <w:rPr>
                <w:sz w:val="21"/>
              </w:rPr>
            </w:pPr>
            <w:r>
              <w:rPr>
                <w:sz w:val="21"/>
              </w:rPr>
              <w:t>如果受益人与被保险人在同一事件中身故，且不能确定身故先后顺序的，则推定受益人身故在先。</w:t>
            </w:r>
          </w:p>
        </w:tc>
      </w:tr>
      <w:tr>
        <w:trPr>
          <w:trHeight w:val="2477" w:hRule="atLeast"/>
        </w:trPr>
        <w:tc>
          <w:tcPr>
            <w:tcW w:w="993" w:type="dxa"/>
          </w:tcPr>
          <w:p>
            <w:pPr>
              <w:pStyle w:val="TableParagraph"/>
              <w:spacing w:before="10"/>
              <w:rPr>
                <w:rFonts w:ascii="Times New Roman"/>
                <w:sz w:val="16"/>
              </w:rPr>
            </w:pPr>
          </w:p>
          <w:p>
            <w:pPr>
              <w:pStyle w:val="TableParagraph"/>
              <w:ind w:left="200"/>
              <w:rPr>
                <w:sz w:val="21"/>
              </w:rPr>
            </w:pPr>
            <w:r>
              <w:rPr>
                <w:sz w:val="21"/>
              </w:rPr>
              <w:t>6.2</w:t>
            </w:r>
          </w:p>
        </w:tc>
        <w:tc>
          <w:tcPr>
            <w:tcW w:w="2019" w:type="dxa"/>
          </w:tcPr>
          <w:p>
            <w:pPr>
              <w:pStyle w:val="TableParagraph"/>
              <w:spacing w:before="10"/>
              <w:rPr>
                <w:rFonts w:ascii="Times New Roman"/>
                <w:sz w:val="16"/>
              </w:rPr>
            </w:pPr>
          </w:p>
          <w:p>
            <w:pPr>
              <w:pStyle w:val="TableParagraph"/>
              <w:ind w:left="476"/>
              <w:rPr>
                <w:sz w:val="21"/>
              </w:rPr>
            </w:pPr>
            <w:r>
              <w:rPr>
                <w:sz w:val="21"/>
              </w:rPr>
              <w:t>保险事故通知</w:t>
            </w:r>
          </w:p>
        </w:tc>
        <w:tc>
          <w:tcPr>
            <w:tcW w:w="6097" w:type="dxa"/>
          </w:tcPr>
          <w:p>
            <w:pPr>
              <w:pStyle w:val="TableParagraph"/>
              <w:spacing w:before="10"/>
              <w:rPr>
                <w:rFonts w:ascii="Times New Roman"/>
                <w:sz w:val="16"/>
              </w:rPr>
            </w:pPr>
          </w:p>
          <w:p>
            <w:pPr>
              <w:pStyle w:val="TableParagraph"/>
              <w:spacing w:line="300" w:lineRule="auto"/>
              <w:ind w:left="68" w:right="303"/>
              <w:jc w:val="both"/>
              <w:rPr>
                <w:sz w:val="21"/>
              </w:rPr>
            </w:pPr>
            <w:r>
              <w:rPr>
                <w:sz w:val="21"/>
              </w:rPr>
              <w:t>您、被保险人或者受益人应在知道保险事故发生之日起十日内</w:t>
            </w:r>
            <w:r>
              <w:rPr>
                <w:spacing w:val="-3"/>
                <w:sz w:val="21"/>
              </w:rPr>
              <w:t>通知我们，但因</w:t>
            </w:r>
            <w:r>
              <w:rPr>
                <w:b/>
                <w:spacing w:val="-2"/>
                <w:sz w:val="21"/>
              </w:rPr>
              <w:t>不可抗力</w:t>
            </w:r>
            <w:r>
              <w:rPr>
                <w:sz w:val="21"/>
              </w:rPr>
              <w:t>（</w:t>
            </w:r>
            <w:r>
              <w:rPr>
                <w:spacing w:val="-18"/>
                <w:sz w:val="21"/>
              </w:rPr>
              <w:t>见 </w:t>
            </w:r>
            <w:r>
              <w:rPr>
                <w:sz w:val="21"/>
              </w:rPr>
              <w:t>8.21）</w:t>
            </w:r>
            <w:r>
              <w:rPr>
                <w:spacing w:val="-3"/>
                <w:sz w:val="21"/>
              </w:rPr>
              <w:t>导致的迟延除外。故意或者因重大过失未及时通知，致使保险事故的性质、原因、损失程度等难以确定的，我们对无法确定的部分，不承担给付保险金的责任，但我们通过其他途径已经及时知道或者应当及时知道保险事故发生的除外。</w:t>
            </w:r>
          </w:p>
        </w:tc>
      </w:tr>
      <w:tr>
        <w:trPr>
          <w:trHeight w:val="2492" w:hRule="atLeast"/>
        </w:trPr>
        <w:tc>
          <w:tcPr>
            <w:tcW w:w="993" w:type="dxa"/>
          </w:tcPr>
          <w:p>
            <w:pPr>
              <w:pStyle w:val="TableParagraph"/>
              <w:spacing w:before="4"/>
              <w:rPr>
                <w:rFonts w:ascii="Times New Roman"/>
                <w:sz w:val="18"/>
              </w:rPr>
            </w:pPr>
          </w:p>
          <w:p>
            <w:pPr>
              <w:pStyle w:val="TableParagraph"/>
              <w:ind w:left="200"/>
              <w:rPr>
                <w:sz w:val="21"/>
              </w:rPr>
            </w:pPr>
            <w:r>
              <w:rPr>
                <w:sz w:val="21"/>
              </w:rPr>
              <w:t>6.3</w:t>
            </w:r>
          </w:p>
        </w:tc>
        <w:tc>
          <w:tcPr>
            <w:tcW w:w="2019" w:type="dxa"/>
          </w:tcPr>
          <w:p>
            <w:pPr>
              <w:pStyle w:val="TableParagraph"/>
              <w:spacing w:before="4"/>
              <w:rPr>
                <w:rFonts w:ascii="Times New Roman"/>
                <w:sz w:val="18"/>
              </w:rPr>
            </w:pPr>
          </w:p>
          <w:p>
            <w:pPr>
              <w:pStyle w:val="TableParagraph"/>
              <w:ind w:left="476"/>
              <w:rPr>
                <w:sz w:val="21"/>
              </w:rPr>
            </w:pPr>
            <w:r>
              <w:rPr>
                <w:sz w:val="21"/>
              </w:rPr>
              <w:t>保险金申请时效</w:t>
            </w:r>
          </w:p>
        </w:tc>
        <w:tc>
          <w:tcPr>
            <w:tcW w:w="6097" w:type="dxa"/>
          </w:tcPr>
          <w:p>
            <w:pPr>
              <w:pStyle w:val="TableParagraph"/>
              <w:spacing w:before="4"/>
              <w:rPr>
                <w:rFonts w:ascii="Times New Roman"/>
                <w:sz w:val="18"/>
              </w:rPr>
            </w:pPr>
          </w:p>
          <w:p>
            <w:pPr>
              <w:pStyle w:val="TableParagraph"/>
              <w:spacing w:line="300" w:lineRule="auto"/>
              <w:ind w:left="68" w:right="306"/>
              <w:jc w:val="both"/>
              <w:rPr>
                <w:sz w:val="21"/>
              </w:rPr>
            </w:pPr>
            <w:r>
              <w:rPr>
                <w:sz w:val="21"/>
              </w:rPr>
              <w:t>受益人及其他有权领取保险金的人向我们申请给付身故保险金的诉讼时效期间为五年，自其知道或应当知道保险事故发生之日起计算。</w:t>
            </w:r>
          </w:p>
          <w:p>
            <w:pPr>
              <w:pStyle w:val="TableParagraph"/>
              <w:spacing w:line="300" w:lineRule="auto" w:before="16"/>
              <w:ind w:left="68" w:right="198"/>
              <w:jc w:val="both"/>
              <w:rPr>
                <w:sz w:val="21"/>
              </w:rPr>
            </w:pPr>
            <w:r>
              <w:rPr>
                <w:sz w:val="21"/>
              </w:rPr>
              <w:t>受益人及其他有权领取保险金的人向我们申请给付全残保险金、重大疾病保险金、轻症疾病保险金、护理辅助金的诉讼时效期间为两年，自其知道或应当知道保险事故发生之日起计算。</w:t>
            </w:r>
          </w:p>
        </w:tc>
      </w:tr>
      <w:tr>
        <w:trPr>
          <w:trHeight w:val="5642" w:hRule="atLeast"/>
        </w:trPr>
        <w:tc>
          <w:tcPr>
            <w:tcW w:w="993" w:type="dxa"/>
          </w:tcPr>
          <w:p>
            <w:pPr>
              <w:pStyle w:val="TableParagraph"/>
              <w:spacing w:before="2"/>
              <w:rPr>
                <w:rFonts w:ascii="Times New Roman"/>
                <w:sz w:val="18"/>
              </w:rPr>
            </w:pPr>
          </w:p>
          <w:p>
            <w:pPr>
              <w:pStyle w:val="TableParagraph"/>
              <w:spacing w:before="1"/>
              <w:ind w:left="200"/>
              <w:rPr>
                <w:sz w:val="21"/>
              </w:rPr>
            </w:pPr>
            <w:r>
              <w:rPr>
                <w:sz w:val="21"/>
              </w:rPr>
              <w:t>6.4</w:t>
            </w:r>
          </w:p>
        </w:tc>
        <w:tc>
          <w:tcPr>
            <w:tcW w:w="2019" w:type="dxa"/>
          </w:tcPr>
          <w:p>
            <w:pPr>
              <w:pStyle w:val="TableParagraph"/>
              <w:spacing w:before="2"/>
              <w:rPr>
                <w:rFonts w:ascii="Times New Roman"/>
                <w:sz w:val="18"/>
              </w:rPr>
            </w:pPr>
          </w:p>
          <w:p>
            <w:pPr>
              <w:pStyle w:val="TableParagraph"/>
              <w:spacing w:before="1"/>
              <w:ind w:left="476"/>
              <w:rPr>
                <w:sz w:val="21"/>
              </w:rPr>
            </w:pPr>
            <w:r>
              <w:rPr>
                <w:sz w:val="21"/>
              </w:rPr>
              <w:t>保险金申请</w:t>
            </w:r>
          </w:p>
        </w:tc>
        <w:tc>
          <w:tcPr>
            <w:tcW w:w="6097" w:type="dxa"/>
          </w:tcPr>
          <w:p>
            <w:pPr>
              <w:pStyle w:val="TableParagraph"/>
              <w:spacing w:before="2"/>
              <w:rPr>
                <w:rFonts w:ascii="Times New Roman"/>
                <w:sz w:val="18"/>
              </w:rPr>
            </w:pPr>
          </w:p>
          <w:p>
            <w:pPr>
              <w:pStyle w:val="TableParagraph"/>
              <w:spacing w:before="1"/>
              <w:ind w:left="68"/>
              <w:rPr>
                <w:sz w:val="21"/>
              </w:rPr>
            </w:pPr>
            <w:r>
              <w:rPr>
                <w:sz w:val="21"/>
              </w:rPr>
              <w:t>在申请各项保险金时，请按照下列方式办理：</w:t>
            </w:r>
          </w:p>
          <w:p>
            <w:pPr>
              <w:pStyle w:val="TableParagraph"/>
              <w:spacing w:before="68"/>
              <w:ind w:left="68"/>
              <w:rPr>
                <w:sz w:val="21"/>
              </w:rPr>
            </w:pPr>
            <w:r>
              <w:rPr>
                <w:sz w:val="21"/>
              </w:rPr>
              <w:t>一、重大疾病保险金、轻症疾病保险金和护理辅助金申请</w:t>
            </w:r>
          </w:p>
          <w:p>
            <w:pPr>
              <w:pStyle w:val="TableParagraph"/>
              <w:spacing w:line="300" w:lineRule="auto" w:before="68"/>
              <w:ind w:left="68" w:right="304"/>
              <w:jc w:val="both"/>
              <w:rPr>
                <w:sz w:val="21"/>
              </w:rPr>
            </w:pPr>
            <w:r>
              <w:rPr>
                <w:sz w:val="21"/>
              </w:rPr>
              <w:t>重大疾病保险金、轻症疾病保险金和护理辅助金的受益人申请领取重大疾病保险金、轻症疾病保险金或护理辅助金时，应提供下列证明和资料：</w:t>
            </w:r>
          </w:p>
          <w:p>
            <w:pPr>
              <w:pStyle w:val="TableParagraph"/>
              <w:numPr>
                <w:ilvl w:val="0"/>
                <w:numId w:val="5"/>
              </w:numPr>
              <w:tabs>
                <w:tab w:pos="490" w:val="left" w:leader="none"/>
                <w:tab w:pos="491" w:val="left" w:leader="none"/>
              </w:tabs>
              <w:spacing w:line="240" w:lineRule="auto" w:before="16" w:after="0"/>
              <w:ind w:left="488" w:right="0" w:hanging="420"/>
              <w:jc w:val="left"/>
              <w:rPr>
                <w:sz w:val="21"/>
              </w:rPr>
            </w:pPr>
            <w:r>
              <w:rPr>
                <w:spacing w:val="-3"/>
                <w:sz w:val="21"/>
              </w:rPr>
              <w:t>给付申请书；</w:t>
            </w:r>
          </w:p>
          <w:p>
            <w:pPr>
              <w:pStyle w:val="TableParagraph"/>
              <w:numPr>
                <w:ilvl w:val="0"/>
                <w:numId w:val="5"/>
              </w:numPr>
              <w:tabs>
                <w:tab w:pos="490" w:val="left" w:leader="none"/>
                <w:tab w:pos="491" w:val="left" w:leader="none"/>
              </w:tabs>
              <w:spacing w:line="240" w:lineRule="auto" w:before="68" w:after="0"/>
              <w:ind w:left="488" w:right="0" w:hanging="420"/>
              <w:jc w:val="left"/>
              <w:rPr>
                <w:sz w:val="21"/>
              </w:rPr>
            </w:pPr>
            <w:r>
              <w:rPr>
                <w:spacing w:val="-3"/>
                <w:sz w:val="21"/>
              </w:rPr>
              <w:t>保险合同；</w:t>
            </w:r>
          </w:p>
          <w:p>
            <w:pPr>
              <w:pStyle w:val="TableParagraph"/>
              <w:numPr>
                <w:ilvl w:val="0"/>
                <w:numId w:val="5"/>
              </w:numPr>
              <w:tabs>
                <w:tab w:pos="490" w:val="left" w:leader="none"/>
                <w:tab w:pos="491" w:val="left" w:leader="none"/>
              </w:tabs>
              <w:spacing w:line="240" w:lineRule="auto" w:before="68" w:after="0"/>
              <w:ind w:left="488" w:right="0" w:hanging="420"/>
              <w:jc w:val="left"/>
              <w:rPr>
                <w:sz w:val="21"/>
              </w:rPr>
            </w:pPr>
            <w:r>
              <w:rPr>
                <w:spacing w:val="-3"/>
                <w:sz w:val="21"/>
              </w:rPr>
              <w:t>受益人身份证明、银行卡（</w:t>
            </w:r>
            <w:r>
              <w:rPr>
                <w:spacing w:val="-2"/>
                <w:sz w:val="21"/>
              </w:rPr>
              <w:t>存折</w:t>
            </w:r>
            <w:r>
              <w:rPr>
                <w:sz w:val="21"/>
              </w:rPr>
              <w:t>）</w:t>
            </w:r>
            <w:r>
              <w:rPr>
                <w:spacing w:val="-3"/>
                <w:sz w:val="21"/>
              </w:rPr>
              <w:t>复印件；</w:t>
            </w:r>
          </w:p>
          <w:p>
            <w:pPr>
              <w:pStyle w:val="TableParagraph"/>
              <w:numPr>
                <w:ilvl w:val="0"/>
                <w:numId w:val="5"/>
              </w:numPr>
              <w:tabs>
                <w:tab w:pos="494" w:val="left" w:leader="none"/>
              </w:tabs>
              <w:spacing w:line="300" w:lineRule="auto" w:before="68" w:after="0"/>
              <w:ind w:left="488" w:right="301" w:hanging="420"/>
              <w:jc w:val="both"/>
              <w:rPr>
                <w:sz w:val="21"/>
              </w:rPr>
            </w:pPr>
            <w:r>
              <w:rPr>
                <w:sz w:val="21"/>
              </w:rPr>
              <w:t>医院出具的疾病诊断证明书、病历记录和确诊疾病必要的病理检验、血液检验、影像学检查及其他科学方法的检查报告（若被保险人接受了外科手术，还需提供外科手术证明</w:t>
            </w:r>
            <w:r>
              <w:rPr>
                <w:spacing w:val="-106"/>
                <w:sz w:val="21"/>
              </w:rPr>
              <w:t>）</w:t>
            </w:r>
            <w:r>
              <w:rPr>
                <w:spacing w:val="-9"/>
                <w:sz w:val="21"/>
              </w:rPr>
              <w:t>。如有必要，我们有权对被保险人进行体检，我们保留</w:t>
            </w:r>
            <w:r>
              <w:rPr>
                <w:spacing w:val="-5"/>
                <w:sz w:val="21"/>
              </w:rPr>
              <w:t>就疾病诊断咨询其他医疗专家的权利；</w:t>
            </w:r>
          </w:p>
          <w:p>
            <w:pPr>
              <w:pStyle w:val="TableParagraph"/>
              <w:numPr>
                <w:ilvl w:val="0"/>
                <w:numId w:val="5"/>
              </w:numPr>
              <w:tabs>
                <w:tab w:pos="493" w:val="left" w:leader="none"/>
                <w:tab w:pos="494" w:val="left" w:leader="none"/>
              </w:tabs>
              <w:spacing w:line="300" w:lineRule="auto" w:before="16" w:after="0"/>
              <w:ind w:left="68" w:right="306" w:firstLine="0"/>
              <w:jc w:val="left"/>
              <w:rPr>
                <w:sz w:val="21"/>
              </w:rPr>
            </w:pPr>
            <w:r>
              <w:rPr>
                <w:sz w:val="21"/>
              </w:rPr>
              <w:t>与确认保险事故的时间、性质、原因等相关的其他证明和资料。</w:t>
            </w:r>
          </w:p>
          <w:p>
            <w:pPr>
              <w:pStyle w:val="TableParagraph"/>
              <w:spacing w:line="263" w:lineRule="exact" w:before="16"/>
              <w:ind w:left="68"/>
              <w:rPr>
                <w:sz w:val="21"/>
              </w:rPr>
            </w:pPr>
            <w:r>
              <w:rPr>
                <w:sz w:val="21"/>
              </w:rPr>
              <w:t>二、全残保险金申请</w:t>
            </w:r>
          </w:p>
        </w:tc>
      </w:tr>
    </w:tbl>
    <w:p>
      <w:pPr>
        <w:spacing w:after="0" w:line="263" w:lineRule="exact"/>
        <w:rPr>
          <w:sz w:val="21"/>
        </w:rPr>
        <w:sectPr>
          <w:pgSz w:w="11910" w:h="16840"/>
          <w:pgMar w:header="0" w:footer="919" w:top="152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913"/>
        <w:gridCol w:w="6202"/>
      </w:tblGrid>
      <w:tr>
        <w:trPr>
          <w:trHeight w:val="8731" w:hRule="atLeast"/>
        </w:trPr>
        <w:tc>
          <w:tcPr>
            <w:tcW w:w="993" w:type="dxa"/>
          </w:tcPr>
          <w:p>
            <w:pPr>
              <w:pStyle w:val="TableParagraph"/>
              <w:rPr>
                <w:rFonts w:ascii="Times New Roman"/>
                <w:sz w:val="20"/>
              </w:rPr>
            </w:pPr>
          </w:p>
        </w:tc>
        <w:tc>
          <w:tcPr>
            <w:tcW w:w="1913" w:type="dxa"/>
          </w:tcPr>
          <w:p>
            <w:pPr>
              <w:pStyle w:val="TableParagraph"/>
              <w:rPr>
                <w:rFonts w:ascii="Times New Roman"/>
                <w:sz w:val="20"/>
              </w:rPr>
            </w:pPr>
          </w:p>
        </w:tc>
        <w:tc>
          <w:tcPr>
            <w:tcW w:w="6202" w:type="dxa"/>
          </w:tcPr>
          <w:p>
            <w:pPr>
              <w:pStyle w:val="TableParagraph"/>
              <w:spacing w:line="203" w:lineRule="exact"/>
              <w:ind w:left="174"/>
              <w:rPr>
                <w:sz w:val="21"/>
              </w:rPr>
            </w:pPr>
            <w:r>
              <w:rPr>
                <w:sz w:val="21"/>
              </w:rPr>
              <w:t>全残保险金受益人申请领取全残保险金时，应提供下列证明和</w:t>
            </w:r>
          </w:p>
          <w:p>
            <w:pPr>
              <w:pStyle w:val="TableParagraph"/>
              <w:spacing w:before="68"/>
              <w:ind w:left="174"/>
              <w:rPr>
                <w:sz w:val="21"/>
              </w:rPr>
            </w:pPr>
            <w:r>
              <w:rPr>
                <w:sz w:val="21"/>
              </w:rPr>
              <w:t>资料：</w:t>
            </w:r>
          </w:p>
          <w:p>
            <w:pPr>
              <w:pStyle w:val="TableParagraph"/>
              <w:numPr>
                <w:ilvl w:val="0"/>
                <w:numId w:val="6"/>
              </w:numPr>
              <w:tabs>
                <w:tab w:pos="594" w:val="left" w:leader="none"/>
                <w:tab w:pos="595" w:val="left" w:leader="none"/>
              </w:tabs>
              <w:spacing w:line="240" w:lineRule="auto" w:before="68" w:after="0"/>
              <w:ind w:left="594" w:right="0" w:hanging="420"/>
              <w:jc w:val="left"/>
              <w:rPr>
                <w:sz w:val="21"/>
              </w:rPr>
            </w:pPr>
            <w:r>
              <w:rPr>
                <w:spacing w:val="-2"/>
                <w:sz w:val="21"/>
              </w:rPr>
              <w:t>给付申请书；</w:t>
            </w:r>
          </w:p>
          <w:p>
            <w:pPr>
              <w:pStyle w:val="TableParagraph"/>
              <w:numPr>
                <w:ilvl w:val="0"/>
                <w:numId w:val="6"/>
              </w:numPr>
              <w:tabs>
                <w:tab w:pos="594" w:val="left" w:leader="none"/>
                <w:tab w:pos="595" w:val="left" w:leader="none"/>
              </w:tabs>
              <w:spacing w:line="240" w:lineRule="auto" w:before="68" w:after="0"/>
              <w:ind w:left="594" w:right="0" w:hanging="420"/>
              <w:jc w:val="left"/>
              <w:rPr>
                <w:sz w:val="21"/>
              </w:rPr>
            </w:pPr>
            <w:r>
              <w:rPr>
                <w:spacing w:val="-1"/>
                <w:sz w:val="21"/>
              </w:rPr>
              <w:t>保险合同；</w:t>
            </w:r>
          </w:p>
          <w:p>
            <w:pPr>
              <w:pStyle w:val="TableParagraph"/>
              <w:numPr>
                <w:ilvl w:val="0"/>
                <w:numId w:val="6"/>
              </w:numPr>
              <w:tabs>
                <w:tab w:pos="594" w:val="left" w:leader="none"/>
                <w:tab w:pos="595" w:val="left" w:leader="none"/>
              </w:tabs>
              <w:spacing w:line="240" w:lineRule="auto" w:before="68" w:after="0"/>
              <w:ind w:left="594" w:right="0" w:hanging="420"/>
              <w:jc w:val="left"/>
              <w:rPr>
                <w:sz w:val="21"/>
              </w:rPr>
            </w:pPr>
            <w:r>
              <w:rPr>
                <w:spacing w:val="-3"/>
                <w:sz w:val="21"/>
              </w:rPr>
              <w:t>受益人身份证明、银行存折</w:t>
            </w:r>
            <w:r>
              <w:rPr>
                <w:sz w:val="21"/>
              </w:rPr>
              <w:t>（</w:t>
            </w:r>
            <w:r>
              <w:rPr>
                <w:spacing w:val="-3"/>
                <w:sz w:val="21"/>
              </w:rPr>
              <w:t>卡</w:t>
            </w:r>
            <w:r>
              <w:rPr>
                <w:sz w:val="21"/>
              </w:rPr>
              <w:t>）</w:t>
            </w:r>
            <w:r>
              <w:rPr>
                <w:spacing w:val="-3"/>
                <w:sz w:val="21"/>
              </w:rPr>
              <w:t>复印件；</w:t>
            </w:r>
          </w:p>
          <w:p>
            <w:pPr>
              <w:pStyle w:val="TableParagraph"/>
              <w:numPr>
                <w:ilvl w:val="0"/>
                <w:numId w:val="6"/>
              </w:numPr>
              <w:tabs>
                <w:tab w:pos="594" w:val="left" w:leader="none"/>
                <w:tab w:pos="595" w:val="left" w:leader="none"/>
              </w:tabs>
              <w:spacing w:line="300" w:lineRule="auto" w:before="68" w:after="0"/>
              <w:ind w:left="594" w:right="300" w:hanging="420"/>
              <w:jc w:val="left"/>
              <w:rPr>
                <w:sz w:val="21"/>
              </w:rPr>
            </w:pPr>
            <w:r>
              <w:rPr>
                <w:spacing w:val="-3"/>
                <w:sz w:val="21"/>
              </w:rPr>
              <w:t>由双方认可的</w:t>
            </w:r>
            <w:r>
              <w:rPr>
                <w:b/>
                <w:spacing w:val="-2"/>
                <w:sz w:val="21"/>
              </w:rPr>
              <w:t>伤残鉴定机构</w:t>
            </w:r>
            <w:r>
              <w:rPr>
                <w:spacing w:val="-3"/>
                <w:sz w:val="21"/>
              </w:rPr>
              <w:t>（</w:t>
            </w:r>
            <w:r>
              <w:rPr>
                <w:spacing w:val="-20"/>
                <w:sz w:val="21"/>
              </w:rPr>
              <w:t>见 </w:t>
            </w:r>
            <w:r>
              <w:rPr>
                <w:sz w:val="21"/>
              </w:rPr>
              <w:t>8.22）</w:t>
            </w:r>
            <w:r>
              <w:rPr>
                <w:spacing w:val="-3"/>
                <w:sz w:val="21"/>
              </w:rPr>
              <w:t>出具的被保险人残疾程度鉴定书；</w:t>
            </w:r>
          </w:p>
          <w:p>
            <w:pPr>
              <w:pStyle w:val="TableParagraph"/>
              <w:numPr>
                <w:ilvl w:val="0"/>
                <w:numId w:val="6"/>
              </w:numPr>
              <w:tabs>
                <w:tab w:pos="594" w:val="left" w:leader="none"/>
                <w:tab w:pos="595" w:val="left" w:leader="none"/>
              </w:tabs>
              <w:spacing w:line="300" w:lineRule="auto" w:before="15" w:after="0"/>
              <w:ind w:left="594" w:right="306" w:hanging="420"/>
              <w:jc w:val="left"/>
              <w:rPr>
                <w:sz w:val="21"/>
              </w:rPr>
            </w:pPr>
            <w:r>
              <w:rPr>
                <w:sz w:val="21"/>
              </w:rPr>
              <w:t>与确认保险事故的时间、性质、原因、伤害程度等相关的</w:t>
            </w:r>
            <w:r>
              <w:rPr>
                <w:spacing w:val="-3"/>
                <w:sz w:val="21"/>
              </w:rPr>
              <w:t>其他证明和资料。</w:t>
            </w:r>
          </w:p>
          <w:p>
            <w:pPr>
              <w:pStyle w:val="TableParagraph"/>
              <w:spacing w:before="15"/>
              <w:ind w:left="174"/>
              <w:rPr>
                <w:sz w:val="21"/>
              </w:rPr>
            </w:pPr>
            <w:r>
              <w:rPr>
                <w:sz w:val="21"/>
              </w:rPr>
              <w:t>三、身故保险金申请</w:t>
            </w:r>
          </w:p>
          <w:p>
            <w:pPr>
              <w:pStyle w:val="TableParagraph"/>
              <w:spacing w:line="300" w:lineRule="auto" w:before="68"/>
              <w:ind w:left="174" w:right="304"/>
              <w:rPr>
                <w:sz w:val="21"/>
              </w:rPr>
            </w:pPr>
            <w:r>
              <w:rPr>
                <w:sz w:val="21"/>
              </w:rPr>
              <w:t>身故保险金受益人申请领取身故保险金时, 应当提供下列证明和资料：</w:t>
            </w:r>
          </w:p>
          <w:p>
            <w:pPr>
              <w:pStyle w:val="TableParagraph"/>
              <w:numPr>
                <w:ilvl w:val="0"/>
                <w:numId w:val="7"/>
              </w:numPr>
              <w:tabs>
                <w:tab w:pos="594" w:val="left" w:leader="none"/>
                <w:tab w:pos="595" w:val="left" w:leader="none"/>
              </w:tabs>
              <w:spacing w:line="240" w:lineRule="auto" w:before="15" w:after="0"/>
              <w:ind w:left="594" w:right="0" w:hanging="420"/>
              <w:jc w:val="left"/>
              <w:rPr>
                <w:sz w:val="21"/>
              </w:rPr>
            </w:pPr>
            <w:r>
              <w:rPr>
                <w:spacing w:val="-2"/>
                <w:sz w:val="21"/>
              </w:rPr>
              <w:t>给付申请书；</w:t>
            </w:r>
          </w:p>
          <w:p>
            <w:pPr>
              <w:pStyle w:val="TableParagraph"/>
              <w:numPr>
                <w:ilvl w:val="0"/>
                <w:numId w:val="7"/>
              </w:numPr>
              <w:tabs>
                <w:tab w:pos="594" w:val="left" w:leader="none"/>
                <w:tab w:pos="595" w:val="left" w:leader="none"/>
              </w:tabs>
              <w:spacing w:line="240" w:lineRule="auto" w:before="68" w:after="0"/>
              <w:ind w:left="594" w:right="0" w:hanging="420"/>
              <w:jc w:val="left"/>
              <w:rPr>
                <w:sz w:val="21"/>
              </w:rPr>
            </w:pPr>
            <w:r>
              <w:rPr>
                <w:spacing w:val="-1"/>
                <w:sz w:val="21"/>
              </w:rPr>
              <w:t>保险合同；</w:t>
            </w:r>
          </w:p>
          <w:p>
            <w:pPr>
              <w:pStyle w:val="TableParagraph"/>
              <w:numPr>
                <w:ilvl w:val="0"/>
                <w:numId w:val="7"/>
              </w:numPr>
              <w:tabs>
                <w:tab w:pos="594" w:val="left" w:leader="none"/>
                <w:tab w:pos="595" w:val="left" w:leader="none"/>
              </w:tabs>
              <w:spacing w:line="300" w:lineRule="auto" w:before="68" w:after="0"/>
              <w:ind w:left="594" w:right="306" w:hanging="420"/>
              <w:jc w:val="left"/>
              <w:rPr>
                <w:sz w:val="21"/>
              </w:rPr>
            </w:pPr>
            <w:r>
              <w:rPr>
                <w:sz w:val="21"/>
              </w:rPr>
              <w:t>公安部门、医院或我们认可的其他机构出具的被保险人身</w:t>
            </w:r>
            <w:r>
              <w:rPr>
                <w:spacing w:val="-3"/>
                <w:sz w:val="21"/>
              </w:rPr>
              <w:t>故证明或验尸证明；</w:t>
            </w:r>
          </w:p>
          <w:p>
            <w:pPr>
              <w:pStyle w:val="TableParagraph"/>
              <w:numPr>
                <w:ilvl w:val="0"/>
                <w:numId w:val="7"/>
              </w:numPr>
              <w:tabs>
                <w:tab w:pos="594" w:val="left" w:leader="none"/>
                <w:tab w:pos="595" w:val="left" w:leader="none"/>
              </w:tabs>
              <w:spacing w:line="300" w:lineRule="auto" w:before="15" w:after="0"/>
              <w:ind w:left="594" w:right="306" w:hanging="420"/>
              <w:jc w:val="left"/>
              <w:rPr>
                <w:sz w:val="21"/>
              </w:rPr>
            </w:pPr>
            <w:r>
              <w:rPr>
                <w:sz w:val="21"/>
              </w:rPr>
              <w:t>如果被保险人为宣告死亡，受益人须提供人民法院出具的</w:t>
            </w:r>
            <w:r>
              <w:rPr>
                <w:spacing w:val="-3"/>
                <w:sz w:val="21"/>
              </w:rPr>
              <w:t>宣告死亡判决书；</w:t>
            </w:r>
          </w:p>
          <w:p>
            <w:pPr>
              <w:pStyle w:val="TableParagraph"/>
              <w:numPr>
                <w:ilvl w:val="0"/>
                <w:numId w:val="7"/>
              </w:numPr>
              <w:tabs>
                <w:tab w:pos="594" w:val="left" w:leader="none"/>
                <w:tab w:pos="595" w:val="left" w:leader="none"/>
              </w:tabs>
              <w:spacing w:line="240" w:lineRule="auto" w:before="15" w:after="0"/>
              <w:ind w:left="594" w:right="0" w:hanging="420"/>
              <w:jc w:val="left"/>
              <w:rPr>
                <w:sz w:val="21"/>
              </w:rPr>
            </w:pPr>
            <w:r>
              <w:rPr>
                <w:spacing w:val="-3"/>
                <w:sz w:val="21"/>
              </w:rPr>
              <w:t>被保险人户籍注销证明；</w:t>
            </w:r>
          </w:p>
          <w:p>
            <w:pPr>
              <w:pStyle w:val="TableParagraph"/>
              <w:numPr>
                <w:ilvl w:val="0"/>
                <w:numId w:val="7"/>
              </w:numPr>
              <w:tabs>
                <w:tab w:pos="594" w:val="left" w:leader="none"/>
                <w:tab w:pos="595" w:val="left" w:leader="none"/>
              </w:tabs>
              <w:spacing w:line="240" w:lineRule="auto" w:before="68" w:after="0"/>
              <w:ind w:left="594" w:right="0" w:hanging="420"/>
              <w:jc w:val="left"/>
              <w:rPr>
                <w:sz w:val="21"/>
              </w:rPr>
            </w:pPr>
            <w:r>
              <w:rPr>
                <w:spacing w:val="-3"/>
                <w:sz w:val="21"/>
              </w:rPr>
              <w:t>受益人身份证明、关系证明、银行存折（</w:t>
            </w:r>
            <w:r>
              <w:rPr>
                <w:sz w:val="21"/>
              </w:rPr>
              <w:t>卡</w:t>
            </w:r>
            <w:r>
              <w:rPr>
                <w:spacing w:val="-3"/>
                <w:sz w:val="21"/>
              </w:rPr>
              <w:t>）</w:t>
            </w:r>
            <w:r>
              <w:rPr>
                <w:spacing w:val="-2"/>
                <w:sz w:val="21"/>
              </w:rPr>
              <w:t>复印件；</w:t>
            </w:r>
          </w:p>
          <w:p>
            <w:pPr>
              <w:pStyle w:val="TableParagraph"/>
              <w:numPr>
                <w:ilvl w:val="0"/>
                <w:numId w:val="7"/>
              </w:numPr>
              <w:tabs>
                <w:tab w:pos="594" w:val="left" w:leader="none"/>
                <w:tab w:pos="595" w:val="left" w:leader="none"/>
              </w:tabs>
              <w:spacing w:line="300" w:lineRule="auto" w:before="68" w:after="0"/>
              <w:ind w:left="594" w:right="306" w:hanging="420"/>
              <w:jc w:val="left"/>
              <w:rPr>
                <w:sz w:val="21"/>
              </w:rPr>
            </w:pPr>
            <w:r>
              <w:rPr>
                <w:sz w:val="21"/>
              </w:rPr>
              <w:t>与确认保险事故的时间、性质、原因等相关的其他证明和资料。</w:t>
            </w:r>
          </w:p>
          <w:p>
            <w:pPr>
              <w:pStyle w:val="TableParagraph"/>
              <w:spacing w:line="300" w:lineRule="auto" w:before="16"/>
              <w:ind w:left="174" w:right="305"/>
              <w:jc w:val="both"/>
              <w:rPr>
                <w:sz w:val="21"/>
              </w:rPr>
            </w:pPr>
            <w:r>
              <w:rPr>
                <w:sz w:val="21"/>
              </w:rPr>
              <w:t>四、如果委托他人领取保险金，受托人除提供上述所有证明和资料外，必须另行出具有委托人亲笔签字的授权委托书和受托人身份证明。</w:t>
            </w:r>
          </w:p>
        </w:tc>
      </w:tr>
      <w:tr>
        <w:trPr>
          <w:trHeight w:val="4208" w:hRule="atLeast"/>
        </w:trPr>
        <w:tc>
          <w:tcPr>
            <w:tcW w:w="993" w:type="dxa"/>
          </w:tcPr>
          <w:p>
            <w:pPr>
              <w:pStyle w:val="TableParagraph"/>
              <w:spacing w:before="2"/>
              <w:rPr>
                <w:rFonts w:ascii="Times New Roman"/>
                <w:sz w:val="18"/>
              </w:rPr>
            </w:pPr>
          </w:p>
          <w:p>
            <w:pPr>
              <w:pStyle w:val="TableParagraph"/>
              <w:spacing w:before="1"/>
              <w:ind w:left="200"/>
              <w:rPr>
                <w:sz w:val="21"/>
              </w:rPr>
            </w:pPr>
            <w:r>
              <w:rPr>
                <w:sz w:val="21"/>
              </w:rPr>
              <w:t>6.5</w:t>
            </w:r>
          </w:p>
        </w:tc>
        <w:tc>
          <w:tcPr>
            <w:tcW w:w="1913" w:type="dxa"/>
          </w:tcPr>
          <w:p>
            <w:pPr>
              <w:pStyle w:val="TableParagraph"/>
              <w:spacing w:before="2"/>
              <w:rPr>
                <w:rFonts w:ascii="Times New Roman"/>
                <w:sz w:val="18"/>
              </w:rPr>
            </w:pPr>
          </w:p>
          <w:p>
            <w:pPr>
              <w:pStyle w:val="TableParagraph"/>
              <w:spacing w:before="1"/>
              <w:ind w:left="476"/>
              <w:rPr>
                <w:sz w:val="21"/>
              </w:rPr>
            </w:pPr>
            <w:r>
              <w:rPr>
                <w:sz w:val="21"/>
              </w:rPr>
              <w:t>保险金给付</w:t>
            </w:r>
          </w:p>
        </w:tc>
        <w:tc>
          <w:tcPr>
            <w:tcW w:w="6202" w:type="dxa"/>
          </w:tcPr>
          <w:p>
            <w:pPr>
              <w:pStyle w:val="TableParagraph"/>
              <w:spacing w:before="2"/>
              <w:rPr>
                <w:rFonts w:ascii="Times New Roman"/>
                <w:sz w:val="18"/>
              </w:rPr>
            </w:pPr>
          </w:p>
          <w:p>
            <w:pPr>
              <w:pStyle w:val="TableParagraph"/>
              <w:spacing w:line="300" w:lineRule="auto" w:before="1"/>
              <w:ind w:left="174" w:right="197"/>
              <w:rPr>
                <w:sz w:val="21"/>
              </w:rPr>
            </w:pPr>
            <w:r>
              <w:rPr>
                <w:spacing w:val="-3"/>
                <w:sz w:val="21"/>
              </w:rPr>
              <w:t>我们在收到保险金给付申请书等证明和资料后，会及时作出核定；情形复杂的，将在三十日内作出核定，但本合同另有约定的除外。我们会将核定结果通知申请人。对属于保险责任的， 在与申请人达成给付保险金的协议后十日内，履行给付保险金义务。本合同对给付保险金的期限有约定的，我们按照约定履行给付保险金义务。对不属于保险责任的，我们自作出核定之</w:t>
            </w:r>
            <w:r>
              <w:rPr>
                <w:spacing w:val="-6"/>
                <w:sz w:val="21"/>
              </w:rPr>
              <w:t>日起三日内向申请人发出拒绝给付保险金通知书，并说明理由。</w:t>
            </w:r>
            <w:r>
              <w:rPr>
                <w:spacing w:val="-4"/>
                <w:sz w:val="21"/>
              </w:rPr>
              <w:t>我们在收到保险金给付申请书等证明和资料之日起六十日内， </w:t>
            </w:r>
            <w:r>
              <w:rPr>
                <w:spacing w:val="-3"/>
                <w:sz w:val="21"/>
              </w:rPr>
              <w:t>对属于保险责任而给付保险金的数额不能确定的，根据已有证明和资料，按可以确定的数额先予以给付，在最终确定给付保险金的数额后，给付相应的差额。</w:t>
            </w:r>
          </w:p>
        </w:tc>
      </w:tr>
      <w:tr>
        <w:trPr>
          <w:trHeight w:val="836" w:hRule="atLeast"/>
        </w:trPr>
        <w:tc>
          <w:tcPr>
            <w:tcW w:w="993" w:type="dxa"/>
          </w:tcPr>
          <w:p>
            <w:pPr>
              <w:pStyle w:val="TableParagraph"/>
              <w:spacing w:before="3"/>
              <w:rPr>
                <w:rFonts w:ascii="Times New Roman"/>
                <w:sz w:val="18"/>
              </w:rPr>
            </w:pPr>
          </w:p>
          <w:p>
            <w:pPr>
              <w:pStyle w:val="TableParagraph"/>
              <w:ind w:left="200"/>
              <w:rPr>
                <w:sz w:val="21"/>
              </w:rPr>
            </w:pPr>
            <w:r>
              <w:rPr>
                <w:sz w:val="21"/>
              </w:rPr>
              <w:t>6.6</w:t>
            </w:r>
          </w:p>
        </w:tc>
        <w:tc>
          <w:tcPr>
            <w:tcW w:w="1913" w:type="dxa"/>
          </w:tcPr>
          <w:p>
            <w:pPr>
              <w:pStyle w:val="TableParagraph"/>
              <w:spacing w:before="3"/>
              <w:rPr>
                <w:rFonts w:ascii="Times New Roman"/>
                <w:sz w:val="18"/>
              </w:rPr>
            </w:pPr>
          </w:p>
          <w:p>
            <w:pPr>
              <w:pStyle w:val="TableParagraph"/>
              <w:ind w:left="476"/>
              <w:rPr>
                <w:sz w:val="21"/>
              </w:rPr>
            </w:pPr>
            <w:r>
              <w:rPr>
                <w:sz w:val="21"/>
              </w:rPr>
              <w:t>宣告死亡处理</w:t>
            </w:r>
          </w:p>
        </w:tc>
        <w:tc>
          <w:tcPr>
            <w:tcW w:w="6202" w:type="dxa"/>
          </w:tcPr>
          <w:p>
            <w:pPr>
              <w:pStyle w:val="TableParagraph"/>
              <w:spacing w:line="340" w:lineRule="atLeast" w:before="145"/>
              <w:ind w:left="174" w:right="348"/>
              <w:rPr>
                <w:sz w:val="21"/>
              </w:rPr>
            </w:pPr>
            <w:r>
              <w:rPr>
                <w:sz w:val="21"/>
              </w:rPr>
              <w:t>如果被保险人在本合同有效期间内被人民法院判决宣告死亡， 我们以判决书宣告的死亡日期为被保险人的身故日期，按本合</w:t>
            </w:r>
          </w:p>
        </w:tc>
      </w:tr>
    </w:tbl>
    <w:p>
      <w:pPr>
        <w:spacing w:after="0" w:line="340" w:lineRule="atLeast"/>
        <w:rPr>
          <w:sz w:val="21"/>
        </w:rPr>
        <w:sectPr>
          <w:pgSz w:w="11910" w:h="16840"/>
          <w:pgMar w:header="0" w:footer="919" w:top="1520" w:bottom="1100" w:left="1200" w:right="124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61"/>
        <w:gridCol w:w="5955"/>
      </w:tblGrid>
      <w:tr>
        <w:trPr>
          <w:trHeight w:val="1693" w:hRule="atLeast"/>
        </w:trPr>
        <w:tc>
          <w:tcPr>
            <w:tcW w:w="904" w:type="dxa"/>
          </w:tcPr>
          <w:p>
            <w:pPr>
              <w:pStyle w:val="TableParagraph"/>
              <w:rPr>
                <w:rFonts w:ascii="Times New Roman"/>
                <w:sz w:val="20"/>
              </w:rPr>
            </w:pPr>
          </w:p>
        </w:tc>
        <w:tc>
          <w:tcPr>
            <w:tcW w:w="1961" w:type="dxa"/>
          </w:tcPr>
          <w:p>
            <w:pPr>
              <w:pStyle w:val="TableParagraph"/>
              <w:rPr>
                <w:rFonts w:ascii="Times New Roman"/>
                <w:sz w:val="20"/>
              </w:rPr>
            </w:pPr>
          </w:p>
        </w:tc>
        <w:tc>
          <w:tcPr>
            <w:tcW w:w="5955" w:type="dxa"/>
          </w:tcPr>
          <w:p>
            <w:pPr>
              <w:pStyle w:val="TableParagraph"/>
              <w:spacing w:line="203" w:lineRule="exact"/>
              <w:ind w:left="125"/>
              <w:rPr>
                <w:sz w:val="21"/>
              </w:rPr>
            </w:pPr>
            <w:r>
              <w:rPr>
                <w:sz w:val="21"/>
              </w:rPr>
              <w:t>同约定给付身故保险金，本合同终止。</w:t>
            </w:r>
          </w:p>
          <w:p>
            <w:pPr>
              <w:pStyle w:val="TableParagraph"/>
              <w:spacing w:line="300" w:lineRule="auto" w:before="68"/>
              <w:ind w:left="125" w:right="150"/>
              <w:jc w:val="both"/>
              <w:rPr>
                <w:sz w:val="21"/>
              </w:rPr>
            </w:pPr>
            <w:r>
              <w:rPr>
                <w:sz w:val="21"/>
              </w:rPr>
              <w:t>如果被保险人在宣告死亡后生还，身故保险金的受领人应于知道被保险人生还之日起三十日内向我们退还已给付的身故保险金，本合同的效力由我们双方依法协商处理。</w:t>
            </w:r>
          </w:p>
        </w:tc>
      </w:tr>
      <w:tr>
        <w:trPr>
          <w:trHeight w:val="446" w:hRule="atLeast"/>
        </w:trPr>
        <w:tc>
          <w:tcPr>
            <w:tcW w:w="904" w:type="dxa"/>
            <w:shd w:val="clear" w:color="auto" w:fill="CCCCCC"/>
          </w:tcPr>
          <w:p>
            <w:pPr>
              <w:pStyle w:val="TableParagraph"/>
              <w:spacing w:before="35"/>
              <w:ind w:left="110"/>
              <w:rPr>
                <w:rFonts w:ascii="Wingdings" w:hAnsi="Wingdings"/>
                <w:sz w:val="32"/>
              </w:rPr>
            </w:pPr>
            <w:r>
              <w:rPr>
                <w:rFonts w:ascii="Wingdings" w:hAnsi="Wingdings"/>
                <w:w w:val="99"/>
                <w:sz w:val="32"/>
              </w:rPr>
              <w:t></w:t>
            </w:r>
          </w:p>
        </w:tc>
        <w:tc>
          <w:tcPr>
            <w:tcW w:w="7916" w:type="dxa"/>
            <w:gridSpan w:val="2"/>
            <w:shd w:val="clear" w:color="auto" w:fill="CCCCCC"/>
          </w:tcPr>
          <w:p>
            <w:pPr>
              <w:pStyle w:val="TableParagraph"/>
              <w:spacing w:before="46"/>
              <w:ind w:left="475"/>
              <w:rPr>
                <w:b/>
                <w:sz w:val="21"/>
              </w:rPr>
            </w:pPr>
            <w:r>
              <w:rPr>
                <w:b/>
                <w:sz w:val="21"/>
              </w:rPr>
              <w:t>您需要关注的其他事项</w:t>
            </w:r>
          </w:p>
        </w:tc>
      </w:tr>
      <w:tr>
        <w:trPr>
          <w:trHeight w:val="947" w:hRule="atLeast"/>
        </w:trPr>
        <w:tc>
          <w:tcPr>
            <w:tcW w:w="904" w:type="dxa"/>
          </w:tcPr>
          <w:p>
            <w:pPr>
              <w:pStyle w:val="TableParagraph"/>
              <w:spacing w:before="39"/>
              <w:ind w:left="110"/>
              <w:rPr>
                <w:sz w:val="21"/>
              </w:rPr>
            </w:pPr>
            <w:r>
              <w:rPr>
                <w:sz w:val="21"/>
              </w:rPr>
              <w:t>7.1</w:t>
            </w:r>
          </w:p>
        </w:tc>
        <w:tc>
          <w:tcPr>
            <w:tcW w:w="1961" w:type="dxa"/>
          </w:tcPr>
          <w:p>
            <w:pPr>
              <w:pStyle w:val="TableParagraph"/>
              <w:spacing w:before="39"/>
              <w:ind w:left="475"/>
              <w:rPr>
                <w:sz w:val="21"/>
              </w:rPr>
            </w:pPr>
            <w:r>
              <w:rPr>
                <w:sz w:val="21"/>
              </w:rPr>
              <w:t>投保年龄范围</w:t>
            </w:r>
          </w:p>
        </w:tc>
        <w:tc>
          <w:tcPr>
            <w:tcW w:w="5955" w:type="dxa"/>
          </w:tcPr>
          <w:p>
            <w:pPr>
              <w:pStyle w:val="TableParagraph"/>
              <w:spacing w:line="300" w:lineRule="auto" w:before="39"/>
              <w:ind w:left="125" w:right="107"/>
              <w:rPr>
                <w:sz w:val="21"/>
              </w:rPr>
            </w:pPr>
            <w:r>
              <w:rPr>
                <w:sz w:val="21"/>
              </w:rPr>
              <w:t>指您投保时被保险人的年龄，本合同接受的投保年龄范围将根据您选择的保险期间、交费期间等因素来确定。</w:t>
            </w:r>
          </w:p>
        </w:tc>
      </w:tr>
      <w:tr>
        <w:trPr>
          <w:trHeight w:val="4440" w:hRule="atLeast"/>
        </w:trPr>
        <w:tc>
          <w:tcPr>
            <w:tcW w:w="904" w:type="dxa"/>
          </w:tcPr>
          <w:p>
            <w:pPr>
              <w:pStyle w:val="TableParagraph"/>
              <w:spacing w:before="3"/>
              <w:rPr>
                <w:rFonts w:ascii="Times New Roman"/>
                <w:sz w:val="18"/>
              </w:rPr>
            </w:pPr>
          </w:p>
          <w:p>
            <w:pPr>
              <w:pStyle w:val="TableParagraph"/>
              <w:ind w:left="110"/>
              <w:rPr>
                <w:sz w:val="21"/>
              </w:rPr>
            </w:pPr>
            <w:r>
              <w:rPr>
                <w:sz w:val="21"/>
              </w:rPr>
              <w:t>7.2</w:t>
            </w:r>
          </w:p>
        </w:tc>
        <w:tc>
          <w:tcPr>
            <w:tcW w:w="1961" w:type="dxa"/>
          </w:tcPr>
          <w:p>
            <w:pPr>
              <w:pStyle w:val="TableParagraph"/>
              <w:spacing w:before="3"/>
              <w:rPr>
                <w:rFonts w:ascii="Times New Roman"/>
                <w:sz w:val="18"/>
              </w:rPr>
            </w:pPr>
          </w:p>
          <w:p>
            <w:pPr>
              <w:pStyle w:val="TableParagraph"/>
              <w:spacing w:line="300" w:lineRule="auto"/>
              <w:ind w:left="475" w:right="87"/>
              <w:rPr>
                <w:sz w:val="21"/>
              </w:rPr>
            </w:pPr>
            <w:r>
              <w:rPr>
                <w:sz w:val="21"/>
              </w:rPr>
              <w:t>年龄计算及错误处理</w:t>
            </w:r>
          </w:p>
        </w:tc>
        <w:tc>
          <w:tcPr>
            <w:tcW w:w="5955" w:type="dxa"/>
          </w:tcPr>
          <w:p>
            <w:pPr>
              <w:pStyle w:val="TableParagraph"/>
              <w:spacing w:before="3"/>
              <w:rPr>
                <w:rFonts w:ascii="Times New Roman"/>
                <w:sz w:val="18"/>
              </w:rPr>
            </w:pPr>
          </w:p>
          <w:p>
            <w:pPr>
              <w:pStyle w:val="TableParagraph"/>
              <w:spacing w:line="300" w:lineRule="auto"/>
              <w:ind w:left="125" w:right="104"/>
              <w:jc w:val="both"/>
              <w:rPr>
                <w:sz w:val="21"/>
              </w:rPr>
            </w:pPr>
            <w:r>
              <w:rPr>
                <w:sz w:val="21"/>
              </w:rPr>
              <w:t>被保险人的投保年龄为以法定证件载明的出生日期计算的周岁年龄。您在申请投保时，应告知被保险人的周岁年龄。若发生错误，我们依照下列约定处理：</w:t>
            </w:r>
          </w:p>
          <w:p>
            <w:pPr>
              <w:pStyle w:val="TableParagraph"/>
              <w:spacing w:line="255" w:lineRule="exact"/>
              <w:ind w:left="87"/>
              <w:rPr>
                <w:sz w:val="21"/>
              </w:rPr>
            </w:pPr>
            <w:r>
              <w:rPr>
                <w:sz w:val="21"/>
              </w:rPr>
              <w:t>一、您申报的被保险人年龄不真实，致使您实交保险费多于应</w:t>
            </w:r>
          </w:p>
          <w:p>
            <w:pPr>
              <w:pStyle w:val="TableParagraph"/>
              <w:spacing w:before="25"/>
              <w:ind w:left="87"/>
              <w:rPr>
                <w:sz w:val="21"/>
              </w:rPr>
            </w:pPr>
            <w:r>
              <w:rPr>
                <w:sz w:val="21"/>
              </w:rPr>
              <w:t>交保险费的，我们会将多收的保险费无息退还给您。</w:t>
            </w:r>
          </w:p>
          <w:p>
            <w:pPr>
              <w:pStyle w:val="TableParagraph"/>
              <w:spacing w:line="261" w:lineRule="auto" w:before="24"/>
              <w:ind w:left="87" w:right="102"/>
              <w:jc w:val="both"/>
              <w:rPr>
                <w:sz w:val="21"/>
              </w:rPr>
            </w:pPr>
            <w:r>
              <w:rPr>
                <w:sz w:val="21"/>
              </w:rPr>
              <w:t>二、您申报的被保险人年龄不真实，致使您实交保险费少于应交保险费的，我们有权审核更正并要求您补交保险费。若补交保险费前已发生保险事故，我们按实交保险费和应交保险费的比例折算给付保险金。</w:t>
            </w:r>
          </w:p>
          <w:p>
            <w:pPr>
              <w:pStyle w:val="TableParagraph"/>
              <w:spacing w:line="261" w:lineRule="auto" w:before="5"/>
              <w:ind w:left="87" w:right="102"/>
              <w:jc w:val="both"/>
              <w:rPr>
                <w:sz w:val="21"/>
              </w:rPr>
            </w:pPr>
            <w:r>
              <w:rPr>
                <w:sz w:val="21"/>
              </w:rPr>
              <w:t>三、您申报的被保险人年龄不真实，且真实年龄不符合我们规定的投保年龄范围的，我们可以解除本合同，并退还本合同终止之日的现金价值。但自本合同成立之日起超过二年的，则按本条第一、二项处理。</w:t>
            </w:r>
          </w:p>
        </w:tc>
      </w:tr>
      <w:tr>
        <w:trPr>
          <w:trHeight w:val="1094" w:hRule="atLeast"/>
        </w:trPr>
        <w:tc>
          <w:tcPr>
            <w:tcW w:w="904" w:type="dxa"/>
          </w:tcPr>
          <w:p>
            <w:pPr>
              <w:pStyle w:val="TableParagraph"/>
              <w:spacing w:before="1"/>
              <w:rPr>
                <w:rFonts w:ascii="Times New Roman"/>
                <w:sz w:val="16"/>
              </w:rPr>
            </w:pPr>
          </w:p>
          <w:p>
            <w:pPr>
              <w:pStyle w:val="TableParagraph"/>
              <w:spacing w:before="1"/>
              <w:ind w:left="110"/>
              <w:rPr>
                <w:sz w:val="21"/>
              </w:rPr>
            </w:pPr>
            <w:r>
              <w:rPr>
                <w:sz w:val="21"/>
              </w:rPr>
              <w:t>7.3</w:t>
            </w:r>
          </w:p>
        </w:tc>
        <w:tc>
          <w:tcPr>
            <w:tcW w:w="1961" w:type="dxa"/>
          </w:tcPr>
          <w:p>
            <w:pPr>
              <w:pStyle w:val="TableParagraph"/>
              <w:spacing w:before="1"/>
              <w:rPr>
                <w:rFonts w:ascii="Times New Roman"/>
                <w:sz w:val="16"/>
              </w:rPr>
            </w:pPr>
          </w:p>
          <w:p>
            <w:pPr>
              <w:pStyle w:val="TableParagraph"/>
              <w:spacing w:before="1"/>
              <w:ind w:left="475"/>
              <w:rPr>
                <w:sz w:val="21"/>
              </w:rPr>
            </w:pPr>
            <w:r>
              <w:rPr>
                <w:sz w:val="21"/>
              </w:rPr>
              <w:t>欠款扣除</w:t>
            </w:r>
          </w:p>
        </w:tc>
        <w:tc>
          <w:tcPr>
            <w:tcW w:w="5955" w:type="dxa"/>
          </w:tcPr>
          <w:p>
            <w:pPr>
              <w:pStyle w:val="TableParagraph"/>
              <w:spacing w:before="1"/>
              <w:rPr>
                <w:rFonts w:ascii="Times New Roman"/>
                <w:sz w:val="16"/>
              </w:rPr>
            </w:pPr>
          </w:p>
          <w:p>
            <w:pPr>
              <w:pStyle w:val="TableParagraph"/>
              <w:spacing w:line="300" w:lineRule="auto" w:before="1"/>
              <w:ind w:left="125" w:right="107"/>
              <w:rPr>
                <w:sz w:val="21"/>
              </w:rPr>
            </w:pPr>
            <w:r>
              <w:rPr>
                <w:sz w:val="21"/>
              </w:rPr>
              <w:t>我们在给付各项保险金、退还现金价值、退还保险费时，会先行扣除您在本合同项下的欠交保险费、保单借款及利息。</w:t>
            </w:r>
          </w:p>
        </w:tc>
      </w:tr>
      <w:tr>
        <w:trPr>
          <w:trHeight w:val="1806" w:hRule="atLeast"/>
        </w:trPr>
        <w:tc>
          <w:tcPr>
            <w:tcW w:w="904" w:type="dxa"/>
          </w:tcPr>
          <w:p>
            <w:pPr>
              <w:pStyle w:val="TableParagraph"/>
              <w:spacing w:before="2"/>
              <w:rPr>
                <w:rFonts w:ascii="Times New Roman"/>
                <w:sz w:val="18"/>
              </w:rPr>
            </w:pPr>
          </w:p>
          <w:p>
            <w:pPr>
              <w:pStyle w:val="TableParagraph"/>
              <w:spacing w:before="1"/>
              <w:ind w:left="110"/>
              <w:rPr>
                <w:sz w:val="21"/>
              </w:rPr>
            </w:pPr>
            <w:r>
              <w:rPr>
                <w:sz w:val="21"/>
              </w:rPr>
              <w:t>7.4</w:t>
            </w:r>
          </w:p>
        </w:tc>
        <w:tc>
          <w:tcPr>
            <w:tcW w:w="1961" w:type="dxa"/>
          </w:tcPr>
          <w:p>
            <w:pPr>
              <w:pStyle w:val="TableParagraph"/>
              <w:spacing w:before="2"/>
              <w:rPr>
                <w:rFonts w:ascii="Times New Roman"/>
                <w:sz w:val="18"/>
              </w:rPr>
            </w:pPr>
          </w:p>
          <w:p>
            <w:pPr>
              <w:pStyle w:val="TableParagraph"/>
              <w:spacing w:before="1"/>
              <w:ind w:left="475"/>
              <w:rPr>
                <w:sz w:val="21"/>
              </w:rPr>
            </w:pPr>
            <w:r>
              <w:rPr>
                <w:sz w:val="21"/>
              </w:rPr>
              <w:t>通讯地址变更</w:t>
            </w:r>
          </w:p>
        </w:tc>
        <w:tc>
          <w:tcPr>
            <w:tcW w:w="5955" w:type="dxa"/>
          </w:tcPr>
          <w:p>
            <w:pPr>
              <w:pStyle w:val="TableParagraph"/>
              <w:spacing w:before="2"/>
              <w:rPr>
                <w:rFonts w:ascii="Times New Roman"/>
                <w:sz w:val="18"/>
              </w:rPr>
            </w:pPr>
          </w:p>
          <w:p>
            <w:pPr>
              <w:pStyle w:val="TableParagraph"/>
              <w:spacing w:line="300" w:lineRule="auto" w:before="1"/>
              <w:ind w:left="125" w:right="107"/>
              <w:jc w:val="both"/>
              <w:rPr>
                <w:sz w:val="21"/>
              </w:rPr>
            </w:pPr>
            <w:r>
              <w:rPr>
                <w:sz w:val="21"/>
              </w:rPr>
              <w:t>为了保障您的合法利益，您的住所或通讯地址变更时，请及时书面通知我们。如果您没有以书面形式及时通知我们，我们按本合同所载的最后住所或最新通讯地址发送的有关通知，均视为已送达给您。</w:t>
            </w:r>
          </w:p>
        </w:tc>
      </w:tr>
      <w:tr>
        <w:trPr>
          <w:trHeight w:val="1119" w:hRule="atLeast"/>
        </w:trPr>
        <w:tc>
          <w:tcPr>
            <w:tcW w:w="904" w:type="dxa"/>
          </w:tcPr>
          <w:p>
            <w:pPr>
              <w:pStyle w:val="TableParagraph"/>
              <w:spacing w:before="4"/>
              <w:rPr>
                <w:rFonts w:ascii="Times New Roman"/>
                <w:sz w:val="18"/>
              </w:rPr>
            </w:pPr>
          </w:p>
          <w:p>
            <w:pPr>
              <w:pStyle w:val="TableParagraph"/>
              <w:ind w:left="110"/>
              <w:rPr>
                <w:sz w:val="21"/>
              </w:rPr>
            </w:pPr>
            <w:r>
              <w:rPr>
                <w:sz w:val="21"/>
              </w:rPr>
              <w:t>7.5</w:t>
            </w:r>
          </w:p>
        </w:tc>
        <w:tc>
          <w:tcPr>
            <w:tcW w:w="1961" w:type="dxa"/>
          </w:tcPr>
          <w:p>
            <w:pPr>
              <w:pStyle w:val="TableParagraph"/>
              <w:spacing w:before="4"/>
              <w:rPr>
                <w:rFonts w:ascii="Times New Roman"/>
                <w:sz w:val="18"/>
              </w:rPr>
            </w:pPr>
          </w:p>
          <w:p>
            <w:pPr>
              <w:pStyle w:val="TableParagraph"/>
              <w:ind w:left="475"/>
              <w:rPr>
                <w:sz w:val="21"/>
              </w:rPr>
            </w:pPr>
            <w:r>
              <w:rPr>
                <w:sz w:val="21"/>
              </w:rPr>
              <w:t>司法鉴定</w:t>
            </w:r>
          </w:p>
        </w:tc>
        <w:tc>
          <w:tcPr>
            <w:tcW w:w="5955" w:type="dxa"/>
          </w:tcPr>
          <w:p>
            <w:pPr>
              <w:pStyle w:val="TableParagraph"/>
              <w:spacing w:before="4"/>
              <w:rPr>
                <w:rFonts w:ascii="Times New Roman"/>
                <w:sz w:val="18"/>
              </w:rPr>
            </w:pPr>
          </w:p>
          <w:p>
            <w:pPr>
              <w:pStyle w:val="TableParagraph"/>
              <w:spacing w:line="300" w:lineRule="auto"/>
              <w:ind w:left="125" w:right="107"/>
              <w:rPr>
                <w:sz w:val="21"/>
              </w:rPr>
            </w:pPr>
            <w:r>
              <w:rPr>
                <w:sz w:val="21"/>
              </w:rPr>
              <w:t>我们有权要求通过司法鉴定机构对保险事故进行鉴定，您、被保险人和受益人应当予以配合。</w:t>
            </w:r>
          </w:p>
        </w:tc>
      </w:tr>
      <w:tr>
        <w:trPr>
          <w:trHeight w:val="1866" w:hRule="atLeast"/>
        </w:trPr>
        <w:tc>
          <w:tcPr>
            <w:tcW w:w="904" w:type="dxa"/>
          </w:tcPr>
          <w:p>
            <w:pPr>
              <w:pStyle w:val="TableParagraph"/>
              <w:spacing w:before="2"/>
              <w:rPr>
                <w:rFonts w:ascii="Times New Roman"/>
                <w:sz w:val="18"/>
              </w:rPr>
            </w:pPr>
          </w:p>
          <w:p>
            <w:pPr>
              <w:pStyle w:val="TableParagraph"/>
              <w:spacing w:before="1"/>
              <w:ind w:left="110"/>
              <w:rPr>
                <w:sz w:val="21"/>
              </w:rPr>
            </w:pPr>
            <w:r>
              <w:rPr>
                <w:sz w:val="21"/>
              </w:rPr>
              <w:t>7.6</w:t>
            </w:r>
          </w:p>
        </w:tc>
        <w:tc>
          <w:tcPr>
            <w:tcW w:w="1961" w:type="dxa"/>
          </w:tcPr>
          <w:p>
            <w:pPr>
              <w:pStyle w:val="TableParagraph"/>
              <w:spacing w:before="2"/>
              <w:rPr>
                <w:rFonts w:ascii="Times New Roman"/>
                <w:sz w:val="18"/>
              </w:rPr>
            </w:pPr>
          </w:p>
          <w:p>
            <w:pPr>
              <w:pStyle w:val="TableParagraph"/>
              <w:spacing w:before="1"/>
              <w:ind w:left="475"/>
              <w:rPr>
                <w:sz w:val="21"/>
              </w:rPr>
            </w:pPr>
            <w:r>
              <w:rPr>
                <w:sz w:val="21"/>
              </w:rPr>
              <w:t>争议处理</w:t>
            </w:r>
          </w:p>
        </w:tc>
        <w:tc>
          <w:tcPr>
            <w:tcW w:w="5955" w:type="dxa"/>
          </w:tcPr>
          <w:p>
            <w:pPr>
              <w:pStyle w:val="TableParagraph"/>
              <w:spacing w:before="2"/>
              <w:rPr>
                <w:rFonts w:ascii="Times New Roman"/>
                <w:sz w:val="18"/>
              </w:rPr>
            </w:pPr>
          </w:p>
          <w:p>
            <w:pPr>
              <w:pStyle w:val="TableParagraph"/>
              <w:spacing w:before="1"/>
              <w:ind w:left="125"/>
              <w:rPr>
                <w:sz w:val="21"/>
              </w:rPr>
            </w:pPr>
            <w:r>
              <w:rPr>
                <w:sz w:val="21"/>
              </w:rPr>
              <w:t>合同争议解决方式从下列两种方式中选择一种：</w:t>
            </w:r>
          </w:p>
          <w:p>
            <w:pPr>
              <w:pStyle w:val="TableParagraph"/>
              <w:spacing w:line="300" w:lineRule="auto" w:before="68"/>
              <w:ind w:left="125" w:right="1"/>
              <w:rPr>
                <w:sz w:val="21"/>
              </w:rPr>
            </w:pPr>
            <w:r>
              <w:rPr>
                <w:spacing w:val="-8"/>
                <w:sz w:val="21"/>
              </w:rPr>
              <w:t>一、因履行本合同发生的争议，由双方协商解决，协商不成的， </w:t>
            </w:r>
            <w:r>
              <w:rPr>
                <w:spacing w:val="-5"/>
                <w:sz w:val="21"/>
              </w:rPr>
              <w:t>提交约定的仲裁委员会仲裁；</w:t>
            </w:r>
          </w:p>
          <w:p>
            <w:pPr>
              <w:pStyle w:val="TableParagraph"/>
              <w:spacing w:before="15"/>
              <w:ind w:left="125"/>
              <w:rPr>
                <w:sz w:val="21"/>
              </w:rPr>
            </w:pPr>
            <w:r>
              <w:rPr>
                <w:spacing w:val="-8"/>
                <w:sz w:val="21"/>
              </w:rPr>
              <w:t>二、因履行本合同发生的争议，由双方协商解决，协商不成的，</w:t>
            </w:r>
          </w:p>
          <w:p>
            <w:pPr>
              <w:pStyle w:val="TableParagraph"/>
              <w:spacing w:line="263" w:lineRule="exact" w:before="68"/>
              <w:ind w:left="125"/>
              <w:rPr>
                <w:sz w:val="21"/>
              </w:rPr>
            </w:pPr>
            <w:r>
              <w:rPr>
                <w:sz w:val="21"/>
              </w:rPr>
              <w:t>依法向被告所在地人民法院起诉。</w:t>
            </w:r>
          </w:p>
        </w:tc>
      </w:tr>
    </w:tbl>
    <w:p>
      <w:pPr>
        <w:spacing w:after="0" w:line="263" w:lineRule="exact"/>
        <w:rPr>
          <w:sz w:val="21"/>
        </w:rPr>
        <w:sectPr>
          <w:pgSz w:w="11910" w:h="16840"/>
          <w:pgMar w:header="0" w:footer="919" w:top="1520" w:bottom="1100" w:left="1200" w:right="1440"/>
        </w:sect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914"/>
        <w:gridCol w:w="6003"/>
      </w:tblGrid>
      <w:tr>
        <w:trPr>
          <w:trHeight w:val="446" w:hRule="atLeast"/>
        </w:trPr>
        <w:tc>
          <w:tcPr>
            <w:tcW w:w="904" w:type="dxa"/>
            <w:shd w:val="clear" w:color="auto" w:fill="CCCCCC"/>
          </w:tcPr>
          <w:p>
            <w:pPr>
              <w:pStyle w:val="TableParagraph"/>
              <w:spacing w:before="44"/>
              <w:ind w:left="110"/>
              <w:rPr>
                <w:rFonts w:ascii="Wingdings" w:hAnsi="Wingdings"/>
                <w:sz w:val="32"/>
              </w:rPr>
            </w:pPr>
            <w:r>
              <w:rPr>
                <w:rFonts w:ascii="Wingdings" w:hAnsi="Wingdings"/>
                <w:w w:val="99"/>
                <w:sz w:val="32"/>
              </w:rPr>
              <w:t></w:t>
            </w:r>
          </w:p>
        </w:tc>
        <w:tc>
          <w:tcPr>
            <w:tcW w:w="7917" w:type="dxa"/>
            <w:gridSpan w:val="2"/>
            <w:shd w:val="clear" w:color="auto" w:fill="CCCCCC"/>
          </w:tcPr>
          <w:p>
            <w:pPr>
              <w:pStyle w:val="TableParagraph"/>
              <w:spacing w:before="52"/>
              <w:ind w:left="475"/>
              <w:rPr>
                <w:b/>
                <w:sz w:val="21"/>
              </w:rPr>
            </w:pPr>
            <w:r>
              <w:rPr>
                <w:b/>
                <w:sz w:val="21"/>
              </w:rPr>
              <w:t>您需要了解的重要术语</w:t>
            </w:r>
          </w:p>
        </w:tc>
      </w:tr>
      <w:tr>
        <w:trPr>
          <w:trHeight w:val="1098" w:hRule="atLeast"/>
        </w:trPr>
        <w:tc>
          <w:tcPr>
            <w:tcW w:w="904" w:type="dxa"/>
          </w:tcPr>
          <w:p>
            <w:pPr>
              <w:pStyle w:val="TableParagraph"/>
              <w:spacing w:before="42"/>
              <w:ind w:left="110"/>
              <w:rPr>
                <w:sz w:val="21"/>
              </w:rPr>
            </w:pPr>
            <w:r>
              <w:rPr>
                <w:sz w:val="21"/>
              </w:rPr>
              <w:t>8.1</w:t>
            </w:r>
          </w:p>
        </w:tc>
        <w:tc>
          <w:tcPr>
            <w:tcW w:w="1914" w:type="dxa"/>
          </w:tcPr>
          <w:p>
            <w:pPr>
              <w:pStyle w:val="TableParagraph"/>
              <w:spacing w:before="42"/>
              <w:ind w:left="475"/>
              <w:rPr>
                <w:sz w:val="21"/>
              </w:rPr>
            </w:pPr>
            <w:r>
              <w:rPr>
                <w:sz w:val="21"/>
              </w:rPr>
              <w:t>保险单周年日</w:t>
            </w:r>
          </w:p>
        </w:tc>
        <w:tc>
          <w:tcPr>
            <w:tcW w:w="6003" w:type="dxa"/>
          </w:tcPr>
          <w:p>
            <w:pPr>
              <w:pStyle w:val="TableParagraph"/>
              <w:spacing w:line="295" w:lineRule="auto" w:before="42"/>
              <w:ind w:left="172" w:right="107"/>
              <w:jc w:val="both"/>
              <w:rPr>
                <w:sz w:val="21"/>
              </w:rPr>
            </w:pPr>
            <w:r>
              <w:rPr>
                <w:sz w:val="21"/>
              </w:rPr>
              <w:t>本合同生效日在以后每年的对应日为保险单周年日，如果当年无此对应日，则以生效日前一日的对应日为该年的保险单周年日。</w:t>
            </w:r>
          </w:p>
        </w:tc>
      </w:tr>
      <w:tr>
        <w:trPr>
          <w:trHeight w:val="764" w:hRule="atLeast"/>
        </w:trPr>
        <w:tc>
          <w:tcPr>
            <w:tcW w:w="904" w:type="dxa"/>
          </w:tcPr>
          <w:p>
            <w:pPr>
              <w:pStyle w:val="TableParagraph"/>
              <w:spacing w:before="43"/>
              <w:ind w:left="110"/>
              <w:rPr>
                <w:sz w:val="21"/>
              </w:rPr>
            </w:pPr>
            <w:r>
              <w:rPr>
                <w:sz w:val="21"/>
              </w:rPr>
              <w:t>8.2</w:t>
            </w:r>
          </w:p>
        </w:tc>
        <w:tc>
          <w:tcPr>
            <w:tcW w:w="1914" w:type="dxa"/>
          </w:tcPr>
          <w:p>
            <w:pPr>
              <w:pStyle w:val="TableParagraph"/>
              <w:spacing w:before="43"/>
              <w:ind w:left="475"/>
              <w:rPr>
                <w:sz w:val="21"/>
              </w:rPr>
            </w:pPr>
            <w:r>
              <w:rPr>
                <w:sz w:val="21"/>
              </w:rPr>
              <w:t>保险单年度</w:t>
            </w:r>
          </w:p>
        </w:tc>
        <w:tc>
          <w:tcPr>
            <w:tcW w:w="6003" w:type="dxa"/>
          </w:tcPr>
          <w:p>
            <w:pPr>
              <w:pStyle w:val="TableParagraph"/>
              <w:spacing w:line="295" w:lineRule="auto" w:before="43"/>
              <w:ind w:left="172" w:right="108"/>
              <w:rPr>
                <w:sz w:val="21"/>
              </w:rPr>
            </w:pPr>
            <w:r>
              <w:rPr>
                <w:sz w:val="21"/>
              </w:rPr>
              <w:t>本合同生效日（或保险单周年日）零时起至下一个保险单周年日零时止为一个保险单年度。</w:t>
            </w:r>
          </w:p>
        </w:tc>
      </w:tr>
      <w:tr>
        <w:trPr>
          <w:trHeight w:val="1099" w:hRule="atLeast"/>
        </w:trPr>
        <w:tc>
          <w:tcPr>
            <w:tcW w:w="904" w:type="dxa"/>
          </w:tcPr>
          <w:p>
            <w:pPr>
              <w:pStyle w:val="TableParagraph"/>
              <w:spacing w:before="44"/>
              <w:ind w:left="110"/>
              <w:rPr>
                <w:sz w:val="21"/>
              </w:rPr>
            </w:pPr>
            <w:r>
              <w:rPr>
                <w:sz w:val="21"/>
              </w:rPr>
              <w:t>8.3</w:t>
            </w:r>
          </w:p>
        </w:tc>
        <w:tc>
          <w:tcPr>
            <w:tcW w:w="1914" w:type="dxa"/>
          </w:tcPr>
          <w:p>
            <w:pPr>
              <w:pStyle w:val="TableParagraph"/>
              <w:spacing w:before="44"/>
              <w:ind w:left="475"/>
              <w:rPr>
                <w:sz w:val="21"/>
              </w:rPr>
            </w:pPr>
            <w:r>
              <w:rPr>
                <w:sz w:val="21"/>
              </w:rPr>
              <w:t>保险费应付日</w:t>
            </w:r>
          </w:p>
        </w:tc>
        <w:tc>
          <w:tcPr>
            <w:tcW w:w="6003" w:type="dxa"/>
          </w:tcPr>
          <w:p>
            <w:pPr>
              <w:pStyle w:val="TableParagraph"/>
              <w:spacing w:line="292" w:lineRule="auto" w:before="44"/>
              <w:ind w:left="172" w:right="108"/>
              <w:jc w:val="both"/>
              <w:rPr>
                <w:sz w:val="21"/>
              </w:rPr>
            </w:pPr>
            <w:r>
              <w:rPr>
                <w:sz w:val="21"/>
              </w:rPr>
              <w:t>保险合同生效日在每月、每季、每半年或每年（根据交费方式确定）的对应日。如果当月无此对应日，则以该月最后一日为对应日。</w:t>
            </w:r>
          </w:p>
        </w:tc>
      </w:tr>
      <w:tr>
        <w:trPr>
          <w:trHeight w:val="763" w:hRule="atLeast"/>
        </w:trPr>
        <w:tc>
          <w:tcPr>
            <w:tcW w:w="904" w:type="dxa"/>
          </w:tcPr>
          <w:p>
            <w:pPr>
              <w:pStyle w:val="TableParagraph"/>
              <w:spacing w:before="44"/>
              <w:ind w:left="110"/>
              <w:rPr>
                <w:sz w:val="21"/>
              </w:rPr>
            </w:pPr>
            <w:r>
              <w:rPr>
                <w:sz w:val="21"/>
              </w:rPr>
              <w:t>8.4</w:t>
            </w:r>
          </w:p>
        </w:tc>
        <w:tc>
          <w:tcPr>
            <w:tcW w:w="1914" w:type="dxa"/>
          </w:tcPr>
          <w:p>
            <w:pPr>
              <w:pStyle w:val="TableParagraph"/>
              <w:spacing w:before="44"/>
              <w:ind w:left="475"/>
              <w:rPr>
                <w:sz w:val="21"/>
              </w:rPr>
            </w:pPr>
            <w:r>
              <w:rPr>
                <w:sz w:val="21"/>
              </w:rPr>
              <w:t>意外伤害</w:t>
            </w:r>
          </w:p>
        </w:tc>
        <w:tc>
          <w:tcPr>
            <w:tcW w:w="6003" w:type="dxa"/>
          </w:tcPr>
          <w:p>
            <w:pPr>
              <w:pStyle w:val="TableParagraph"/>
              <w:spacing w:line="292" w:lineRule="auto" w:before="44"/>
              <w:ind w:left="172" w:right="108"/>
              <w:rPr>
                <w:sz w:val="21"/>
              </w:rPr>
            </w:pPr>
            <w:r>
              <w:rPr>
                <w:sz w:val="21"/>
              </w:rPr>
              <w:t>指外来的、突然的、非本意的、非疾病的使身体受到伤害的客观事件。</w:t>
            </w:r>
          </w:p>
        </w:tc>
      </w:tr>
      <w:tr>
        <w:trPr>
          <w:trHeight w:val="1773" w:hRule="atLeast"/>
        </w:trPr>
        <w:tc>
          <w:tcPr>
            <w:tcW w:w="904" w:type="dxa"/>
          </w:tcPr>
          <w:p>
            <w:pPr>
              <w:pStyle w:val="TableParagraph"/>
              <w:spacing w:before="44"/>
              <w:ind w:left="110"/>
              <w:rPr>
                <w:sz w:val="21"/>
              </w:rPr>
            </w:pPr>
            <w:r>
              <w:rPr>
                <w:sz w:val="21"/>
              </w:rPr>
              <w:t>8.5</w:t>
            </w:r>
          </w:p>
        </w:tc>
        <w:tc>
          <w:tcPr>
            <w:tcW w:w="1914" w:type="dxa"/>
          </w:tcPr>
          <w:p>
            <w:pPr>
              <w:pStyle w:val="TableParagraph"/>
              <w:spacing w:before="44"/>
              <w:ind w:left="475"/>
              <w:rPr>
                <w:sz w:val="21"/>
              </w:rPr>
            </w:pPr>
            <w:r>
              <w:rPr>
                <w:sz w:val="21"/>
              </w:rPr>
              <w:t>医院</w:t>
            </w:r>
          </w:p>
        </w:tc>
        <w:tc>
          <w:tcPr>
            <w:tcW w:w="6003" w:type="dxa"/>
          </w:tcPr>
          <w:p>
            <w:pPr>
              <w:pStyle w:val="TableParagraph"/>
              <w:spacing w:line="292" w:lineRule="auto" w:before="44"/>
              <w:ind w:left="172" w:right="108"/>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437" w:hRule="atLeast"/>
        </w:trPr>
        <w:tc>
          <w:tcPr>
            <w:tcW w:w="904" w:type="dxa"/>
          </w:tcPr>
          <w:p>
            <w:pPr>
              <w:pStyle w:val="TableParagraph"/>
              <w:spacing w:before="44"/>
              <w:ind w:left="110"/>
              <w:rPr>
                <w:sz w:val="21"/>
              </w:rPr>
            </w:pPr>
            <w:r>
              <w:rPr>
                <w:sz w:val="21"/>
              </w:rPr>
              <w:t>8.6</w:t>
            </w:r>
          </w:p>
        </w:tc>
        <w:tc>
          <w:tcPr>
            <w:tcW w:w="1914" w:type="dxa"/>
          </w:tcPr>
          <w:p>
            <w:pPr>
              <w:pStyle w:val="TableParagraph"/>
              <w:spacing w:before="44"/>
              <w:ind w:left="475"/>
              <w:rPr>
                <w:sz w:val="21"/>
              </w:rPr>
            </w:pPr>
            <w:r>
              <w:rPr>
                <w:sz w:val="21"/>
              </w:rPr>
              <w:t>重大疾病</w:t>
            </w:r>
          </w:p>
        </w:tc>
        <w:tc>
          <w:tcPr>
            <w:tcW w:w="6003" w:type="dxa"/>
          </w:tcPr>
          <w:p>
            <w:pPr>
              <w:pStyle w:val="TableParagraph"/>
              <w:spacing w:line="295" w:lineRule="auto" w:before="44"/>
              <w:ind w:left="172" w:right="103"/>
              <w:jc w:val="both"/>
              <w:rPr>
                <w:sz w:val="21"/>
              </w:rPr>
            </w:pPr>
            <w:r>
              <w:rPr>
                <w:sz w:val="21"/>
              </w:rPr>
              <w:t>符合以下疾病定义所述条件的疾病、疾病状态或手术，并由</w:t>
            </w:r>
            <w:r>
              <w:rPr>
                <w:b/>
                <w:sz w:val="21"/>
              </w:rPr>
              <w:t>专科医生</w:t>
            </w:r>
            <w:r>
              <w:rPr>
                <w:spacing w:val="-3"/>
                <w:sz w:val="21"/>
              </w:rPr>
              <w:t>（</w:t>
            </w:r>
            <w:r>
              <w:rPr>
                <w:spacing w:val="-18"/>
                <w:sz w:val="21"/>
              </w:rPr>
              <w:t>见 </w:t>
            </w:r>
            <w:r>
              <w:rPr>
                <w:sz w:val="21"/>
              </w:rPr>
              <w:t>8.23）</w:t>
            </w:r>
            <w:r>
              <w:rPr>
                <w:spacing w:val="-4"/>
                <w:sz w:val="21"/>
              </w:rPr>
              <w:t>明确诊断，共计五十五种。其中第一种至第二十五种为中国保险行业协会在其制定的《重大疾病保险的疾</w:t>
            </w:r>
            <w:r>
              <w:rPr>
                <w:spacing w:val="-3"/>
                <w:sz w:val="21"/>
              </w:rPr>
              <w:t>病定义使用规范》中所规定的疾病：</w:t>
            </w:r>
          </w:p>
        </w:tc>
      </w:tr>
      <w:tr>
        <w:trPr>
          <w:trHeight w:val="4167" w:hRule="atLeast"/>
        </w:trPr>
        <w:tc>
          <w:tcPr>
            <w:tcW w:w="2818" w:type="dxa"/>
            <w:gridSpan w:val="2"/>
          </w:tcPr>
          <w:p>
            <w:pPr>
              <w:pStyle w:val="TableParagraph"/>
              <w:spacing w:before="44"/>
              <w:ind w:left="110"/>
              <w:rPr>
                <w:sz w:val="21"/>
              </w:rPr>
            </w:pPr>
            <w:r>
              <w:rPr>
                <w:sz w:val="21"/>
              </w:rPr>
              <w:t>（一）恶性肿瘤</w:t>
            </w:r>
          </w:p>
        </w:tc>
        <w:tc>
          <w:tcPr>
            <w:tcW w:w="6003" w:type="dxa"/>
          </w:tcPr>
          <w:p>
            <w:pPr>
              <w:pStyle w:val="TableParagraph"/>
              <w:spacing w:line="290" w:lineRule="auto" w:before="44"/>
              <w:ind w:left="172" w:right="10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line="258" w:lineRule="exact"/>
              <w:ind w:left="172"/>
              <w:jc w:val="both"/>
              <w:rPr>
                <w:sz w:val="21"/>
              </w:rPr>
            </w:pPr>
            <w:r>
              <w:rPr>
                <w:sz w:val="21"/>
              </w:rPr>
              <w:t>下列疾病不在保障范围内：</w:t>
            </w:r>
          </w:p>
          <w:p>
            <w:pPr>
              <w:pStyle w:val="TableParagraph"/>
              <w:spacing w:before="49"/>
              <w:ind w:left="172"/>
              <w:jc w:val="both"/>
              <w:rPr>
                <w:sz w:val="21"/>
              </w:rPr>
            </w:pPr>
            <w:r>
              <w:rPr>
                <w:sz w:val="21"/>
              </w:rPr>
              <w:t>（1）</w:t>
            </w:r>
            <w:r>
              <w:rPr>
                <w:b/>
                <w:sz w:val="21"/>
              </w:rPr>
              <w:t>原位癌</w:t>
            </w:r>
            <w:r>
              <w:rPr>
                <w:sz w:val="21"/>
              </w:rPr>
              <w:t>（见 8.24）；</w:t>
            </w:r>
          </w:p>
          <w:p>
            <w:pPr>
              <w:pStyle w:val="TableParagraph"/>
              <w:spacing w:before="58"/>
              <w:ind w:left="172"/>
              <w:jc w:val="both"/>
              <w:rPr>
                <w:sz w:val="21"/>
              </w:rPr>
            </w:pPr>
            <w:r>
              <w:rPr>
                <w:sz w:val="21"/>
              </w:rPr>
              <w:t>（2）相当于Binet分期方案A期程度的慢性淋巴细胞白血病；</w:t>
            </w:r>
          </w:p>
          <w:p>
            <w:pPr>
              <w:pStyle w:val="TableParagraph"/>
              <w:spacing w:before="61"/>
              <w:ind w:left="172"/>
              <w:jc w:val="both"/>
              <w:rPr>
                <w:sz w:val="21"/>
              </w:rPr>
            </w:pPr>
            <w:r>
              <w:rPr>
                <w:sz w:val="21"/>
              </w:rPr>
              <w:t>（3）相当于Ann Arbor分期方案I期程度的何杰金氏病；</w:t>
            </w:r>
          </w:p>
          <w:p>
            <w:pPr>
              <w:pStyle w:val="TableParagraph"/>
              <w:spacing w:before="58"/>
              <w:ind w:left="172"/>
              <w:jc w:val="both"/>
              <w:rPr>
                <w:sz w:val="21"/>
              </w:rPr>
            </w:pPr>
            <w:r>
              <w:rPr>
                <w:sz w:val="21"/>
              </w:rPr>
              <w:t>（4）皮肤癌（不包括恶性黑色素瘤及已发生转移的皮肤癌）；</w:t>
            </w:r>
          </w:p>
          <w:p>
            <w:pPr>
              <w:pStyle w:val="TableParagraph"/>
              <w:spacing w:before="58"/>
              <w:ind w:left="172"/>
              <w:jc w:val="both"/>
              <w:rPr>
                <w:sz w:val="21"/>
              </w:rPr>
            </w:pPr>
            <w:r>
              <w:rPr>
                <w:sz w:val="21"/>
              </w:rPr>
              <w:t>（5）TNM分期为T1N0M0期或更轻分期的前列腺癌；</w:t>
            </w:r>
          </w:p>
          <w:p>
            <w:pPr>
              <w:pStyle w:val="TableParagraph"/>
              <w:spacing w:before="24"/>
              <w:ind w:left="172"/>
              <w:jc w:val="both"/>
              <w:rPr>
                <w:sz w:val="21"/>
              </w:rPr>
            </w:pPr>
            <w:r>
              <w:rPr>
                <w:sz w:val="21"/>
              </w:rPr>
              <w:t>（6）感染艾滋病病毒或患艾滋病期间所患恶性肿瘤。</w:t>
            </w:r>
          </w:p>
        </w:tc>
      </w:tr>
      <w:tr>
        <w:trPr>
          <w:trHeight w:val="2131" w:hRule="atLeast"/>
        </w:trPr>
        <w:tc>
          <w:tcPr>
            <w:tcW w:w="2818" w:type="dxa"/>
            <w:gridSpan w:val="2"/>
          </w:tcPr>
          <w:p>
            <w:pPr>
              <w:pStyle w:val="TableParagraph"/>
              <w:spacing w:before="1"/>
              <w:rPr>
                <w:rFonts w:ascii="Times New Roman"/>
                <w:sz w:val="16"/>
              </w:rPr>
            </w:pPr>
          </w:p>
          <w:p>
            <w:pPr>
              <w:pStyle w:val="TableParagraph"/>
              <w:spacing w:before="1"/>
              <w:ind w:left="110"/>
              <w:rPr>
                <w:sz w:val="21"/>
              </w:rPr>
            </w:pPr>
            <w:r>
              <w:rPr>
                <w:sz w:val="21"/>
              </w:rPr>
              <w:t>（二）急性心肌梗塞</w:t>
            </w:r>
          </w:p>
        </w:tc>
        <w:tc>
          <w:tcPr>
            <w:tcW w:w="6003" w:type="dxa"/>
          </w:tcPr>
          <w:p>
            <w:pPr>
              <w:pStyle w:val="TableParagraph"/>
              <w:spacing w:before="1"/>
              <w:rPr>
                <w:rFonts w:ascii="Times New Roman"/>
                <w:sz w:val="16"/>
              </w:rPr>
            </w:pPr>
          </w:p>
          <w:p>
            <w:pPr>
              <w:pStyle w:val="TableParagraph"/>
              <w:spacing w:line="290" w:lineRule="auto" w:before="1"/>
              <w:ind w:left="172" w:right="96"/>
              <w:rPr>
                <w:sz w:val="21"/>
              </w:rPr>
            </w:pPr>
            <w:r>
              <w:rPr>
                <w:sz w:val="21"/>
              </w:rPr>
              <w:t>指因冠状动脉阻塞导致的相应区域供血不足造成部分心肌坏死。须满足下列至少三项条件：</w:t>
            </w:r>
          </w:p>
          <w:p>
            <w:pPr>
              <w:pStyle w:val="TableParagraph"/>
              <w:spacing w:before="15"/>
              <w:ind w:left="172"/>
              <w:rPr>
                <w:sz w:val="21"/>
              </w:rPr>
            </w:pPr>
            <w:r>
              <w:rPr>
                <w:sz w:val="21"/>
              </w:rPr>
              <w:t>（1）典型临床表现，例如急性胸痛等；</w:t>
            </w:r>
          </w:p>
          <w:p>
            <w:pPr>
              <w:pStyle w:val="TableParagraph"/>
              <w:spacing w:before="59"/>
              <w:ind w:left="172"/>
              <w:rPr>
                <w:sz w:val="21"/>
              </w:rPr>
            </w:pPr>
            <w:r>
              <w:rPr>
                <w:sz w:val="21"/>
              </w:rPr>
              <w:t>（2）新近的心电图改变提示急性心肌梗塞；</w:t>
            </w:r>
          </w:p>
          <w:p>
            <w:pPr>
              <w:pStyle w:val="TableParagraph"/>
              <w:spacing w:line="336" w:lineRule="exact" w:before="35"/>
              <w:ind w:left="172" w:right="39"/>
              <w:rPr>
                <w:sz w:val="21"/>
              </w:rPr>
            </w:pPr>
            <w:r>
              <w:rPr>
                <w:sz w:val="21"/>
              </w:rPr>
              <w:t>（3）心肌酶或肌钙蛋白有诊断意义的升高，或呈符合急性心肌梗塞的动态性变化；</w:t>
            </w:r>
          </w:p>
        </w:tc>
      </w:tr>
    </w:tbl>
    <w:p>
      <w:pPr>
        <w:spacing w:after="0" w:line="336" w:lineRule="exact"/>
        <w:rPr>
          <w:sz w:val="21"/>
        </w:rPr>
        <w:sectPr>
          <w:pgSz w:w="11910" w:h="16840"/>
          <w:pgMar w:header="0" w:footer="919" w:top="1400" w:bottom="1100" w:left="1200" w:right="14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135"/>
      </w:tblGrid>
      <w:tr>
        <w:trPr>
          <w:trHeight w:val="819" w:hRule="atLeast"/>
        </w:trPr>
        <w:tc>
          <w:tcPr>
            <w:tcW w:w="2974" w:type="dxa"/>
          </w:tcPr>
          <w:p>
            <w:pPr>
              <w:pStyle w:val="TableParagraph"/>
              <w:rPr>
                <w:rFonts w:ascii="Times New Roman"/>
                <w:sz w:val="20"/>
              </w:rPr>
            </w:pPr>
          </w:p>
        </w:tc>
        <w:tc>
          <w:tcPr>
            <w:tcW w:w="6135" w:type="dxa"/>
          </w:tcPr>
          <w:p>
            <w:pPr>
              <w:pStyle w:val="TableParagraph"/>
              <w:spacing w:line="211" w:lineRule="exact"/>
              <w:ind w:left="106"/>
              <w:rPr>
                <w:sz w:val="21"/>
              </w:rPr>
            </w:pPr>
            <w:r>
              <w:rPr>
                <w:sz w:val="21"/>
              </w:rPr>
              <w:t>（4）发病 90 天后，经检查证实左心室功能降低，如左心室射</w:t>
            </w:r>
          </w:p>
          <w:p>
            <w:pPr>
              <w:pStyle w:val="TableParagraph"/>
              <w:spacing w:before="58"/>
              <w:ind w:left="106"/>
              <w:rPr>
                <w:sz w:val="21"/>
              </w:rPr>
            </w:pPr>
            <w:r>
              <w:rPr>
                <w:sz w:val="21"/>
              </w:rPr>
              <w:t>血分数低于 50%。</w:t>
            </w:r>
          </w:p>
        </w:tc>
      </w:tr>
      <w:tr>
        <w:trPr>
          <w:trHeight w:val="2765" w:hRule="atLeast"/>
        </w:trPr>
        <w:tc>
          <w:tcPr>
            <w:tcW w:w="2974" w:type="dxa"/>
          </w:tcPr>
          <w:p>
            <w:pPr>
              <w:pStyle w:val="TableParagraph"/>
              <w:spacing w:before="4"/>
              <w:rPr>
                <w:rFonts w:ascii="Times New Roman"/>
                <w:sz w:val="18"/>
              </w:rPr>
            </w:pPr>
          </w:p>
          <w:p>
            <w:pPr>
              <w:pStyle w:val="TableParagraph"/>
              <w:ind w:left="200"/>
              <w:rPr>
                <w:sz w:val="21"/>
              </w:rPr>
            </w:pPr>
            <w:r>
              <w:rPr>
                <w:sz w:val="21"/>
              </w:rPr>
              <w:t>（三）脑中风后遗症</w:t>
            </w:r>
          </w:p>
        </w:tc>
        <w:tc>
          <w:tcPr>
            <w:tcW w:w="6135" w:type="dxa"/>
          </w:tcPr>
          <w:p>
            <w:pPr>
              <w:pStyle w:val="TableParagraph"/>
              <w:spacing w:before="4"/>
              <w:rPr>
                <w:rFonts w:ascii="Times New Roman"/>
                <w:sz w:val="18"/>
              </w:rPr>
            </w:pPr>
          </w:p>
          <w:p>
            <w:pPr>
              <w:pStyle w:val="TableParagraph"/>
              <w:spacing w:line="290" w:lineRule="auto"/>
              <w:ind w:left="106" w:right="307"/>
              <w:jc w:val="both"/>
              <w:rPr>
                <w:sz w:val="21"/>
              </w:rPr>
            </w:pPr>
            <w:r>
              <w:rPr>
                <w:sz w:val="21"/>
              </w:rPr>
              <w:t>指因脑血管的突发病变引起脑血管出血、栓塞或梗塞，并导致神经系统永久性的功能障碍。神经系统永久性的功能障碍，指疾病确诊180天后，仍遗留下列一种或一种以上障碍：</w:t>
            </w:r>
          </w:p>
          <w:p>
            <w:pPr>
              <w:pStyle w:val="TableParagraph"/>
              <w:spacing w:before="14"/>
              <w:ind w:left="106"/>
              <w:rPr>
                <w:sz w:val="21"/>
              </w:rPr>
            </w:pPr>
            <w:r>
              <w:rPr>
                <w:sz w:val="21"/>
              </w:rPr>
              <w:t>（1）一肢或一肢以上</w:t>
            </w:r>
            <w:r>
              <w:rPr>
                <w:b/>
                <w:sz w:val="21"/>
              </w:rPr>
              <w:t>肢体机能完全丧失</w:t>
            </w:r>
            <w:r>
              <w:rPr>
                <w:sz w:val="21"/>
              </w:rPr>
              <w:t>（见 8.25）；</w:t>
            </w:r>
          </w:p>
          <w:p>
            <w:pPr>
              <w:pStyle w:val="TableParagraph"/>
              <w:spacing w:before="60"/>
              <w:ind w:left="106"/>
              <w:rPr>
                <w:sz w:val="21"/>
              </w:rPr>
            </w:pPr>
            <w:r>
              <w:rPr>
                <w:sz w:val="21"/>
              </w:rPr>
              <w:t>（2）</w:t>
            </w:r>
            <w:r>
              <w:rPr>
                <w:b/>
                <w:sz w:val="21"/>
              </w:rPr>
              <w:t>语言能力或咀嚼吞咽能力完全丧失</w:t>
            </w:r>
            <w:r>
              <w:rPr>
                <w:sz w:val="21"/>
              </w:rPr>
              <w:t>（见 8.26）；</w:t>
            </w:r>
          </w:p>
          <w:p>
            <w:pPr>
              <w:pStyle w:val="TableParagraph"/>
              <w:spacing w:line="290" w:lineRule="auto" w:before="58"/>
              <w:ind w:left="106" w:right="240"/>
              <w:rPr>
                <w:sz w:val="21"/>
              </w:rPr>
            </w:pPr>
            <w:r>
              <w:rPr>
                <w:sz w:val="21"/>
              </w:rPr>
              <w:t>（3）自主生活能力完全丧失，无法独立完成六项基本日常生活活动中的三项或三项以上。</w:t>
            </w:r>
          </w:p>
        </w:tc>
      </w:tr>
      <w:tr>
        <w:trPr>
          <w:trHeight w:val="2097" w:hRule="atLeast"/>
        </w:trPr>
        <w:tc>
          <w:tcPr>
            <w:tcW w:w="2974" w:type="dxa"/>
          </w:tcPr>
          <w:p>
            <w:pPr>
              <w:pStyle w:val="TableParagraph"/>
              <w:spacing w:before="4"/>
              <w:rPr>
                <w:rFonts w:ascii="Times New Roman"/>
                <w:sz w:val="18"/>
              </w:rPr>
            </w:pPr>
          </w:p>
          <w:p>
            <w:pPr>
              <w:pStyle w:val="TableParagraph"/>
              <w:spacing w:line="292" w:lineRule="auto"/>
              <w:ind w:left="200" w:right="105"/>
              <w:rPr>
                <w:sz w:val="21"/>
              </w:rPr>
            </w:pPr>
            <w:r>
              <w:rPr>
                <w:sz w:val="21"/>
              </w:rPr>
              <w:t>（四</w:t>
            </w:r>
            <w:r>
              <w:rPr>
                <w:spacing w:val="-68"/>
                <w:sz w:val="21"/>
              </w:rPr>
              <w:t>）</w:t>
            </w:r>
            <w:r>
              <w:rPr>
                <w:spacing w:val="-3"/>
                <w:sz w:val="21"/>
              </w:rPr>
              <w:t>重大器官移植术或造血干细胞移植术</w:t>
            </w:r>
          </w:p>
        </w:tc>
        <w:tc>
          <w:tcPr>
            <w:tcW w:w="6135" w:type="dxa"/>
          </w:tcPr>
          <w:p>
            <w:pPr>
              <w:pStyle w:val="TableParagraph"/>
              <w:spacing w:before="4"/>
              <w:rPr>
                <w:rFonts w:ascii="Times New Roman"/>
                <w:sz w:val="18"/>
              </w:rPr>
            </w:pPr>
          </w:p>
          <w:p>
            <w:pPr>
              <w:pStyle w:val="TableParagraph"/>
              <w:spacing w:line="290" w:lineRule="auto"/>
              <w:ind w:left="106" w:right="306"/>
              <w:jc w:val="both"/>
              <w:rPr>
                <w:sz w:val="21"/>
              </w:rPr>
            </w:pPr>
            <w:r>
              <w:rPr>
                <w:sz w:val="21"/>
              </w:rPr>
              <w:t>重大器官移植术，指因相应器官功能衰竭，已经实施了肾脏、肝脏、心脏或肺脏的异体移植手术。</w:t>
            </w:r>
          </w:p>
          <w:p>
            <w:pPr>
              <w:pStyle w:val="TableParagraph"/>
              <w:spacing w:line="292" w:lineRule="auto" w:before="14"/>
              <w:ind w:left="106" w:right="307"/>
              <w:jc w:val="both"/>
              <w:rPr>
                <w:sz w:val="21"/>
              </w:rPr>
            </w:pPr>
            <w:r>
              <w:rPr>
                <w:sz w:val="21"/>
              </w:rPr>
              <w:t>造血干细胞移植术，指因造血功能损害或造血系统恶性肿瘤， 已经实施了造血干细胞（包括骨髓造血干细胞、外周血造血干细胞和脐血造血干细胞）的异体移植手术。</w:t>
            </w:r>
          </w:p>
        </w:tc>
      </w:tr>
      <w:tr>
        <w:trPr>
          <w:trHeight w:val="1762" w:hRule="atLeast"/>
        </w:trPr>
        <w:tc>
          <w:tcPr>
            <w:tcW w:w="2974" w:type="dxa"/>
          </w:tcPr>
          <w:p>
            <w:pPr>
              <w:pStyle w:val="TableParagraph"/>
              <w:spacing w:before="4"/>
              <w:rPr>
                <w:rFonts w:ascii="Times New Roman"/>
                <w:sz w:val="18"/>
              </w:rPr>
            </w:pPr>
          </w:p>
          <w:p>
            <w:pPr>
              <w:pStyle w:val="TableParagraph"/>
              <w:spacing w:line="290" w:lineRule="auto"/>
              <w:ind w:left="200" w:right="105"/>
              <w:rPr>
                <w:sz w:val="21"/>
              </w:rPr>
            </w:pPr>
            <w:r>
              <w:rPr>
                <w:sz w:val="21"/>
              </w:rPr>
              <w:t>（五） 冠状动脉搭桥术（或称冠状动脉旁路移植术）</w:t>
            </w:r>
          </w:p>
        </w:tc>
        <w:tc>
          <w:tcPr>
            <w:tcW w:w="6135" w:type="dxa"/>
          </w:tcPr>
          <w:p>
            <w:pPr>
              <w:pStyle w:val="TableParagraph"/>
              <w:spacing w:before="4"/>
              <w:rPr>
                <w:rFonts w:ascii="Times New Roman"/>
                <w:sz w:val="18"/>
              </w:rPr>
            </w:pPr>
          </w:p>
          <w:p>
            <w:pPr>
              <w:pStyle w:val="TableParagraph"/>
              <w:spacing w:line="290" w:lineRule="auto"/>
              <w:ind w:left="106" w:right="307"/>
              <w:rPr>
                <w:sz w:val="21"/>
              </w:rPr>
            </w:pPr>
            <w:r>
              <w:rPr>
                <w:sz w:val="21"/>
              </w:rPr>
              <w:t>指为治疗严重的冠心病，实际实施了开胸进行的冠状动脉血管旁路移植的手术。</w:t>
            </w:r>
          </w:p>
          <w:p>
            <w:pPr>
              <w:pStyle w:val="TableParagraph"/>
              <w:spacing w:line="290" w:lineRule="auto" w:before="15"/>
              <w:ind w:left="106" w:right="307"/>
              <w:rPr>
                <w:sz w:val="21"/>
              </w:rPr>
            </w:pPr>
            <w:r>
              <w:rPr>
                <w:sz w:val="21"/>
              </w:rPr>
              <w:t>冠状动脉支架植入术、心导管球囊扩张术、激光射频技术及其它非开胸的介入手术、腔镜手术不在保障范围内。</w:t>
            </w:r>
          </w:p>
        </w:tc>
      </w:tr>
      <w:tr>
        <w:trPr>
          <w:trHeight w:val="1097" w:hRule="atLeast"/>
        </w:trPr>
        <w:tc>
          <w:tcPr>
            <w:tcW w:w="2974" w:type="dxa"/>
          </w:tcPr>
          <w:p>
            <w:pPr>
              <w:pStyle w:val="TableParagraph"/>
              <w:spacing w:before="4"/>
              <w:rPr>
                <w:rFonts w:ascii="Times New Roman"/>
                <w:sz w:val="18"/>
              </w:rPr>
            </w:pPr>
          </w:p>
          <w:p>
            <w:pPr>
              <w:pStyle w:val="TableParagraph"/>
              <w:spacing w:line="292" w:lineRule="auto"/>
              <w:ind w:left="200" w:right="34"/>
              <w:rPr>
                <w:sz w:val="21"/>
              </w:rPr>
            </w:pPr>
            <w:r>
              <w:rPr>
                <w:sz w:val="21"/>
              </w:rPr>
              <w:t>（六）终末期肾病（或称慢性肾功能衰竭尿毒症期）</w:t>
            </w:r>
          </w:p>
        </w:tc>
        <w:tc>
          <w:tcPr>
            <w:tcW w:w="6135" w:type="dxa"/>
          </w:tcPr>
          <w:p>
            <w:pPr>
              <w:pStyle w:val="TableParagraph"/>
              <w:spacing w:before="4"/>
              <w:rPr>
                <w:rFonts w:ascii="Times New Roman"/>
                <w:sz w:val="18"/>
              </w:rPr>
            </w:pPr>
          </w:p>
          <w:p>
            <w:pPr>
              <w:pStyle w:val="TableParagraph"/>
              <w:spacing w:line="295" w:lineRule="auto"/>
              <w:ind w:left="106" w:right="307"/>
              <w:rPr>
                <w:sz w:val="21"/>
              </w:rPr>
            </w:pPr>
            <w:r>
              <w:rPr>
                <w:sz w:val="21"/>
              </w:rPr>
              <w:t>指双肾功能慢性不可逆性衰竭，达到尿毒症期，经诊断后已经进行了至少 90 天的规律性透析治疗或实施了肾脏移植手术。</w:t>
            </w:r>
          </w:p>
        </w:tc>
      </w:tr>
      <w:tr>
        <w:trPr>
          <w:trHeight w:val="1093" w:hRule="atLeast"/>
        </w:trPr>
        <w:tc>
          <w:tcPr>
            <w:tcW w:w="2974" w:type="dxa"/>
          </w:tcPr>
          <w:p>
            <w:pPr>
              <w:pStyle w:val="TableParagraph"/>
              <w:spacing w:before="2"/>
              <w:rPr>
                <w:rFonts w:ascii="Times New Roman"/>
                <w:sz w:val="18"/>
              </w:rPr>
            </w:pPr>
          </w:p>
          <w:p>
            <w:pPr>
              <w:pStyle w:val="TableParagraph"/>
              <w:spacing w:before="1"/>
              <w:ind w:left="200"/>
              <w:rPr>
                <w:sz w:val="21"/>
              </w:rPr>
            </w:pPr>
            <w:r>
              <w:rPr>
                <w:sz w:val="21"/>
              </w:rPr>
              <w:t>（七）多个肢体缺失</w:t>
            </w:r>
          </w:p>
        </w:tc>
        <w:tc>
          <w:tcPr>
            <w:tcW w:w="6135" w:type="dxa"/>
          </w:tcPr>
          <w:p>
            <w:pPr>
              <w:pStyle w:val="TableParagraph"/>
              <w:spacing w:before="2"/>
              <w:rPr>
                <w:rFonts w:ascii="Times New Roman"/>
                <w:sz w:val="18"/>
              </w:rPr>
            </w:pPr>
          </w:p>
          <w:p>
            <w:pPr>
              <w:pStyle w:val="TableParagraph"/>
              <w:spacing w:line="290" w:lineRule="auto" w:before="1"/>
              <w:ind w:left="106" w:right="307"/>
              <w:rPr>
                <w:sz w:val="21"/>
              </w:rPr>
            </w:pPr>
            <w:r>
              <w:rPr>
                <w:sz w:val="21"/>
              </w:rPr>
              <w:t>指因疾病或意外伤害导致两个或两个以上肢体自腕关节或踝关节近端（靠近躯干端）以上完全性断离。</w:t>
            </w:r>
          </w:p>
        </w:tc>
      </w:tr>
      <w:tr>
        <w:trPr>
          <w:trHeight w:val="2431" w:hRule="atLeast"/>
        </w:trPr>
        <w:tc>
          <w:tcPr>
            <w:tcW w:w="2974" w:type="dxa"/>
          </w:tcPr>
          <w:p>
            <w:pPr>
              <w:pStyle w:val="TableParagraph"/>
              <w:spacing w:before="4"/>
              <w:rPr>
                <w:rFonts w:ascii="Times New Roman"/>
                <w:sz w:val="18"/>
              </w:rPr>
            </w:pPr>
          </w:p>
          <w:p>
            <w:pPr>
              <w:pStyle w:val="TableParagraph"/>
              <w:ind w:left="200"/>
              <w:rPr>
                <w:sz w:val="21"/>
              </w:rPr>
            </w:pPr>
            <w:r>
              <w:rPr>
                <w:sz w:val="21"/>
              </w:rPr>
              <w:t>（八</w:t>
            </w:r>
            <w:r>
              <w:rPr>
                <w:spacing w:val="-68"/>
                <w:sz w:val="21"/>
              </w:rPr>
              <w:t>）</w:t>
            </w:r>
            <w:r>
              <w:rPr>
                <w:spacing w:val="-3"/>
                <w:sz w:val="21"/>
              </w:rPr>
              <w:t>急性或亚急性重症肝炎</w:t>
            </w:r>
          </w:p>
        </w:tc>
        <w:tc>
          <w:tcPr>
            <w:tcW w:w="6135" w:type="dxa"/>
          </w:tcPr>
          <w:p>
            <w:pPr>
              <w:pStyle w:val="TableParagraph"/>
              <w:spacing w:before="4"/>
              <w:rPr>
                <w:rFonts w:ascii="Times New Roman"/>
                <w:sz w:val="18"/>
              </w:rPr>
            </w:pPr>
          </w:p>
          <w:p>
            <w:pPr>
              <w:pStyle w:val="TableParagraph"/>
              <w:spacing w:line="290" w:lineRule="auto"/>
              <w:ind w:left="106" w:right="198"/>
              <w:rPr>
                <w:sz w:val="21"/>
              </w:rPr>
            </w:pPr>
            <w:r>
              <w:rPr>
                <w:sz w:val="21"/>
              </w:rPr>
              <w:t>指因肝炎病毒感染引起肝脏组织弥漫性坏死，导致急性肝功能</w:t>
            </w:r>
            <w:r>
              <w:rPr>
                <w:spacing w:val="-9"/>
                <w:sz w:val="21"/>
              </w:rPr>
              <w:t>衰竭，且经血清学或病毒学检查证实，并须满足下列全部条件：</w:t>
            </w:r>
          </w:p>
          <w:p>
            <w:pPr>
              <w:pStyle w:val="TableParagraph"/>
              <w:spacing w:before="14"/>
              <w:ind w:left="106"/>
              <w:rPr>
                <w:sz w:val="21"/>
              </w:rPr>
            </w:pPr>
            <w:r>
              <w:rPr>
                <w:sz w:val="21"/>
              </w:rPr>
              <w:t>（1）重度黄疸或黄疸迅速加重；</w:t>
            </w:r>
          </w:p>
          <w:p>
            <w:pPr>
              <w:pStyle w:val="TableParagraph"/>
              <w:spacing w:before="58"/>
              <w:ind w:left="106"/>
              <w:rPr>
                <w:sz w:val="21"/>
              </w:rPr>
            </w:pPr>
            <w:r>
              <w:rPr>
                <w:sz w:val="21"/>
              </w:rPr>
              <w:t>（2）肝性脑病；</w:t>
            </w:r>
          </w:p>
          <w:p>
            <w:pPr>
              <w:pStyle w:val="TableParagraph"/>
              <w:spacing w:before="60"/>
              <w:ind w:left="106"/>
              <w:rPr>
                <w:sz w:val="21"/>
              </w:rPr>
            </w:pPr>
            <w:r>
              <w:rPr>
                <w:sz w:val="21"/>
              </w:rPr>
              <w:t>（3）B超或其它影像学检查显示肝脏体积急速萎缩；</w:t>
            </w:r>
          </w:p>
          <w:p>
            <w:pPr>
              <w:pStyle w:val="TableParagraph"/>
              <w:spacing w:before="58"/>
              <w:ind w:left="106"/>
              <w:rPr>
                <w:sz w:val="21"/>
              </w:rPr>
            </w:pPr>
            <w:r>
              <w:rPr>
                <w:sz w:val="21"/>
              </w:rPr>
              <w:t>（4）肝功能指标进行性恶化。</w:t>
            </w:r>
          </w:p>
        </w:tc>
      </w:tr>
      <w:tr>
        <w:trPr>
          <w:trHeight w:val="1489" w:hRule="atLeast"/>
        </w:trPr>
        <w:tc>
          <w:tcPr>
            <w:tcW w:w="2974" w:type="dxa"/>
          </w:tcPr>
          <w:p>
            <w:pPr>
              <w:pStyle w:val="TableParagraph"/>
              <w:spacing w:before="4"/>
              <w:rPr>
                <w:rFonts w:ascii="Times New Roman"/>
                <w:sz w:val="18"/>
              </w:rPr>
            </w:pPr>
          </w:p>
          <w:p>
            <w:pPr>
              <w:pStyle w:val="TableParagraph"/>
              <w:ind w:left="200"/>
              <w:rPr>
                <w:sz w:val="21"/>
              </w:rPr>
            </w:pPr>
            <w:r>
              <w:rPr>
                <w:sz w:val="21"/>
              </w:rPr>
              <w:t>（九）良性脑肿瘤</w:t>
            </w:r>
          </w:p>
        </w:tc>
        <w:tc>
          <w:tcPr>
            <w:tcW w:w="6135" w:type="dxa"/>
          </w:tcPr>
          <w:p>
            <w:pPr>
              <w:pStyle w:val="TableParagraph"/>
              <w:spacing w:before="4"/>
              <w:rPr>
                <w:rFonts w:ascii="Times New Roman"/>
                <w:sz w:val="18"/>
              </w:rPr>
            </w:pPr>
          </w:p>
          <w:p>
            <w:pPr>
              <w:pStyle w:val="TableParagraph"/>
              <w:spacing w:line="290" w:lineRule="auto"/>
              <w:ind w:left="106" w:right="305"/>
              <w:jc w:val="both"/>
              <w:rPr>
                <w:sz w:val="21"/>
              </w:rPr>
            </w:pPr>
            <w:r>
              <w:rPr>
                <w:sz w:val="21"/>
              </w:rPr>
              <w:t>指脑的良性肿瘤，已经引起颅内压增高，临床表现为视神经乳头水肿、精神症状、癫痫及运动感觉障碍等，并危及生命。须</w:t>
            </w:r>
            <w:r>
              <w:rPr>
                <w:w w:val="100"/>
                <w:sz w:val="21"/>
              </w:rPr>
              <w:t>由头颅断层扫描</w:t>
            </w:r>
            <w:r>
              <w:rPr>
                <w:spacing w:val="1"/>
                <w:w w:val="100"/>
                <w:sz w:val="21"/>
              </w:rPr>
              <w:t>（</w:t>
            </w:r>
            <w:r>
              <w:rPr>
                <w:w w:val="100"/>
                <w:sz w:val="21"/>
              </w:rPr>
              <w:t>CT</w:t>
            </w:r>
            <w:r>
              <w:rPr>
                <w:spacing w:val="-104"/>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spacing w:val="1"/>
                <w:w w:val="100"/>
                <w:sz w:val="21"/>
              </w:rPr>
              <w:t>）</w:t>
            </w:r>
            <w:r>
              <w:rPr>
                <w:w w:val="100"/>
                <w:sz w:val="21"/>
              </w:rPr>
              <w:t>或正电子发射断</w:t>
            </w:r>
          </w:p>
          <w:p>
            <w:pPr>
              <w:pStyle w:val="TableParagraph"/>
              <w:spacing w:line="255" w:lineRule="exact" w:before="17"/>
              <w:ind w:left="106"/>
              <w:jc w:val="both"/>
              <w:rPr>
                <w:sz w:val="21"/>
              </w:rPr>
            </w:pPr>
            <w:r>
              <w:rPr>
                <w:sz w:val="21"/>
              </w:rPr>
              <w:t>层扫描（PET）等影像学检查证实，并须满足下列至少一项条件：</w:t>
            </w:r>
          </w:p>
        </w:tc>
      </w:tr>
    </w:tbl>
    <w:p>
      <w:pPr>
        <w:spacing w:after="0" w:line="255" w:lineRule="exact"/>
        <w:jc w:val="both"/>
        <w:rPr>
          <w:sz w:val="21"/>
        </w:rPr>
        <w:sectPr>
          <w:pgSz w:w="11910" w:h="16840"/>
          <w:pgMar w:header="0" w:footer="919" w:top="150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135"/>
      </w:tblGrid>
      <w:tr>
        <w:trPr>
          <w:trHeight w:val="1486" w:hRule="atLeast"/>
        </w:trPr>
        <w:tc>
          <w:tcPr>
            <w:tcW w:w="2974" w:type="dxa"/>
          </w:tcPr>
          <w:p>
            <w:pPr>
              <w:pStyle w:val="TableParagraph"/>
              <w:rPr>
                <w:rFonts w:ascii="Times New Roman"/>
                <w:sz w:val="20"/>
              </w:rPr>
            </w:pPr>
          </w:p>
        </w:tc>
        <w:tc>
          <w:tcPr>
            <w:tcW w:w="6135" w:type="dxa"/>
          </w:tcPr>
          <w:p>
            <w:pPr>
              <w:pStyle w:val="TableParagraph"/>
              <w:spacing w:line="211" w:lineRule="exact"/>
              <w:ind w:left="106"/>
              <w:rPr>
                <w:sz w:val="21"/>
              </w:rPr>
            </w:pPr>
            <w:r>
              <w:rPr>
                <w:sz w:val="21"/>
              </w:rPr>
              <w:t>（1）实际实施了开颅进行的脑肿瘤完全切除或部分切除的手</w:t>
            </w:r>
          </w:p>
          <w:p>
            <w:pPr>
              <w:pStyle w:val="TableParagraph"/>
              <w:spacing w:before="58"/>
              <w:ind w:left="106"/>
              <w:rPr>
                <w:sz w:val="21"/>
              </w:rPr>
            </w:pPr>
            <w:r>
              <w:rPr>
                <w:sz w:val="21"/>
              </w:rPr>
              <w:t>术；</w:t>
            </w:r>
          </w:p>
          <w:p>
            <w:pPr>
              <w:pStyle w:val="TableParagraph"/>
              <w:spacing w:before="58"/>
              <w:ind w:left="106"/>
              <w:rPr>
                <w:sz w:val="21"/>
              </w:rPr>
            </w:pPr>
            <w:r>
              <w:rPr>
                <w:sz w:val="21"/>
              </w:rPr>
              <w:t>（2）实际实施了对脑肿瘤进行的放射治疗。</w:t>
            </w:r>
          </w:p>
          <w:p>
            <w:pPr>
              <w:pStyle w:val="TableParagraph"/>
              <w:spacing w:before="58"/>
              <w:ind w:left="106"/>
              <w:rPr>
                <w:sz w:val="21"/>
              </w:rPr>
            </w:pPr>
            <w:r>
              <w:rPr>
                <w:sz w:val="21"/>
              </w:rPr>
              <w:t>脑垂体瘤、脑囊肿、脑血管性疾病不在保障范围内。</w:t>
            </w:r>
          </w:p>
        </w:tc>
      </w:tr>
      <w:tr>
        <w:trPr>
          <w:trHeight w:val="2431" w:hRule="atLeast"/>
        </w:trPr>
        <w:tc>
          <w:tcPr>
            <w:tcW w:w="2974" w:type="dxa"/>
          </w:tcPr>
          <w:p>
            <w:pPr>
              <w:pStyle w:val="TableParagraph"/>
              <w:spacing w:before="4"/>
              <w:rPr>
                <w:rFonts w:ascii="Times New Roman"/>
                <w:sz w:val="18"/>
              </w:rPr>
            </w:pPr>
          </w:p>
          <w:p>
            <w:pPr>
              <w:pStyle w:val="TableParagraph"/>
              <w:spacing w:line="292" w:lineRule="auto"/>
              <w:ind w:left="200" w:right="105"/>
              <w:rPr>
                <w:sz w:val="21"/>
              </w:rPr>
            </w:pPr>
            <w:r>
              <w:rPr>
                <w:sz w:val="21"/>
              </w:rPr>
              <w:t>（十</w:t>
            </w:r>
            <w:r>
              <w:rPr>
                <w:spacing w:val="-68"/>
                <w:sz w:val="21"/>
              </w:rPr>
              <w:t>）</w:t>
            </w:r>
            <w:r>
              <w:rPr>
                <w:spacing w:val="-3"/>
                <w:sz w:val="21"/>
              </w:rPr>
              <w:t>慢性肝功能衰竭失代偿期</w:t>
            </w:r>
          </w:p>
        </w:tc>
        <w:tc>
          <w:tcPr>
            <w:tcW w:w="6135" w:type="dxa"/>
          </w:tcPr>
          <w:p>
            <w:pPr>
              <w:pStyle w:val="TableParagraph"/>
              <w:spacing w:before="4"/>
              <w:rPr>
                <w:rFonts w:ascii="Times New Roman"/>
                <w:sz w:val="18"/>
              </w:rPr>
            </w:pPr>
          </w:p>
          <w:p>
            <w:pPr>
              <w:pStyle w:val="TableParagraph"/>
              <w:ind w:left="106"/>
              <w:rPr>
                <w:sz w:val="21"/>
              </w:rPr>
            </w:pPr>
            <w:r>
              <w:rPr>
                <w:sz w:val="21"/>
              </w:rPr>
              <w:t>指因慢性肝脏疾病导致肝功能衰竭。须满足下列全部条件：</w:t>
            </w:r>
          </w:p>
          <w:p>
            <w:pPr>
              <w:pStyle w:val="TableParagraph"/>
              <w:spacing w:before="58"/>
              <w:ind w:left="106"/>
              <w:rPr>
                <w:sz w:val="21"/>
              </w:rPr>
            </w:pPr>
            <w:r>
              <w:rPr>
                <w:sz w:val="21"/>
              </w:rPr>
              <w:t>（1）持续性黄疸；</w:t>
            </w:r>
          </w:p>
          <w:p>
            <w:pPr>
              <w:pStyle w:val="TableParagraph"/>
              <w:spacing w:before="60"/>
              <w:ind w:left="106"/>
              <w:rPr>
                <w:sz w:val="21"/>
              </w:rPr>
            </w:pPr>
            <w:r>
              <w:rPr>
                <w:sz w:val="21"/>
              </w:rPr>
              <w:t>（2）腹水；</w:t>
            </w:r>
          </w:p>
          <w:p>
            <w:pPr>
              <w:pStyle w:val="TableParagraph"/>
              <w:spacing w:before="58"/>
              <w:ind w:left="106"/>
              <w:rPr>
                <w:sz w:val="21"/>
              </w:rPr>
            </w:pPr>
            <w:r>
              <w:rPr>
                <w:sz w:val="21"/>
              </w:rPr>
              <w:t>（3）肝性脑病；</w:t>
            </w:r>
          </w:p>
          <w:p>
            <w:pPr>
              <w:pStyle w:val="TableParagraph"/>
              <w:spacing w:line="292" w:lineRule="auto" w:before="58"/>
              <w:ind w:left="106" w:right="877"/>
              <w:rPr>
                <w:sz w:val="21"/>
              </w:rPr>
            </w:pPr>
            <w:r>
              <w:rPr>
                <w:sz w:val="21"/>
              </w:rPr>
              <w:t>（4）充血性脾肿大伴脾功能亢进或食管胃底静脉曲张。因酗酒或药物滥用导致的肝功能衰竭不在保障范围内。</w:t>
            </w:r>
          </w:p>
        </w:tc>
      </w:tr>
      <w:tr>
        <w:trPr>
          <w:trHeight w:val="2765" w:hRule="atLeast"/>
        </w:trPr>
        <w:tc>
          <w:tcPr>
            <w:tcW w:w="2974" w:type="dxa"/>
          </w:tcPr>
          <w:p>
            <w:pPr>
              <w:pStyle w:val="TableParagraph"/>
              <w:spacing w:before="4"/>
              <w:rPr>
                <w:rFonts w:ascii="Times New Roman"/>
                <w:sz w:val="18"/>
              </w:rPr>
            </w:pPr>
          </w:p>
          <w:p>
            <w:pPr>
              <w:pStyle w:val="TableParagraph"/>
              <w:spacing w:line="295" w:lineRule="auto"/>
              <w:ind w:left="200" w:right="105"/>
              <w:rPr>
                <w:sz w:val="21"/>
              </w:rPr>
            </w:pPr>
            <w:r>
              <w:rPr>
                <w:sz w:val="21"/>
              </w:rPr>
              <w:t>（十一</w:t>
            </w:r>
            <w:r>
              <w:rPr>
                <w:spacing w:val="-70"/>
                <w:sz w:val="21"/>
              </w:rPr>
              <w:t>）</w:t>
            </w:r>
            <w:r>
              <w:rPr>
                <w:spacing w:val="-3"/>
                <w:sz w:val="21"/>
              </w:rPr>
              <w:t>脑炎后遗症或脑膜炎后遗症</w:t>
            </w:r>
          </w:p>
        </w:tc>
        <w:tc>
          <w:tcPr>
            <w:tcW w:w="6135" w:type="dxa"/>
          </w:tcPr>
          <w:p>
            <w:pPr>
              <w:pStyle w:val="TableParagraph"/>
              <w:spacing w:before="4"/>
              <w:rPr>
                <w:rFonts w:ascii="Times New Roman"/>
                <w:sz w:val="18"/>
              </w:rPr>
            </w:pPr>
          </w:p>
          <w:p>
            <w:pPr>
              <w:pStyle w:val="TableParagraph"/>
              <w:spacing w:line="292" w:lineRule="auto"/>
              <w:ind w:left="106" w:right="301"/>
              <w:jc w:val="both"/>
              <w:rPr>
                <w:sz w:val="21"/>
              </w:rPr>
            </w:pPr>
            <w:r>
              <w:rPr>
                <w:sz w:val="21"/>
              </w:rPr>
              <w:t>指因患脑炎或脑膜炎导致的神经系统永久性的功能障碍。神经</w:t>
            </w:r>
            <w:r>
              <w:rPr>
                <w:spacing w:val="-6"/>
                <w:sz w:val="21"/>
              </w:rPr>
              <w:t>系统永久性的功能障碍，指疾病确诊</w:t>
            </w:r>
            <w:r>
              <w:rPr>
                <w:sz w:val="21"/>
              </w:rPr>
              <w:t>180</w:t>
            </w:r>
            <w:r>
              <w:rPr>
                <w:spacing w:val="-6"/>
                <w:sz w:val="21"/>
              </w:rPr>
              <w:t>天后，仍遗留下列一种</w:t>
            </w:r>
            <w:r>
              <w:rPr>
                <w:spacing w:val="-4"/>
                <w:sz w:val="21"/>
              </w:rPr>
              <w:t>或一种以上障碍：</w:t>
            </w:r>
          </w:p>
          <w:p>
            <w:pPr>
              <w:pStyle w:val="TableParagraph"/>
              <w:spacing w:before="12"/>
              <w:ind w:left="106"/>
              <w:rPr>
                <w:sz w:val="21"/>
              </w:rPr>
            </w:pPr>
            <w:r>
              <w:rPr>
                <w:sz w:val="21"/>
              </w:rPr>
              <w:t>（1）一肢或一肢以上肢体机能完全丧失；</w:t>
            </w:r>
          </w:p>
          <w:p>
            <w:pPr>
              <w:pStyle w:val="TableParagraph"/>
              <w:spacing w:before="58"/>
              <w:ind w:left="106"/>
              <w:rPr>
                <w:sz w:val="21"/>
              </w:rPr>
            </w:pPr>
            <w:r>
              <w:rPr>
                <w:sz w:val="21"/>
              </w:rPr>
              <w:t>（2）语言能力或咀嚼吞咽能力完全丧失；</w:t>
            </w:r>
          </w:p>
          <w:p>
            <w:pPr>
              <w:pStyle w:val="TableParagraph"/>
              <w:spacing w:line="290" w:lineRule="auto" w:before="58"/>
              <w:ind w:left="106" w:right="240"/>
              <w:rPr>
                <w:sz w:val="21"/>
              </w:rPr>
            </w:pPr>
            <w:r>
              <w:rPr>
                <w:sz w:val="21"/>
              </w:rPr>
              <w:t>（3）自主生活能力完全丧失，无法独立完成六项基本日常生活活动中的三项或三项以上。</w:t>
            </w:r>
          </w:p>
        </w:tc>
      </w:tr>
      <w:tr>
        <w:trPr>
          <w:trHeight w:val="2097" w:hRule="atLeast"/>
        </w:trPr>
        <w:tc>
          <w:tcPr>
            <w:tcW w:w="2974" w:type="dxa"/>
          </w:tcPr>
          <w:p>
            <w:pPr>
              <w:pStyle w:val="TableParagraph"/>
              <w:spacing w:before="4"/>
              <w:rPr>
                <w:rFonts w:ascii="Times New Roman"/>
                <w:sz w:val="18"/>
              </w:rPr>
            </w:pPr>
          </w:p>
          <w:p>
            <w:pPr>
              <w:pStyle w:val="TableParagraph"/>
              <w:ind w:left="200"/>
              <w:rPr>
                <w:sz w:val="21"/>
              </w:rPr>
            </w:pPr>
            <w:r>
              <w:rPr>
                <w:sz w:val="21"/>
              </w:rPr>
              <w:t>（十二）深度昏迷</w:t>
            </w:r>
          </w:p>
        </w:tc>
        <w:tc>
          <w:tcPr>
            <w:tcW w:w="6135" w:type="dxa"/>
          </w:tcPr>
          <w:p>
            <w:pPr>
              <w:pStyle w:val="TableParagraph"/>
              <w:spacing w:before="4"/>
              <w:rPr>
                <w:rFonts w:ascii="Times New Roman"/>
                <w:sz w:val="18"/>
              </w:rPr>
            </w:pPr>
          </w:p>
          <w:p>
            <w:pPr>
              <w:pStyle w:val="TableParagraph"/>
              <w:spacing w:line="292" w:lineRule="auto"/>
              <w:ind w:left="106" w:right="198"/>
              <w:rPr>
                <w:sz w:val="21"/>
              </w:rPr>
            </w:pPr>
            <w:r>
              <w:rPr>
                <w:spacing w:val="2"/>
                <w:sz w:val="21"/>
              </w:rPr>
              <w:t>指因疾病或意外伤害导致意识丧失,对外界刺激和体内需求均</w:t>
            </w:r>
            <w:r>
              <w:rPr>
                <w:spacing w:val="-6"/>
                <w:sz w:val="21"/>
              </w:rPr>
              <w:t>无反应,昏迷程度按照格拉斯哥昏迷分级</w:t>
            </w:r>
            <w:r>
              <w:rPr>
                <w:sz w:val="21"/>
              </w:rPr>
              <w:t>（Glasgow</w:t>
            </w:r>
            <w:r>
              <w:rPr>
                <w:spacing w:val="-45"/>
                <w:sz w:val="21"/>
              </w:rPr>
              <w:t> </w:t>
            </w:r>
            <w:r>
              <w:rPr>
                <w:sz w:val="21"/>
              </w:rPr>
              <w:t>coma</w:t>
            </w:r>
            <w:r>
              <w:rPr>
                <w:spacing w:val="-45"/>
                <w:sz w:val="21"/>
              </w:rPr>
              <w:t> </w:t>
            </w:r>
            <w:r>
              <w:rPr>
                <w:sz w:val="21"/>
              </w:rPr>
              <w:t>scale） 结果为5分或5分以下，且已经持续使用呼吸机及其它生命维持</w:t>
            </w:r>
            <w:r>
              <w:rPr>
                <w:spacing w:val="-1"/>
                <w:sz w:val="21"/>
              </w:rPr>
              <w:t>系统96</w:t>
            </w:r>
            <w:r>
              <w:rPr>
                <w:spacing w:val="-3"/>
                <w:sz w:val="21"/>
              </w:rPr>
              <w:t>小时以上。</w:t>
            </w:r>
          </w:p>
          <w:p>
            <w:pPr>
              <w:pStyle w:val="TableParagraph"/>
              <w:spacing w:before="12"/>
              <w:ind w:left="106"/>
              <w:rPr>
                <w:sz w:val="21"/>
              </w:rPr>
            </w:pPr>
            <w:r>
              <w:rPr>
                <w:sz w:val="21"/>
              </w:rPr>
              <w:t>因酗酒或药物滥用导致的深度昏迷不在保障范围内。</w:t>
            </w:r>
          </w:p>
        </w:tc>
      </w:tr>
      <w:tr>
        <w:trPr>
          <w:trHeight w:val="1764" w:hRule="atLeast"/>
        </w:trPr>
        <w:tc>
          <w:tcPr>
            <w:tcW w:w="2974" w:type="dxa"/>
          </w:tcPr>
          <w:p>
            <w:pPr>
              <w:pStyle w:val="TableParagraph"/>
              <w:spacing w:before="4"/>
              <w:rPr>
                <w:rFonts w:ascii="Times New Roman"/>
                <w:sz w:val="18"/>
              </w:rPr>
            </w:pPr>
          </w:p>
          <w:p>
            <w:pPr>
              <w:pStyle w:val="TableParagraph"/>
              <w:ind w:left="200"/>
              <w:rPr>
                <w:sz w:val="21"/>
              </w:rPr>
            </w:pPr>
            <w:r>
              <w:rPr>
                <w:sz w:val="21"/>
              </w:rPr>
              <w:t>（十三）双耳失聪</w:t>
            </w:r>
          </w:p>
        </w:tc>
        <w:tc>
          <w:tcPr>
            <w:tcW w:w="6135" w:type="dxa"/>
          </w:tcPr>
          <w:p>
            <w:pPr>
              <w:pStyle w:val="TableParagraph"/>
              <w:spacing w:before="4"/>
              <w:rPr>
                <w:rFonts w:ascii="Times New Roman"/>
                <w:sz w:val="18"/>
              </w:rPr>
            </w:pPr>
          </w:p>
          <w:p>
            <w:pPr>
              <w:pStyle w:val="TableParagraph"/>
              <w:spacing w:line="290" w:lineRule="auto"/>
              <w:ind w:left="106" w:right="303"/>
              <w:rPr>
                <w:sz w:val="21"/>
              </w:rPr>
            </w:pPr>
            <w:r>
              <w:rPr>
                <w:spacing w:val="-3"/>
                <w:sz w:val="21"/>
              </w:rPr>
              <w:t>指因疾病或意外伤害导致双耳听力</w:t>
            </w:r>
            <w:r>
              <w:rPr>
                <w:b/>
                <w:spacing w:val="-6"/>
                <w:sz w:val="21"/>
              </w:rPr>
              <w:t>永久不可逆</w:t>
            </w:r>
            <w:r>
              <w:rPr>
                <w:spacing w:val="-3"/>
                <w:sz w:val="21"/>
              </w:rPr>
              <w:t>（</w:t>
            </w:r>
            <w:r>
              <w:rPr>
                <w:spacing w:val="12"/>
                <w:sz w:val="21"/>
              </w:rPr>
              <w:t>见 </w:t>
            </w:r>
            <w:r>
              <w:rPr>
                <w:spacing w:val="-7"/>
                <w:sz w:val="21"/>
              </w:rPr>
              <w:t>8.27）</w:t>
            </w:r>
            <w:r>
              <w:rPr>
                <w:spacing w:val="-3"/>
                <w:sz w:val="21"/>
              </w:rPr>
              <w:t>性丧</w:t>
            </w:r>
            <w:r>
              <w:rPr>
                <w:spacing w:val="-8"/>
                <w:sz w:val="21"/>
              </w:rPr>
              <w:t>失，在 </w:t>
            </w:r>
            <w:r>
              <w:rPr>
                <w:sz w:val="21"/>
              </w:rPr>
              <w:t>500</w:t>
            </w:r>
            <w:r>
              <w:rPr>
                <w:spacing w:val="-9"/>
                <w:sz w:val="21"/>
              </w:rPr>
              <w:t> 赫兹、</w:t>
            </w:r>
            <w:r>
              <w:rPr>
                <w:sz w:val="21"/>
              </w:rPr>
              <w:t>1000</w:t>
            </w:r>
            <w:r>
              <w:rPr>
                <w:spacing w:val="-14"/>
                <w:sz w:val="21"/>
              </w:rPr>
              <w:t> 赫兹和 </w:t>
            </w:r>
            <w:r>
              <w:rPr>
                <w:sz w:val="21"/>
              </w:rPr>
              <w:t>2000</w:t>
            </w:r>
            <w:r>
              <w:rPr>
                <w:spacing w:val="-7"/>
                <w:sz w:val="21"/>
              </w:rPr>
              <w:t> 赫兹语音频率下，平均听</w:t>
            </w:r>
          </w:p>
          <w:p>
            <w:pPr>
              <w:pStyle w:val="TableParagraph"/>
              <w:spacing w:line="290" w:lineRule="auto" w:before="17"/>
              <w:ind w:left="106" w:right="301"/>
              <w:rPr>
                <w:sz w:val="21"/>
              </w:rPr>
            </w:pPr>
            <w:r>
              <w:rPr>
                <w:spacing w:val="-12"/>
                <w:sz w:val="21"/>
              </w:rPr>
              <w:t>阈大于 </w:t>
            </w:r>
            <w:r>
              <w:rPr>
                <w:sz w:val="21"/>
              </w:rPr>
              <w:t>90</w:t>
            </w:r>
            <w:r>
              <w:rPr>
                <w:spacing w:val="-11"/>
                <w:sz w:val="21"/>
              </w:rPr>
              <w:t> 分贝，且经纯音听力测试、声导抗检测或听觉诱发电</w:t>
            </w:r>
            <w:r>
              <w:rPr>
                <w:spacing w:val="-6"/>
                <w:sz w:val="21"/>
              </w:rPr>
              <w:t>位检测等证实。</w:t>
            </w:r>
          </w:p>
        </w:tc>
      </w:tr>
      <w:tr>
        <w:trPr>
          <w:trHeight w:val="2414" w:hRule="atLeast"/>
        </w:trPr>
        <w:tc>
          <w:tcPr>
            <w:tcW w:w="2974" w:type="dxa"/>
          </w:tcPr>
          <w:p>
            <w:pPr>
              <w:pStyle w:val="TableParagraph"/>
              <w:spacing w:before="4"/>
              <w:rPr>
                <w:rFonts w:ascii="Times New Roman"/>
                <w:sz w:val="18"/>
              </w:rPr>
            </w:pPr>
          </w:p>
          <w:p>
            <w:pPr>
              <w:pStyle w:val="TableParagraph"/>
              <w:ind w:left="200"/>
              <w:rPr>
                <w:sz w:val="21"/>
              </w:rPr>
            </w:pPr>
            <w:r>
              <w:rPr>
                <w:sz w:val="21"/>
              </w:rPr>
              <w:t>（十四）双目失明</w:t>
            </w:r>
          </w:p>
        </w:tc>
        <w:tc>
          <w:tcPr>
            <w:tcW w:w="6135" w:type="dxa"/>
          </w:tcPr>
          <w:p>
            <w:pPr>
              <w:pStyle w:val="TableParagraph"/>
              <w:spacing w:before="4"/>
              <w:rPr>
                <w:rFonts w:ascii="Times New Roman"/>
                <w:sz w:val="18"/>
              </w:rPr>
            </w:pPr>
          </w:p>
          <w:p>
            <w:pPr>
              <w:pStyle w:val="TableParagraph"/>
              <w:spacing w:line="290" w:lineRule="auto"/>
              <w:ind w:left="106" w:right="305"/>
              <w:rPr>
                <w:sz w:val="21"/>
              </w:rPr>
            </w:pPr>
            <w:r>
              <w:rPr>
                <w:sz w:val="21"/>
              </w:rPr>
              <w:t>指因疾病或意外伤害导致双眼视力永久不可逆性丧失，双眼中较好眼须满足下列至少一项条件：</w:t>
            </w:r>
          </w:p>
          <w:p>
            <w:pPr>
              <w:pStyle w:val="TableParagraph"/>
              <w:spacing w:before="14"/>
              <w:ind w:left="106"/>
              <w:rPr>
                <w:sz w:val="21"/>
              </w:rPr>
            </w:pPr>
            <w:r>
              <w:rPr>
                <w:sz w:val="21"/>
              </w:rPr>
              <w:t>（1）眼球缺失或摘除；</w:t>
            </w:r>
          </w:p>
          <w:p>
            <w:pPr>
              <w:pStyle w:val="TableParagraph"/>
              <w:spacing w:line="290" w:lineRule="auto" w:before="60"/>
              <w:ind w:left="106" w:right="301"/>
              <w:rPr>
                <w:sz w:val="21"/>
              </w:rPr>
            </w:pPr>
            <w:r>
              <w:rPr>
                <w:spacing w:val="-7"/>
                <w:sz w:val="21"/>
              </w:rPr>
              <w:t>（2）</w:t>
            </w:r>
            <w:r>
              <w:rPr>
                <w:spacing w:val="-3"/>
                <w:sz w:val="21"/>
              </w:rPr>
              <w:t>矫正视力低于</w:t>
            </w:r>
            <w:r>
              <w:rPr>
                <w:spacing w:val="-5"/>
                <w:sz w:val="21"/>
              </w:rPr>
              <w:t>0.02（采用国际标准视力表，如果使用其它</w:t>
            </w:r>
            <w:r>
              <w:rPr>
                <w:spacing w:val="-4"/>
                <w:w w:val="100"/>
                <w:sz w:val="21"/>
              </w:rPr>
              <w:t>视力表应进行换算</w:t>
            </w:r>
            <w:r>
              <w:rPr>
                <w:spacing w:val="-108"/>
                <w:w w:val="100"/>
                <w:sz w:val="21"/>
              </w:rPr>
              <w:t>）</w:t>
            </w:r>
            <w:r>
              <w:rPr>
                <w:w w:val="100"/>
                <w:sz w:val="21"/>
              </w:rPr>
              <w:t>；</w:t>
            </w:r>
          </w:p>
          <w:p>
            <w:pPr>
              <w:pStyle w:val="TableParagraph"/>
              <w:spacing w:before="14"/>
              <w:ind w:left="106"/>
              <w:rPr>
                <w:sz w:val="21"/>
              </w:rPr>
            </w:pPr>
            <w:r>
              <w:rPr>
                <w:sz w:val="21"/>
              </w:rPr>
              <w:t>（3）视野半径小于 5 度。</w:t>
            </w:r>
          </w:p>
        </w:tc>
      </w:tr>
      <w:tr>
        <w:trPr>
          <w:trHeight w:val="759" w:hRule="atLeast"/>
        </w:trPr>
        <w:tc>
          <w:tcPr>
            <w:tcW w:w="2974" w:type="dxa"/>
          </w:tcPr>
          <w:p>
            <w:pPr>
              <w:pStyle w:val="TableParagraph"/>
              <w:spacing w:before="9"/>
              <w:rPr>
                <w:rFonts w:ascii="Times New Roman"/>
                <w:sz w:val="19"/>
              </w:rPr>
            </w:pPr>
          </w:p>
          <w:p>
            <w:pPr>
              <w:pStyle w:val="TableParagraph"/>
              <w:ind w:left="200"/>
              <w:rPr>
                <w:sz w:val="21"/>
              </w:rPr>
            </w:pPr>
            <w:r>
              <w:rPr>
                <w:sz w:val="21"/>
              </w:rPr>
              <w:t>（十五）瘫痪</w:t>
            </w:r>
          </w:p>
        </w:tc>
        <w:tc>
          <w:tcPr>
            <w:tcW w:w="6135" w:type="dxa"/>
          </w:tcPr>
          <w:p>
            <w:pPr>
              <w:pStyle w:val="TableParagraph"/>
              <w:spacing w:line="290" w:lineRule="atLeast" w:before="179"/>
              <w:ind w:left="106" w:right="237"/>
              <w:rPr>
                <w:sz w:val="21"/>
              </w:rPr>
            </w:pPr>
            <w:r>
              <w:rPr>
                <w:sz w:val="21"/>
              </w:rPr>
              <w:t>指因疾病或意外伤害导致两肢或两肢以上肢体机能永久完全丧失。肢体机能永久完全丧失，指疾病确诊 180 天后或意外伤害</w:t>
            </w:r>
          </w:p>
        </w:tc>
      </w:tr>
    </w:tbl>
    <w:p>
      <w:pPr>
        <w:spacing w:after="0" w:line="290" w:lineRule="atLeast"/>
        <w:rPr>
          <w:sz w:val="21"/>
        </w:rPr>
        <w:sectPr>
          <w:pgSz w:w="11910" w:h="16840"/>
          <w:pgMar w:header="0" w:footer="919" w:top="150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039"/>
      </w:tblGrid>
      <w:tr>
        <w:trPr>
          <w:trHeight w:val="751" w:hRule="atLeast"/>
        </w:trPr>
        <w:tc>
          <w:tcPr>
            <w:tcW w:w="2974" w:type="dxa"/>
          </w:tcPr>
          <w:p>
            <w:pPr>
              <w:pStyle w:val="TableParagraph"/>
              <w:rPr>
                <w:rFonts w:ascii="Times New Roman"/>
                <w:sz w:val="20"/>
              </w:rPr>
            </w:pPr>
          </w:p>
        </w:tc>
        <w:tc>
          <w:tcPr>
            <w:tcW w:w="6039" w:type="dxa"/>
          </w:tcPr>
          <w:p>
            <w:pPr>
              <w:pStyle w:val="TableParagraph"/>
              <w:spacing w:line="207" w:lineRule="exact"/>
              <w:ind w:left="106"/>
              <w:rPr>
                <w:sz w:val="21"/>
              </w:rPr>
            </w:pPr>
            <w:r>
              <w:rPr>
                <w:sz w:val="21"/>
              </w:rPr>
              <w:t>发生 180 天后，每肢三大关节中的两大关节仍然完全僵硬，或</w:t>
            </w:r>
          </w:p>
          <w:p>
            <w:pPr>
              <w:pStyle w:val="TableParagraph"/>
              <w:spacing w:before="15"/>
              <w:ind w:left="106"/>
              <w:rPr>
                <w:sz w:val="21"/>
              </w:rPr>
            </w:pPr>
            <w:r>
              <w:rPr>
                <w:sz w:val="21"/>
              </w:rPr>
              <w:t>不能随意识活动。</w:t>
            </w:r>
          </w:p>
        </w:tc>
      </w:tr>
      <w:tr>
        <w:trPr>
          <w:trHeight w:val="1069" w:hRule="atLeast"/>
        </w:trPr>
        <w:tc>
          <w:tcPr>
            <w:tcW w:w="2974" w:type="dxa"/>
          </w:tcPr>
          <w:p>
            <w:pPr>
              <w:pStyle w:val="TableParagraph"/>
              <w:spacing w:before="9"/>
              <w:rPr>
                <w:rFonts w:ascii="Times New Roman"/>
                <w:sz w:val="15"/>
              </w:rPr>
            </w:pPr>
          </w:p>
          <w:p>
            <w:pPr>
              <w:pStyle w:val="TableParagraph"/>
              <w:ind w:left="200"/>
              <w:rPr>
                <w:sz w:val="21"/>
              </w:rPr>
            </w:pPr>
            <w:r>
              <w:rPr>
                <w:sz w:val="21"/>
              </w:rPr>
              <w:t>（十六）心脏瓣膜手术</w:t>
            </w:r>
          </w:p>
        </w:tc>
        <w:tc>
          <w:tcPr>
            <w:tcW w:w="6039" w:type="dxa"/>
          </w:tcPr>
          <w:p>
            <w:pPr>
              <w:pStyle w:val="TableParagraph"/>
              <w:spacing w:before="9"/>
              <w:rPr>
                <w:rFonts w:ascii="Times New Roman"/>
                <w:sz w:val="15"/>
              </w:rPr>
            </w:pPr>
          </w:p>
          <w:p>
            <w:pPr>
              <w:pStyle w:val="TableParagraph"/>
              <w:spacing w:line="290" w:lineRule="auto"/>
              <w:ind w:left="106" w:right="211"/>
              <w:rPr>
                <w:sz w:val="21"/>
              </w:rPr>
            </w:pPr>
            <w:r>
              <w:rPr>
                <w:sz w:val="21"/>
              </w:rPr>
              <w:t>指为治疗心脏瓣膜疾病，实际实施了开胸进行的心脏瓣膜置换或修复的手术。</w:t>
            </w:r>
          </w:p>
        </w:tc>
      </w:tr>
      <w:tr>
        <w:trPr>
          <w:trHeight w:val="2765" w:hRule="atLeast"/>
        </w:trPr>
        <w:tc>
          <w:tcPr>
            <w:tcW w:w="2974" w:type="dxa"/>
          </w:tcPr>
          <w:p>
            <w:pPr>
              <w:pStyle w:val="TableParagraph"/>
              <w:spacing w:before="11"/>
              <w:rPr>
                <w:rFonts w:ascii="Times New Roman"/>
                <w:sz w:val="17"/>
              </w:rPr>
            </w:pPr>
          </w:p>
          <w:p>
            <w:pPr>
              <w:pStyle w:val="TableParagraph"/>
              <w:ind w:left="200"/>
              <w:rPr>
                <w:sz w:val="21"/>
              </w:rPr>
            </w:pPr>
            <w:r>
              <w:rPr>
                <w:sz w:val="21"/>
              </w:rPr>
              <w:t>（十七）严重阿尔茨海默病</w:t>
            </w:r>
          </w:p>
        </w:tc>
        <w:tc>
          <w:tcPr>
            <w:tcW w:w="6039" w:type="dxa"/>
          </w:tcPr>
          <w:p>
            <w:pPr>
              <w:pStyle w:val="TableParagraph"/>
              <w:spacing w:before="11"/>
              <w:rPr>
                <w:rFonts w:ascii="Times New Roman"/>
                <w:sz w:val="17"/>
              </w:rPr>
            </w:pPr>
          </w:p>
          <w:p>
            <w:pPr>
              <w:pStyle w:val="TableParagraph"/>
              <w:spacing w:line="292" w:lineRule="auto"/>
              <w:ind w:left="106" w:right="205"/>
              <w:jc w:val="both"/>
              <w:rPr>
                <w:sz w:val="21"/>
              </w:rPr>
            </w:pPr>
            <w:r>
              <w:rPr>
                <w:sz w:val="21"/>
              </w:rPr>
              <w:t>指因大脑进行性、不可逆性改变导致智能严重衰退或丧失，临床表现为明显的认知能力障碍、行为异常和社交能力减退，其</w:t>
            </w:r>
            <w:r>
              <w:rPr>
                <w:spacing w:val="-6"/>
                <w:w w:val="100"/>
                <w:sz w:val="21"/>
              </w:rPr>
              <w:t>日常生活必须持续受到他人监护。须由头颅断层扫描</w:t>
            </w:r>
            <w:r>
              <w:rPr>
                <w:w w:val="100"/>
                <w:sz w:val="21"/>
              </w:rPr>
              <w:t>（CT</w:t>
            </w:r>
            <w:r>
              <w:rPr>
                <w:spacing w:val="-106"/>
                <w:w w:val="100"/>
                <w:sz w:val="21"/>
              </w:rPr>
              <w:t>）</w:t>
            </w:r>
            <w:r>
              <w:rPr>
                <w:spacing w:val="-11"/>
                <w:w w:val="100"/>
                <w:sz w:val="21"/>
              </w:rPr>
              <w:t>、核</w:t>
            </w:r>
            <w:r>
              <w:rPr>
                <w:spacing w:val="-11"/>
                <w:sz w:val="21"/>
              </w:rPr>
              <w:t>磁共振检查（MRI）或正电子发射断层扫描（PET）等影像学检查证实，且自主生活能力完全丧失，无法独立完成六项基本日</w:t>
            </w:r>
            <w:r>
              <w:rPr>
                <w:spacing w:val="-6"/>
                <w:sz w:val="21"/>
              </w:rPr>
              <w:t>常生活活动中的三项或三项以上。</w:t>
            </w:r>
          </w:p>
          <w:p>
            <w:pPr>
              <w:pStyle w:val="TableParagraph"/>
              <w:spacing w:before="12"/>
              <w:ind w:left="106"/>
              <w:jc w:val="both"/>
              <w:rPr>
                <w:sz w:val="21"/>
              </w:rPr>
            </w:pPr>
            <w:r>
              <w:rPr>
                <w:sz w:val="21"/>
              </w:rPr>
              <w:t>神经官能症和精神疾病不在保障范围内。</w:t>
            </w:r>
          </w:p>
        </w:tc>
      </w:tr>
      <w:tr>
        <w:trPr>
          <w:trHeight w:val="3434" w:hRule="atLeast"/>
        </w:trPr>
        <w:tc>
          <w:tcPr>
            <w:tcW w:w="2974" w:type="dxa"/>
          </w:tcPr>
          <w:p>
            <w:pPr>
              <w:pStyle w:val="TableParagraph"/>
              <w:spacing w:before="11"/>
              <w:rPr>
                <w:rFonts w:ascii="Times New Roman"/>
                <w:sz w:val="17"/>
              </w:rPr>
            </w:pPr>
          </w:p>
          <w:p>
            <w:pPr>
              <w:pStyle w:val="TableParagraph"/>
              <w:ind w:left="200"/>
              <w:rPr>
                <w:sz w:val="21"/>
              </w:rPr>
            </w:pPr>
            <w:r>
              <w:rPr>
                <w:sz w:val="21"/>
              </w:rPr>
              <w:t>（十八）严重脑损伤</w:t>
            </w:r>
          </w:p>
        </w:tc>
        <w:tc>
          <w:tcPr>
            <w:tcW w:w="6039" w:type="dxa"/>
          </w:tcPr>
          <w:p>
            <w:pPr>
              <w:pStyle w:val="TableParagraph"/>
              <w:spacing w:before="11"/>
              <w:rPr>
                <w:rFonts w:ascii="Times New Roman"/>
                <w:sz w:val="17"/>
              </w:rPr>
            </w:pPr>
          </w:p>
          <w:p>
            <w:pPr>
              <w:pStyle w:val="TableParagraph"/>
              <w:spacing w:line="290" w:lineRule="auto"/>
              <w:ind w:left="106" w:right="205"/>
              <w:rPr>
                <w:sz w:val="21"/>
              </w:rPr>
            </w:pPr>
            <w:r>
              <w:rPr>
                <w:sz w:val="21"/>
              </w:rPr>
              <w:t>指因头部遭受机械性外力，引起脑重要部位损伤，导致神经系</w:t>
            </w:r>
            <w:r>
              <w:rPr>
                <w:spacing w:val="-6"/>
                <w:w w:val="100"/>
                <w:sz w:val="21"/>
              </w:rPr>
              <w:t>统永久性的功能障碍。须由头颅断层扫描</w:t>
            </w:r>
            <w:r>
              <w:rPr>
                <w:spacing w:val="-1"/>
                <w:w w:val="100"/>
                <w:sz w:val="21"/>
              </w:rPr>
              <w:t>（</w:t>
            </w:r>
            <w:r>
              <w:rPr>
                <w:w w:val="100"/>
                <w:sz w:val="21"/>
              </w:rPr>
              <w:t>CT</w:t>
            </w:r>
            <w:r>
              <w:rPr>
                <w:spacing w:val="-106"/>
                <w:w w:val="100"/>
                <w:sz w:val="21"/>
              </w:rPr>
              <w:t>）</w:t>
            </w:r>
            <w:r>
              <w:rPr>
                <w:spacing w:val="-6"/>
                <w:w w:val="100"/>
                <w:sz w:val="21"/>
              </w:rPr>
              <w:t>、核磁共振检查</w:t>
            </w:r>
          </w:p>
          <w:p>
            <w:pPr>
              <w:pStyle w:val="TableParagraph"/>
              <w:spacing w:line="292" w:lineRule="auto" w:before="14"/>
              <w:ind w:left="106" w:right="205"/>
              <w:jc w:val="both"/>
              <w:rPr>
                <w:sz w:val="21"/>
              </w:rPr>
            </w:pPr>
            <w:r>
              <w:rPr>
                <w:sz w:val="21"/>
              </w:rPr>
              <w:t>（MRI）或正电子发射断层扫描（PET）等影像学检查证实。神</w:t>
            </w:r>
            <w:r>
              <w:rPr>
                <w:spacing w:val="-5"/>
                <w:sz w:val="21"/>
              </w:rPr>
              <w:t>经系统永久性的功能障碍，指脑损伤</w:t>
            </w:r>
            <w:r>
              <w:rPr>
                <w:sz w:val="21"/>
              </w:rPr>
              <w:t>180</w:t>
            </w:r>
            <w:r>
              <w:rPr>
                <w:spacing w:val="-6"/>
                <w:sz w:val="21"/>
              </w:rPr>
              <w:t>天后，仍遗留下列一种</w:t>
            </w:r>
            <w:r>
              <w:rPr>
                <w:spacing w:val="-4"/>
                <w:sz w:val="21"/>
              </w:rPr>
              <w:t>或一种以上障碍：</w:t>
            </w:r>
          </w:p>
          <w:p>
            <w:pPr>
              <w:pStyle w:val="TableParagraph"/>
              <w:spacing w:before="12"/>
              <w:ind w:left="106"/>
              <w:rPr>
                <w:sz w:val="21"/>
              </w:rPr>
            </w:pPr>
            <w:r>
              <w:rPr>
                <w:sz w:val="21"/>
              </w:rPr>
              <w:t>（1）一肢或一肢以上肢体机能完全丧失；</w:t>
            </w:r>
          </w:p>
          <w:p>
            <w:pPr>
              <w:pStyle w:val="TableParagraph"/>
              <w:spacing w:before="58"/>
              <w:ind w:left="106"/>
              <w:rPr>
                <w:sz w:val="21"/>
              </w:rPr>
            </w:pPr>
            <w:r>
              <w:rPr>
                <w:sz w:val="21"/>
              </w:rPr>
              <w:t>（2）语言能力或咀嚼吞咽能力完全丧失；</w:t>
            </w:r>
          </w:p>
          <w:p>
            <w:pPr>
              <w:pStyle w:val="TableParagraph"/>
              <w:spacing w:line="292" w:lineRule="auto" w:before="58"/>
              <w:ind w:left="106" w:right="144"/>
              <w:rPr>
                <w:sz w:val="21"/>
              </w:rPr>
            </w:pPr>
            <w:r>
              <w:rPr>
                <w:sz w:val="21"/>
              </w:rPr>
              <w:t>（3）自主生活能力完全丧失，无法独立完成六项基本日常生活活动中的三项或三项以上。</w:t>
            </w:r>
          </w:p>
        </w:tc>
      </w:tr>
      <w:tr>
        <w:trPr>
          <w:trHeight w:val="2431" w:hRule="atLeast"/>
        </w:trPr>
        <w:tc>
          <w:tcPr>
            <w:tcW w:w="2974" w:type="dxa"/>
          </w:tcPr>
          <w:p>
            <w:pPr>
              <w:pStyle w:val="TableParagraph"/>
              <w:spacing w:before="11"/>
              <w:rPr>
                <w:rFonts w:ascii="Times New Roman"/>
                <w:sz w:val="17"/>
              </w:rPr>
            </w:pPr>
          </w:p>
          <w:p>
            <w:pPr>
              <w:pStyle w:val="TableParagraph"/>
              <w:ind w:left="200"/>
              <w:rPr>
                <w:sz w:val="21"/>
              </w:rPr>
            </w:pPr>
            <w:r>
              <w:rPr>
                <w:sz w:val="21"/>
              </w:rPr>
              <w:t>（十九）严重帕金森病</w:t>
            </w:r>
          </w:p>
        </w:tc>
        <w:tc>
          <w:tcPr>
            <w:tcW w:w="6039" w:type="dxa"/>
          </w:tcPr>
          <w:p>
            <w:pPr>
              <w:pStyle w:val="TableParagraph"/>
              <w:spacing w:before="11"/>
              <w:rPr>
                <w:rFonts w:ascii="Times New Roman"/>
                <w:sz w:val="17"/>
              </w:rPr>
            </w:pPr>
          </w:p>
          <w:p>
            <w:pPr>
              <w:pStyle w:val="TableParagraph"/>
              <w:spacing w:line="290" w:lineRule="auto"/>
              <w:ind w:left="106" w:right="211"/>
              <w:rPr>
                <w:sz w:val="21"/>
              </w:rPr>
            </w:pPr>
            <w:r>
              <w:rPr>
                <w:sz w:val="21"/>
              </w:rPr>
              <w:t>是一种中枢神经系统的退行性疾病，临床表现为震颤麻痹、共济失调等。须满足下列全部条件：</w:t>
            </w:r>
          </w:p>
          <w:p>
            <w:pPr>
              <w:pStyle w:val="TableParagraph"/>
              <w:spacing w:before="14"/>
              <w:ind w:left="106"/>
              <w:rPr>
                <w:sz w:val="21"/>
              </w:rPr>
            </w:pPr>
            <w:r>
              <w:rPr>
                <w:sz w:val="21"/>
              </w:rPr>
              <w:t>（1）药物治疗无法控制病情；</w:t>
            </w:r>
          </w:p>
          <w:p>
            <w:pPr>
              <w:pStyle w:val="TableParagraph"/>
              <w:spacing w:line="290" w:lineRule="auto" w:before="58"/>
              <w:ind w:left="106" w:right="144"/>
              <w:rPr>
                <w:sz w:val="21"/>
              </w:rPr>
            </w:pPr>
            <w:r>
              <w:rPr>
                <w:sz w:val="21"/>
              </w:rPr>
              <w:t>（2）自主生活能力完全丧失，无法独立完成六项基本日常生活活动中的三项或三项以上。</w:t>
            </w:r>
          </w:p>
          <w:p>
            <w:pPr>
              <w:pStyle w:val="TableParagraph"/>
              <w:spacing w:before="17"/>
              <w:ind w:left="106"/>
              <w:rPr>
                <w:sz w:val="21"/>
              </w:rPr>
            </w:pPr>
            <w:r>
              <w:rPr>
                <w:sz w:val="21"/>
              </w:rPr>
              <w:t>继发性帕金森综合征不在保障范围内。</w:t>
            </w:r>
          </w:p>
        </w:tc>
      </w:tr>
      <w:tr>
        <w:trPr>
          <w:trHeight w:val="1094" w:hRule="atLeast"/>
        </w:trPr>
        <w:tc>
          <w:tcPr>
            <w:tcW w:w="2974" w:type="dxa"/>
          </w:tcPr>
          <w:p>
            <w:pPr>
              <w:pStyle w:val="TableParagraph"/>
              <w:spacing w:before="11"/>
              <w:rPr>
                <w:rFonts w:ascii="Times New Roman"/>
                <w:sz w:val="17"/>
              </w:rPr>
            </w:pPr>
          </w:p>
          <w:p>
            <w:pPr>
              <w:pStyle w:val="TableParagraph"/>
              <w:ind w:left="200"/>
              <w:rPr>
                <w:sz w:val="21"/>
              </w:rPr>
            </w:pPr>
            <w:r>
              <w:rPr>
                <w:sz w:val="21"/>
              </w:rPr>
              <w:t>（二十）严重Ⅲ度烧伤</w:t>
            </w:r>
          </w:p>
        </w:tc>
        <w:tc>
          <w:tcPr>
            <w:tcW w:w="6039" w:type="dxa"/>
          </w:tcPr>
          <w:p>
            <w:pPr>
              <w:pStyle w:val="TableParagraph"/>
              <w:spacing w:before="11"/>
              <w:rPr>
                <w:rFonts w:ascii="Times New Roman"/>
                <w:sz w:val="17"/>
              </w:rPr>
            </w:pPr>
          </w:p>
          <w:p>
            <w:pPr>
              <w:pStyle w:val="TableParagraph"/>
              <w:spacing w:line="290" w:lineRule="auto"/>
              <w:ind w:left="106" w:right="198"/>
              <w:rPr>
                <w:sz w:val="21"/>
              </w:rPr>
            </w:pPr>
            <w:r>
              <w:rPr>
                <w:sz w:val="21"/>
              </w:rPr>
              <w:t>指烧伤程度为Ⅲ度，且Ⅲ度烧伤的面积达到全身体表面积的20％或 20%以上。体表面积根据《中国新九分法》计算。</w:t>
            </w:r>
          </w:p>
        </w:tc>
      </w:tr>
      <w:tr>
        <w:trPr>
          <w:trHeight w:val="1595" w:hRule="atLeast"/>
        </w:trPr>
        <w:tc>
          <w:tcPr>
            <w:tcW w:w="2974" w:type="dxa"/>
          </w:tcPr>
          <w:p>
            <w:pPr>
              <w:pStyle w:val="TableParagraph"/>
              <w:spacing w:before="11"/>
              <w:rPr>
                <w:rFonts w:ascii="Times New Roman"/>
                <w:sz w:val="17"/>
              </w:rPr>
            </w:pPr>
          </w:p>
          <w:p>
            <w:pPr>
              <w:pStyle w:val="TableParagraph"/>
              <w:spacing w:line="292" w:lineRule="auto"/>
              <w:ind w:left="200" w:right="105"/>
              <w:rPr>
                <w:sz w:val="21"/>
              </w:rPr>
            </w:pPr>
            <w:r>
              <w:rPr>
                <w:sz w:val="21"/>
              </w:rPr>
              <w:t>（</w:t>
            </w:r>
            <w:r>
              <w:rPr>
                <w:spacing w:val="-2"/>
                <w:sz w:val="21"/>
              </w:rPr>
              <w:t>二十一</w:t>
            </w:r>
            <w:r>
              <w:rPr>
                <w:spacing w:val="-68"/>
                <w:sz w:val="21"/>
              </w:rPr>
              <w:t>）</w:t>
            </w:r>
            <w:r>
              <w:rPr>
                <w:spacing w:val="-3"/>
                <w:sz w:val="21"/>
              </w:rPr>
              <w:t>严重原发性肺动脉高压</w:t>
            </w:r>
          </w:p>
        </w:tc>
        <w:tc>
          <w:tcPr>
            <w:tcW w:w="6039" w:type="dxa"/>
          </w:tcPr>
          <w:p>
            <w:pPr>
              <w:pStyle w:val="TableParagraph"/>
              <w:spacing w:before="11"/>
              <w:rPr>
                <w:rFonts w:ascii="Times New Roman"/>
                <w:sz w:val="17"/>
              </w:rPr>
            </w:pPr>
          </w:p>
          <w:p>
            <w:pPr>
              <w:pStyle w:val="TableParagraph"/>
              <w:spacing w:line="292" w:lineRule="auto"/>
              <w:ind w:left="106" w:right="209"/>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指不明原因的肺动脉压力持续性增高，进行性发展而导致的慢性疾病，已经造成永久不可逆性的体力活动能力受限，达到美国纽约心脏病学会心功能状态分级IV级，且静息状态下肺动脉平均压超过30mmHg。</w:t>
            </w:r>
          </w:p>
        </w:tc>
      </w:tr>
      <w:tr>
        <w:trPr>
          <w:trHeight w:val="650" w:hRule="atLeast"/>
        </w:trPr>
        <w:tc>
          <w:tcPr>
            <w:tcW w:w="2974" w:type="dxa"/>
          </w:tcPr>
          <w:p>
            <w:pPr>
              <w:pStyle w:val="TableParagraph"/>
              <w:spacing w:before="37"/>
              <w:ind w:left="200"/>
              <w:rPr>
                <w:sz w:val="21"/>
              </w:rPr>
            </w:pPr>
            <w:r>
              <w:rPr>
                <w:sz w:val="21"/>
              </w:rPr>
              <w:t>（</w:t>
            </w:r>
            <w:r>
              <w:rPr>
                <w:spacing w:val="-2"/>
                <w:sz w:val="21"/>
              </w:rPr>
              <w:t>二十二</w:t>
            </w:r>
            <w:r>
              <w:rPr>
                <w:spacing w:val="-68"/>
                <w:sz w:val="21"/>
              </w:rPr>
              <w:t>）</w:t>
            </w:r>
            <w:r>
              <w:rPr>
                <w:spacing w:val="-3"/>
                <w:sz w:val="21"/>
              </w:rPr>
              <w:t>严重运动神经元病</w:t>
            </w:r>
          </w:p>
        </w:tc>
        <w:tc>
          <w:tcPr>
            <w:tcW w:w="6039" w:type="dxa"/>
          </w:tcPr>
          <w:p>
            <w:pPr>
              <w:pStyle w:val="TableParagraph"/>
              <w:spacing w:line="334" w:lineRule="exact" w:before="15"/>
              <w:ind w:left="106" w:right="209"/>
              <w:rPr>
                <w:sz w:val="21"/>
              </w:rPr>
            </w:pPr>
            <w:r>
              <w:rPr>
                <w:sz w:val="21"/>
              </w:rPr>
              <w:t>是一组中枢神经系统运动神经元的进行性变性疾病，包括进行性脊肌萎缩症、进行性延髓麻痹症、原发性侧索硬化症、肌萎</w:t>
            </w:r>
          </w:p>
        </w:tc>
      </w:tr>
    </w:tbl>
    <w:p>
      <w:pPr>
        <w:spacing w:after="0" w:line="334" w:lineRule="exact"/>
        <w:rPr>
          <w:sz w:val="21"/>
        </w:rPr>
        <w:sectPr>
          <w:pgSz w:w="11910" w:h="16840"/>
          <w:pgMar w:header="0" w:footer="919" w:top="1480" w:bottom="1100" w:left="1200" w:right="13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085"/>
      </w:tblGrid>
      <w:tr>
        <w:trPr>
          <w:trHeight w:val="819" w:hRule="atLeast"/>
        </w:trPr>
        <w:tc>
          <w:tcPr>
            <w:tcW w:w="2974" w:type="dxa"/>
          </w:tcPr>
          <w:p>
            <w:pPr>
              <w:pStyle w:val="TableParagraph"/>
              <w:rPr>
                <w:rFonts w:ascii="Times New Roman"/>
                <w:sz w:val="20"/>
              </w:rPr>
            </w:pPr>
          </w:p>
        </w:tc>
        <w:tc>
          <w:tcPr>
            <w:tcW w:w="6085" w:type="dxa"/>
          </w:tcPr>
          <w:p>
            <w:pPr>
              <w:pStyle w:val="TableParagraph"/>
              <w:spacing w:line="211" w:lineRule="exact"/>
              <w:ind w:left="106"/>
              <w:rPr>
                <w:sz w:val="21"/>
              </w:rPr>
            </w:pPr>
            <w:r>
              <w:rPr>
                <w:sz w:val="21"/>
              </w:rPr>
              <w:t>缩性侧索硬化症。须满足自主生活能力完全丧失，无法独立完</w:t>
            </w:r>
          </w:p>
          <w:p>
            <w:pPr>
              <w:pStyle w:val="TableParagraph"/>
              <w:spacing w:before="58"/>
              <w:ind w:left="106"/>
              <w:rPr>
                <w:sz w:val="21"/>
              </w:rPr>
            </w:pPr>
            <w:r>
              <w:rPr>
                <w:sz w:val="21"/>
              </w:rPr>
              <w:t>成六项基本日常生活活动中的三项或三项以上的条件。</w:t>
            </w:r>
          </w:p>
        </w:tc>
      </w:tr>
      <w:tr>
        <w:trPr>
          <w:trHeight w:val="1761" w:hRule="atLeast"/>
        </w:trPr>
        <w:tc>
          <w:tcPr>
            <w:tcW w:w="2974" w:type="dxa"/>
          </w:tcPr>
          <w:p>
            <w:pPr>
              <w:pStyle w:val="TableParagraph"/>
              <w:spacing w:before="4"/>
              <w:rPr>
                <w:rFonts w:ascii="Times New Roman"/>
                <w:sz w:val="18"/>
              </w:rPr>
            </w:pPr>
          </w:p>
          <w:p>
            <w:pPr>
              <w:pStyle w:val="TableParagraph"/>
              <w:ind w:left="200"/>
              <w:rPr>
                <w:sz w:val="21"/>
              </w:rPr>
            </w:pPr>
            <w:r>
              <w:rPr>
                <w:sz w:val="21"/>
              </w:rPr>
              <w:t>（二十三）语言能力丧失</w:t>
            </w:r>
          </w:p>
        </w:tc>
        <w:tc>
          <w:tcPr>
            <w:tcW w:w="6085" w:type="dxa"/>
          </w:tcPr>
          <w:p>
            <w:pPr>
              <w:pStyle w:val="TableParagraph"/>
              <w:spacing w:before="4"/>
              <w:rPr>
                <w:rFonts w:ascii="Times New Roman"/>
                <w:sz w:val="18"/>
              </w:rPr>
            </w:pPr>
          </w:p>
          <w:p>
            <w:pPr>
              <w:pStyle w:val="TableParagraph"/>
              <w:spacing w:line="290" w:lineRule="auto"/>
              <w:ind w:left="106" w:right="251"/>
              <w:jc w:val="both"/>
              <w:rPr>
                <w:sz w:val="21"/>
              </w:rPr>
            </w:pPr>
            <w:r>
              <w:rPr>
                <w:sz w:val="21"/>
              </w:rPr>
              <w:t>指因疾病或意外伤害导致完全丧失语言能力，经过积极治疗至少12</w:t>
            </w:r>
            <w:r>
              <w:rPr>
                <w:spacing w:val="-16"/>
                <w:sz w:val="21"/>
              </w:rPr>
              <w:t>个月</w:t>
            </w:r>
            <w:r>
              <w:rPr>
                <w:sz w:val="21"/>
              </w:rPr>
              <w:t>（</w:t>
            </w:r>
            <w:r>
              <w:rPr>
                <w:spacing w:val="-3"/>
                <w:sz w:val="21"/>
              </w:rPr>
              <w:t>声带完全切除不受此时间限制</w:t>
            </w:r>
            <w:r>
              <w:rPr>
                <w:spacing w:val="-68"/>
                <w:sz w:val="21"/>
              </w:rPr>
              <w:t>）</w:t>
            </w:r>
            <w:r>
              <w:rPr>
                <w:spacing w:val="-11"/>
                <w:sz w:val="21"/>
              </w:rPr>
              <w:t>，仍无法通过现有医</w:t>
            </w:r>
            <w:r>
              <w:rPr>
                <w:spacing w:val="-6"/>
                <w:sz w:val="21"/>
              </w:rPr>
              <w:t>疗手段恢复。</w:t>
            </w:r>
          </w:p>
          <w:p>
            <w:pPr>
              <w:pStyle w:val="TableParagraph"/>
              <w:spacing w:before="14"/>
              <w:ind w:left="106"/>
              <w:jc w:val="both"/>
              <w:rPr>
                <w:sz w:val="21"/>
              </w:rPr>
            </w:pPr>
            <w:r>
              <w:rPr>
                <w:sz w:val="21"/>
              </w:rPr>
              <w:t>精神心理因素所致的语言能力丧失不在保障范围内。</w:t>
            </w:r>
          </w:p>
        </w:tc>
      </w:tr>
      <w:tr>
        <w:trPr>
          <w:trHeight w:val="2778" w:hRule="atLeast"/>
        </w:trPr>
        <w:tc>
          <w:tcPr>
            <w:tcW w:w="2974" w:type="dxa"/>
          </w:tcPr>
          <w:p>
            <w:pPr>
              <w:pStyle w:val="TableParagraph"/>
              <w:spacing w:before="4"/>
              <w:rPr>
                <w:rFonts w:ascii="Times New Roman"/>
                <w:sz w:val="18"/>
              </w:rPr>
            </w:pPr>
          </w:p>
          <w:p>
            <w:pPr>
              <w:pStyle w:val="TableParagraph"/>
              <w:spacing w:line="295" w:lineRule="auto"/>
              <w:ind w:left="200" w:right="105"/>
              <w:rPr>
                <w:sz w:val="21"/>
              </w:rPr>
            </w:pPr>
            <w:r>
              <w:rPr>
                <w:sz w:val="21"/>
              </w:rPr>
              <w:t>（</w:t>
            </w:r>
            <w:r>
              <w:rPr>
                <w:spacing w:val="-2"/>
                <w:sz w:val="21"/>
              </w:rPr>
              <w:t>二十四</w:t>
            </w:r>
            <w:r>
              <w:rPr>
                <w:spacing w:val="-68"/>
                <w:sz w:val="21"/>
              </w:rPr>
              <w:t>）</w:t>
            </w:r>
            <w:r>
              <w:rPr>
                <w:spacing w:val="-3"/>
                <w:sz w:val="21"/>
              </w:rPr>
              <w:t>重型再生障碍性贫血</w:t>
            </w:r>
          </w:p>
        </w:tc>
        <w:tc>
          <w:tcPr>
            <w:tcW w:w="6085" w:type="dxa"/>
          </w:tcPr>
          <w:p>
            <w:pPr>
              <w:pStyle w:val="TableParagraph"/>
              <w:spacing w:before="4"/>
              <w:rPr>
                <w:rFonts w:ascii="Times New Roman"/>
                <w:sz w:val="18"/>
              </w:rPr>
            </w:pPr>
          </w:p>
          <w:p>
            <w:pPr>
              <w:pStyle w:val="TableParagraph"/>
              <w:spacing w:line="292" w:lineRule="auto"/>
              <w:ind w:left="106" w:right="257"/>
              <w:rPr>
                <w:sz w:val="21"/>
              </w:rPr>
            </w:pPr>
            <w:r>
              <w:rPr>
                <w:sz w:val="21"/>
              </w:rPr>
              <w:t>指因骨髓造血功能慢性持续性衰竭导致的贫血、中性粒细胞减少及血小板减少。须满足下列全部条件：</w:t>
            </w:r>
          </w:p>
          <w:p>
            <w:pPr>
              <w:pStyle w:val="TableParagraph"/>
              <w:spacing w:before="12"/>
              <w:ind w:left="106"/>
              <w:rPr>
                <w:sz w:val="21"/>
              </w:rPr>
            </w:pPr>
            <w:r>
              <w:rPr>
                <w:sz w:val="21"/>
              </w:rPr>
              <w:t>（1）骨髓穿刺检查或骨髓活检结果支持诊断；</w:t>
            </w:r>
          </w:p>
          <w:p>
            <w:pPr>
              <w:pStyle w:val="TableParagraph"/>
              <w:spacing w:before="58"/>
              <w:ind w:left="106"/>
              <w:rPr>
                <w:sz w:val="21"/>
              </w:rPr>
            </w:pPr>
            <w:r>
              <w:rPr>
                <w:sz w:val="21"/>
              </w:rPr>
              <w:t>（2）外周血象须具备以下三项条件：</w:t>
            </w:r>
          </w:p>
          <w:p>
            <w:pPr>
              <w:pStyle w:val="TableParagraph"/>
              <w:spacing w:before="77"/>
              <w:ind w:left="526"/>
              <w:rPr>
                <w:sz w:val="21"/>
              </w:rPr>
            </w:pPr>
            <w:r>
              <w:rPr>
                <w:sz w:val="21"/>
              </w:rPr>
              <w:t>① 中性粒细胞绝对值≤0.5×</w:t>
            </w:r>
            <w:r>
              <w:rPr>
                <w:rFonts w:ascii="Times New Roman" w:hAnsi="Times New Roman" w:eastAsia="Times New Roman"/>
                <w:position w:val="6"/>
                <w:sz w:val="24"/>
              </w:rPr>
              <w:t>10</w:t>
            </w:r>
            <w:r>
              <w:rPr>
                <w:rFonts w:ascii="Times New Roman" w:hAnsi="Times New Roman" w:eastAsia="Times New Roman"/>
                <w:position w:val="17"/>
                <w:sz w:val="14"/>
              </w:rPr>
              <w:t>9 </w:t>
            </w:r>
            <w:r>
              <w:rPr>
                <w:sz w:val="21"/>
              </w:rPr>
              <w:t>/L；</w:t>
            </w:r>
          </w:p>
          <w:p>
            <w:pPr>
              <w:pStyle w:val="TableParagraph"/>
              <w:spacing w:before="17"/>
              <w:ind w:left="526"/>
              <w:rPr>
                <w:sz w:val="21"/>
              </w:rPr>
            </w:pPr>
            <w:r>
              <w:rPr>
                <w:sz w:val="21"/>
              </w:rPr>
              <w:t>② 网织红细胞＜1%；</w:t>
            </w:r>
          </w:p>
          <w:p>
            <w:pPr>
              <w:pStyle w:val="TableParagraph"/>
              <w:spacing w:before="63"/>
              <w:ind w:left="526"/>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739" w:hRule="atLeast"/>
        </w:trPr>
        <w:tc>
          <w:tcPr>
            <w:tcW w:w="2974" w:type="dxa"/>
          </w:tcPr>
          <w:p>
            <w:pPr>
              <w:pStyle w:val="TableParagraph"/>
              <w:spacing w:before="1"/>
              <w:rPr>
                <w:rFonts w:ascii="Times New Roman"/>
                <w:sz w:val="16"/>
              </w:rPr>
            </w:pPr>
          </w:p>
          <w:p>
            <w:pPr>
              <w:pStyle w:val="TableParagraph"/>
              <w:spacing w:before="1"/>
              <w:ind w:left="200"/>
              <w:rPr>
                <w:sz w:val="21"/>
              </w:rPr>
            </w:pPr>
            <w:r>
              <w:rPr>
                <w:sz w:val="21"/>
              </w:rPr>
              <w:t>（二十五）主动脉手术</w:t>
            </w:r>
          </w:p>
        </w:tc>
        <w:tc>
          <w:tcPr>
            <w:tcW w:w="6085" w:type="dxa"/>
          </w:tcPr>
          <w:p>
            <w:pPr>
              <w:pStyle w:val="TableParagraph"/>
              <w:spacing w:before="1"/>
              <w:rPr>
                <w:rFonts w:ascii="Times New Roman"/>
                <w:sz w:val="16"/>
              </w:rPr>
            </w:pPr>
          </w:p>
          <w:p>
            <w:pPr>
              <w:pStyle w:val="TableParagraph"/>
              <w:spacing w:line="290" w:lineRule="auto" w:before="1"/>
              <w:ind w:left="106" w:right="25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7"/>
              <w:ind w:left="106"/>
              <w:jc w:val="both"/>
              <w:rPr>
                <w:sz w:val="21"/>
              </w:rPr>
            </w:pPr>
            <w:r>
              <w:rPr>
                <w:sz w:val="21"/>
              </w:rPr>
              <w:t>动脉内血管成形术不在保障范围内。</w:t>
            </w:r>
          </w:p>
        </w:tc>
      </w:tr>
      <w:tr>
        <w:trPr>
          <w:trHeight w:val="1427" w:hRule="atLeast"/>
        </w:trPr>
        <w:tc>
          <w:tcPr>
            <w:tcW w:w="2974" w:type="dxa"/>
          </w:tcPr>
          <w:p>
            <w:pPr>
              <w:pStyle w:val="TableParagraph"/>
              <w:spacing w:before="4"/>
              <w:rPr>
                <w:rFonts w:ascii="Times New Roman"/>
                <w:sz w:val="18"/>
              </w:rPr>
            </w:pPr>
          </w:p>
          <w:p>
            <w:pPr>
              <w:pStyle w:val="TableParagraph"/>
              <w:ind w:left="200"/>
              <w:rPr>
                <w:sz w:val="21"/>
              </w:rPr>
            </w:pPr>
            <w:r>
              <w:rPr>
                <w:sz w:val="21"/>
              </w:rPr>
              <w:t>（二十六）多发性硬化症</w:t>
            </w:r>
          </w:p>
        </w:tc>
        <w:tc>
          <w:tcPr>
            <w:tcW w:w="6085" w:type="dxa"/>
          </w:tcPr>
          <w:p>
            <w:pPr>
              <w:pStyle w:val="TableParagraph"/>
              <w:spacing w:before="4"/>
              <w:rPr>
                <w:rFonts w:ascii="Times New Roman"/>
                <w:sz w:val="18"/>
              </w:rPr>
            </w:pPr>
          </w:p>
          <w:p>
            <w:pPr>
              <w:pStyle w:val="TableParagraph"/>
              <w:spacing w:line="290" w:lineRule="auto"/>
              <w:ind w:left="106" w:right="255"/>
              <w:jc w:val="both"/>
              <w:rPr>
                <w:sz w:val="21"/>
              </w:rPr>
            </w:pPr>
            <w:r>
              <w:rPr>
                <w:sz w:val="21"/>
              </w:rPr>
              <w:t>指因中枢神经系统脱髓鞘所致的不可逆的神经系统功能障碍， 已经造成自主生活能力完全丧失，无法独立完成六项基本日常生活活动中的三项或三项以上，且持续至少 180 天。</w:t>
            </w:r>
          </w:p>
        </w:tc>
      </w:tr>
      <w:tr>
        <w:trPr>
          <w:trHeight w:val="4831" w:hRule="atLeast"/>
        </w:trPr>
        <w:tc>
          <w:tcPr>
            <w:tcW w:w="2974" w:type="dxa"/>
          </w:tcPr>
          <w:p>
            <w:pPr>
              <w:pStyle w:val="TableParagraph"/>
              <w:spacing w:before="4"/>
              <w:rPr>
                <w:rFonts w:ascii="Times New Roman"/>
                <w:sz w:val="18"/>
              </w:rPr>
            </w:pPr>
          </w:p>
          <w:p>
            <w:pPr>
              <w:pStyle w:val="TableParagraph"/>
              <w:spacing w:line="292" w:lineRule="auto"/>
              <w:ind w:left="200" w:right="105"/>
              <w:rPr>
                <w:sz w:val="21"/>
              </w:rPr>
            </w:pPr>
            <w:r>
              <w:rPr>
                <w:sz w:val="21"/>
              </w:rPr>
              <w:t>（</w:t>
            </w:r>
            <w:r>
              <w:rPr>
                <w:spacing w:val="-2"/>
                <w:sz w:val="21"/>
              </w:rPr>
              <w:t>二十七</w:t>
            </w:r>
            <w:r>
              <w:rPr>
                <w:spacing w:val="-68"/>
                <w:sz w:val="21"/>
              </w:rPr>
              <w:t>）</w:t>
            </w:r>
            <w:r>
              <w:rPr>
                <w:spacing w:val="-3"/>
                <w:sz w:val="21"/>
              </w:rPr>
              <w:t>经输血导致的人类免疫缺陷病毒感染</w:t>
            </w:r>
          </w:p>
        </w:tc>
        <w:tc>
          <w:tcPr>
            <w:tcW w:w="6085" w:type="dxa"/>
          </w:tcPr>
          <w:p>
            <w:pPr>
              <w:pStyle w:val="TableParagraph"/>
              <w:spacing w:before="4"/>
              <w:rPr>
                <w:rFonts w:ascii="Times New Roman"/>
                <w:sz w:val="18"/>
              </w:rPr>
            </w:pPr>
          </w:p>
          <w:p>
            <w:pPr>
              <w:pStyle w:val="TableParagraph"/>
              <w:spacing w:line="290" w:lineRule="auto"/>
              <w:ind w:left="106" w:right="244"/>
              <w:rPr>
                <w:sz w:val="21"/>
              </w:rPr>
            </w:pPr>
            <w:r>
              <w:rPr>
                <w:sz w:val="21"/>
              </w:rPr>
              <w:t>是指被保险人感染上人类免疫缺陷病毒并且符合下列所有条件：</w:t>
            </w:r>
          </w:p>
          <w:p>
            <w:pPr>
              <w:pStyle w:val="TableParagraph"/>
              <w:spacing w:line="292" w:lineRule="auto" w:before="14"/>
              <w:ind w:left="106" w:right="187"/>
              <w:rPr>
                <w:sz w:val="21"/>
              </w:rPr>
            </w:pPr>
            <w:r>
              <w:rPr>
                <w:sz w:val="21"/>
              </w:rPr>
              <w:t>（1）在保障起始日或复效日之后，被保险人因治疗必需而接受输血，并且因输血而感染人类免疫缺陷病毒；</w:t>
            </w:r>
          </w:p>
          <w:p>
            <w:pPr>
              <w:pStyle w:val="TableParagraph"/>
              <w:spacing w:line="290" w:lineRule="auto" w:before="12"/>
              <w:ind w:left="106" w:right="187"/>
              <w:rPr>
                <w:sz w:val="21"/>
              </w:rPr>
            </w:pPr>
            <w:r>
              <w:rPr>
                <w:sz w:val="21"/>
              </w:rPr>
              <w:t>（2）提供输血治疗的输血中心或医院出具该项输血感染属医疗责任事故的报告，或者法院终审裁定为医疗责任；</w:t>
            </w:r>
          </w:p>
          <w:p>
            <w:pPr>
              <w:pStyle w:val="TableParagraph"/>
              <w:spacing w:before="14"/>
              <w:ind w:left="106"/>
              <w:rPr>
                <w:sz w:val="21"/>
              </w:rPr>
            </w:pPr>
            <w:r>
              <w:rPr>
                <w:sz w:val="21"/>
              </w:rPr>
              <w:t>（3）提供输血治疗的输血中心或医院必须拥有合法经营执照；</w:t>
            </w:r>
          </w:p>
          <w:p>
            <w:pPr>
              <w:pStyle w:val="TableParagraph"/>
              <w:spacing w:before="60"/>
              <w:ind w:left="106"/>
              <w:rPr>
                <w:sz w:val="21"/>
              </w:rPr>
            </w:pPr>
            <w:r>
              <w:rPr>
                <w:sz w:val="21"/>
              </w:rPr>
              <w:t>（4）受感染的被保险人不是血友病患者；</w:t>
            </w:r>
          </w:p>
          <w:p>
            <w:pPr>
              <w:pStyle w:val="TableParagraph"/>
              <w:spacing w:line="290" w:lineRule="auto" w:before="58"/>
              <w:ind w:left="106" w:right="255"/>
              <w:rPr>
                <w:sz w:val="21"/>
              </w:rPr>
            </w:pPr>
            <w:r>
              <w:rPr>
                <w:sz w:val="21"/>
              </w:rPr>
              <w:t>在任何治愈艾滋病的疗法被发现以后，或能防止艾滋病发生的医疗方法被研究出来以后，本保障将不再予以赔付。</w:t>
            </w:r>
          </w:p>
          <w:p>
            <w:pPr>
              <w:pStyle w:val="TableParagraph"/>
              <w:spacing w:line="290" w:lineRule="auto" w:before="14"/>
              <w:ind w:left="106" w:right="257"/>
              <w:rPr>
                <w:sz w:val="21"/>
              </w:rPr>
            </w:pPr>
            <w:r>
              <w:rPr>
                <w:sz w:val="21"/>
              </w:rPr>
              <w:t>任何因其他传播方式（包括：性传播或静脉注射毒品）导致的人类免疫缺陷病毒感染不在本合同保障范围内。</w:t>
            </w:r>
          </w:p>
          <w:p>
            <w:pPr>
              <w:pStyle w:val="TableParagraph"/>
              <w:spacing w:before="16"/>
              <w:ind w:left="106"/>
              <w:rPr>
                <w:sz w:val="21"/>
              </w:rPr>
            </w:pPr>
            <w:r>
              <w:rPr>
                <w:sz w:val="21"/>
              </w:rPr>
              <w:t>我们拥有获得使用被保险人的血液样本的权利和能够对这些样</w:t>
            </w:r>
          </w:p>
          <w:p>
            <w:pPr>
              <w:pStyle w:val="TableParagraph"/>
              <w:spacing w:line="255" w:lineRule="exact" w:before="58"/>
              <w:ind w:left="106"/>
              <w:rPr>
                <w:sz w:val="21"/>
              </w:rPr>
            </w:pPr>
            <w:r>
              <w:rPr>
                <w:sz w:val="21"/>
              </w:rPr>
              <w:t>本进行独立检验的权利。</w:t>
            </w:r>
          </w:p>
        </w:tc>
      </w:tr>
    </w:tbl>
    <w:p>
      <w:pPr>
        <w:spacing w:after="0" w:line="255" w:lineRule="exact"/>
        <w:rPr>
          <w:sz w:val="21"/>
        </w:rPr>
        <w:sectPr>
          <w:pgSz w:w="11910" w:h="16840"/>
          <w:pgMar w:header="0" w:footer="919" w:top="1500" w:bottom="1100" w:left="1200" w:right="128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039"/>
      </w:tblGrid>
      <w:tr>
        <w:trPr>
          <w:trHeight w:val="2150" w:hRule="atLeast"/>
        </w:trPr>
        <w:tc>
          <w:tcPr>
            <w:tcW w:w="2974" w:type="dxa"/>
          </w:tcPr>
          <w:p>
            <w:pPr>
              <w:pStyle w:val="TableParagraph"/>
              <w:spacing w:line="211" w:lineRule="exact"/>
              <w:ind w:left="200"/>
              <w:rPr>
                <w:sz w:val="21"/>
              </w:rPr>
            </w:pPr>
            <w:r>
              <w:rPr>
                <w:sz w:val="21"/>
              </w:rPr>
              <w:t>（二十八）植物人</w:t>
            </w:r>
          </w:p>
        </w:tc>
        <w:tc>
          <w:tcPr>
            <w:tcW w:w="6039" w:type="dxa"/>
          </w:tcPr>
          <w:p>
            <w:pPr>
              <w:pStyle w:val="TableParagraph"/>
              <w:spacing w:line="211" w:lineRule="exact"/>
              <w:ind w:left="106"/>
              <w:rPr>
                <w:sz w:val="21"/>
              </w:rPr>
            </w:pPr>
            <w:r>
              <w:rPr>
                <w:sz w:val="21"/>
              </w:rPr>
              <w:t>指脑皮质广泛性坏死而导致对自身及周边的认知能力完全丧</w:t>
            </w:r>
          </w:p>
          <w:p>
            <w:pPr>
              <w:pStyle w:val="TableParagraph"/>
              <w:spacing w:line="292" w:lineRule="auto" w:before="58"/>
              <w:ind w:left="106" w:right="205"/>
              <w:jc w:val="both"/>
              <w:rPr>
                <w:sz w:val="21"/>
              </w:rPr>
            </w:pPr>
            <w:r>
              <w:rPr>
                <w:sz w:val="21"/>
              </w:rPr>
              <w:t>失,但脑干功能依然存在。诊断必须由神经专科医生明确诊断, </w:t>
            </w:r>
            <w:r>
              <w:rPr>
                <w:w w:val="100"/>
                <w:sz w:val="21"/>
              </w:rPr>
              <w:t>并有头颅断层扫描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）或正电子发射</w:t>
            </w:r>
            <w:r>
              <w:rPr>
                <w:spacing w:val="-6"/>
                <w:sz w:val="21"/>
              </w:rPr>
              <w:t>断层扫描</w:t>
            </w:r>
            <w:r>
              <w:rPr>
                <w:spacing w:val="-5"/>
                <w:sz w:val="21"/>
              </w:rPr>
              <w:t>（PET）</w:t>
            </w:r>
            <w:r>
              <w:rPr>
                <w:spacing w:val="-6"/>
                <w:sz w:val="21"/>
              </w:rPr>
              <w:t>等影像学检查证实。上述情况必须有至少一个月的病历记录加以证实。由于酗酒或滥用药物所致的植物人状</w:t>
            </w:r>
            <w:r>
              <w:rPr>
                <w:spacing w:val="-4"/>
                <w:sz w:val="21"/>
              </w:rPr>
              <w:t>态不在保障范围内。</w:t>
            </w:r>
          </w:p>
        </w:tc>
      </w:tr>
      <w:tr>
        <w:trPr>
          <w:trHeight w:val="4802" w:hRule="atLeast"/>
        </w:trPr>
        <w:tc>
          <w:tcPr>
            <w:tcW w:w="2974" w:type="dxa"/>
          </w:tcPr>
          <w:p>
            <w:pPr>
              <w:pStyle w:val="TableParagraph"/>
              <w:spacing w:before="10"/>
              <w:rPr>
                <w:rFonts w:ascii="Times New Roman"/>
                <w:sz w:val="18"/>
              </w:rPr>
            </w:pPr>
          </w:p>
          <w:p>
            <w:pPr>
              <w:pStyle w:val="TableParagraph"/>
              <w:spacing w:line="292" w:lineRule="auto"/>
              <w:ind w:left="200" w:right="105"/>
              <w:rPr>
                <w:sz w:val="21"/>
              </w:rPr>
            </w:pPr>
            <w:r>
              <w:rPr>
                <w:sz w:val="21"/>
              </w:rPr>
              <w:t>（</w:t>
            </w:r>
            <w:r>
              <w:rPr>
                <w:spacing w:val="-2"/>
                <w:sz w:val="21"/>
              </w:rPr>
              <w:t>二十九</w:t>
            </w:r>
            <w:r>
              <w:rPr>
                <w:spacing w:val="-68"/>
                <w:sz w:val="21"/>
              </w:rPr>
              <w:t>）</w:t>
            </w:r>
            <w:r>
              <w:rPr>
                <w:spacing w:val="-3"/>
                <w:sz w:val="21"/>
              </w:rPr>
              <w:t>严重系统性红斑狼疮性肾炎</w:t>
            </w:r>
          </w:p>
        </w:tc>
        <w:tc>
          <w:tcPr>
            <w:tcW w:w="6039" w:type="dxa"/>
          </w:tcPr>
          <w:p>
            <w:pPr>
              <w:pStyle w:val="TableParagraph"/>
              <w:spacing w:before="9"/>
              <w:rPr>
                <w:rFonts w:ascii="Times New Roman"/>
                <w:sz w:val="17"/>
              </w:rPr>
            </w:pPr>
          </w:p>
          <w:p>
            <w:pPr>
              <w:pStyle w:val="TableParagraph"/>
              <w:spacing w:line="273" w:lineRule="auto"/>
              <w:ind w:left="106" w:right="253"/>
              <w:jc w:val="both"/>
              <w:rPr>
                <w:sz w:val="21"/>
              </w:rPr>
            </w:pPr>
            <w:r>
              <w:rPr>
                <w:sz w:val="21"/>
              </w:rPr>
              <w:t>狼疮性肾炎是系统性红斑狼疮的一种并发症。系统性红斑狼疮是由多种因素引起，累及多系统的自身免疫性疾病。其特点是生成自身抗体对抗多种自身抗原。</w:t>
            </w:r>
          </w:p>
          <w:p>
            <w:pPr>
              <w:pStyle w:val="TableParagraph"/>
              <w:spacing w:line="273" w:lineRule="auto" w:before="8"/>
              <w:ind w:left="106" w:right="205"/>
              <w:jc w:val="both"/>
              <w:rPr>
                <w:sz w:val="21"/>
              </w:rPr>
            </w:pPr>
            <w:r>
              <w:rPr>
                <w:spacing w:val="-3"/>
                <w:sz w:val="21"/>
              </w:rPr>
              <w:t>本保单所指的系统性红斑狼疮仅限于累及肾脏</w:t>
            </w:r>
            <w:r>
              <w:rPr>
                <w:sz w:val="21"/>
              </w:rPr>
              <w:t>（</w:t>
            </w:r>
            <w:r>
              <w:rPr>
                <w:spacing w:val="-3"/>
                <w:sz w:val="21"/>
              </w:rPr>
              <w:t>指经肾脏活检</w:t>
            </w:r>
            <w:r>
              <w:rPr>
                <w:spacing w:val="-6"/>
                <w:sz w:val="21"/>
              </w:rPr>
              <w:t>确认的，符合</w:t>
            </w:r>
            <w:r>
              <w:rPr>
                <w:sz w:val="21"/>
              </w:rPr>
              <w:t>WHO</w:t>
            </w:r>
            <w:r>
              <w:rPr>
                <w:spacing w:val="-8"/>
                <w:sz w:val="21"/>
              </w:rPr>
              <w:t>诊断标准定义Ⅲ型、Ⅳ型、Ⅴ型和Ⅵ型的狼疮</w:t>
            </w:r>
            <w:r>
              <w:rPr>
                <w:spacing w:val="-7"/>
                <w:sz w:val="21"/>
              </w:rPr>
              <w:t>性肾炎</w:t>
            </w:r>
            <w:r>
              <w:rPr>
                <w:sz w:val="21"/>
              </w:rPr>
              <w:t>）</w:t>
            </w:r>
            <w:r>
              <w:rPr>
                <w:spacing w:val="-3"/>
                <w:sz w:val="21"/>
              </w:rPr>
              <w:t>的系统性红斑狼疮。其他类型的红斑性狼疮，如盘状</w:t>
            </w:r>
            <w:r>
              <w:rPr>
                <w:spacing w:val="-7"/>
                <w:sz w:val="21"/>
              </w:rPr>
              <w:t>狼疮、仅累及血液及关节的狼疮不在本保单保障范围内。 世界</w:t>
            </w:r>
            <w:r>
              <w:rPr>
                <w:spacing w:val="-2"/>
                <w:sz w:val="21"/>
              </w:rPr>
              <w:t>卫生组织</w:t>
            </w:r>
            <w:r>
              <w:rPr>
                <w:spacing w:val="-1"/>
                <w:sz w:val="21"/>
              </w:rPr>
              <w:t>（WHO）</w:t>
            </w:r>
            <w:r>
              <w:rPr>
                <w:spacing w:val="-3"/>
                <w:sz w:val="21"/>
              </w:rPr>
              <w:t>狼疮性肾炎分型：</w:t>
            </w:r>
          </w:p>
          <w:p>
            <w:pPr>
              <w:pStyle w:val="TableParagraph"/>
              <w:spacing w:before="8"/>
              <w:ind w:left="106"/>
              <w:jc w:val="both"/>
              <w:rPr>
                <w:sz w:val="21"/>
              </w:rPr>
            </w:pPr>
            <w:r>
              <w:rPr>
                <w:sz w:val="21"/>
              </w:rPr>
              <w:t>Ⅰ型 微小病变型</w:t>
            </w:r>
          </w:p>
          <w:p>
            <w:pPr>
              <w:pStyle w:val="TableParagraph"/>
              <w:spacing w:before="37"/>
              <w:ind w:left="106"/>
              <w:jc w:val="both"/>
              <w:rPr>
                <w:sz w:val="21"/>
              </w:rPr>
            </w:pPr>
            <w:r>
              <w:rPr>
                <w:sz w:val="21"/>
              </w:rPr>
              <w:t>Ⅱ型 系膜病变型</w:t>
            </w:r>
          </w:p>
          <w:p>
            <w:pPr>
              <w:pStyle w:val="TableParagraph"/>
              <w:spacing w:before="37"/>
              <w:ind w:left="106"/>
              <w:jc w:val="both"/>
              <w:rPr>
                <w:sz w:val="21"/>
              </w:rPr>
            </w:pPr>
            <w:r>
              <w:rPr>
                <w:sz w:val="21"/>
              </w:rPr>
              <w:t>Ⅲ型 局灶及节段增生型</w:t>
            </w:r>
          </w:p>
          <w:p>
            <w:pPr>
              <w:pStyle w:val="TableParagraph"/>
              <w:spacing w:before="37"/>
              <w:ind w:left="106"/>
              <w:jc w:val="both"/>
              <w:rPr>
                <w:sz w:val="21"/>
              </w:rPr>
            </w:pPr>
            <w:r>
              <w:rPr>
                <w:sz w:val="21"/>
              </w:rPr>
              <w:t>Ⅳ型 弥漫增生型</w:t>
            </w:r>
          </w:p>
          <w:p>
            <w:pPr>
              <w:pStyle w:val="TableParagraph"/>
              <w:spacing w:before="37"/>
              <w:ind w:left="106"/>
              <w:jc w:val="both"/>
              <w:rPr>
                <w:sz w:val="21"/>
              </w:rPr>
            </w:pPr>
            <w:r>
              <w:rPr>
                <w:sz w:val="21"/>
              </w:rPr>
              <w:t>Ⅴ型 膜型</w:t>
            </w:r>
          </w:p>
          <w:p>
            <w:pPr>
              <w:pStyle w:val="TableParagraph"/>
              <w:spacing w:before="49"/>
              <w:ind w:left="106"/>
              <w:jc w:val="both"/>
              <w:rPr>
                <w:sz w:val="21"/>
              </w:rPr>
            </w:pPr>
            <w:r>
              <w:rPr>
                <w:sz w:val="21"/>
              </w:rPr>
              <w:t>Ⅵ型 肾小球硬化型</w:t>
            </w:r>
          </w:p>
        </w:tc>
      </w:tr>
      <w:tr>
        <w:trPr>
          <w:trHeight w:val="3268" w:hRule="atLeast"/>
        </w:trPr>
        <w:tc>
          <w:tcPr>
            <w:tcW w:w="2974" w:type="dxa"/>
          </w:tcPr>
          <w:p>
            <w:pPr>
              <w:pStyle w:val="TableParagraph"/>
              <w:spacing w:before="5"/>
              <w:rPr>
                <w:rFonts w:ascii="Times New Roman"/>
                <w:sz w:val="16"/>
              </w:rPr>
            </w:pPr>
          </w:p>
          <w:p>
            <w:pPr>
              <w:pStyle w:val="TableParagraph"/>
              <w:ind w:left="200"/>
              <w:rPr>
                <w:sz w:val="21"/>
              </w:rPr>
            </w:pPr>
            <w:r>
              <w:rPr>
                <w:sz w:val="21"/>
              </w:rPr>
              <w:t>（三十</w:t>
            </w:r>
            <w:r>
              <w:rPr>
                <w:spacing w:val="-70"/>
                <w:sz w:val="21"/>
              </w:rPr>
              <w:t>）</w:t>
            </w:r>
            <w:r>
              <w:rPr>
                <w:spacing w:val="-3"/>
                <w:sz w:val="21"/>
              </w:rPr>
              <w:t>胰岛素依赖型糖尿病</w:t>
            </w:r>
          </w:p>
          <w:p>
            <w:pPr>
              <w:pStyle w:val="TableParagraph"/>
              <w:spacing w:before="60"/>
              <w:ind w:left="200"/>
              <w:rPr>
                <w:sz w:val="21"/>
              </w:rPr>
            </w:pPr>
            <w:r>
              <w:rPr>
                <w:sz w:val="21"/>
              </w:rPr>
              <w:t>（Ｉ型糖尿病）</w:t>
            </w:r>
          </w:p>
        </w:tc>
        <w:tc>
          <w:tcPr>
            <w:tcW w:w="6039" w:type="dxa"/>
          </w:tcPr>
          <w:p>
            <w:pPr>
              <w:pStyle w:val="TableParagraph"/>
              <w:spacing w:before="5"/>
              <w:rPr>
                <w:rFonts w:ascii="Times New Roman"/>
                <w:sz w:val="16"/>
              </w:rPr>
            </w:pPr>
          </w:p>
          <w:p>
            <w:pPr>
              <w:pStyle w:val="TableParagraph"/>
              <w:spacing w:line="290" w:lineRule="auto"/>
              <w:ind w:left="106" w:right="211"/>
              <w:rPr>
                <w:sz w:val="21"/>
              </w:rPr>
            </w:pPr>
            <w:r>
              <w:rPr>
                <w:sz w:val="21"/>
              </w:rPr>
              <w:t>经内分泌专科医生明确诊断为Ｉ型糖尿病，且须同时满足下列条件：</w:t>
            </w:r>
          </w:p>
          <w:p>
            <w:pPr>
              <w:pStyle w:val="TableParagraph"/>
              <w:numPr>
                <w:ilvl w:val="0"/>
                <w:numId w:val="8"/>
              </w:numPr>
              <w:tabs>
                <w:tab w:pos="738" w:val="left" w:leader="none"/>
              </w:tabs>
              <w:spacing w:line="290" w:lineRule="auto" w:before="14" w:after="0"/>
              <w:ind w:left="106" w:right="207" w:firstLine="0"/>
              <w:jc w:val="left"/>
              <w:rPr>
                <w:sz w:val="21"/>
              </w:rPr>
            </w:pPr>
            <w:r>
              <w:rPr>
                <w:spacing w:val="-4"/>
                <w:sz w:val="21"/>
              </w:rPr>
              <w:t>必须持续性地依赖外源性胰岛素维持生命至少 </w:t>
            </w:r>
            <w:r>
              <w:rPr>
                <w:sz w:val="21"/>
              </w:rPr>
              <w:t>180</w:t>
            </w:r>
            <w:r>
              <w:rPr>
                <w:spacing w:val="-8"/>
                <w:sz w:val="21"/>
              </w:rPr>
              <w:t> 天以</w:t>
            </w:r>
            <w:r>
              <w:rPr>
                <w:sz w:val="21"/>
              </w:rPr>
              <w:t>上。</w:t>
            </w:r>
          </w:p>
          <w:p>
            <w:pPr>
              <w:pStyle w:val="TableParagraph"/>
              <w:numPr>
                <w:ilvl w:val="0"/>
                <w:numId w:val="8"/>
              </w:numPr>
              <w:tabs>
                <w:tab w:pos="738" w:val="left" w:leader="none"/>
              </w:tabs>
              <w:spacing w:line="240" w:lineRule="auto" w:before="17" w:after="0"/>
              <w:ind w:left="106" w:right="0" w:firstLine="0"/>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8"/>
              </w:numPr>
              <w:tabs>
                <w:tab w:pos="738" w:val="left" w:leader="none"/>
              </w:tabs>
              <w:spacing w:line="240" w:lineRule="auto" w:before="59" w:after="0"/>
              <w:ind w:left="106" w:right="0" w:firstLine="0"/>
              <w:jc w:val="left"/>
              <w:rPr>
                <w:sz w:val="21"/>
              </w:rPr>
            </w:pPr>
            <w:r>
              <w:rPr>
                <w:spacing w:val="-3"/>
                <w:sz w:val="21"/>
              </w:rPr>
              <w:t>出现下述三种并发症之一或一种以上：</w:t>
            </w:r>
          </w:p>
          <w:p>
            <w:pPr>
              <w:pStyle w:val="TableParagraph"/>
              <w:spacing w:before="25"/>
              <w:ind w:left="526"/>
              <w:rPr>
                <w:sz w:val="21"/>
              </w:rPr>
            </w:pPr>
            <w:r>
              <w:rPr>
                <w:sz w:val="21"/>
              </w:rPr>
              <w:t>① 并发增殖性视网膜病变；</w:t>
            </w:r>
          </w:p>
          <w:p>
            <w:pPr>
              <w:pStyle w:val="TableParagraph"/>
              <w:spacing w:before="17"/>
              <w:ind w:left="526"/>
              <w:rPr>
                <w:sz w:val="21"/>
              </w:rPr>
            </w:pPr>
            <w:r>
              <w:rPr>
                <w:sz w:val="21"/>
              </w:rPr>
              <w:t>② 并发心脏病变，并须植入心脏起搏器进行治疗；</w:t>
            </w:r>
          </w:p>
          <w:p>
            <w:pPr>
              <w:pStyle w:val="TableParagraph"/>
              <w:spacing w:before="15"/>
              <w:ind w:left="526"/>
              <w:rPr>
                <w:sz w:val="21"/>
              </w:rPr>
            </w:pPr>
            <w:r>
              <w:rPr>
                <w:sz w:val="21"/>
              </w:rPr>
              <w:t>③ 至少一个脚趾发生坏疽并已达到手术切除指征。</w:t>
            </w:r>
          </w:p>
        </w:tc>
      </w:tr>
      <w:tr>
        <w:trPr>
          <w:trHeight w:val="3465" w:hRule="atLeast"/>
        </w:trPr>
        <w:tc>
          <w:tcPr>
            <w:tcW w:w="2974" w:type="dxa"/>
          </w:tcPr>
          <w:p>
            <w:pPr>
              <w:pStyle w:val="TableParagraph"/>
              <w:spacing w:before="1"/>
              <w:rPr>
                <w:rFonts w:ascii="Times New Roman"/>
                <w:sz w:val="16"/>
              </w:rPr>
            </w:pPr>
          </w:p>
          <w:p>
            <w:pPr>
              <w:pStyle w:val="TableParagraph"/>
              <w:spacing w:before="1"/>
              <w:ind w:left="200"/>
              <w:rPr>
                <w:sz w:val="21"/>
              </w:rPr>
            </w:pPr>
            <w:r>
              <w:rPr>
                <w:sz w:val="21"/>
              </w:rPr>
              <w:t>（三十一）原发性心肌病</w:t>
            </w:r>
          </w:p>
        </w:tc>
        <w:tc>
          <w:tcPr>
            <w:tcW w:w="6039" w:type="dxa"/>
          </w:tcPr>
          <w:p>
            <w:pPr>
              <w:pStyle w:val="TableParagraph"/>
              <w:spacing w:before="1"/>
              <w:rPr>
                <w:rFonts w:ascii="Times New Roman"/>
                <w:sz w:val="16"/>
              </w:rPr>
            </w:pPr>
          </w:p>
          <w:p>
            <w:pPr>
              <w:pStyle w:val="TableParagraph"/>
              <w:spacing w:line="290" w:lineRule="auto" w:before="1"/>
              <w:ind w:left="106" w:right="205"/>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指不明原因引起的一类心肌病变，包括原发性扩张型心肌病、原发性肥厚型心肌病及原发性限制型心肌病三种，病变必须已造成事实上心室功能障碍而出现明显的心功能衰竭（美国纽约</w:t>
            </w:r>
            <w:r>
              <w:rPr>
                <w:spacing w:val="-3"/>
                <w:sz w:val="21"/>
              </w:rPr>
              <w:t>心脏协会心功能分类标准心功能达四级</w:t>
            </w:r>
            <w:r>
              <w:rPr>
                <w:spacing w:val="-82"/>
                <w:sz w:val="21"/>
              </w:rPr>
              <w:t>）</w:t>
            </w:r>
            <w:r>
              <w:rPr>
                <w:spacing w:val="-11"/>
                <w:sz w:val="21"/>
              </w:rPr>
              <w:t>，且有相关住院医疗记</w:t>
            </w:r>
            <w:r>
              <w:rPr>
                <w:spacing w:val="-6"/>
                <w:sz w:val="21"/>
              </w:rPr>
              <w:t>录显示四级心功能衰竭状态持续至少一百八十天。</w:t>
            </w:r>
          </w:p>
          <w:p>
            <w:pPr>
              <w:pStyle w:val="TableParagraph"/>
              <w:spacing w:line="290" w:lineRule="auto" w:before="17"/>
              <w:ind w:left="106" w:right="210"/>
              <w:jc w:val="both"/>
              <w:rPr>
                <w:sz w:val="21"/>
              </w:rPr>
            </w:pPr>
            <w:r>
              <w:rPr>
                <w:sz w:val="21"/>
              </w:rPr>
              <w:t>本病须经专科医生明确诊断。继发于全身性疾病或其它器官系统疾病造成的心肌病变除外。</w:t>
            </w:r>
          </w:p>
          <w:p>
            <w:pPr>
              <w:pStyle w:val="TableParagraph"/>
              <w:spacing w:before="14"/>
              <w:ind w:left="106"/>
              <w:rPr>
                <w:sz w:val="21"/>
              </w:rPr>
            </w:pPr>
            <w:r>
              <w:rPr>
                <w:sz w:val="21"/>
              </w:rPr>
              <w:t>美国纽约心脏协会分类标准心功能四级是指有医院的医疗记录</w:t>
            </w:r>
          </w:p>
          <w:p>
            <w:pPr>
              <w:pStyle w:val="TableParagraph"/>
              <w:spacing w:line="330" w:lineRule="atLeast" w:before="3"/>
              <w:ind w:left="106" w:right="207"/>
              <w:jc w:val="both"/>
              <w:rPr>
                <w:sz w:val="21"/>
              </w:rPr>
            </w:pPr>
            <w:r>
              <w:rPr>
                <w:sz w:val="21"/>
              </w:rPr>
              <w:t>显示病人不能进行任何活动，休息时仍有心悸、呼吸困难等心力衰竭表现。</w:t>
            </w:r>
          </w:p>
        </w:tc>
      </w:tr>
    </w:tbl>
    <w:p>
      <w:pPr>
        <w:spacing w:after="0" w:line="330" w:lineRule="atLeast"/>
        <w:jc w:val="both"/>
        <w:rPr>
          <w:sz w:val="21"/>
        </w:rPr>
        <w:sectPr>
          <w:pgSz w:w="11910" w:h="16840"/>
          <w:pgMar w:header="0" w:footer="919" w:top="1500" w:bottom="1100" w:left="1200" w:right="1340"/>
        </w:sectPr>
      </w:pPr>
    </w:p>
    <w:p>
      <w:pPr>
        <w:pStyle w:val="BodyText"/>
        <w:rPr>
          <w:rFonts w:ascii="Times New Roman"/>
          <w:sz w:val="20"/>
        </w:rPr>
      </w:pPr>
    </w:p>
    <w:p>
      <w:pPr>
        <w:pStyle w:val="BodyText"/>
        <w:spacing w:before="9"/>
        <w:rPr>
          <w:rFonts w:ascii="Times New Roman"/>
          <w:sz w:val="10"/>
        </w:r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135"/>
      </w:tblGrid>
      <w:tr>
        <w:trPr>
          <w:trHeight w:val="2430" w:hRule="atLeast"/>
        </w:trPr>
        <w:tc>
          <w:tcPr>
            <w:tcW w:w="2974" w:type="dxa"/>
          </w:tcPr>
          <w:p>
            <w:pPr>
              <w:pStyle w:val="TableParagraph"/>
              <w:spacing w:line="211" w:lineRule="exact"/>
              <w:ind w:left="200"/>
              <w:rPr>
                <w:sz w:val="21"/>
              </w:rPr>
            </w:pPr>
            <w:r>
              <w:rPr>
                <w:sz w:val="21"/>
              </w:rPr>
              <w:t>（三十二）重症肌无力</w:t>
            </w:r>
          </w:p>
        </w:tc>
        <w:tc>
          <w:tcPr>
            <w:tcW w:w="6135" w:type="dxa"/>
          </w:tcPr>
          <w:p>
            <w:pPr>
              <w:pStyle w:val="TableParagraph"/>
              <w:spacing w:line="211" w:lineRule="exact"/>
              <w:ind w:left="106"/>
              <w:rPr>
                <w:sz w:val="21"/>
              </w:rPr>
            </w:pPr>
            <w:r>
              <w:rPr>
                <w:sz w:val="21"/>
              </w:rPr>
              <w:t>是指一种神经与肌肉接头部位传递障碍的自身免疫性疾病，临</w:t>
            </w:r>
          </w:p>
          <w:p>
            <w:pPr>
              <w:pStyle w:val="TableParagraph"/>
              <w:spacing w:line="290" w:lineRule="auto" w:before="61"/>
              <w:ind w:left="106" w:right="198"/>
              <w:rPr>
                <w:sz w:val="21"/>
              </w:rPr>
            </w:pPr>
            <w:r>
              <w:rPr>
                <w:sz w:val="21"/>
              </w:rPr>
              <w:t>床特征是局部或全身横纹肌于活动时易于疲劳无力，颅神经眼</w:t>
            </w:r>
            <w:r>
              <w:rPr>
                <w:spacing w:val="-9"/>
                <w:sz w:val="21"/>
              </w:rPr>
              <w:t>外肌最易累及，也可涉及呼吸肌、下肢近端肌群乃至全身肌肉， </w:t>
            </w:r>
            <w:r>
              <w:rPr>
                <w:spacing w:val="-5"/>
                <w:sz w:val="21"/>
              </w:rPr>
              <w:t>须经神经专科医生确诊。其诊断必须同时具有下列情况：</w:t>
            </w:r>
          </w:p>
          <w:p>
            <w:pPr>
              <w:pStyle w:val="TableParagraph"/>
              <w:spacing w:before="2"/>
              <w:ind w:left="106"/>
              <w:rPr>
                <w:sz w:val="21"/>
              </w:rPr>
            </w:pPr>
            <w:r>
              <w:rPr>
                <w:sz w:val="21"/>
              </w:rPr>
              <w:t>（1）经药物治疗和胸腺切除治疗一年以上仍无法控制病情；</w:t>
            </w:r>
          </w:p>
          <w:p>
            <w:pPr>
              <w:pStyle w:val="TableParagraph"/>
              <w:spacing w:line="273" w:lineRule="auto" w:before="36"/>
              <w:ind w:left="106" w:right="240"/>
              <w:rPr>
                <w:sz w:val="21"/>
              </w:rPr>
            </w:pPr>
            <w:r>
              <w:rPr>
                <w:sz w:val="21"/>
              </w:rPr>
              <w:t>（2）自主生活能力完全丧失，无法独立完成六项基本日常生活活动中的三项或三项以上。</w:t>
            </w:r>
          </w:p>
        </w:tc>
      </w:tr>
      <w:tr>
        <w:trPr>
          <w:trHeight w:val="1423" w:hRule="atLeast"/>
        </w:trPr>
        <w:tc>
          <w:tcPr>
            <w:tcW w:w="2974" w:type="dxa"/>
          </w:tcPr>
          <w:p>
            <w:pPr>
              <w:pStyle w:val="TableParagraph"/>
              <w:spacing w:before="10"/>
              <w:rPr>
                <w:rFonts w:ascii="Times New Roman"/>
                <w:sz w:val="17"/>
              </w:rPr>
            </w:pPr>
          </w:p>
          <w:p>
            <w:pPr>
              <w:pStyle w:val="TableParagraph"/>
              <w:ind w:left="200"/>
              <w:rPr>
                <w:sz w:val="21"/>
              </w:rPr>
            </w:pPr>
            <w:r>
              <w:rPr>
                <w:sz w:val="21"/>
              </w:rPr>
              <w:t>（</w:t>
            </w:r>
            <w:r>
              <w:rPr>
                <w:spacing w:val="-2"/>
                <w:sz w:val="21"/>
              </w:rPr>
              <w:t>三十三</w:t>
            </w:r>
            <w:r>
              <w:rPr>
                <w:spacing w:val="-68"/>
                <w:sz w:val="21"/>
              </w:rPr>
              <w:t>）</w:t>
            </w:r>
            <w:r>
              <w:rPr>
                <w:spacing w:val="-3"/>
                <w:sz w:val="21"/>
              </w:rPr>
              <w:t>急性坏死性胰腺炎</w:t>
            </w:r>
          </w:p>
        </w:tc>
        <w:tc>
          <w:tcPr>
            <w:tcW w:w="6135" w:type="dxa"/>
          </w:tcPr>
          <w:p>
            <w:pPr>
              <w:pStyle w:val="TableParagraph"/>
              <w:spacing w:before="10"/>
              <w:rPr>
                <w:rFonts w:ascii="Times New Roman"/>
                <w:sz w:val="17"/>
              </w:rPr>
            </w:pPr>
          </w:p>
          <w:p>
            <w:pPr>
              <w:pStyle w:val="TableParagraph"/>
              <w:spacing w:line="292" w:lineRule="auto"/>
              <w:ind w:left="106" w:right="305"/>
              <w:jc w:val="both"/>
              <w:rPr>
                <w:sz w:val="21"/>
              </w:rPr>
            </w:pPr>
            <w:r>
              <w:rPr>
                <w:sz w:val="21"/>
              </w:rPr>
              <w:t>由专科医生确诊为急性坏死性胰腺炎，并需进行手术治疗，以进行组织清除、病灶切除或胰腺部分切除。但因酒精中毒所致的急性坏死性胰腺炎除外。</w:t>
            </w:r>
          </w:p>
        </w:tc>
      </w:tr>
      <w:tr>
        <w:trPr>
          <w:trHeight w:val="2431" w:hRule="atLeast"/>
        </w:trPr>
        <w:tc>
          <w:tcPr>
            <w:tcW w:w="2974" w:type="dxa"/>
          </w:tcPr>
          <w:p>
            <w:pPr>
              <w:pStyle w:val="TableParagraph"/>
              <w:spacing w:before="4"/>
              <w:rPr>
                <w:rFonts w:ascii="Times New Roman"/>
                <w:sz w:val="18"/>
              </w:rPr>
            </w:pPr>
          </w:p>
          <w:p>
            <w:pPr>
              <w:pStyle w:val="TableParagraph"/>
              <w:ind w:left="200"/>
              <w:rPr>
                <w:sz w:val="21"/>
              </w:rPr>
            </w:pPr>
            <w:r>
              <w:rPr>
                <w:sz w:val="21"/>
              </w:rPr>
              <w:t>（三十四）坏死性筋膜炎</w:t>
            </w:r>
          </w:p>
        </w:tc>
        <w:tc>
          <w:tcPr>
            <w:tcW w:w="6135" w:type="dxa"/>
          </w:tcPr>
          <w:p>
            <w:pPr>
              <w:pStyle w:val="TableParagraph"/>
              <w:spacing w:before="4"/>
              <w:rPr>
                <w:rFonts w:ascii="Times New Roman"/>
                <w:sz w:val="18"/>
              </w:rPr>
            </w:pPr>
          </w:p>
          <w:p>
            <w:pPr>
              <w:pStyle w:val="TableParagraph"/>
              <w:ind w:left="106"/>
              <w:rPr>
                <w:sz w:val="21"/>
              </w:rPr>
            </w:pPr>
            <w:r>
              <w:rPr>
                <w:sz w:val="21"/>
              </w:rPr>
              <w:t>坏死性筋膜炎的诊断须同时符合下列要求：</w:t>
            </w:r>
          </w:p>
          <w:p>
            <w:pPr>
              <w:pStyle w:val="TableParagraph"/>
              <w:spacing w:before="61"/>
              <w:ind w:left="106"/>
              <w:rPr>
                <w:sz w:val="21"/>
              </w:rPr>
            </w:pPr>
            <w:r>
              <w:rPr>
                <w:sz w:val="21"/>
              </w:rPr>
              <w:t>（1）符合坏死性筋膜炎的一般临床表现；</w:t>
            </w:r>
          </w:p>
          <w:p>
            <w:pPr>
              <w:pStyle w:val="TableParagraph"/>
              <w:spacing w:before="58"/>
              <w:ind w:left="106"/>
              <w:rPr>
                <w:sz w:val="21"/>
              </w:rPr>
            </w:pPr>
            <w:r>
              <w:rPr>
                <w:sz w:val="21"/>
              </w:rPr>
              <w:t>（2）细菌培养检出致病菌；</w:t>
            </w:r>
          </w:p>
          <w:p>
            <w:pPr>
              <w:pStyle w:val="TableParagraph"/>
              <w:spacing w:line="290" w:lineRule="auto" w:before="58"/>
              <w:ind w:left="106" w:right="301"/>
              <w:jc w:val="both"/>
              <w:rPr>
                <w:sz w:val="21"/>
              </w:rPr>
            </w:pPr>
            <w:r>
              <w:rPr>
                <w:spacing w:val="-10"/>
                <w:sz w:val="21"/>
              </w:rPr>
              <w:t>（3）</w:t>
            </w:r>
            <w:r>
              <w:rPr>
                <w:spacing w:val="-5"/>
                <w:sz w:val="21"/>
              </w:rPr>
              <w:t>出现广泛性肌肉及软组织坏死，并导致身体受影响部位永久完全失去功能。所谓永久完全失去功能是指受影响部位的功</w:t>
            </w:r>
            <w:r>
              <w:rPr>
                <w:spacing w:val="-4"/>
                <w:sz w:val="21"/>
              </w:rPr>
              <w:t>能丧失超过六个月者。</w:t>
            </w:r>
          </w:p>
        </w:tc>
      </w:tr>
      <w:tr>
        <w:trPr>
          <w:trHeight w:val="2431" w:hRule="atLeast"/>
        </w:trPr>
        <w:tc>
          <w:tcPr>
            <w:tcW w:w="2974" w:type="dxa"/>
          </w:tcPr>
          <w:p>
            <w:pPr>
              <w:pStyle w:val="TableParagraph"/>
              <w:spacing w:before="4"/>
              <w:rPr>
                <w:rFonts w:ascii="Times New Roman"/>
                <w:sz w:val="18"/>
              </w:rPr>
            </w:pPr>
          </w:p>
          <w:p>
            <w:pPr>
              <w:pStyle w:val="TableParagraph"/>
              <w:ind w:left="200"/>
              <w:rPr>
                <w:sz w:val="21"/>
              </w:rPr>
            </w:pPr>
            <w:r>
              <w:rPr>
                <w:sz w:val="21"/>
              </w:rPr>
              <w:t>（三十五）终末期肺病</w:t>
            </w:r>
          </w:p>
        </w:tc>
        <w:tc>
          <w:tcPr>
            <w:tcW w:w="6135" w:type="dxa"/>
          </w:tcPr>
          <w:p>
            <w:pPr>
              <w:pStyle w:val="TableParagraph"/>
              <w:spacing w:before="4"/>
              <w:rPr>
                <w:rFonts w:ascii="Times New Roman"/>
                <w:sz w:val="18"/>
              </w:rPr>
            </w:pPr>
          </w:p>
          <w:p>
            <w:pPr>
              <w:pStyle w:val="TableParagraph"/>
              <w:spacing w:line="292" w:lineRule="auto"/>
              <w:ind w:left="106" w:right="307"/>
              <w:rPr>
                <w:sz w:val="21"/>
              </w:rPr>
            </w:pPr>
            <w:r>
              <w:rPr>
                <w:sz w:val="21"/>
              </w:rPr>
              <w:t>由呼吸专科医生确诊被保险人患有终末期肺病而出现慢性呼吸功能衰竭，其诊断标准包括以下各项：</w:t>
            </w:r>
          </w:p>
          <w:p>
            <w:pPr>
              <w:pStyle w:val="TableParagraph"/>
              <w:spacing w:before="12"/>
              <w:ind w:left="106"/>
              <w:rPr>
                <w:sz w:val="21"/>
              </w:rPr>
            </w:pPr>
            <w:r>
              <w:rPr>
                <w:sz w:val="21"/>
              </w:rPr>
              <w:t>（1）肺功能测试其 FEVl 持续低于 0.75 升；</w:t>
            </w:r>
          </w:p>
          <w:p>
            <w:pPr>
              <w:pStyle w:val="TableParagraph"/>
              <w:spacing w:before="58"/>
              <w:ind w:left="106"/>
              <w:rPr>
                <w:sz w:val="21"/>
              </w:rPr>
            </w:pPr>
            <w:r>
              <w:rPr>
                <w:sz w:val="21"/>
              </w:rPr>
              <w:t>（2）病人缺氧必须广泛而持续地进行输氧治疗；</w:t>
            </w:r>
          </w:p>
          <w:p>
            <w:pPr>
              <w:pStyle w:val="TableParagraph"/>
              <w:spacing w:before="58"/>
              <w:ind w:left="106"/>
              <w:rPr>
                <w:sz w:val="21"/>
              </w:rPr>
            </w:pPr>
            <w:r>
              <w:rPr>
                <w:sz w:val="21"/>
              </w:rPr>
              <w:t>（3）动脉血气分析氧分压低于 55mmHg。</w:t>
            </w:r>
          </w:p>
          <w:p>
            <w:pPr>
              <w:pStyle w:val="TableParagraph"/>
              <w:spacing w:before="58"/>
              <w:ind w:left="106"/>
              <w:rPr>
                <w:sz w:val="21"/>
              </w:rPr>
            </w:pPr>
            <w:r>
              <w:rPr>
                <w:sz w:val="21"/>
              </w:rPr>
              <w:t>理赔时必须提供以上各项中相应的医院证明文件或检查报告。</w:t>
            </w:r>
          </w:p>
        </w:tc>
      </w:tr>
      <w:tr>
        <w:trPr>
          <w:trHeight w:val="4106" w:hRule="atLeast"/>
        </w:trPr>
        <w:tc>
          <w:tcPr>
            <w:tcW w:w="2974" w:type="dxa"/>
          </w:tcPr>
          <w:p>
            <w:pPr>
              <w:pStyle w:val="TableParagraph"/>
              <w:spacing w:before="4"/>
              <w:rPr>
                <w:rFonts w:ascii="Times New Roman"/>
                <w:sz w:val="18"/>
              </w:rPr>
            </w:pPr>
          </w:p>
          <w:p>
            <w:pPr>
              <w:pStyle w:val="TableParagraph"/>
              <w:spacing w:line="295" w:lineRule="auto"/>
              <w:ind w:left="200" w:right="105"/>
              <w:rPr>
                <w:sz w:val="21"/>
              </w:rPr>
            </w:pPr>
            <w:r>
              <w:rPr>
                <w:sz w:val="21"/>
              </w:rPr>
              <w:t>（</w:t>
            </w:r>
            <w:r>
              <w:rPr>
                <w:spacing w:val="-2"/>
                <w:sz w:val="21"/>
              </w:rPr>
              <w:t>三十六</w:t>
            </w:r>
            <w:r>
              <w:rPr>
                <w:spacing w:val="-68"/>
                <w:sz w:val="21"/>
              </w:rPr>
              <w:t>）</w:t>
            </w:r>
            <w:r>
              <w:rPr>
                <w:spacing w:val="-3"/>
                <w:sz w:val="21"/>
              </w:rPr>
              <w:t>严重类风湿性关节炎</w:t>
            </w:r>
          </w:p>
        </w:tc>
        <w:tc>
          <w:tcPr>
            <w:tcW w:w="6135" w:type="dxa"/>
          </w:tcPr>
          <w:p>
            <w:pPr>
              <w:pStyle w:val="TableParagraph"/>
              <w:spacing w:before="4"/>
              <w:rPr>
                <w:rFonts w:ascii="Times New Roman"/>
                <w:sz w:val="18"/>
              </w:rPr>
            </w:pPr>
          </w:p>
          <w:p>
            <w:pPr>
              <w:pStyle w:val="TableParagraph"/>
              <w:spacing w:line="292" w:lineRule="auto"/>
              <w:ind w:left="106" w:right="307"/>
              <w:jc w:val="both"/>
              <w:rPr>
                <w:sz w:val="21"/>
              </w:rPr>
            </w:pPr>
            <w:r>
              <w:rPr>
                <w:sz w:val="21"/>
              </w:rPr>
              <w:t>类风湿性关节炎系指以关节滑膜炎为特征的慢性全身性自身免疫性疾病，诊断必须符合国际认可的该疾病的诊断标准。被保险人须经专科医生明确诊断，同时符合以下三项标准，且已接受膝关节或髋关节置换手术的，我们才承担赔偿责任：</w:t>
            </w:r>
          </w:p>
          <w:p>
            <w:pPr>
              <w:pStyle w:val="TableParagraph"/>
              <w:spacing w:line="292" w:lineRule="auto" w:before="12"/>
              <w:ind w:left="106" w:right="300"/>
              <w:jc w:val="both"/>
              <w:rPr>
                <w:sz w:val="21"/>
              </w:rPr>
            </w:pPr>
            <w:r>
              <w:rPr>
                <w:spacing w:val="2"/>
                <w:sz w:val="21"/>
              </w:rPr>
              <w:t>（1）至少包括下列关节中的三组或以上有广泛受损和畸形改</w:t>
            </w:r>
            <w:r>
              <w:rPr>
                <w:spacing w:val="-9"/>
                <w:sz w:val="21"/>
              </w:rPr>
              <w:t>变:手指关节、腕关节、肘关节、膝关节、髋关节、踝关节、脊</w:t>
            </w:r>
            <w:r>
              <w:rPr>
                <w:spacing w:val="-5"/>
                <w:sz w:val="21"/>
              </w:rPr>
              <w:t>椎或脚趾关节；</w:t>
            </w:r>
          </w:p>
          <w:p>
            <w:pPr>
              <w:pStyle w:val="TableParagraph"/>
              <w:spacing w:line="290" w:lineRule="auto" w:before="12"/>
              <w:ind w:left="106" w:right="301"/>
              <w:jc w:val="both"/>
              <w:rPr>
                <w:sz w:val="21"/>
              </w:rPr>
            </w:pPr>
            <w:r>
              <w:rPr>
                <w:spacing w:val="-20"/>
                <w:sz w:val="21"/>
              </w:rPr>
              <w:t>（2）</w:t>
            </w:r>
            <w:r>
              <w:rPr>
                <w:spacing w:val="-8"/>
                <w:sz w:val="21"/>
              </w:rPr>
              <w:t>手和腕的后前位 </w:t>
            </w:r>
            <w:r>
              <w:rPr>
                <w:sz w:val="21"/>
              </w:rPr>
              <w:t>X</w:t>
            </w:r>
            <w:r>
              <w:rPr>
                <w:spacing w:val="-8"/>
                <w:sz w:val="21"/>
              </w:rPr>
              <w:t> 线拍片检查可见类风湿性关节炎的典型变化，包括骨质侵蚀或钙流失，位于受累关节及其邻近部位尤</w:t>
            </w:r>
            <w:r>
              <w:rPr>
                <w:spacing w:val="-6"/>
                <w:sz w:val="21"/>
              </w:rPr>
              <w:t>其明显；</w:t>
            </w:r>
          </w:p>
          <w:p>
            <w:pPr>
              <w:pStyle w:val="TableParagraph"/>
              <w:spacing w:before="17"/>
              <w:ind w:left="106"/>
              <w:jc w:val="both"/>
              <w:rPr>
                <w:sz w:val="21"/>
              </w:rPr>
            </w:pPr>
            <w:r>
              <w:rPr>
                <w:sz w:val="21"/>
              </w:rPr>
              <w:t>（3）关节的畸形改变至少持续 6 个月。</w:t>
            </w:r>
          </w:p>
        </w:tc>
      </w:tr>
      <w:tr>
        <w:trPr>
          <w:trHeight w:val="487" w:hRule="atLeast"/>
        </w:trPr>
        <w:tc>
          <w:tcPr>
            <w:tcW w:w="2974" w:type="dxa"/>
          </w:tcPr>
          <w:p>
            <w:pPr>
              <w:pStyle w:val="TableParagraph"/>
              <w:spacing w:before="5"/>
              <w:rPr>
                <w:rFonts w:ascii="Times New Roman"/>
                <w:sz w:val="18"/>
              </w:rPr>
            </w:pPr>
          </w:p>
          <w:p>
            <w:pPr>
              <w:pStyle w:val="TableParagraph"/>
              <w:spacing w:line="255" w:lineRule="exact"/>
              <w:ind w:left="200"/>
              <w:rPr>
                <w:sz w:val="21"/>
              </w:rPr>
            </w:pPr>
            <w:r>
              <w:rPr>
                <w:sz w:val="21"/>
              </w:rPr>
              <w:t>（</w:t>
            </w:r>
            <w:r>
              <w:rPr>
                <w:spacing w:val="-2"/>
                <w:sz w:val="21"/>
              </w:rPr>
              <w:t>三十七</w:t>
            </w:r>
            <w:r>
              <w:rPr>
                <w:spacing w:val="-68"/>
                <w:sz w:val="21"/>
              </w:rPr>
              <w:t>）</w:t>
            </w:r>
            <w:r>
              <w:rPr>
                <w:spacing w:val="-3"/>
                <w:sz w:val="21"/>
              </w:rPr>
              <w:t>非阿尔茨海默病所</w:t>
            </w:r>
          </w:p>
        </w:tc>
        <w:tc>
          <w:tcPr>
            <w:tcW w:w="6135" w:type="dxa"/>
          </w:tcPr>
          <w:p>
            <w:pPr>
              <w:pStyle w:val="TableParagraph"/>
              <w:spacing w:before="5"/>
              <w:rPr>
                <w:rFonts w:ascii="Times New Roman"/>
                <w:sz w:val="18"/>
              </w:rPr>
            </w:pPr>
          </w:p>
          <w:p>
            <w:pPr>
              <w:pStyle w:val="TableParagraph"/>
              <w:spacing w:line="255" w:lineRule="exact"/>
              <w:ind w:left="106"/>
              <w:rPr>
                <w:sz w:val="21"/>
              </w:rPr>
            </w:pPr>
            <w:r>
              <w:rPr>
                <w:sz w:val="21"/>
              </w:rPr>
              <w:t>指因阿尔茨海默病以外的脑的器质性疾病造成脑功能衰竭导致</w:t>
            </w:r>
          </w:p>
        </w:tc>
      </w:tr>
    </w:tbl>
    <w:p>
      <w:pPr>
        <w:spacing w:after="0" w:line="255" w:lineRule="exact"/>
        <w:rPr>
          <w:sz w:val="21"/>
        </w:rPr>
        <w:sectPr>
          <w:pgSz w:w="11910" w:h="16840"/>
          <w:pgMar w:header="0" w:footer="919" w:top="158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138"/>
      </w:tblGrid>
      <w:tr>
        <w:trPr>
          <w:trHeight w:val="2143" w:hRule="atLeast"/>
        </w:trPr>
        <w:tc>
          <w:tcPr>
            <w:tcW w:w="2974" w:type="dxa"/>
          </w:tcPr>
          <w:p>
            <w:pPr>
              <w:pStyle w:val="TableParagraph"/>
              <w:spacing w:line="211" w:lineRule="exact"/>
              <w:ind w:left="200"/>
              <w:rPr>
                <w:sz w:val="21"/>
              </w:rPr>
            </w:pPr>
            <w:r>
              <w:rPr>
                <w:sz w:val="21"/>
              </w:rPr>
              <w:t>致严重痴呆</w:t>
            </w:r>
          </w:p>
        </w:tc>
        <w:tc>
          <w:tcPr>
            <w:tcW w:w="6138" w:type="dxa"/>
          </w:tcPr>
          <w:p>
            <w:pPr>
              <w:pStyle w:val="TableParagraph"/>
              <w:spacing w:line="211" w:lineRule="exact"/>
              <w:ind w:left="106"/>
              <w:rPr>
                <w:sz w:val="21"/>
              </w:rPr>
            </w:pPr>
            <w:r>
              <w:rPr>
                <w:sz w:val="21"/>
              </w:rPr>
              <w:t>永久不可逆性的严重痴呆，临床表现为明显的认知能力障碍、</w:t>
            </w:r>
          </w:p>
          <w:p>
            <w:pPr>
              <w:pStyle w:val="TableParagraph"/>
              <w:spacing w:line="292" w:lineRule="auto" w:before="58"/>
              <w:ind w:left="106" w:right="199"/>
              <w:rPr>
                <w:sz w:val="21"/>
              </w:rPr>
            </w:pPr>
            <w:r>
              <w:rPr>
                <w:sz w:val="21"/>
              </w:rPr>
              <w:t>行为异常和社交能力减退。被保险人自主生活能力完全丧失， 无法独立完成六项基本日常生活活动中的三项或三项以上，日</w:t>
            </w:r>
            <w:r>
              <w:rPr>
                <w:spacing w:val="-7"/>
                <w:sz w:val="21"/>
              </w:rPr>
              <w:t>常生活必须持续受到他人监护。导致痴呆的疾病必须明确诊断， 并且由完整的临床、实验室和影像学检查结果证实。神经官能</w:t>
            </w:r>
            <w:r>
              <w:rPr>
                <w:spacing w:val="-5"/>
                <w:sz w:val="21"/>
              </w:rPr>
              <w:t>症和精神疾病不在保障范围内。</w:t>
            </w:r>
          </w:p>
        </w:tc>
      </w:tr>
      <w:tr>
        <w:trPr>
          <w:trHeight w:val="3088" w:hRule="atLeast"/>
        </w:trPr>
        <w:tc>
          <w:tcPr>
            <w:tcW w:w="2974" w:type="dxa"/>
          </w:tcPr>
          <w:p>
            <w:pPr>
              <w:pStyle w:val="TableParagraph"/>
              <w:spacing w:before="2"/>
              <w:rPr>
                <w:rFonts w:ascii="Times New Roman"/>
                <w:sz w:val="17"/>
              </w:rPr>
            </w:pPr>
          </w:p>
          <w:p>
            <w:pPr>
              <w:pStyle w:val="TableParagraph"/>
              <w:ind w:left="200"/>
              <w:rPr>
                <w:sz w:val="21"/>
              </w:rPr>
            </w:pPr>
            <w:r>
              <w:rPr>
                <w:sz w:val="21"/>
              </w:rPr>
              <w:t>（三十八）系统性硬化</w:t>
            </w:r>
          </w:p>
        </w:tc>
        <w:tc>
          <w:tcPr>
            <w:tcW w:w="6138" w:type="dxa"/>
          </w:tcPr>
          <w:p>
            <w:pPr>
              <w:pStyle w:val="TableParagraph"/>
              <w:spacing w:before="2"/>
              <w:rPr>
                <w:rFonts w:ascii="Times New Roman"/>
                <w:sz w:val="17"/>
              </w:rPr>
            </w:pPr>
          </w:p>
          <w:p>
            <w:pPr>
              <w:pStyle w:val="TableParagraph"/>
              <w:spacing w:line="292" w:lineRule="auto"/>
              <w:ind w:left="106" w:right="310"/>
              <w:jc w:val="both"/>
              <w:rPr>
                <w:sz w:val="21"/>
              </w:rPr>
            </w:pPr>
            <w:r>
              <w:rPr>
                <w:sz w:val="21"/>
              </w:rPr>
              <w:t>系统性硬化病又称硬皮病，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12"/>
              <w:ind w:left="106"/>
              <w:jc w:val="both"/>
              <w:rPr>
                <w:sz w:val="21"/>
              </w:rPr>
            </w:pPr>
            <w:r>
              <w:rPr>
                <w:sz w:val="21"/>
              </w:rPr>
              <w:t>下列疾病不在保障范围内：</w:t>
            </w:r>
          </w:p>
          <w:p>
            <w:pPr>
              <w:pStyle w:val="TableParagraph"/>
              <w:spacing w:before="58"/>
              <w:ind w:left="106"/>
              <w:jc w:val="both"/>
              <w:rPr>
                <w:sz w:val="21"/>
              </w:rPr>
            </w:pPr>
            <w:r>
              <w:rPr>
                <w:w w:val="100"/>
                <w:sz w:val="21"/>
              </w:rPr>
              <w:t>（1</w:t>
            </w:r>
            <w:r>
              <w:rPr>
                <w:spacing w:val="-3"/>
                <w:w w:val="100"/>
                <w:sz w:val="21"/>
              </w:rPr>
              <w:t>）局限性硬皮病</w:t>
            </w:r>
            <w:r>
              <w:rPr>
                <w:w w:val="100"/>
                <w:sz w:val="21"/>
              </w:rPr>
              <w:t>（</w:t>
            </w:r>
            <w:r>
              <w:rPr>
                <w:spacing w:val="-3"/>
                <w:w w:val="100"/>
                <w:sz w:val="21"/>
              </w:rPr>
              <w:t>包括带状硬皮病、硬斑病</w:t>
            </w:r>
            <w:r>
              <w:rPr>
                <w:spacing w:val="-106"/>
                <w:w w:val="100"/>
                <w:sz w:val="21"/>
              </w:rPr>
              <w:t>）</w:t>
            </w:r>
            <w:r>
              <w:rPr>
                <w:w w:val="100"/>
                <w:sz w:val="21"/>
              </w:rPr>
              <w:t>；</w:t>
            </w:r>
          </w:p>
          <w:p>
            <w:pPr>
              <w:pStyle w:val="TableParagraph"/>
              <w:spacing w:before="60"/>
              <w:ind w:left="106"/>
              <w:jc w:val="both"/>
              <w:rPr>
                <w:sz w:val="21"/>
              </w:rPr>
            </w:pPr>
            <w:r>
              <w:rPr>
                <w:sz w:val="21"/>
              </w:rPr>
              <w:t>（2）嗜酸细胞性筋膜炎；</w:t>
            </w:r>
          </w:p>
          <w:p>
            <w:pPr>
              <w:pStyle w:val="TableParagraph"/>
              <w:spacing w:before="58"/>
              <w:ind w:left="106"/>
              <w:jc w:val="both"/>
              <w:rPr>
                <w:sz w:val="21"/>
              </w:rPr>
            </w:pPr>
            <w:r>
              <w:rPr>
                <w:sz w:val="21"/>
              </w:rPr>
              <w:t>（3）CREST 综合征。</w:t>
            </w:r>
          </w:p>
        </w:tc>
      </w:tr>
      <w:tr>
        <w:trPr>
          <w:trHeight w:val="2431" w:hRule="atLeast"/>
        </w:trPr>
        <w:tc>
          <w:tcPr>
            <w:tcW w:w="2974" w:type="dxa"/>
          </w:tcPr>
          <w:p>
            <w:pPr>
              <w:pStyle w:val="TableParagraph"/>
              <w:spacing w:before="4"/>
              <w:rPr>
                <w:rFonts w:ascii="Times New Roman"/>
                <w:sz w:val="18"/>
              </w:rPr>
            </w:pPr>
          </w:p>
          <w:p>
            <w:pPr>
              <w:pStyle w:val="TableParagraph"/>
              <w:ind w:left="200"/>
              <w:rPr>
                <w:sz w:val="21"/>
              </w:rPr>
            </w:pPr>
            <w:r>
              <w:rPr>
                <w:sz w:val="21"/>
              </w:rPr>
              <w:t>（三十九）脊髓灰质炎</w:t>
            </w:r>
          </w:p>
        </w:tc>
        <w:tc>
          <w:tcPr>
            <w:tcW w:w="6138" w:type="dxa"/>
          </w:tcPr>
          <w:p>
            <w:pPr>
              <w:pStyle w:val="TableParagraph"/>
              <w:spacing w:before="4"/>
              <w:rPr>
                <w:rFonts w:ascii="Times New Roman"/>
                <w:sz w:val="18"/>
              </w:rPr>
            </w:pPr>
          </w:p>
          <w:p>
            <w:pPr>
              <w:pStyle w:val="TableParagraph"/>
              <w:spacing w:line="292" w:lineRule="auto"/>
              <w:ind w:left="106" w:right="199"/>
              <w:rPr>
                <w:sz w:val="21"/>
              </w:rPr>
            </w:pPr>
            <w:r>
              <w:rPr>
                <w:sz w:val="21"/>
              </w:rPr>
              <w:t>脊髓灰质炎是由于脊髓灰质炎病毒感染所致的瘫痪性疾病，临</w:t>
            </w:r>
            <w:r>
              <w:rPr>
                <w:spacing w:val="-7"/>
                <w:sz w:val="21"/>
              </w:rPr>
              <w:t>床表现为运动功能损害或呼吸无力。脊髓灰质炎必须明确诊断。我们仅对脊髓灰质炎造成的神经系统功能损害导致被保险人一肢或一肢以上肢体机能永久完全丧失的情况予以理赔。肢体机能永久完全丧失，指疾病确诊 </w:t>
            </w:r>
            <w:r>
              <w:rPr>
                <w:sz w:val="21"/>
              </w:rPr>
              <w:t>180</w:t>
            </w:r>
            <w:r>
              <w:rPr>
                <w:spacing w:val="-6"/>
                <w:sz w:val="21"/>
              </w:rPr>
              <w:t> 天后，每肢三大关节中的两</w:t>
            </w:r>
            <w:r>
              <w:rPr>
                <w:spacing w:val="-4"/>
                <w:sz w:val="21"/>
              </w:rPr>
              <w:t>大关节仍然完全僵硬，或不能随意识活动。</w:t>
            </w:r>
          </w:p>
        </w:tc>
      </w:tr>
      <w:tr>
        <w:trPr>
          <w:trHeight w:val="1427" w:hRule="atLeast"/>
        </w:trPr>
        <w:tc>
          <w:tcPr>
            <w:tcW w:w="2974" w:type="dxa"/>
          </w:tcPr>
          <w:p>
            <w:pPr>
              <w:pStyle w:val="TableParagraph"/>
              <w:spacing w:before="4"/>
              <w:rPr>
                <w:rFonts w:ascii="Times New Roman"/>
                <w:sz w:val="18"/>
              </w:rPr>
            </w:pPr>
          </w:p>
          <w:p>
            <w:pPr>
              <w:pStyle w:val="TableParagraph"/>
              <w:ind w:left="200"/>
              <w:rPr>
                <w:sz w:val="21"/>
              </w:rPr>
            </w:pPr>
            <w:r>
              <w:rPr>
                <w:sz w:val="21"/>
              </w:rPr>
              <w:t>（四十）严重克隆病</w:t>
            </w:r>
          </w:p>
        </w:tc>
        <w:tc>
          <w:tcPr>
            <w:tcW w:w="6138" w:type="dxa"/>
          </w:tcPr>
          <w:p>
            <w:pPr>
              <w:pStyle w:val="TableParagraph"/>
              <w:spacing w:before="4"/>
              <w:rPr>
                <w:rFonts w:ascii="Times New Roman"/>
                <w:sz w:val="18"/>
              </w:rPr>
            </w:pPr>
          </w:p>
          <w:p>
            <w:pPr>
              <w:pStyle w:val="TableParagraph"/>
              <w:spacing w:line="290" w:lineRule="auto"/>
              <w:ind w:left="106" w:right="31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98" w:hRule="atLeast"/>
        </w:trPr>
        <w:tc>
          <w:tcPr>
            <w:tcW w:w="2974" w:type="dxa"/>
          </w:tcPr>
          <w:p>
            <w:pPr>
              <w:pStyle w:val="TableParagraph"/>
              <w:spacing w:before="4"/>
              <w:rPr>
                <w:rFonts w:ascii="Times New Roman"/>
                <w:sz w:val="18"/>
              </w:rPr>
            </w:pPr>
          </w:p>
          <w:p>
            <w:pPr>
              <w:pStyle w:val="TableParagraph"/>
              <w:ind w:left="200"/>
              <w:rPr>
                <w:sz w:val="21"/>
              </w:rPr>
            </w:pPr>
            <w:r>
              <w:rPr>
                <w:sz w:val="21"/>
              </w:rPr>
              <w:t>（</w:t>
            </w:r>
            <w:r>
              <w:rPr>
                <w:spacing w:val="-2"/>
                <w:sz w:val="21"/>
              </w:rPr>
              <w:t>四十一</w:t>
            </w:r>
            <w:r>
              <w:rPr>
                <w:spacing w:val="-68"/>
                <w:sz w:val="21"/>
              </w:rPr>
              <w:t>）</w:t>
            </w:r>
            <w:r>
              <w:rPr>
                <w:spacing w:val="-3"/>
                <w:sz w:val="21"/>
              </w:rPr>
              <w:t>严重溃疡性结肠炎</w:t>
            </w:r>
          </w:p>
        </w:tc>
        <w:tc>
          <w:tcPr>
            <w:tcW w:w="6138" w:type="dxa"/>
          </w:tcPr>
          <w:p>
            <w:pPr>
              <w:pStyle w:val="TableParagraph"/>
              <w:spacing w:before="4"/>
              <w:rPr>
                <w:rFonts w:ascii="Times New Roman"/>
                <w:sz w:val="18"/>
              </w:rPr>
            </w:pPr>
          </w:p>
          <w:p>
            <w:pPr>
              <w:pStyle w:val="TableParagraph"/>
              <w:spacing w:line="292" w:lineRule="auto"/>
              <w:ind w:left="106" w:right="307"/>
              <w:jc w:val="both"/>
              <w:rPr>
                <w:sz w:val="21"/>
              </w:rPr>
            </w:pPr>
            <w:r>
              <w:rPr>
                <w:sz w:val="21"/>
              </w:rPr>
              <w:t>我们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490" w:hRule="atLeast"/>
        </w:trPr>
        <w:tc>
          <w:tcPr>
            <w:tcW w:w="2974" w:type="dxa"/>
          </w:tcPr>
          <w:p>
            <w:pPr>
              <w:pStyle w:val="TableParagraph"/>
              <w:spacing w:before="4"/>
              <w:rPr>
                <w:rFonts w:ascii="Times New Roman"/>
                <w:sz w:val="18"/>
              </w:rPr>
            </w:pPr>
          </w:p>
          <w:p>
            <w:pPr>
              <w:pStyle w:val="TableParagraph"/>
              <w:spacing w:line="292" w:lineRule="auto"/>
              <w:ind w:left="200" w:right="105"/>
              <w:rPr>
                <w:sz w:val="21"/>
              </w:rPr>
            </w:pPr>
            <w:r>
              <w:rPr>
                <w:sz w:val="21"/>
              </w:rPr>
              <w:t>（</w:t>
            </w:r>
            <w:r>
              <w:rPr>
                <w:spacing w:val="-2"/>
                <w:sz w:val="21"/>
              </w:rPr>
              <w:t>四十二</w:t>
            </w:r>
            <w:r>
              <w:rPr>
                <w:spacing w:val="-68"/>
                <w:sz w:val="21"/>
              </w:rPr>
              <w:t>）</w:t>
            </w:r>
            <w:r>
              <w:rPr>
                <w:spacing w:val="-3"/>
                <w:sz w:val="21"/>
              </w:rPr>
              <w:t>因职业关系导致的人类免疫缺陷病毒感染</w:t>
            </w:r>
          </w:p>
        </w:tc>
        <w:tc>
          <w:tcPr>
            <w:tcW w:w="6138" w:type="dxa"/>
          </w:tcPr>
          <w:p>
            <w:pPr>
              <w:pStyle w:val="TableParagraph"/>
              <w:spacing w:before="4"/>
              <w:rPr>
                <w:rFonts w:ascii="Times New Roman"/>
                <w:sz w:val="18"/>
              </w:rPr>
            </w:pPr>
          </w:p>
          <w:p>
            <w:pPr>
              <w:pStyle w:val="TableParagraph"/>
              <w:spacing w:line="290" w:lineRule="auto"/>
              <w:ind w:left="106" w:right="310"/>
              <w:rPr>
                <w:sz w:val="21"/>
              </w:rPr>
            </w:pPr>
            <w:r>
              <w:rPr>
                <w:sz w:val="21"/>
              </w:rPr>
              <w:t>指被保险人在其常规职业工作过程中遭遇外伤，或者职业需要</w:t>
            </w:r>
            <w:r>
              <w:rPr>
                <w:spacing w:val="-3"/>
                <w:w w:val="100"/>
                <w:sz w:val="21"/>
              </w:rPr>
              <w:t>处理血液或者其他体液时感染上人类免疫缺陷病毒</w:t>
            </w:r>
            <w:r>
              <w:rPr>
                <w:w w:val="100"/>
                <w:sz w:val="21"/>
              </w:rPr>
              <w:t>（HIV</w:t>
            </w:r>
            <w:r>
              <w:rPr>
                <w:spacing w:val="-108"/>
                <w:w w:val="100"/>
                <w:sz w:val="21"/>
              </w:rPr>
              <w:t>）</w:t>
            </w:r>
            <w:r>
              <w:rPr>
                <w:w w:val="100"/>
                <w:sz w:val="21"/>
              </w:rPr>
              <w:t>。 </w:t>
            </w:r>
            <w:r>
              <w:rPr>
                <w:spacing w:val="-3"/>
                <w:sz w:val="21"/>
              </w:rPr>
              <w:t>必须满足下列全部条件：</w:t>
            </w:r>
          </w:p>
          <w:p>
            <w:pPr>
              <w:pStyle w:val="TableParagraph"/>
              <w:spacing w:line="290" w:lineRule="auto" w:before="17"/>
              <w:ind w:left="106" w:right="304"/>
              <w:jc w:val="both"/>
              <w:rPr>
                <w:sz w:val="21"/>
              </w:rPr>
            </w:pPr>
            <w:r>
              <w:rPr>
                <w:spacing w:val="-10"/>
                <w:sz w:val="21"/>
              </w:rPr>
              <w:t>（1）</w:t>
            </w:r>
            <w:r>
              <w:rPr>
                <w:spacing w:val="-5"/>
                <w:sz w:val="21"/>
              </w:rPr>
              <w:t>感染必须是在被保险人正在从事其职业工作中发生，该职业必须属于以下职业之一：医生和牙科医生、护士、医院化验室工作人员、医院护工、医生助理和牙医助理、救护车工作人</w:t>
            </w:r>
          </w:p>
          <w:p>
            <w:pPr>
              <w:pStyle w:val="TableParagraph"/>
              <w:spacing w:line="255" w:lineRule="exact" w:before="14"/>
              <w:ind w:left="106"/>
              <w:rPr>
                <w:sz w:val="21"/>
              </w:rPr>
            </w:pPr>
            <w:r>
              <w:rPr>
                <w:sz w:val="21"/>
              </w:rPr>
              <w:t>员、助产士、消防队员、警察、狱警；</w:t>
            </w:r>
          </w:p>
        </w:tc>
      </w:tr>
    </w:tbl>
    <w:p>
      <w:pPr>
        <w:spacing w:after="0" w:line="255" w:lineRule="exact"/>
        <w:rPr>
          <w:sz w:val="21"/>
        </w:rPr>
        <w:sectPr>
          <w:pgSz w:w="11910" w:h="16840"/>
          <w:pgMar w:header="0" w:footer="919" w:top="150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138"/>
      </w:tblGrid>
      <w:tr>
        <w:trPr>
          <w:trHeight w:val="4161" w:hRule="atLeast"/>
        </w:trPr>
        <w:tc>
          <w:tcPr>
            <w:tcW w:w="2974" w:type="dxa"/>
          </w:tcPr>
          <w:p>
            <w:pPr>
              <w:pStyle w:val="TableParagraph"/>
              <w:rPr>
                <w:rFonts w:ascii="Times New Roman"/>
                <w:sz w:val="20"/>
              </w:rPr>
            </w:pPr>
          </w:p>
        </w:tc>
        <w:tc>
          <w:tcPr>
            <w:tcW w:w="6138" w:type="dxa"/>
          </w:tcPr>
          <w:p>
            <w:pPr>
              <w:pStyle w:val="TableParagraph"/>
              <w:spacing w:line="211" w:lineRule="exact"/>
              <w:ind w:left="106"/>
              <w:rPr>
                <w:sz w:val="21"/>
              </w:rPr>
            </w:pPr>
            <w:r>
              <w:rPr>
                <w:sz w:val="21"/>
              </w:rPr>
              <w:t>（2）血清转化必须出现在事故发生后的 6 个月内；</w:t>
            </w:r>
          </w:p>
          <w:p>
            <w:pPr>
              <w:pStyle w:val="TableParagraph"/>
              <w:spacing w:line="290" w:lineRule="auto" w:before="58"/>
              <w:ind w:left="106" w:right="304"/>
              <w:jc w:val="both"/>
              <w:rPr>
                <w:sz w:val="21"/>
              </w:rPr>
            </w:pPr>
            <w:r>
              <w:rPr>
                <w:spacing w:val="-20"/>
                <w:sz w:val="21"/>
              </w:rPr>
              <w:t>（3）</w:t>
            </w:r>
            <w:r>
              <w:rPr>
                <w:spacing w:val="-5"/>
                <w:sz w:val="21"/>
              </w:rPr>
              <w:t>必须提供被保险人在所报告事故发生后的 </w:t>
            </w:r>
            <w:r>
              <w:rPr>
                <w:sz w:val="21"/>
              </w:rPr>
              <w:t>5</w:t>
            </w:r>
            <w:r>
              <w:rPr>
                <w:spacing w:val="-8"/>
                <w:sz w:val="21"/>
              </w:rPr>
              <w:t> 天内进行的检验报告，该报告必须显示被保险人血液 </w:t>
            </w:r>
            <w:r>
              <w:rPr>
                <w:sz w:val="21"/>
              </w:rPr>
              <w:t>HIV</w:t>
            </w:r>
            <w:r>
              <w:rPr>
                <w:spacing w:val="-10"/>
                <w:sz w:val="21"/>
              </w:rPr>
              <w:t> 病毒阴性和</w:t>
            </w:r>
            <w:r>
              <w:rPr>
                <w:spacing w:val="-3"/>
                <w:sz w:val="21"/>
              </w:rPr>
              <w:t>/</w:t>
            </w:r>
            <w:r>
              <w:rPr>
                <w:spacing w:val="-23"/>
                <w:sz w:val="21"/>
              </w:rPr>
              <w:t>或 </w:t>
            </w:r>
            <w:r>
              <w:rPr>
                <w:sz w:val="21"/>
              </w:rPr>
              <w:t>HIV </w:t>
            </w:r>
            <w:r>
              <w:rPr>
                <w:spacing w:val="-1"/>
                <w:sz w:val="21"/>
              </w:rPr>
              <w:t>抗体阴性；</w:t>
            </w:r>
          </w:p>
          <w:p>
            <w:pPr>
              <w:pStyle w:val="TableParagraph"/>
              <w:spacing w:line="292" w:lineRule="auto" w:before="14"/>
              <w:ind w:left="106" w:right="306"/>
              <w:jc w:val="both"/>
              <w:rPr>
                <w:sz w:val="21"/>
              </w:rPr>
            </w:pPr>
            <w:r>
              <w:rPr>
                <w:w w:val="100"/>
                <w:sz w:val="21"/>
              </w:rPr>
              <w:t>（4</w:t>
            </w:r>
            <w:r>
              <w:rPr>
                <w:spacing w:val="-106"/>
                <w:w w:val="100"/>
                <w:sz w:val="21"/>
              </w:rPr>
              <w:t>）</w:t>
            </w:r>
            <w:r>
              <w:rPr>
                <w:spacing w:val="-3"/>
                <w:w w:val="100"/>
                <w:sz w:val="21"/>
              </w:rPr>
              <w:t>必须在事故发生后的</w:t>
            </w:r>
            <w:r>
              <w:rPr>
                <w:spacing w:val="-55"/>
                <w:sz w:val="21"/>
              </w:rPr>
              <w:t> </w:t>
            </w:r>
            <w:r>
              <w:rPr>
                <w:w w:val="100"/>
                <w:sz w:val="21"/>
              </w:rPr>
              <w:t>12</w:t>
            </w:r>
            <w:r>
              <w:rPr>
                <w:spacing w:val="-53"/>
                <w:sz w:val="21"/>
              </w:rPr>
              <w:t> </w:t>
            </w:r>
            <w:r>
              <w:rPr>
                <w:spacing w:val="-3"/>
                <w:w w:val="100"/>
                <w:sz w:val="21"/>
              </w:rPr>
              <w:t>个月内证实被保险人体内存在</w:t>
            </w:r>
            <w:r>
              <w:rPr>
                <w:spacing w:val="-53"/>
                <w:sz w:val="21"/>
              </w:rPr>
              <w:t> </w:t>
            </w:r>
            <w:r>
              <w:rPr>
                <w:w w:val="100"/>
                <w:sz w:val="21"/>
              </w:rPr>
              <w:t>H</w:t>
            </w:r>
            <w:r>
              <w:rPr>
                <w:spacing w:val="-3"/>
                <w:w w:val="100"/>
                <w:sz w:val="21"/>
              </w:rPr>
              <w:t>I</w:t>
            </w:r>
            <w:r>
              <w:rPr>
                <w:w w:val="100"/>
                <w:sz w:val="21"/>
              </w:rPr>
              <w:t>V</w:t>
            </w:r>
            <w:r>
              <w:rPr>
                <w:spacing w:val="-11"/>
                <w:sz w:val="21"/>
              </w:rPr>
              <w:t>病毒或者 </w:t>
            </w:r>
            <w:r>
              <w:rPr>
                <w:sz w:val="21"/>
              </w:rPr>
              <w:t>HIV</w:t>
            </w:r>
            <w:r>
              <w:rPr>
                <w:spacing w:val="-14"/>
                <w:sz w:val="21"/>
              </w:rPr>
              <w:t> 抗体。</w:t>
            </w:r>
          </w:p>
          <w:p>
            <w:pPr>
              <w:pStyle w:val="TableParagraph"/>
              <w:spacing w:line="290" w:lineRule="auto" w:before="12"/>
              <w:ind w:left="106" w:right="308"/>
              <w:jc w:val="both"/>
              <w:rPr>
                <w:sz w:val="21"/>
              </w:rPr>
            </w:pPr>
            <w:r>
              <w:rPr>
                <w:sz w:val="21"/>
              </w:rPr>
              <w:t>在任何治愈艾滋病的疗法被发现以后，或能防止艾滋病发生的医疗方法被研究出来以后，本保障将不再予以赔付。</w:t>
            </w:r>
          </w:p>
          <w:p>
            <w:pPr>
              <w:pStyle w:val="TableParagraph"/>
              <w:spacing w:line="290" w:lineRule="auto" w:before="14"/>
              <w:ind w:left="106" w:right="310"/>
              <w:jc w:val="both"/>
              <w:rPr>
                <w:sz w:val="21"/>
              </w:rPr>
            </w:pPr>
            <w:r>
              <w:rPr>
                <w:sz w:val="21"/>
              </w:rPr>
              <w:t>任何因其他传播方式（包括：性传播或静脉注射毒品）导致的人类免疫缺陷病毒感染不在本合同保障范围内。</w:t>
            </w:r>
          </w:p>
          <w:p>
            <w:pPr>
              <w:pStyle w:val="TableParagraph"/>
              <w:spacing w:line="290" w:lineRule="auto" w:before="17"/>
              <w:ind w:left="106" w:right="308"/>
              <w:jc w:val="both"/>
              <w:rPr>
                <w:sz w:val="21"/>
              </w:rPr>
            </w:pPr>
            <w:r>
              <w:rPr>
                <w:sz w:val="21"/>
              </w:rPr>
              <w:t>我们拥有获得使用被保险人的血液样本的权利和能够对这些样本进行独立检验的权利。</w:t>
            </w:r>
          </w:p>
        </w:tc>
      </w:tr>
      <w:tr>
        <w:trPr>
          <w:trHeight w:val="2097" w:hRule="atLeast"/>
        </w:trPr>
        <w:tc>
          <w:tcPr>
            <w:tcW w:w="2974" w:type="dxa"/>
          </w:tcPr>
          <w:p>
            <w:pPr>
              <w:pStyle w:val="TableParagraph"/>
              <w:spacing w:before="4"/>
              <w:rPr>
                <w:rFonts w:ascii="Times New Roman"/>
                <w:sz w:val="18"/>
              </w:rPr>
            </w:pPr>
          </w:p>
          <w:p>
            <w:pPr>
              <w:pStyle w:val="TableParagraph"/>
              <w:ind w:left="200"/>
              <w:rPr>
                <w:sz w:val="21"/>
              </w:rPr>
            </w:pPr>
            <w:r>
              <w:rPr>
                <w:sz w:val="21"/>
              </w:rPr>
              <w:t>（四十三）夹层主动脉瘤</w:t>
            </w:r>
          </w:p>
        </w:tc>
        <w:tc>
          <w:tcPr>
            <w:tcW w:w="6138" w:type="dxa"/>
          </w:tcPr>
          <w:p>
            <w:pPr>
              <w:pStyle w:val="TableParagraph"/>
              <w:spacing w:before="4"/>
              <w:rPr>
                <w:rFonts w:ascii="Times New Roman"/>
                <w:sz w:val="18"/>
              </w:rPr>
            </w:pPr>
          </w:p>
          <w:p>
            <w:pPr>
              <w:pStyle w:val="TableParagraph"/>
              <w:spacing w:line="288" w:lineRule="auto"/>
              <w:ind w:left="106" w:right="308"/>
              <w:jc w:val="both"/>
              <w:rPr>
                <w:sz w:val="21"/>
              </w:rPr>
            </w:pPr>
            <w:r>
              <w:rPr>
                <w:sz w:val="21"/>
              </w:rPr>
              <w:t>指主动脉的内膜破裂导致血液</w:t>
            </w:r>
            <w:r>
              <w:rPr>
                <w:rFonts w:ascii="Arial" w:eastAsia="Arial"/>
                <w:w w:val="115"/>
                <w:sz w:val="21"/>
              </w:rPr>
              <w:t>流</w:t>
            </w:r>
            <w:r>
              <w:rPr>
                <w:sz w:val="21"/>
              </w:rPr>
              <w:t>入主动脉壁中层形成夹层动脉瘤。在本定义中，主动脉指胸主动脉与腹主动脉而非其旁支。诊断必须由专科医生及检验结果证实，检验包括计算机扫描、核磁共振扫描及核磁共振血管造影或心导管检查的证明，并有必要进</w:t>
            </w:r>
            <w:r>
              <w:rPr>
                <w:rFonts w:ascii="Arial" w:eastAsia="Arial"/>
                <w:w w:val="115"/>
                <w:sz w:val="21"/>
              </w:rPr>
              <w:t>行</w:t>
            </w:r>
            <w:r>
              <w:rPr>
                <w:sz w:val="21"/>
              </w:rPr>
              <w:t>紧急修补手术。</w:t>
            </w:r>
          </w:p>
        </w:tc>
      </w:tr>
      <w:tr>
        <w:trPr>
          <w:trHeight w:val="3432" w:hRule="atLeast"/>
        </w:trPr>
        <w:tc>
          <w:tcPr>
            <w:tcW w:w="2974" w:type="dxa"/>
          </w:tcPr>
          <w:p>
            <w:pPr>
              <w:pStyle w:val="TableParagraph"/>
              <w:spacing w:before="4"/>
              <w:rPr>
                <w:rFonts w:ascii="Times New Roman"/>
                <w:sz w:val="18"/>
              </w:rPr>
            </w:pPr>
          </w:p>
          <w:p>
            <w:pPr>
              <w:pStyle w:val="TableParagraph"/>
              <w:spacing w:line="292" w:lineRule="auto"/>
              <w:ind w:left="200" w:right="105"/>
              <w:rPr>
                <w:sz w:val="21"/>
              </w:rPr>
            </w:pPr>
            <w:r>
              <w:rPr>
                <w:sz w:val="21"/>
              </w:rPr>
              <w:t>（</w:t>
            </w:r>
            <w:r>
              <w:rPr>
                <w:spacing w:val="-2"/>
                <w:sz w:val="21"/>
              </w:rPr>
              <w:t>四十四</w:t>
            </w:r>
            <w:r>
              <w:rPr>
                <w:spacing w:val="-68"/>
                <w:sz w:val="21"/>
              </w:rPr>
              <w:t>）</w:t>
            </w:r>
            <w:r>
              <w:rPr>
                <w:spacing w:val="-3"/>
                <w:sz w:val="21"/>
              </w:rPr>
              <w:t>慢性肾上腺皮质功能衰竭</w:t>
            </w:r>
          </w:p>
        </w:tc>
        <w:tc>
          <w:tcPr>
            <w:tcW w:w="6138" w:type="dxa"/>
          </w:tcPr>
          <w:p>
            <w:pPr>
              <w:pStyle w:val="TableParagraph"/>
              <w:spacing w:before="4"/>
              <w:rPr>
                <w:rFonts w:ascii="Times New Roman"/>
                <w:sz w:val="18"/>
              </w:rPr>
            </w:pPr>
          </w:p>
          <w:p>
            <w:pPr>
              <w:pStyle w:val="TableParagraph"/>
              <w:spacing w:line="290" w:lineRule="auto"/>
              <w:ind w:left="106" w:right="310"/>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14"/>
              <w:ind w:left="106"/>
              <w:jc w:val="both"/>
              <w:rPr>
                <w:sz w:val="21"/>
              </w:rPr>
            </w:pPr>
            <w:r>
              <w:rPr>
                <w:sz w:val="21"/>
              </w:rPr>
              <w:t>（1）促肾上腺皮质激素（ACTH）刺激试验；</w:t>
            </w:r>
          </w:p>
          <w:p>
            <w:pPr>
              <w:pStyle w:val="TableParagraph"/>
              <w:spacing w:before="60"/>
              <w:ind w:left="106"/>
              <w:jc w:val="both"/>
              <w:rPr>
                <w:sz w:val="21"/>
              </w:rPr>
            </w:pPr>
            <w:r>
              <w:rPr>
                <w:sz w:val="21"/>
              </w:rPr>
              <w:t>（2）胰岛素血糖减少测试；</w:t>
            </w:r>
          </w:p>
          <w:p>
            <w:pPr>
              <w:pStyle w:val="TableParagraph"/>
              <w:spacing w:before="58"/>
              <w:ind w:left="106"/>
              <w:jc w:val="both"/>
              <w:rPr>
                <w:sz w:val="21"/>
              </w:rPr>
            </w:pPr>
            <w:r>
              <w:rPr>
                <w:sz w:val="21"/>
              </w:rPr>
              <w:t>（3）血浆促肾上腺皮质激素（ACTH）水平测定；</w:t>
            </w:r>
          </w:p>
          <w:p>
            <w:pPr>
              <w:pStyle w:val="TableParagraph"/>
              <w:spacing w:before="58"/>
              <w:ind w:left="106"/>
              <w:jc w:val="both"/>
              <w:rPr>
                <w:sz w:val="21"/>
              </w:rPr>
            </w:pPr>
            <w:r>
              <w:rPr>
                <w:sz w:val="21"/>
              </w:rPr>
              <w:t>（4）血浆肾素活性（PRA）测定。</w:t>
            </w:r>
          </w:p>
          <w:p>
            <w:pPr>
              <w:pStyle w:val="TableParagraph"/>
              <w:spacing w:line="290" w:lineRule="auto" w:before="58"/>
              <w:ind w:left="106" w:right="310"/>
              <w:rPr>
                <w:sz w:val="21"/>
              </w:rPr>
            </w:pPr>
            <w:r>
              <w:rPr>
                <w:sz w:val="21"/>
              </w:rPr>
              <w:t>非由自身免疫功能紊乱引起的慢性肾上腺皮质功能衰竭不在保障范围内。</w:t>
            </w:r>
          </w:p>
        </w:tc>
      </w:tr>
      <w:tr>
        <w:trPr>
          <w:trHeight w:val="1430" w:hRule="atLeast"/>
        </w:trPr>
        <w:tc>
          <w:tcPr>
            <w:tcW w:w="2974" w:type="dxa"/>
          </w:tcPr>
          <w:p>
            <w:pPr>
              <w:pStyle w:val="TableParagraph"/>
              <w:spacing w:before="4"/>
              <w:rPr>
                <w:rFonts w:ascii="Times New Roman"/>
                <w:sz w:val="18"/>
              </w:rPr>
            </w:pPr>
          </w:p>
          <w:p>
            <w:pPr>
              <w:pStyle w:val="TableParagraph"/>
              <w:ind w:left="200"/>
              <w:rPr>
                <w:sz w:val="21"/>
              </w:rPr>
            </w:pPr>
            <w:r>
              <w:rPr>
                <w:sz w:val="21"/>
              </w:rPr>
              <w:t>（四十五）埃博拉病毒感染</w:t>
            </w:r>
          </w:p>
        </w:tc>
        <w:tc>
          <w:tcPr>
            <w:tcW w:w="6138" w:type="dxa"/>
          </w:tcPr>
          <w:p>
            <w:pPr>
              <w:pStyle w:val="TableParagraph"/>
              <w:spacing w:before="4"/>
              <w:rPr>
                <w:rFonts w:ascii="Times New Roman"/>
                <w:sz w:val="18"/>
              </w:rPr>
            </w:pPr>
          </w:p>
          <w:p>
            <w:pPr>
              <w:pStyle w:val="TableParagraph"/>
              <w:spacing w:line="292" w:lineRule="auto"/>
              <w:ind w:left="106" w:right="198"/>
              <w:rPr>
                <w:sz w:val="21"/>
              </w:rPr>
            </w:pPr>
            <w:r>
              <w:rPr>
                <w:sz w:val="21"/>
              </w:rPr>
              <w:t>受埃博拉病毒感染导致出血性发热。埃博拉病必须经传染病专</w:t>
            </w:r>
            <w:r>
              <w:rPr>
                <w:spacing w:val="-9"/>
                <w:sz w:val="21"/>
              </w:rPr>
              <w:t>科医生确诊，并且埃博拉病毒的存在必须经过实验室检查证实。该病必须从症状开始 </w:t>
            </w:r>
            <w:r>
              <w:rPr>
                <w:sz w:val="21"/>
              </w:rPr>
              <w:t>30</w:t>
            </w:r>
            <w:r>
              <w:rPr>
                <w:spacing w:val="-8"/>
                <w:sz w:val="21"/>
              </w:rPr>
              <w:t> 天后持续出现并发症。</w:t>
            </w:r>
          </w:p>
        </w:tc>
      </w:tr>
      <w:tr>
        <w:trPr>
          <w:trHeight w:val="1428" w:hRule="atLeast"/>
        </w:trPr>
        <w:tc>
          <w:tcPr>
            <w:tcW w:w="2974" w:type="dxa"/>
          </w:tcPr>
          <w:p>
            <w:pPr>
              <w:pStyle w:val="TableParagraph"/>
              <w:spacing w:before="4"/>
              <w:rPr>
                <w:rFonts w:ascii="Times New Roman"/>
                <w:sz w:val="18"/>
              </w:rPr>
            </w:pPr>
          </w:p>
          <w:p>
            <w:pPr>
              <w:pStyle w:val="TableParagraph"/>
              <w:spacing w:line="278" w:lineRule="auto"/>
              <w:ind w:left="200" w:right="105"/>
              <w:rPr>
                <w:sz w:val="21"/>
              </w:rPr>
            </w:pPr>
            <w:r>
              <w:rPr>
                <w:w w:val="105"/>
                <w:sz w:val="21"/>
              </w:rPr>
              <w:t>（</w:t>
            </w:r>
            <w:r>
              <w:rPr>
                <w:spacing w:val="-2"/>
                <w:w w:val="105"/>
                <w:sz w:val="21"/>
              </w:rPr>
              <w:t>四十六</w:t>
            </w:r>
            <w:r>
              <w:rPr>
                <w:spacing w:val="-68"/>
                <w:w w:val="105"/>
                <w:sz w:val="21"/>
              </w:rPr>
              <w:t>）</w:t>
            </w:r>
            <w:r>
              <w:rPr>
                <w:rFonts w:ascii="Arial" w:eastAsia="Arial"/>
                <w:spacing w:val="-2"/>
                <w:w w:val="110"/>
                <w:sz w:val="21"/>
              </w:rPr>
              <w:t>糖尿</w:t>
            </w:r>
            <w:r>
              <w:rPr>
                <w:spacing w:val="-3"/>
                <w:w w:val="105"/>
                <w:sz w:val="21"/>
              </w:rPr>
              <w:t>病并发症引</w:t>
            </w:r>
            <w:r>
              <w:rPr>
                <w:spacing w:val="-145"/>
                <w:w w:val="105"/>
                <w:sz w:val="21"/>
              </w:rPr>
              <w:t>致</w:t>
            </w:r>
            <w:r>
              <w:rPr>
                <w:spacing w:val="-1"/>
                <w:sz w:val="21"/>
              </w:rPr>
              <w:t>的脚部截除</w:t>
            </w:r>
          </w:p>
        </w:tc>
        <w:tc>
          <w:tcPr>
            <w:tcW w:w="6138" w:type="dxa"/>
          </w:tcPr>
          <w:p>
            <w:pPr>
              <w:pStyle w:val="TableParagraph"/>
              <w:spacing w:before="4"/>
              <w:rPr>
                <w:rFonts w:ascii="Times New Roman"/>
                <w:sz w:val="18"/>
              </w:rPr>
            </w:pPr>
          </w:p>
          <w:p>
            <w:pPr>
              <w:pStyle w:val="TableParagraph"/>
              <w:spacing w:line="290" w:lineRule="auto"/>
              <w:ind w:left="106" w:right="309"/>
              <w:jc w:val="both"/>
              <w:rPr>
                <w:sz w:val="21"/>
              </w:rPr>
            </w:pPr>
            <w:r>
              <w:rPr>
                <w:sz w:val="21"/>
              </w:rPr>
              <w:t>因糖尿病引起的神经及血管病变而经糖尿病专科医生建议，由足踝或以上位置截除双脚是维持生命的唯一方法。因任何其他原因引起的截除术并不在保障范围内。</w:t>
            </w:r>
          </w:p>
        </w:tc>
      </w:tr>
      <w:tr>
        <w:trPr>
          <w:trHeight w:val="1156" w:hRule="atLeast"/>
        </w:trPr>
        <w:tc>
          <w:tcPr>
            <w:tcW w:w="2974" w:type="dxa"/>
          </w:tcPr>
          <w:p>
            <w:pPr>
              <w:pStyle w:val="TableParagraph"/>
              <w:spacing w:before="4"/>
              <w:rPr>
                <w:rFonts w:ascii="Times New Roman"/>
                <w:sz w:val="18"/>
              </w:rPr>
            </w:pPr>
          </w:p>
          <w:p>
            <w:pPr>
              <w:pStyle w:val="TableParagraph"/>
              <w:ind w:left="200"/>
              <w:rPr>
                <w:sz w:val="21"/>
              </w:rPr>
            </w:pPr>
            <w:r>
              <w:rPr>
                <w:sz w:val="21"/>
              </w:rPr>
              <w:t>（四十七）肺源性心脏病</w:t>
            </w:r>
          </w:p>
        </w:tc>
        <w:tc>
          <w:tcPr>
            <w:tcW w:w="6138" w:type="dxa"/>
          </w:tcPr>
          <w:p>
            <w:pPr>
              <w:pStyle w:val="TableParagraph"/>
              <w:spacing w:before="4"/>
              <w:rPr>
                <w:rFonts w:ascii="Times New Roman"/>
                <w:sz w:val="18"/>
              </w:rPr>
            </w:pPr>
          </w:p>
          <w:p>
            <w:pPr>
              <w:pStyle w:val="TableParagraph"/>
              <w:spacing w:line="292" w:lineRule="auto"/>
              <w:ind w:left="106" w:right="307"/>
              <w:rPr>
                <w:sz w:val="21"/>
              </w:rPr>
            </w:pPr>
            <w:r>
              <w:rPr>
                <w:sz w:val="21"/>
              </w:rPr>
              <w:t>由呼吸专科医生或心内科专科医生确诊为肺源性心脏病。诊断必须基于右心导管（心血管造影）的检查结果，且必须同时满</w:t>
            </w:r>
          </w:p>
          <w:p>
            <w:pPr>
              <w:pStyle w:val="TableParagraph"/>
              <w:spacing w:line="255" w:lineRule="exact" w:before="15"/>
              <w:ind w:left="106"/>
              <w:rPr>
                <w:sz w:val="21"/>
              </w:rPr>
            </w:pPr>
            <w:r>
              <w:rPr>
                <w:sz w:val="21"/>
              </w:rPr>
              <w:t>足如下诊断标准：</w:t>
            </w:r>
          </w:p>
        </w:tc>
      </w:tr>
    </w:tbl>
    <w:p>
      <w:pPr>
        <w:spacing w:after="0" w:line="255" w:lineRule="exact"/>
        <w:rPr>
          <w:sz w:val="21"/>
        </w:rPr>
        <w:sectPr>
          <w:pgSz w:w="11910" w:h="16840"/>
          <w:pgMar w:header="0" w:footer="919" w:top="150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135"/>
      </w:tblGrid>
      <w:tr>
        <w:trPr>
          <w:trHeight w:val="2156" w:hRule="atLeast"/>
        </w:trPr>
        <w:tc>
          <w:tcPr>
            <w:tcW w:w="2974" w:type="dxa"/>
          </w:tcPr>
          <w:p>
            <w:pPr>
              <w:pStyle w:val="TableParagraph"/>
              <w:rPr>
                <w:rFonts w:ascii="Times New Roman"/>
                <w:sz w:val="20"/>
              </w:rPr>
            </w:pPr>
          </w:p>
        </w:tc>
        <w:tc>
          <w:tcPr>
            <w:tcW w:w="6135" w:type="dxa"/>
          </w:tcPr>
          <w:p>
            <w:pPr>
              <w:pStyle w:val="TableParagraph"/>
              <w:spacing w:line="211" w:lineRule="exact"/>
              <w:ind w:left="106"/>
              <w:rPr>
                <w:sz w:val="21"/>
              </w:rPr>
            </w:pPr>
            <w:r>
              <w:rPr>
                <w:sz w:val="21"/>
              </w:rPr>
              <w:t>（1）肺血管阻力高于 3 个伍德单位；</w:t>
            </w:r>
          </w:p>
          <w:p>
            <w:pPr>
              <w:pStyle w:val="TableParagraph"/>
              <w:spacing w:before="58"/>
              <w:ind w:left="106"/>
              <w:rPr>
                <w:sz w:val="21"/>
              </w:rPr>
            </w:pPr>
            <w:r>
              <w:rPr>
                <w:sz w:val="21"/>
              </w:rPr>
              <w:t>（2）平均肺动脉血压不低于 40 毫米汞柱；</w:t>
            </w:r>
          </w:p>
          <w:p>
            <w:pPr>
              <w:pStyle w:val="TableParagraph"/>
              <w:spacing w:before="58"/>
              <w:ind w:left="106"/>
              <w:rPr>
                <w:sz w:val="21"/>
              </w:rPr>
            </w:pPr>
            <w:r>
              <w:rPr>
                <w:sz w:val="21"/>
              </w:rPr>
              <w:t>（3）肺楔压不高于 15 毫米汞柱；</w:t>
            </w:r>
          </w:p>
          <w:p>
            <w:pPr>
              <w:pStyle w:val="TableParagraph"/>
              <w:spacing w:before="58"/>
              <w:ind w:left="106"/>
              <w:rPr>
                <w:sz w:val="21"/>
              </w:rPr>
            </w:pPr>
            <w:r>
              <w:rPr>
                <w:sz w:val="21"/>
              </w:rPr>
              <w:t>（4）右心室过度肥大和扩张，出现右心衰竭和呼吸困难。</w:t>
            </w:r>
          </w:p>
          <w:p>
            <w:pPr>
              <w:pStyle w:val="TableParagraph"/>
              <w:spacing w:line="292" w:lineRule="auto" w:before="58"/>
              <w:ind w:left="106" w:right="307"/>
              <w:rPr>
                <w:sz w:val="21"/>
              </w:rPr>
            </w:pPr>
            <w:r>
              <w:rPr>
                <w:sz w:val="21"/>
              </w:rPr>
              <w:t>因左心病变或者先天性心脏病引起的右心衰竭或者肺动脉高压不在保障范围之内。</w:t>
            </w:r>
          </w:p>
        </w:tc>
      </w:tr>
      <w:tr>
        <w:trPr>
          <w:trHeight w:val="3099" w:hRule="atLeast"/>
        </w:trPr>
        <w:tc>
          <w:tcPr>
            <w:tcW w:w="2974" w:type="dxa"/>
          </w:tcPr>
          <w:p>
            <w:pPr>
              <w:pStyle w:val="TableParagraph"/>
              <w:spacing w:before="4"/>
              <w:rPr>
                <w:rFonts w:ascii="Times New Roman"/>
                <w:sz w:val="18"/>
              </w:rPr>
            </w:pPr>
          </w:p>
          <w:p>
            <w:pPr>
              <w:pStyle w:val="TableParagraph"/>
              <w:spacing w:line="292" w:lineRule="auto"/>
              <w:ind w:left="200" w:right="105"/>
              <w:rPr>
                <w:sz w:val="21"/>
              </w:rPr>
            </w:pPr>
            <w:r>
              <w:rPr>
                <w:sz w:val="21"/>
              </w:rPr>
              <w:t>（</w:t>
            </w:r>
            <w:r>
              <w:rPr>
                <w:spacing w:val="-2"/>
                <w:sz w:val="21"/>
              </w:rPr>
              <w:t>四十八</w:t>
            </w:r>
            <w:r>
              <w:rPr>
                <w:spacing w:val="-68"/>
                <w:sz w:val="21"/>
              </w:rPr>
              <w:t>）</w:t>
            </w:r>
            <w:r>
              <w:rPr>
                <w:spacing w:val="-3"/>
                <w:sz w:val="21"/>
              </w:rPr>
              <w:t>原发性硬化性胆管炎</w:t>
            </w:r>
          </w:p>
        </w:tc>
        <w:tc>
          <w:tcPr>
            <w:tcW w:w="6135" w:type="dxa"/>
          </w:tcPr>
          <w:p>
            <w:pPr>
              <w:pStyle w:val="TableParagraph"/>
              <w:spacing w:before="4"/>
              <w:rPr>
                <w:rFonts w:ascii="Times New Roman"/>
                <w:sz w:val="18"/>
              </w:rPr>
            </w:pPr>
          </w:p>
          <w:p>
            <w:pPr>
              <w:pStyle w:val="TableParagraph"/>
              <w:spacing w:line="290" w:lineRule="auto"/>
              <w:ind w:left="106" w:right="306"/>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14"/>
              <w:ind w:left="106"/>
              <w:jc w:val="both"/>
              <w:rPr>
                <w:sz w:val="21"/>
              </w:rPr>
            </w:pPr>
            <w:r>
              <w:rPr>
                <w:sz w:val="21"/>
              </w:rPr>
              <w:t>（1）总胆红素和直接胆红素同时升高，血清 ALP&gt;200U/L；</w:t>
            </w:r>
          </w:p>
          <w:p>
            <w:pPr>
              <w:pStyle w:val="TableParagraph"/>
              <w:spacing w:before="60"/>
              <w:ind w:left="106"/>
              <w:jc w:val="both"/>
              <w:rPr>
                <w:sz w:val="21"/>
              </w:rPr>
            </w:pPr>
            <w:r>
              <w:rPr>
                <w:sz w:val="21"/>
              </w:rPr>
              <w:t>（2）持续性黄疸病史；</w:t>
            </w:r>
          </w:p>
          <w:p>
            <w:pPr>
              <w:pStyle w:val="TableParagraph"/>
              <w:spacing w:before="58"/>
              <w:ind w:left="106"/>
              <w:jc w:val="both"/>
              <w:rPr>
                <w:sz w:val="21"/>
              </w:rPr>
            </w:pPr>
            <w:r>
              <w:rPr>
                <w:sz w:val="21"/>
              </w:rPr>
              <w:t>（3）出现胆汁性肝硬化或门脉高压。</w:t>
            </w:r>
          </w:p>
          <w:p>
            <w:pPr>
              <w:pStyle w:val="TableParagraph"/>
              <w:spacing w:before="58"/>
              <w:ind w:left="106"/>
              <w:jc w:val="both"/>
              <w:rPr>
                <w:sz w:val="21"/>
              </w:rPr>
            </w:pPr>
            <w:r>
              <w:rPr>
                <w:sz w:val="21"/>
              </w:rPr>
              <w:t>因肿瘤或胆管损伤等继发性的硬化性胆管炎不在保障范围内。</w:t>
            </w:r>
          </w:p>
        </w:tc>
      </w:tr>
      <w:tr>
        <w:trPr>
          <w:trHeight w:val="4435" w:hRule="atLeast"/>
        </w:trPr>
        <w:tc>
          <w:tcPr>
            <w:tcW w:w="2974" w:type="dxa"/>
          </w:tcPr>
          <w:p>
            <w:pPr>
              <w:pStyle w:val="TableParagraph"/>
              <w:spacing w:before="4"/>
              <w:rPr>
                <w:rFonts w:ascii="Times New Roman"/>
                <w:sz w:val="18"/>
              </w:rPr>
            </w:pPr>
          </w:p>
          <w:p>
            <w:pPr>
              <w:pStyle w:val="TableParagraph"/>
              <w:spacing w:line="292" w:lineRule="auto"/>
              <w:ind w:left="200" w:right="105"/>
              <w:rPr>
                <w:sz w:val="21"/>
              </w:rPr>
            </w:pPr>
            <w:r>
              <w:rPr>
                <w:sz w:val="21"/>
              </w:rPr>
              <w:t>（</w:t>
            </w:r>
            <w:r>
              <w:rPr>
                <w:spacing w:val="-2"/>
                <w:sz w:val="21"/>
              </w:rPr>
              <w:t>四十九</w:t>
            </w:r>
            <w:r>
              <w:rPr>
                <w:spacing w:val="-68"/>
                <w:sz w:val="21"/>
              </w:rPr>
              <w:t>）</w:t>
            </w:r>
            <w:r>
              <w:rPr>
                <w:spacing w:val="-3"/>
                <w:sz w:val="21"/>
              </w:rPr>
              <w:t>严重感染性心内膜炎</w:t>
            </w:r>
          </w:p>
        </w:tc>
        <w:tc>
          <w:tcPr>
            <w:tcW w:w="6135" w:type="dxa"/>
          </w:tcPr>
          <w:p>
            <w:pPr>
              <w:pStyle w:val="TableParagraph"/>
              <w:spacing w:before="4"/>
              <w:rPr>
                <w:rFonts w:ascii="Times New Roman"/>
                <w:sz w:val="18"/>
              </w:rPr>
            </w:pPr>
          </w:p>
          <w:p>
            <w:pPr>
              <w:pStyle w:val="TableParagraph"/>
              <w:ind w:left="106"/>
              <w:rPr>
                <w:sz w:val="21"/>
              </w:rPr>
            </w:pPr>
            <w:r>
              <w:rPr>
                <w:sz w:val="21"/>
              </w:rPr>
              <w:t>因感染性微生物造成心脏内膜发炎，并符合下</w:t>
            </w:r>
            <w:r>
              <w:rPr>
                <w:rFonts w:ascii="Arial" w:eastAsia="Arial"/>
                <w:w w:val="115"/>
                <w:sz w:val="21"/>
              </w:rPr>
              <w:t>列</w:t>
            </w:r>
            <w:r>
              <w:rPr>
                <w:sz w:val="21"/>
              </w:rPr>
              <w:t>所有条件:</w:t>
            </w:r>
          </w:p>
          <w:p>
            <w:pPr>
              <w:pStyle w:val="TableParagraph"/>
              <w:spacing w:line="290" w:lineRule="auto" w:before="43"/>
              <w:ind w:left="106" w:right="301"/>
              <w:jc w:val="both"/>
              <w:rPr>
                <w:sz w:val="21"/>
              </w:rPr>
            </w:pPr>
            <w:r>
              <w:rPr>
                <w:spacing w:val="-10"/>
                <w:sz w:val="21"/>
              </w:rPr>
              <w:t>（1）</w:t>
            </w:r>
            <w:r>
              <w:rPr>
                <w:spacing w:val="-5"/>
                <w:sz w:val="21"/>
              </w:rPr>
              <w:t>以下方法之一血液培养测试结果为阳性，证实存在感染性</w:t>
            </w:r>
            <w:r>
              <w:rPr>
                <w:spacing w:val="-4"/>
                <w:sz w:val="21"/>
              </w:rPr>
              <w:t>微生物：</w:t>
            </w:r>
          </w:p>
          <w:p>
            <w:pPr>
              <w:pStyle w:val="TableParagraph"/>
              <w:spacing w:line="290" w:lineRule="auto" w:before="16"/>
              <w:ind w:left="840" w:right="242" w:hanging="315"/>
              <w:rPr>
                <w:sz w:val="21"/>
              </w:rPr>
            </w:pPr>
            <w:r>
              <w:rPr>
                <w:sz w:val="21"/>
              </w:rPr>
              <w:t>① 微生物：在赘生物或心脏内脓疡经培养或组织检查证实有微生物；</w:t>
            </w:r>
          </w:p>
          <w:p>
            <w:pPr>
              <w:pStyle w:val="TableParagraph"/>
              <w:spacing w:line="276" w:lineRule="auto" w:before="14"/>
              <w:ind w:left="840" w:right="301" w:hanging="315"/>
              <w:rPr>
                <w:sz w:val="21"/>
              </w:rPr>
            </w:pPr>
            <w:r>
              <w:rPr>
                <w:spacing w:val="18"/>
                <w:sz w:val="21"/>
              </w:rPr>
              <w:t>② 病</w:t>
            </w:r>
            <w:r>
              <w:rPr>
                <w:rFonts w:ascii="Arial" w:hAnsi="Arial" w:eastAsia="Arial"/>
                <w:w w:val="115"/>
                <w:sz w:val="21"/>
              </w:rPr>
              <w:t>理</w:t>
            </w:r>
            <w:r>
              <w:rPr>
                <w:spacing w:val="-12"/>
                <w:sz w:val="21"/>
              </w:rPr>
              <w:t>性病灶：组织检查证实赘生物或心脏内脓疡有活动</w:t>
            </w:r>
            <w:r>
              <w:rPr>
                <w:spacing w:val="-2"/>
                <w:sz w:val="21"/>
              </w:rPr>
              <w:t>性心内膜炎；</w:t>
            </w:r>
          </w:p>
          <w:p>
            <w:pPr>
              <w:pStyle w:val="TableParagraph"/>
              <w:spacing w:before="29"/>
              <w:ind w:left="526"/>
              <w:rPr>
                <w:sz w:val="21"/>
              </w:rPr>
            </w:pPr>
            <w:r>
              <w:rPr>
                <w:sz w:val="21"/>
              </w:rPr>
              <w:t>③ 分别两次血液培养证实有微生物，且与心内膜炎符合；</w:t>
            </w:r>
          </w:p>
          <w:p>
            <w:pPr>
              <w:pStyle w:val="TableParagraph"/>
              <w:spacing w:line="276" w:lineRule="auto" w:before="58"/>
              <w:ind w:left="106" w:right="301"/>
              <w:jc w:val="both"/>
              <w:rPr>
                <w:sz w:val="21"/>
              </w:rPr>
            </w:pPr>
            <w:r>
              <w:rPr>
                <w:sz w:val="21"/>
              </w:rPr>
              <w:t>（2）</w:t>
            </w:r>
            <w:r>
              <w:rPr>
                <w:spacing w:val="-3"/>
                <w:sz w:val="21"/>
              </w:rPr>
              <w:t>心内膜炎引起中</w:t>
            </w:r>
            <w:r>
              <w:rPr>
                <w:rFonts w:ascii="Arial" w:eastAsia="Arial"/>
                <w:sz w:val="21"/>
              </w:rPr>
              <w:t>度</w:t>
            </w:r>
            <w:r>
              <w:rPr>
                <w:spacing w:val="-3"/>
                <w:sz w:val="21"/>
              </w:rPr>
              <w:t>心瓣膜闭锁</w:t>
            </w:r>
            <w:r>
              <w:rPr>
                <w:rFonts w:ascii="Arial" w:eastAsia="Arial"/>
                <w:spacing w:val="-3"/>
                <w:sz w:val="21"/>
              </w:rPr>
              <w:t>不</w:t>
            </w:r>
            <w:r>
              <w:rPr>
                <w:spacing w:val="-3"/>
                <w:sz w:val="21"/>
              </w:rPr>
              <w:t>全</w:t>
            </w:r>
            <w:r>
              <w:rPr>
                <w:sz w:val="21"/>
              </w:rPr>
              <w:t>（</w:t>
            </w:r>
            <w:r>
              <w:rPr>
                <w:spacing w:val="-2"/>
                <w:sz w:val="21"/>
              </w:rPr>
              <w:t>指返</w:t>
            </w:r>
            <w:r>
              <w:rPr>
                <w:rFonts w:ascii="Arial" w:eastAsia="Arial"/>
                <w:sz w:val="21"/>
              </w:rPr>
              <w:t>流</w:t>
            </w:r>
            <w:r>
              <w:rPr>
                <w:spacing w:val="10"/>
                <w:sz w:val="21"/>
              </w:rPr>
              <w:t>分数 </w:t>
            </w:r>
            <w:r>
              <w:rPr>
                <w:sz w:val="21"/>
              </w:rPr>
              <w:t>20%或</w:t>
            </w:r>
            <w:r>
              <w:rPr>
                <w:spacing w:val="-208"/>
                <w:sz w:val="21"/>
              </w:rPr>
              <w:t>以</w:t>
            </w:r>
            <w:r>
              <w:rPr>
                <w:sz w:val="21"/>
              </w:rPr>
              <w:t>上）或中</w:t>
            </w:r>
            <w:r>
              <w:rPr>
                <w:rFonts w:ascii="Arial" w:eastAsia="Arial"/>
                <w:sz w:val="21"/>
              </w:rPr>
              <w:t>度</w:t>
            </w:r>
            <w:r>
              <w:rPr>
                <w:sz w:val="21"/>
              </w:rPr>
              <w:t>心瓣膜狭窄（指心瓣膜开口范围少于或等于正常</w:t>
            </w:r>
            <w:r>
              <w:rPr>
                <w:w w:val="100"/>
                <w:sz w:val="21"/>
              </w:rPr>
              <w:t>的 30%</w:t>
            </w:r>
            <w:r>
              <w:rPr>
                <w:spacing w:val="-106"/>
                <w:w w:val="100"/>
                <w:sz w:val="21"/>
              </w:rPr>
              <w:t>）；</w:t>
            </w:r>
          </w:p>
          <w:p>
            <w:pPr>
              <w:pStyle w:val="TableParagraph"/>
              <w:spacing w:before="27"/>
              <w:ind w:left="106"/>
              <w:jc w:val="both"/>
              <w:rPr>
                <w:sz w:val="21"/>
              </w:rPr>
            </w:pPr>
            <w:r>
              <w:rPr>
                <w:sz w:val="21"/>
              </w:rPr>
              <w:t>（3）心内膜炎及心瓣膜损毁程度需经由心脏专科医生确诊。</w:t>
            </w:r>
          </w:p>
        </w:tc>
      </w:tr>
      <w:tr>
        <w:trPr>
          <w:trHeight w:val="1430" w:hRule="atLeast"/>
        </w:trPr>
        <w:tc>
          <w:tcPr>
            <w:tcW w:w="2974" w:type="dxa"/>
          </w:tcPr>
          <w:p>
            <w:pPr>
              <w:pStyle w:val="TableParagraph"/>
              <w:spacing w:before="4"/>
              <w:rPr>
                <w:rFonts w:ascii="Times New Roman"/>
                <w:sz w:val="18"/>
              </w:rPr>
            </w:pPr>
          </w:p>
          <w:p>
            <w:pPr>
              <w:pStyle w:val="TableParagraph"/>
              <w:ind w:left="200"/>
              <w:rPr>
                <w:sz w:val="21"/>
              </w:rPr>
            </w:pPr>
            <w:r>
              <w:rPr>
                <w:sz w:val="21"/>
              </w:rPr>
              <w:t>（五十）严重心肌炎</w:t>
            </w:r>
          </w:p>
        </w:tc>
        <w:tc>
          <w:tcPr>
            <w:tcW w:w="6135" w:type="dxa"/>
          </w:tcPr>
          <w:p>
            <w:pPr>
              <w:pStyle w:val="TableParagraph"/>
              <w:spacing w:before="4"/>
              <w:rPr>
                <w:rFonts w:ascii="Times New Roman"/>
                <w:sz w:val="18"/>
              </w:rPr>
            </w:pPr>
          </w:p>
          <w:p>
            <w:pPr>
              <w:pStyle w:val="TableParagraph"/>
              <w:spacing w:line="292" w:lineRule="auto"/>
              <w:ind w:left="106" w:right="304"/>
              <w:jc w:val="both"/>
              <w:rPr>
                <w:sz w:val="21"/>
              </w:rPr>
            </w:pPr>
            <w:r>
              <w:rPr>
                <w:sz w:val="21"/>
              </w:rPr>
              <w:t>指心肌局限性或弥漫性的急性或慢性炎症病变，导致心脏功能障碍，达到美国纽约心脏病学会心功能状态分级四级，且持续至少 90 天。</w:t>
            </w:r>
          </w:p>
        </w:tc>
      </w:tr>
      <w:tr>
        <w:trPr>
          <w:trHeight w:val="2504" w:hRule="atLeast"/>
        </w:trPr>
        <w:tc>
          <w:tcPr>
            <w:tcW w:w="2974" w:type="dxa"/>
          </w:tcPr>
          <w:p>
            <w:pPr>
              <w:pStyle w:val="TableParagraph"/>
              <w:spacing w:before="4"/>
              <w:rPr>
                <w:rFonts w:ascii="Times New Roman"/>
                <w:sz w:val="18"/>
              </w:rPr>
            </w:pPr>
          </w:p>
          <w:p>
            <w:pPr>
              <w:pStyle w:val="TableParagraph"/>
              <w:ind w:left="200"/>
              <w:rPr>
                <w:sz w:val="21"/>
              </w:rPr>
            </w:pPr>
            <w:r>
              <w:rPr>
                <w:sz w:val="21"/>
              </w:rPr>
              <w:t>（五十一）川崎病</w:t>
            </w:r>
          </w:p>
        </w:tc>
        <w:tc>
          <w:tcPr>
            <w:tcW w:w="6135" w:type="dxa"/>
          </w:tcPr>
          <w:p>
            <w:pPr>
              <w:pStyle w:val="TableParagraph"/>
              <w:spacing w:before="4"/>
              <w:rPr>
                <w:rFonts w:ascii="Times New Roman"/>
                <w:sz w:val="18"/>
              </w:rPr>
            </w:pPr>
          </w:p>
          <w:p>
            <w:pPr>
              <w:pStyle w:val="TableParagraph"/>
              <w:spacing w:line="292" w:lineRule="auto"/>
              <w:ind w:left="106" w:right="198"/>
              <w:jc w:val="both"/>
              <w:rPr>
                <w:sz w:val="21"/>
              </w:rPr>
            </w:pPr>
            <w:r>
              <w:rPr>
                <w:sz w:val="21"/>
              </w:rPr>
              <w:t>指一种原因未明的血管炎综合征，临床表现为急性发热，皮肤粘膜病损和淋巴结肿大。本病必须经专科医生明确诊断，且必</w:t>
            </w:r>
            <w:r>
              <w:rPr>
                <w:spacing w:val="-7"/>
                <w:sz w:val="21"/>
              </w:rPr>
              <w:t>须由血管造影或超声心动图检查证实，满足下列至少一项条件：</w:t>
            </w:r>
          </w:p>
          <w:p>
            <w:pPr>
              <w:pStyle w:val="TableParagraph"/>
              <w:spacing w:line="292" w:lineRule="auto" w:before="17"/>
              <w:ind w:left="106" w:right="301"/>
              <w:rPr>
                <w:sz w:val="21"/>
              </w:rPr>
            </w:pPr>
            <w:r>
              <w:rPr>
                <w:spacing w:val="-10"/>
                <w:sz w:val="21"/>
              </w:rPr>
              <w:t>（1）</w:t>
            </w:r>
            <w:r>
              <w:rPr>
                <w:spacing w:val="-7"/>
                <w:sz w:val="21"/>
              </w:rPr>
              <w:t>伴有冠状动脉瘤，且冠状动脉瘤于最初急性发病后持续至</w:t>
            </w:r>
            <w:r>
              <w:rPr>
                <w:spacing w:val="-5"/>
                <w:sz w:val="21"/>
              </w:rPr>
              <w:t>少一百八十天；</w:t>
            </w:r>
          </w:p>
          <w:p>
            <w:pPr>
              <w:pStyle w:val="TableParagraph"/>
              <w:spacing w:before="15"/>
              <w:ind w:left="106"/>
              <w:jc w:val="both"/>
              <w:rPr>
                <w:sz w:val="21"/>
              </w:rPr>
            </w:pPr>
            <w:r>
              <w:rPr>
                <w:sz w:val="21"/>
              </w:rPr>
              <w:t>（2）伴有冠状动脉瘤，且实际接受了对冠状动脉瘤进行的手术</w:t>
            </w:r>
          </w:p>
          <w:p>
            <w:pPr>
              <w:pStyle w:val="TableParagraph"/>
              <w:spacing w:line="255" w:lineRule="exact" w:before="61"/>
              <w:ind w:left="106"/>
              <w:jc w:val="both"/>
              <w:rPr>
                <w:sz w:val="21"/>
              </w:rPr>
            </w:pPr>
            <w:r>
              <w:rPr>
                <w:sz w:val="21"/>
              </w:rPr>
              <w:t>治疗。</w:t>
            </w:r>
          </w:p>
        </w:tc>
      </w:tr>
    </w:tbl>
    <w:p>
      <w:pPr>
        <w:spacing w:after="0" w:line="255" w:lineRule="exact"/>
        <w:jc w:val="both"/>
        <w:rPr>
          <w:sz w:val="21"/>
        </w:rPr>
        <w:sectPr>
          <w:pgSz w:w="11910" w:h="16840"/>
          <w:pgMar w:header="0" w:footer="919" w:top="1500" w:bottom="1100" w:left="1200" w:right="1240"/>
        </w:sectPr>
      </w:pPr>
    </w:p>
    <w:p>
      <w:pPr>
        <w:pStyle w:val="BodyText"/>
        <w:spacing w:before="8"/>
        <w:rPr>
          <w:rFonts w:ascii="Times New Roman"/>
          <w:sz w:val="28"/>
        </w:r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980"/>
        <w:gridCol w:w="6137"/>
      </w:tblGrid>
      <w:tr>
        <w:trPr>
          <w:trHeight w:val="1148" w:hRule="atLeast"/>
        </w:trPr>
        <w:tc>
          <w:tcPr>
            <w:tcW w:w="2973" w:type="dxa"/>
            <w:gridSpan w:val="2"/>
          </w:tcPr>
          <w:p>
            <w:pPr>
              <w:pStyle w:val="TableParagraph"/>
              <w:spacing w:line="211" w:lineRule="exact"/>
              <w:ind w:left="200"/>
              <w:rPr>
                <w:sz w:val="21"/>
              </w:rPr>
            </w:pPr>
            <w:r>
              <w:rPr>
                <w:sz w:val="21"/>
              </w:rPr>
              <w:t>（五十二）象皮病</w:t>
            </w:r>
          </w:p>
        </w:tc>
        <w:tc>
          <w:tcPr>
            <w:tcW w:w="6137" w:type="dxa"/>
          </w:tcPr>
          <w:p>
            <w:pPr>
              <w:pStyle w:val="TableParagraph"/>
              <w:spacing w:line="211" w:lineRule="exact"/>
              <w:ind w:left="107"/>
              <w:rPr>
                <w:sz w:val="21"/>
              </w:rPr>
            </w:pPr>
            <w:r>
              <w:rPr>
                <w:sz w:val="21"/>
              </w:rPr>
              <w:t>指末期丝虫病，按国际淋巴学会分级为三度淋巴液肿，其临床</w:t>
            </w:r>
          </w:p>
          <w:p>
            <w:pPr>
              <w:pStyle w:val="TableParagraph"/>
              <w:spacing w:line="295" w:lineRule="auto" w:before="61"/>
              <w:ind w:left="107" w:right="308"/>
              <w:rPr>
                <w:sz w:val="21"/>
              </w:rPr>
            </w:pPr>
            <w:r>
              <w:rPr>
                <w:sz w:val="21"/>
              </w:rPr>
              <w:t>表现为肢体非凹陷性水肿伴畸形增大、硬皮症和疣状增生。此病症须经专科医生根据临床表现和微丝蚴的化验结果确诊。</w:t>
            </w:r>
          </w:p>
        </w:tc>
      </w:tr>
      <w:tr>
        <w:trPr>
          <w:trHeight w:val="2771" w:hRule="atLeast"/>
        </w:trPr>
        <w:tc>
          <w:tcPr>
            <w:tcW w:w="2973" w:type="dxa"/>
            <w:gridSpan w:val="2"/>
          </w:tcPr>
          <w:p>
            <w:pPr>
              <w:pStyle w:val="TableParagraph"/>
              <w:spacing w:before="3"/>
              <w:rPr>
                <w:rFonts w:ascii="Times New Roman"/>
                <w:sz w:val="17"/>
              </w:rPr>
            </w:pPr>
          </w:p>
          <w:p>
            <w:pPr>
              <w:pStyle w:val="TableParagraph"/>
              <w:ind w:left="200"/>
              <w:rPr>
                <w:sz w:val="21"/>
              </w:rPr>
            </w:pPr>
            <w:r>
              <w:rPr>
                <w:sz w:val="21"/>
              </w:rPr>
              <w:t>（五十三）克-雅二氏病</w:t>
            </w:r>
          </w:p>
        </w:tc>
        <w:tc>
          <w:tcPr>
            <w:tcW w:w="6137" w:type="dxa"/>
          </w:tcPr>
          <w:p>
            <w:pPr>
              <w:pStyle w:val="TableParagraph"/>
              <w:spacing w:before="3"/>
              <w:rPr>
                <w:rFonts w:ascii="Times New Roman"/>
                <w:sz w:val="17"/>
              </w:rPr>
            </w:pPr>
          </w:p>
          <w:p>
            <w:pPr>
              <w:pStyle w:val="TableParagraph"/>
              <w:ind w:left="107"/>
              <w:rPr>
                <w:sz w:val="21"/>
              </w:rPr>
            </w:pPr>
            <w:r>
              <w:rPr>
                <w:sz w:val="21"/>
              </w:rPr>
              <w:t>神经系统疾病及致命的成胶质状脑病，并有以下症状：</w:t>
            </w:r>
          </w:p>
          <w:p>
            <w:pPr>
              <w:pStyle w:val="TableParagraph"/>
              <w:spacing w:before="63"/>
              <w:ind w:left="107"/>
              <w:rPr>
                <w:sz w:val="21"/>
              </w:rPr>
            </w:pPr>
            <w:r>
              <w:rPr>
                <w:sz w:val="21"/>
              </w:rPr>
              <w:t>（1）不能控制的肌肉痉挛及震颤；</w:t>
            </w:r>
          </w:p>
          <w:p>
            <w:pPr>
              <w:pStyle w:val="TableParagraph"/>
              <w:spacing w:before="61"/>
              <w:ind w:left="107"/>
              <w:rPr>
                <w:sz w:val="21"/>
              </w:rPr>
            </w:pPr>
            <w:r>
              <w:rPr>
                <w:sz w:val="21"/>
              </w:rPr>
              <w:t>（2）逐渐痴呆；</w:t>
            </w:r>
          </w:p>
          <w:p>
            <w:pPr>
              <w:pStyle w:val="TableParagraph"/>
              <w:spacing w:before="61"/>
              <w:ind w:left="107"/>
              <w:rPr>
                <w:sz w:val="21"/>
              </w:rPr>
            </w:pPr>
            <w:r>
              <w:rPr>
                <w:sz w:val="21"/>
              </w:rPr>
              <w:t>（3）小脑功能不良，共济失调；</w:t>
            </w:r>
          </w:p>
          <w:p>
            <w:pPr>
              <w:pStyle w:val="TableParagraph"/>
              <w:spacing w:before="63"/>
              <w:ind w:left="107"/>
              <w:rPr>
                <w:sz w:val="21"/>
              </w:rPr>
            </w:pPr>
            <w:r>
              <w:rPr>
                <w:sz w:val="21"/>
              </w:rPr>
              <w:t>（4）手足徐动症。</w:t>
            </w:r>
          </w:p>
          <w:p>
            <w:pPr>
              <w:pStyle w:val="TableParagraph"/>
              <w:spacing w:line="292" w:lineRule="auto" w:before="61"/>
              <w:ind w:left="107" w:right="308"/>
              <w:rPr>
                <w:sz w:val="21"/>
              </w:rPr>
            </w:pPr>
            <w:r>
              <w:rPr>
                <w:sz w:val="21"/>
              </w:rPr>
              <w:t>诊断必须经神经专科医生基于以下检查报告作出：脑电图、脑</w:t>
            </w:r>
            <w:r>
              <w:rPr>
                <w:spacing w:val="-3"/>
                <w:w w:val="100"/>
                <w:sz w:val="21"/>
              </w:rPr>
              <w:t>脊液报告、电脑断层扫描</w:t>
            </w:r>
            <w:r>
              <w:rPr>
                <w:w w:val="100"/>
                <w:sz w:val="21"/>
              </w:rPr>
              <w:t>（CT</w:t>
            </w:r>
            <w:r>
              <w:rPr>
                <w:spacing w:val="-3"/>
                <w:w w:val="100"/>
                <w:sz w:val="21"/>
              </w:rPr>
              <w:t>）及核磁共振（</w:t>
            </w:r>
            <w:r>
              <w:rPr>
                <w:w w:val="100"/>
                <w:sz w:val="21"/>
              </w:rPr>
              <w:t>MRI</w:t>
            </w:r>
            <w:r>
              <w:rPr>
                <w:spacing w:val="-108"/>
                <w:w w:val="100"/>
                <w:sz w:val="21"/>
              </w:rPr>
              <w:t>）。</w:t>
            </w:r>
          </w:p>
        </w:tc>
      </w:tr>
      <w:tr>
        <w:trPr>
          <w:trHeight w:val="2448" w:hRule="atLeast"/>
        </w:trPr>
        <w:tc>
          <w:tcPr>
            <w:tcW w:w="2973" w:type="dxa"/>
            <w:gridSpan w:val="2"/>
          </w:tcPr>
          <w:p>
            <w:pPr>
              <w:pStyle w:val="TableParagraph"/>
              <w:spacing w:before="5"/>
              <w:rPr>
                <w:rFonts w:ascii="Times New Roman"/>
                <w:sz w:val="18"/>
              </w:rPr>
            </w:pPr>
          </w:p>
          <w:p>
            <w:pPr>
              <w:pStyle w:val="TableParagraph"/>
              <w:ind w:left="200"/>
              <w:rPr>
                <w:sz w:val="21"/>
              </w:rPr>
            </w:pPr>
            <w:r>
              <w:rPr>
                <w:sz w:val="21"/>
              </w:rPr>
              <w:t>（</w:t>
            </w:r>
            <w:r>
              <w:rPr>
                <w:spacing w:val="-2"/>
                <w:sz w:val="21"/>
              </w:rPr>
              <w:t>五十四</w:t>
            </w:r>
            <w:r>
              <w:rPr>
                <w:spacing w:val="-68"/>
                <w:sz w:val="21"/>
              </w:rPr>
              <w:t>）</w:t>
            </w:r>
            <w:r>
              <w:rPr>
                <w:spacing w:val="-3"/>
                <w:sz w:val="21"/>
              </w:rPr>
              <w:t>进行性核上性麻痹</w:t>
            </w:r>
          </w:p>
          <w:p>
            <w:pPr>
              <w:pStyle w:val="TableParagraph"/>
              <w:spacing w:before="63"/>
              <w:ind w:left="200"/>
              <w:rPr>
                <w:sz w:val="21"/>
              </w:rPr>
            </w:pPr>
            <w:r>
              <w:rPr>
                <w:sz w:val="21"/>
              </w:rPr>
              <w:t>（PSP）</w:t>
            </w:r>
          </w:p>
        </w:tc>
        <w:tc>
          <w:tcPr>
            <w:tcW w:w="6137" w:type="dxa"/>
          </w:tcPr>
          <w:p>
            <w:pPr>
              <w:pStyle w:val="TableParagraph"/>
              <w:spacing w:before="5"/>
              <w:rPr>
                <w:rFonts w:ascii="Times New Roman"/>
                <w:sz w:val="18"/>
              </w:rPr>
            </w:pPr>
          </w:p>
          <w:p>
            <w:pPr>
              <w:pStyle w:val="TableParagraph"/>
              <w:spacing w:line="295" w:lineRule="auto"/>
              <w:ind w:left="107" w:right="302"/>
              <w:jc w:val="both"/>
              <w:rPr>
                <w:sz w:val="21"/>
              </w:rPr>
            </w:pPr>
            <w:r>
              <w:rPr>
                <w:spacing w:val="-8"/>
                <w:sz w:val="21"/>
              </w:rPr>
              <w:t>又称 </w:t>
            </w:r>
            <w:r>
              <w:rPr>
                <w:sz w:val="21"/>
              </w:rPr>
              <w:t>Steele-Rchardson—Olszewski</w:t>
            </w:r>
            <w:r>
              <w:rPr>
                <w:spacing w:val="-7"/>
                <w:sz w:val="21"/>
              </w:rPr>
              <w:t> 综合征，是一种少见的神经系统变性疾病，以假球麻痹、垂直性核上性眼肌麻痹、锥体</w:t>
            </w:r>
            <w:r>
              <w:rPr>
                <w:spacing w:val="2"/>
                <w:sz w:val="21"/>
              </w:rPr>
              <w:t>外系肌僵直、步态共济失调和轻度痴呆为主要临床特征。</w:t>
            </w:r>
            <w:r>
              <w:rPr>
                <w:sz w:val="21"/>
              </w:rPr>
              <w:t>PSP 必须由三级甲等医院的神经内科专科医生确诊，并且被保险人自主生活能力完全丧失，无法独立完成六项基本日常生活活动</w:t>
            </w:r>
            <w:r>
              <w:rPr>
                <w:spacing w:val="-3"/>
                <w:sz w:val="21"/>
              </w:rPr>
              <w:t>中的三项或三项以上。</w:t>
            </w:r>
          </w:p>
        </w:tc>
      </w:tr>
      <w:tr>
        <w:trPr>
          <w:trHeight w:val="3456" w:hRule="atLeast"/>
        </w:trPr>
        <w:tc>
          <w:tcPr>
            <w:tcW w:w="2973" w:type="dxa"/>
            <w:gridSpan w:val="2"/>
          </w:tcPr>
          <w:p>
            <w:pPr>
              <w:pStyle w:val="TableParagraph"/>
              <w:spacing w:before="5"/>
              <w:rPr>
                <w:rFonts w:ascii="Times New Roman"/>
                <w:sz w:val="18"/>
              </w:rPr>
            </w:pPr>
          </w:p>
          <w:p>
            <w:pPr>
              <w:pStyle w:val="TableParagraph"/>
              <w:spacing w:line="292" w:lineRule="auto"/>
              <w:ind w:left="200" w:right="104"/>
              <w:rPr>
                <w:sz w:val="21"/>
              </w:rPr>
            </w:pPr>
            <w:r>
              <w:rPr>
                <w:sz w:val="21"/>
              </w:rPr>
              <w:t>（</w:t>
            </w:r>
            <w:r>
              <w:rPr>
                <w:spacing w:val="-2"/>
                <w:sz w:val="21"/>
              </w:rPr>
              <w:t>五十五</w:t>
            </w:r>
            <w:r>
              <w:rPr>
                <w:spacing w:val="-68"/>
                <w:sz w:val="21"/>
              </w:rPr>
              <w:t>）</w:t>
            </w:r>
            <w:r>
              <w:rPr>
                <w:spacing w:val="-3"/>
                <w:sz w:val="21"/>
              </w:rPr>
              <w:t>严重自身免疫性肝炎</w:t>
            </w:r>
          </w:p>
        </w:tc>
        <w:tc>
          <w:tcPr>
            <w:tcW w:w="6137" w:type="dxa"/>
          </w:tcPr>
          <w:p>
            <w:pPr>
              <w:pStyle w:val="TableParagraph"/>
              <w:spacing w:before="5"/>
              <w:rPr>
                <w:rFonts w:ascii="Times New Roman"/>
                <w:sz w:val="18"/>
              </w:rPr>
            </w:pPr>
          </w:p>
          <w:p>
            <w:pPr>
              <w:pStyle w:val="TableParagraph"/>
              <w:spacing w:line="295" w:lineRule="auto"/>
              <w:ind w:left="107" w:right="295"/>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12"/>
              <w:ind w:left="107"/>
              <w:jc w:val="both"/>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before="45"/>
              <w:ind w:left="107"/>
              <w:jc w:val="both"/>
              <w:rPr>
                <w:sz w:val="21"/>
              </w:rPr>
            </w:pPr>
            <w:r>
              <w:rPr>
                <w:sz w:val="21"/>
              </w:rPr>
              <w:t>（2）</w:t>
            </w:r>
            <w:r>
              <w:rPr>
                <w:spacing w:val="-5"/>
                <w:sz w:val="21"/>
              </w:rPr>
              <w:t>血液中存在高水平的自身免疫抗体，如 </w:t>
            </w:r>
            <w:r>
              <w:rPr>
                <w:sz w:val="21"/>
              </w:rPr>
              <w:t>ANA（</w:t>
            </w:r>
            <w:r>
              <w:rPr>
                <w:spacing w:val="-1"/>
                <w:sz w:val="21"/>
              </w:rPr>
              <w:t>抗核抗体</w:t>
            </w:r>
            <w:r>
              <w:rPr>
                <w:spacing w:val="-106"/>
                <w:sz w:val="21"/>
              </w:rPr>
              <w:t>）</w:t>
            </w:r>
            <w:r>
              <w:rPr>
                <w:sz w:val="21"/>
              </w:rPr>
              <w:t>、</w:t>
            </w:r>
          </w:p>
          <w:p>
            <w:pPr>
              <w:pStyle w:val="TableParagraph"/>
              <w:spacing w:before="63"/>
              <w:ind w:left="107"/>
              <w:jc w:val="both"/>
              <w:rPr>
                <w:sz w:val="21"/>
              </w:rPr>
            </w:pPr>
            <w:r>
              <w:rPr>
                <w:sz w:val="21"/>
              </w:rPr>
              <w:t>SMA（</w:t>
            </w:r>
            <w:r>
              <w:rPr>
                <w:spacing w:val="-3"/>
                <w:sz w:val="21"/>
              </w:rPr>
              <w:t>抗平滑肌抗体</w:t>
            </w:r>
            <w:r>
              <w:rPr>
                <w:spacing w:val="-108"/>
                <w:sz w:val="21"/>
              </w:rPr>
              <w:t>）</w:t>
            </w:r>
            <w:r>
              <w:rPr>
                <w:spacing w:val="-18"/>
                <w:sz w:val="21"/>
              </w:rPr>
              <w:t>、抗 </w:t>
            </w:r>
            <w:r>
              <w:rPr>
                <w:sz w:val="21"/>
              </w:rPr>
              <w:t>LKM1</w:t>
            </w:r>
            <w:r>
              <w:rPr>
                <w:spacing w:val="-10"/>
                <w:sz w:val="21"/>
              </w:rPr>
              <w:t> 抗体或抗-</w:t>
            </w:r>
            <w:r>
              <w:rPr>
                <w:sz w:val="21"/>
              </w:rPr>
              <w:t>SLA/LP</w:t>
            </w:r>
            <w:r>
              <w:rPr>
                <w:spacing w:val="-13"/>
                <w:sz w:val="21"/>
              </w:rPr>
              <w:t> 抗体；</w:t>
            </w:r>
          </w:p>
          <w:p>
            <w:pPr>
              <w:pStyle w:val="TableParagraph"/>
              <w:spacing w:before="61"/>
              <w:ind w:left="107"/>
              <w:jc w:val="both"/>
              <w:rPr>
                <w:sz w:val="21"/>
              </w:rPr>
            </w:pPr>
            <w:r>
              <w:rPr>
                <w:sz w:val="21"/>
              </w:rPr>
              <w:t>（3）肝脏活检证实免疫性肝炎；</w:t>
            </w:r>
          </w:p>
          <w:p>
            <w:pPr>
              <w:pStyle w:val="TableParagraph"/>
              <w:spacing w:before="61"/>
              <w:ind w:left="107"/>
              <w:jc w:val="both"/>
              <w:rPr>
                <w:sz w:val="21"/>
              </w:rPr>
            </w:pPr>
            <w:r>
              <w:rPr>
                <w:sz w:val="21"/>
              </w:rPr>
              <w:t>（4）临床已经出现腹水、食道静脉曲张和脾肿大等肝硬化表现。</w:t>
            </w:r>
          </w:p>
        </w:tc>
      </w:tr>
      <w:tr>
        <w:trPr>
          <w:trHeight w:val="937" w:hRule="atLeast"/>
        </w:trPr>
        <w:tc>
          <w:tcPr>
            <w:tcW w:w="993" w:type="dxa"/>
          </w:tcPr>
          <w:p>
            <w:pPr>
              <w:pStyle w:val="TableParagraph"/>
              <w:spacing w:before="5"/>
              <w:rPr>
                <w:rFonts w:ascii="Times New Roman"/>
                <w:sz w:val="18"/>
              </w:rPr>
            </w:pPr>
          </w:p>
          <w:p>
            <w:pPr>
              <w:pStyle w:val="TableParagraph"/>
              <w:ind w:left="200"/>
              <w:rPr>
                <w:sz w:val="21"/>
              </w:rPr>
            </w:pPr>
            <w:r>
              <w:rPr>
                <w:sz w:val="21"/>
              </w:rPr>
              <w:t>8.7</w:t>
            </w:r>
          </w:p>
        </w:tc>
        <w:tc>
          <w:tcPr>
            <w:tcW w:w="1980" w:type="dxa"/>
          </w:tcPr>
          <w:p>
            <w:pPr>
              <w:pStyle w:val="TableParagraph"/>
              <w:spacing w:before="5"/>
              <w:rPr>
                <w:rFonts w:ascii="Times New Roman"/>
                <w:sz w:val="18"/>
              </w:rPr>
            </w:pPr>
          </w:p>
          <w:p>
            <w:pPr>
              <w:pStyle w:val="TableParagraph"/>
              <w:ind w:left="476"/>
              <w:rPr>
                <w:sz w:val="21"/>
              </w:rPr>
            </w:pPr>
            <w:r>
              <w:rPr>
                <w:sz w:val="21"/>
              </w:rPr>
              <w:t>轻症疾病</w:t>
            </w:r>
          </w:p>
        </w:tc>
        <w:tc>
          <w:tcPr>
            <w:tcW w:w="6137" w:type="dxa"/>
          </w:tcPr>
          <w:p>
            <w:pPr>
              <w:pStyle w:val="TableParagraph"/>
              <w:spacing w:before="5"/>
              <w:rPr>
                <w:rFonts w:ascii="Times New Roman"/>
                <w:sz w:val="18"/>
              </w:rPr>
            </w:pPr>
          </w:p>
          <w:p>
            <w:pPr>
              <w:pStyle w:val="TableParagraph"/>
              <w:spacing w:line="292" w:lineRule="auto"/>
              <w:ind w:left="107" w:right="308"/>
              <w:rPr>
                <w:sz w:val="21"/>
              </w:rPr>
            </w:pPr>
            <w:r>
              <w:rPr>
                <w:sz w:val="21"/>
              </w:rPr>
              <w:t>符合以下疾病定义所述条件的疾病、疾病状态或手术，并由专科医生明确诊断，共计十三种。</w:t>
            </w:r>
          </w:p>
        </w:tc>
      </w:tr>
      <w:tr>
        <w:trPr>
          <w:trHeight w:val="2197" w:hRule="atLeast"/>
        </w:trPr>
        <w:tc>
          <w:tcPr>
            <w:tcW w:w="2973" w:type="dxa"/>
            <w:gridSpan w:val="2"/>
          </w:tcPr>
          <w:p>
            <w:pPr>
              <w:pStyle w:val="TableParagraph"/>
              <w:spacing w:line="292" w:lineRule="auto" w:before="62"/>
              <w:ind w:left="200" w:right="104"/>
              <w:rPr>
                <w:sz w:val="21"/>
              </w:rPr>
            </w:pPr>
            <w:r>
              <w:rPr>
                <w:sz w:val="21"/>
              </w:rPr>
              <w:t>（一</w:t>
            </w:r>
            <w:r>
              <w:rPr>
                <w:spacing w:val="-68"/>
                <w:sz w:val="21"/>
              </w:rPr>
              <w:t>）</w:t>
            </w:r>
            <w:r>
              <w:rPr>
                <w:spacing w:val="-3"/>
                <w:sz w:val="21"/>
              </w:rPr>
              <w:t>极早期的恶性肿瘤或恶性病变</w:t>
            </w:r>
          </w:p>
        </w:tc>
        <w:tc>
          <w:tcPr>
            <w:tcW w:w="6137" w:type="dxa"/>
          </w:tcPr>
          <w:p>
            <w:pPr>
              <w:pStyle w:val="TableParagraph"/>
              <w:spacing w:line="273" w:lineRule="auto" w:before="50"/>
              <w:ind w:left="107" w:right="308"/>
              <w:rPr>
                <w:sz w:val="21"/>
              </w:rPr>
            </w:pPr>
            <w:r>
              <w:rPr>
                <w:sz w:val="21"/>
              </w:rPr>
              <w:t>指被保险人经组织病理学检查被明确诊断为下列恶性病变，并且接受了相应的治疗。</w:t>
            </w:r>
          </w:p>
          <w:p>
            <w:pPr>
              <w:pStyle w:val="TableParagraph"/>
              <w:spacing w:before="7"/>
              <w:ind w:left="107"/>
              <w:rPr>
                <w:sz w:val="21"/>
              </w:rPr>
            </w:pPr>
            <w:r>
              <w:rPr>
                <w:sz w:val="21"/>
              </w:rPr>
              <w:t>（1）原位癌；</w:t>
            </w:r>
          </w:p>
          <w:p>
            <w:pPr>
              <w:pStyle w:val="TableParagraph"/>
              <w:spacing w:before="36"/>
              <w:ind w:left="107"/>
              <w:rPr>
                <w:sz w:val="21"/>
              </w:rPr>
            </w:pPr>
            <w:r>
              <w:rPr>
                <w:sz w:val="21"/>
              </w:rPr>
              <w:t>（2）相当于 Binet 分期方案A期程度的慢性淋巴细胞白血病；</w:t>
            </w:r>
          </w:p>
          <w:p>
            <w:pPr>
              <w:pStyle w:val="TableParagraph"/>
              <w:spacing w:before="36"/>
              <w:ind w:left="107"/>
              <w:rPr>
                <w:sz w:val="21"/>
              </w:rPr>
            </w:pPr>
            <w:r>
              <w:rPr>
                <w:sz w:val="21"/>
              </w:rPr>
              <w:t>（3）相当于 Ann Arbor 分期方案I期程度的何杰金氏病；</w:t>
            </w:r>
          </w:p>
          <w:p>
            <w:pPr>
              <w:pStyle w:val="TableParagraph"/>
              <w:spacing w:before="36"/>
              <w:ind w:left="107"/>
              <w:rPr>
                <w:sz w:val="21"/>
              </w:rPr>
            </w:pPr>
            <w:r>
              <w:rPr>
                <w:sz w:val="21"/>
              </w:rPr>
              <w:t>（4）皮肤癌（不包括恶性黑色素瘤及已发生转移的皮肤癌）</w:t>
            </w:r>
          </w:p>
          <w:p>
            <w:pPr>
              <w:pStyle w:val="TableParagraph"/>
              <w:spacing w:line="255" w:lineRule="exact" w:before="36"/>
              <w:ind w:left="10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w:t>
            </w:r>
            <w:r>
              <w:rPr>
                <w:spacing w:val="53"/>
                <w:sz w:val="11"/>
              </w:rPr>
              <w:t> </w:t>
            </w:r>
            <w:r>
              <w:rPr>
                <w:spacing w:val="-3"/>
                <w:position w:val="1"/>
                <w:sz w:val="21"/>
              </w:rPr>
              <w:t>期或更轻分期的前列腺癌。</w:t>
            </w:r>
          </w:p>
        </w:tc>
      </w:tr>
    </w:tbl>
    <w:p>
      <w:pPr>
        <w:spacing w:after="0" w:line="255" w:lineRule="exact"/>
        <w:rPr>
          <w:sz w:val="21"/>
        </w:rPr>
        <w:sectPr>
          <w:pgSz w:w="11910" w:h="16840"/>
          <w:pgMar w:header="0" w:footer="919" w:top="158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6039"/>
      </w:tblGrid>
      <w:tr>
        <w:trPr>
          <w:trHeight w:val="3180" w:hRule="atLeast"/>
        </w:trPr>
        <w:tc>
          <w:tcPr>
            <w:tcW w:w="2974" w:type="dxa"/>
          </w:tcPr>
          <w:p>
            <w:pPr>
              <w:pStyle w:val="TableParagraph"/>
              <w:spacing w:line="211" w:lineRule="exact"/>
              <w:ind w:left="200"/>
              <w:rPr>
                <w:sz w:val="21"/>
              </w:rPr>
            </w:pPr>
            <w:r>
              <w:rPr>
                <w:sz w:val="21"/>
              </w:rPr>
              <w:t>（二</w:t>
            </w:r>
            <w:r>
              <w:rPr>
                <w:spacing w:val="-68"/>
                <w:sz w:val="21"/>
              </w:rPr>
              <w:t>）</w:t>
            </w:r>
            <w:r>
              <w:rPr>
                <w:spacing w:val="-3"/>
                <w:sz w:val="21"/>
              </w:rPr>
              <w:t>冠状动脉介入手术或严</w:t>
            </w:r>
          </w:p>
          <w:p>
            <w:pPr>
              <w:pStyle w:val="TableParagraph"/>
              <w:spacing w:before="61"/>
              <w:ind w:left="200"/>
              <w:rPr>
                <w:sz w:val="21"/>
              </w:rPr>
            </w:pPr>
            <w:r>
              <w:rPr>
                <w:sz w:val="21"/>
              </w:rPr>
              <w:t>重冠心病</w:t>
            </w:r>
          </w:p>
        </w:tc>
        <w:tc>
          <w:tcPr>
            <w:tcW w:w="6039" w:type="dxa"/>
          </w:tcPr>
          <w:p>
            <w:pPr>
              <w:pStyle w:val="TableParagraph"/>
              <w:spacing w:line="211" w:lineRule="exact"/>
              <w:ind w:left="106"/>
              <w:rPr>
                <w:sz w:val="21"/>
              </w:rPr>
            </w:pPr>
            <w:r>
              <w:rPr>
                <w:sz w:val="21"/>
              </w:rPr>
              <w:t>指被保险人患有明显的冠状动脉狭窄性疾病，且满足下列条件</w:t>
            </w:r>
          </w:p>
          <w:p>
            <w:pPr>
              <w:pStyle w:val="TableParagraph"/>
              <w:spacing w:before="61"/>
              <w:ind w:left="106"/>
              <w:rPr>
                <w:sz w:val="21"/>
              </w:rPr>
            </w:pPr>
            <w:r>
              <w:rPr>
                <w:sz w:val="21"/>
              </w:rPr>
              <w:t>之一：</w:t>
            </w:r>
          </w:p>
          <w:p>
            <w:pPr>
              <w:pStyle w:val="TableParagraph"/>
              <w:spacing w:line="292" w:lineRule="auto" w:before="61"/>
              <w:ind w:left="106" w:right="205"/>
              <w:jc w:val="both"/>
              <w:rPr>
                <w:sz w:val="21"/>
              </w:rPr>
            </w:pPr>
            <w:r>
              <w:rPr>
                <w:spacing w:val="-10"/>
                <w:sz w:val="21"/>
              </w:rPr>
              <w:t>（1）</w:t>
            </w:r>
            <w:r>
              <w:rPr>
                <w:spacing w:val="-5"/>
                <w:sz w:val="21"/>
              </w:rPr>
              <w:t>首次实际实施了冠状动脉球囊扩张成形术、冠状动脉支架</w:t>
            </w:r>
            <w:r>
              <w:rPr>
                <w:spacing w:val="-4"/>
                <w:sz w:val="21"/>
              </w:rPr>
              <w:t>植入术、冠状动脉粥肿斑块切除术或激光冠状动脉成形术。</w:t>
            </w:r>
          </w:p>
          <w:p>
            <w:pPr>
              <w:pStyle w:val="TableParagraph"/>
              <w:spacing w:line="292" w:lineRule="auto" w:before="17"/>
              <w:ind w:left="106" w:right="205"/>
              <w:jc w:val="both"/>
              <w:rPr>
                <w:sz w:val="21"/>
              </w:rPr>
            </w:pPr>
            <w:r>
              <w:rPr>
                <w:spacing w:val="-10"/>
                <w:sz w:val="21"/>
              </w:rPr>
              <w:t>（2）</w:t>
            </w:r>
            <w:r>
              <w:rPr>
                <w:spacing w:val="-5"/>
                <w:sz w:val="21"/>
              </w:rPr>
              <w:t>根据冠状动脉造影检查结果确诊的主要血管</w:t>
            </w:r>
            <w:r>
              <w:rPr>
                <w:spacing w:val="-3"/>
                <w:sz w:val="21"/>
              </w:rPr>
              <w:t>（</w:t>
            </w:r>
            <w:r>
              <w:rPr>
                <w:spacing w:val="-1"/>
                <w:sz w:val="21"/>
              </w:rPr>
              <w:t>左冠状动脉主干、前降支、左旋支和右冠状动脉）严重狭窄性病变。严重</w:t>
            </w:r>
            <w:r>
              <w:rPr>
                <w:spacing w:val="-5"/>
                <w:sz w:val="21"/>
              </w:rPr>
              <w:t>狭窄型病变是指至少一支血管管腔直径减少 </w:t>
            </w:r>
            <w:r>
              <w:rPr>
                <w:sz w:val="21"/>
              </w:rPr>
              <w:t>75</w:t>
            </w:r>
            <w:r>
              <w:rPr>
                <w:spacing w:val="-3"/>
                <w:sz w:val="21"/>
              </w:rPr>
              <w:t>％以上，且其他</w:t>
            </w:r>
            <w:r>
              <w:rPr>
                <w:spacing w:val="-6"/>
                <w:sz w:val="21"/>
              </w:rPr>
              <w:t>两支血管管腔直径减少 </w:t>
            </w:r>
            <w:r>
              <w:rPr>
                <w:sz w:val="21"/>
              </w:rPr>
              <w:t>60</w:t>
            </w:r>
            <w:r>
              <w:rPr>
                <w:spacing w:val="-3"/>
                <w:sz w:val="21"/>
              </w:rPr>
              <w:t>％以上，前降支、左旋支及右冠状动脉的分支血管的狭窄不在保障范围内。</w:t>
            </w:r>
          </w:p>
        </w:tc>
      </w:tr>
      <w:tr>
        <w:trPr>
          <w:trHeight w:val="2447" w:hRule="atLeast"/>
        </w:trPr>
        <w:tc>
          <w:tcPr>
            <w:tcW w:w="2974" w:type="dxa"/>
          </w:tcPr>
          <w:p>
            <w:pPr>
              <w:pStyle w:val="TableParagraph"/>
              <w:spacing w:before="5"/>
              <w:rPr>
                <w:rFonts w:ascii="Times New Roman"/>
                <w:sz w:val="18"/>
              </w:rPr>
            </w:pPr>
          </w:p>
          <w:p>
            <w:pPr>
              <w:pStyle w:val="TableParagraph"/>
              <w:ind w:left="200"/>
              <w:rPr>
                <w:sz w:val="21"/>
              </w:rPr>
            </w:pPr>
            <w:r>
              <w:rPr>
                <w:sz w:val="21"/>
              </w:rPr>
              <w:t>（三）轻微脑中风</w:t>
            </w:r>
          </w:p>
        </w:tc>
        <w:tc>
          <w:tcPr>
            <w:tcW w:w="6039" w:type="dxa"/>
          </w:tcPr>
          <w:p>
            <w:pPr>
              <w:pStyle w:val="TableParagraph"/>
              <w:spacing w:before="5"/>
              <w:rPr>
                <w:rFonts w:ascii="Times New Roman"/>
                <w:sz w:val="18"/>
              </w:rPr>
            </w:pPr>
          </w:p>
          <w:p>
            <w:pPr>
              <w:pStyle w:val="TableParagraph"/>
              <w:spacing w:line="292" w:lineRule="auto"/>
              <w:ind w:left="106" w:right="205"/>
              <w:jc w:val="both"/>
              <w:rPr>
                <w:sz w:val="21"/>
              </w:rPr>
            </w:pPr>
            <w:r>
              <w:rPr>
                <w:sz w:val="21"/>
              </w:rPr>
              <w:t>指实际发生了脑血管的突发病变出现神经系统功能障碍表现， </w:t>
            </w:r>
            <w:r>
              <w:rPr>
                <w:spacing w:val="-4"/>
                <w:sz w:val="21"/>
              </w:rPr>
              <w:t>头颅断层扫描</w:t>
            </w:r>
            <w:r>
              <w:rPr>
                <w:spacing w:val="-5"/>
                <w:sz w:val="21"/>
              </w:rPr>
              <w:t>（CT）</w:t>
            </w:r>
            <w:r>
              <w:rPr>
                <w:spacing w:val="-7"/>
                <w:sz w:val="21"/>
              </w:rPr>
              <w:t>、核磁共振</w:t>
            </w:r>
            <w:r>
              <w:rPr>
                <w:spacing w:val="-3"/>
                <w:sz w:val="21"/>
              </w:rPr>
              <w:t>（MRI）等影像学检查证实存在</w:t>
            </w:r>
            <w:r>
              <w:rPr>
                <w:spacing w:val="-5"/>
                <w:sz w:val="21"/>
              </w:rPr>
              <w:t>对应病灶，确诊为脑出血、脑栓塞或脑梗塞，在确诊 </w:t>
            </w:r>
            <w:r>
              <w:rPr>
                <w:sz w:val="21"/>
              </w:rPr>
              <w:t>180</w:t>
            </w:r>
            <w:r>
              <w:rPr>
                <w:spacing w:val="2"/>
                <w:sz w:val="21"/>
              </w:rPr>
              <w:t> 天后</w:t>
            </w:r>
            <w:r>
              <w:rPr>
                <w:sz w:val="21"/>
              </w:rPr>
              <w:t>未遗留神经系统功能障碍或后遗的神经系统功能障碍程度未达</w:t>
            </w:r>
            <w:r>
              <w:rPr>
                <w:spacing w:val="7"/>
                <w:sz w:val="21"/>
              </w:rPr>
              <w:t>到重大疾病</w:t>
            </w:r>
            <w:r>
              <w:rPr>
                <w:rFonts w:ascii="Times New Roman" w:hAnsi="Times New Roman" w:eastAsia="Times New Roman"/>
                <w:spacing w:val="7"/>
                <w:sz w:val="21"/>
              </w:rPr>
              <w:t>“</w:t>
            </w:r>
            <w:r>
              <w:rPr>
                <w:spacing w:val="7"/>
                <w:sz w:val="21"/>
              </w:rPr>
              <w:t>脑中风后遗症</w:t>
            </w:r>
            <w:r>
              <w:rPr>
                <w:rFonts w:ascii="Times New Roman" w:hAnsi="Times New Roman" w:eastAsia="Times New Roman"/>
                <w:spacing w:val="7"/>
                <w:sz w:val="21"/>
              </w:rPr>
              <w:t>”</w:t>
            </w:r>
            <w:r>
              <w:rPr>
                <w:spacing w:val="6"/>
                <w:sz w:val="21"/>
              </w:rPr>
              <w:t>的给付标准。短暂性脑缺血发作</w:t>
            </w:r>
          </w:p>
          <w:p>
            <w:pPr>
              <w:pStyle w:val="TableParagraph"/>
              <w:spacing w:line="269" w:lineRule="exact"/>
              <w:ind w:left="106"/>
              <w:jc w:val="both"/>
              <w:rPr>
                <w:sz w:val="21"/>
              </w:rPr>
            </w:pPr>
            <w:r>
              <w:rPr>
                <w:sz w:val="21"/>
              </w:rPr>
              <w:t>（TIA） 和腔隙性脑梗塞不在保障范围内。</w:t>
            </w:r>
          </w:p>
        </w:tc>
      </w:tr>
      <w:tr>
        <w:trPr>
          <w:trHeight w:val="1436" w:hRule="atLeast"/>
        </w:trPr>
        <w:tc>
          <w:tcPr>
            <w:tcW w:w="2974" w:type="dxa"/>
          </w:tcPr>
          <w:p>
            <w:pPr>
              <w:pStyle w:val="TableParagraph"/>
              <w:spacing w:before="6"/>
              <w:rPr>
                <w:rFonts w:ascii="Times New Roman"/>
                <w:sz w:val="18"/>
              </w:rPr>
            </w:pPr>
          </w:p>
          <w:p>
            <w:pPr>
              <w:pStyle w:val="TableParagraph"/>
              <w:ind w:left="200"/>
              <w:rPr>
                <w:sz w:val="21"/>
              </w:rPr>
            </w:pPr>
            <w:r>
              <w:rPr>
                <w:sz w:val="21"/>
              </w:rPr>
              <w:t>（四）心脏瓣膜介入手术</w:t>
            </w:r>
          </w:p>
        </w:tc>
        <w:tc>
          <w:tcPr>
            <w:tcW w:w="6039" w:type="dxa"/>
          </w:tcPr>
          <w:p>
            <w:pPr>
              <w:pStyle w:val="TableParagraph"/>
              <w:spacing w:before="6"/>
              <w:rPr>
                <w:rFonts w:ascii="Times New Roman"/>
                <w:sz w:val="18"/>
              </w:rPr>
            </w:pPr>
          </w:p>
          <w:p>
            <w:pPr>
              <w:pStyle w:val="TableParagraph"/>
              <w:spacing w:line="292" w:lineRule="auto"/>
              <w:ind w:left="106" w:right="211"/>
              <w:jc w:val="both"/>
              <w:rPr>
                <w:sz w:val="21"/>
              </w:rPr>
            </w:pPr>
            <w:r>
              <w:rPr>
                <w:sz w:val="21"/>
              </w:rPr>
              <w:t>为了治疗心脏瓣膜疾病，被保险人实际接受了非开胸的经胸壁打孔内镜手术或经导管介入手术进行的心脏瓣膜置换或修复手术。</w:t>
            </w:r>
          </w:p>
        </w:tc>
      </w:tr>
      <w:tr>
        <w:trPr>
          <w:trHeight w:val="2109" w:hRule="atLeast"/>
        </w:trPr>
        <w:tc>
          <w:tcPr>
            <w:tcW w:w="2974" w:type="dxa"/>
          </w:tcPr>
          <w:p>
            <w:pPr>
              <w:pStyle w:val="TableParagraph"/>
              <w:spacing w:before="5"/>
              <w:rPr>
                <w:rFonts w:ascii="Times New Roman"/>
                <w:sz w:val="18"/>
              </w:rPr>
            </w:pPr>
          </w:p>
          <w:p>
            <w:pPr>
              <w:pStyle w:val="TableParagraph"/>
              <w:spacing w:line="292" w:lineRule="auto"/>
              <w:ind w:left="200" w:right="34"/>
              <w:rPr>
                <w:sz w:val="21"/>
              </w:rPr>
            </w:pPr>
            <w:r>
              <w:rPr>
                <w:sz w:val="21"/>
              </w:rPr>
              <w:t>（五）脑垂体瘤、脑囊肿、脑动脉瘤及脑血管瘤</w:t>
            </w:r>
          </w:p>
        </w:tc>
        <w:tc>
          <w:tcPr>
            <w:tcW w:w="6039" w:type="dxa"/>
          </w:tcPr>
          <w:p>
            <w:pPr>
              <w:pStyle w:val="TableParagraph"/>
              <w:spacing w:before="5"/>
              <w:rPr>
                <w:rFonts w:ascii="Times New Roman"/>
                <w:sz w:val="18"/>
              </w:rPr>
            </w:pPr>
          </w:p>
          <w:p>
            <w:pPr>
              <w:pStyle w:val="TableParagraph"/>
              <w:spacing w:line="292" w:lineRule="auto"/>
              <w:ind w:left="106" w:right="141"/>
              <w:rPr>
                <w:sz w:val="21"/>
              </w:rPr>
            </w:pPr>
            <w:r>
              <w:rPr>
                <w:sz w:val="21"/>
              </w:rPr>
              <w:t>指被保险人经头颅断层扫描（CT）、核磁共振（MRI）或其他影像学检查被确认为下列病变，并实际接受了手术或放射治疗。</w:t>
            </w:r>
          </w:p>
          <w:p>
            <w:pPr>
              <w:pStyle w:val="TableParagraph"/>
              <w:spacing w:before="17"/>
              <w:ind w:left="106"/>
              <w:rPr>
                <w:sz w:val="21"/>
              </w:rPr>
            </w:pPr>
            <w:r>
              <w:rPr>
                <w:sz w:val="21"/>
              </w:rPr>
              <w:t>（1）脑垂体瘤；</w:t>
            </w:r>
          </w:p>
          <w:p>
            <w:pPr>
              <w:pStyle w:val="TableParagraph"/>
              <w:spacing w:before="61"/>
              <w:ind w:left="106"/>
              <w:rPr>
                <w:sz w:val="21"/>
              </w:rPr>
            </w:pPr>
            <w:r>
              <w:rPr>
                <w:sz w:val="21"/>
              </w:rPr>
              <w:t>（2）脑囊肿；</w:t>
            </w:r>
          </w:p>
          <w:p>
            <w:pPr>
              <w:pStyle w:val="TableParagraph"/>
              <w:spacing w:before="61"/>
              <w:ind w:left="106"/>
              <w:rPr>
                <w:sz w:val="21"/>
              </w:rPr>
            </w:pPr>
            <w:r>
              <w:rPr>
                <w:sz w:val="21"/>
              </w:rPr>
              <w:t>（3）脑动脉瘤、脑血管瘤。</w:t>
            </w:r>
          </w:p>
        </w:tc>
      </w:tr>
      <w:tr>
        <w:trPr>
          <w:trHeight w:val="3120" w:hRule="atLeast"/>
        </w:trPr>
        <w:tc>
          <w:tcPr>
            <w:tcW w:w="2974" w:type="dxa"/>
          </w:tcPr>
          <w:p>
            <w:pPr>
              <w:pStyle w:val="TableParagraph"/>
              <w:spacing w:before="5"/>
              <w:rPr>
                <w:rFonts w:ascii="Times New Roman"/>
                <w:sz w:val="18"/>
              </w:rPr>
            </w:pPr>
          </w:p>
          <w:p>
            <w:pPr>
              <w:pStyle w:val="TableParagraph"/>
              <w:ind w:left="200"/>
              <w:rPr>
                <w:sz w:val="21"/>
              </w:rPr>
            </w:pPr>
            <w:r>
              <w:rPr>
                <w:sz w:val="21"/>
              </w:rPr>
              <w:t>（六）视力严重受损</w:t>
            </w:r>
          </w:p>
        </w:tc>
        <w:tc>
          <w:tcPr>
            <w:tcW w:w="6039" w:type="dxa"/>
          </w:tcPr>
          <w:p>
            <w:pPr>
              <w:pStyle w:val="TableParagraph"/>
              <w:spacing w:before="5"/>
              <w:rPr>
                <w:rFonts w:ascii="Times New Roman"/>
                <w:sz w:val="18"/>
              </w:rPr>
            </w:pPr>
          </w:p>
          <w:p>
            <w:pPr>
              <w:pStyle w:val="TableParagraph"/>
              <w:spacing w:line="295" w:lineRule="auto"/>
              <w:ind w:left="106" w:right="209"/>
              <w:rPr>
                <w:sz w:val="21"/>
              </w:rPr>
            </w:pPr>
            <w:r>
              <w:rPr>
                <w:sz w:val="21"/>
              </w:rPr>
              <w:t>指因疾病或意外伤害导致双目视力永久不可逆性丧失，须满足下列全部条件：</w:t>
            </w:r>
          </w:p>
          <w:p>
            <w:pPr>
              <w:pStyle w:val="TableParagraph"/>
              <w:spacing w:line="292" w:lineRule="auto" w:before="12"/>
              <w:ind w:left="106" w:right="141"/>
              <w:rPr>
                <w:sz w:val="21"/>
              </w:rPr>
            </w:pPr>
            <w:r>
              <w:rPr>
                <w:sz w:val="21"/>
              </w:rPr>
              <w:t>（1）双眼中较好眼矫正视力低于 0.1（采用国际标准视力表， 如果使用其他视力表应进行换算）；</w:t>
            </w:r>
          </w:p>
          <w:p>
            <w:pPr>
              <w:pStyle w:val="TableParagraph"/>
              <w:spacing w:before="16"/>
              <w:ind w:left="106"/>
              <w:rPr>
                <w:sz w:val="21"/>
              </w:rPr>
            </w:pPr>
            <w:r>
              <w:rPr>
                <w:sz w:val="21"/>
              </w:rPr>
              <w:t>（2）视野半径小于 20 度。</w:t>
            </w:r>
          </w:p>
          <w:p>
            <w:pPr>
              <w:pStyle w:val="TableParagraph"/>
              <w:spacing w:before="60"/>
              <w:ind w:left="106"/>
              <w:rPr>
                <w:sz w:val="21"/>
              </w:rPr>
            </w:pPr>
            <w:r>
              <w:rPr>
                <w:sz w:val="21"/>
              </w:rPr>
              <w:t>白内障导致的视力受损不在本合同保障范围内。</w:t>
            </w:r>
          </w:p>
          <w:p>
            <w:pPr>
              <w:pStyle w:val="TableParagraph"/>
              <w:spacing w:line="292" w:lineRule="auto" w:before="60"/>
              <w:ind w:left="106" w:right="141"/>
              <w:rPr>
                <w:sz w:val="21"/>
              </w:rPr>
            </w:pPr>
            <w:r>
              <w:rPr>
                <w:sz w:val="21"/>
              </w:rPr>
              <w:t>申请理赔时，被保险人年龄必须在 3 周岁以上，并且须提供理赔当时的视力严重受损诊断及检查证据。</w:t>
            </w:r>
          </w:p>
        </w:tc>
      </w:tr>
      <w:tr>
        <w:trPr>
          <w:trHeight w:val="1162" w:hRule="atLeast"/>
        </w:trPr>
        <w:tc>
          <w:tcPr>
            <w:tcW w:w="2974" w:type="dxa"/>
          </w:tcPr>
          <w:p>
            <w:pPr>
              <w:pStyle w:val="TableParagraph"/>
              <w:spacing w:before="5"/>
              <w:rPr>
                <w:rFonts w:ascii="Times New Roman"/>
                <w:sz w:val="18"/>
              </w:rPr>
            </w:pPr>
          </w:p>
          <w:p>
            <w:pPr>
              <w:pStyle w:val="TableParagraph"/>
              <w:ind w:left="200"/>
              <w:rPr>
                <w:sz w:val="21"/>
              </w:rPr>
            </w:pPr>
            <w:r>
              <w:rPr>
                <w:sz w:val="21"/>
              </w:rPr>
              <w:t>（七）主动脉内介入手术</w:t>
            </w:r>
          </w:p>
        </w:tc>
        <w:tc>
          <w:tcPr>
            <w:tcW w:w="6039" w:type="dxa"/>
          </w:tcPr>
          <w:p>
            <w:pPr>
              <w:pStyle w:val="TableParagraph"/>
              <w:spacing w:before="5"/>
              <w:rPr>
                <w:rFonts w:ascii="Times New Roman"/>
                <w:sz w:val="18"/>
              </w:rPr>
            </w:pPr>
          </w:p>
          <w:p>
            <w:pPr>
              <w:pStyle w:val="TableParagraph"/>
              <w:ind w:left="106"/>
              <w:rPr>
                <w:sz w:val="21"/>
              </w:rPr>
            </w:pPr>
            <w:r>
              <w:rPr>
                <w:sz w:val="21"/>
              </w:rPr>
              <w:t>为了治疗主动脉疾病实际实施的经皮经导管进行的动脉内手</w:t>
            </w:r>
          </w:p>
          <w:p>
            <w:pPr>
              <w:pStyle w:val="TableParagraph"/>
              <w:spacing w:line="330" w:lineRule="atLeast" w:before="8"/>
              <w:ind w:left="106" w:right="211"/>
              <w:rPr>
                <w:sz w:val="21"/>
              </w:rPr>
            </w:pPr>
            <w:r>
              <w:rPr>
                <w:sz w:val="21"/>
              </w:rPr>
              <w:t>术。主动脉指胸主动脉和腹主动脉，不包括胸主动脉和腹主动脉的分支血管。</w:t>
            </w:r>
          </w:p>
        </w:tc>
      </w:tr>
    </w:tbl>
    <w:p>
      <w:pPr>
        <w:spacing w:after="0" w:line="330" w:lineRule="atLeast"/>
        <w:rPr>
          <w:sz w:val="21"/>
        </w:rPr>
        <w:sectPr>
          <w:pgSz w:w="11910" w:h="16840"/>
          <w:pgMar w:header="0" w:footer="919" w:top="1500" w:bottom="1100" w:left="1200" w:right="13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980"/>
        <w:gridCol w:w="6086"/>
      </w:tblGrid>
      <w:tr>
        <w:trPr>
          <w:trHeight w:val="1159" w:hRule="atLeast"/>
        </w:trPr>
        <w:tc>
          <w:tcPr>
            <w:tcW w:w="2973" w:type="dxa"/>
            <w:gridSpan w:val="2"/>
          </w:tcPr>
          <w:p>
            <w:pPr>
              <w:pStyle w:val="TableParagraph"/>
              <w:spacing w:line="211" w:lineRule="exact"/>
              <w:ind w:left="200"/>
              <w:rPr>
                <w:sz w:val="21"/>
              </w:rPr>
            </w:pPr>
            <w:r>
              <w:rPr>
                <w:sz w:val="21"/>
              </w:rPr>
              <w:t>（八）较小面积 III 度烧伤</w:t>
            </w:r>
          </w:p>
        </w:tc>
        <w:tc>
          <w:tcPr>
            <w:tcW w:w="6086" w:type="dxa"/>
          </w:tcPr>
          <w:p>
            <w:pPr>
              <w:pStyle w:val="TableParagraph"/>
              <w:spacing w:line="211" w:lineRule="exact"/>
              <w:ind w:left="107"/>
              <w:rPr>
                <w:sz w:val="21"/>
              </w:rPr>
            </w:pPr>
            <w:r>
              <w:rPr>
                <w:sz w:val="21"/>
              </w:rPr>
              <w:t>指被保险人的烧伤程度为 III 度，且 III 度烧伤的面积大于全</w:t>
            </w:r>
          </w:p>
          <w:p>
            <w:pPr>
              <w:pStyle w:val="TableParagraph"/>
              <w:spacing w:line="292" w:lineRule="auto" w:before="61"/>
              <w:ind w:left="107" w:right="196"/>
              <w:rPr>
                <w:sz w:val="21"/>
              </w:rPr>
            </w:pPr>
            <w:r>
              <w:rPr>
                <w:spacing w:val="-8"/>
                <w:sz w:val="21"/>
              </w:rPr>
              <w:t>身体表面积的 </w:t>
            </w:r>
            <w:r>
              <w:rPr>
                <w:sz w:val="21"/>
              </w:rPr>
              <w:t>10</w:t>
            </w:r>
            <w:r>
              <w:rPr>
                <w:spacing w:val="-11"/>
                <w:sz w:val="21"/>
              </w:rPr>
              <w:t>%但小于 </w:t>
            </w:r>
            <w:r>
              <w:rPr>
                <w:sz w:val="21"/>
              </w:rPr>
              <w:t>20</w:t>
            </w:r>
            <w:r>
              <w:rPr>
                <w:spacing w:val="-3"/>
                <w:sz w:val="21"/>
              </w:rPr>
              <w:t>%。体表面积根据《中国新九分法》计算。</w:t>
            </w:r>
          </w:p>
        </w:tc>
      </w:tr>
      <w:tr>
        <w:trPr>
          <w:trHeight w:val="3459" w:hRule="atLeast"/>
        </w:trPr>
        <w:tc>
          <w:tcPr>
            <w:tcW w:w="2973" w:type="dxa"/>
            <w:gridSpan w:val="2"/>
          </w:tcPr>
          <w:p>
            <w:pPr>
              <w:pStyle w:val="TableParagraph"/>
              <w:spacing w:before="5"/>
              <w:rPr>
                <w:rFonts w:ascii="Times New Roman"/>
                <w:sz w:val="18"/>
              </w:rPr>
            </w:pPr>
          </w:p>
          <w:p>
            <w:pPr>
              <w:pStyle w:val="TableParagraph"/>
              <w:ind w:left="200"/>
              <w:rPr>
                <w:sz w:val="21"/>
              </w:rPr>
            </w:pPr>
            <w:r>
              <w:rPr>
                <w:sz w:val="21"/>
              </w:rPr>
              <w:t>（九）重症头部外伤</w:t>
            </w:r>
          </w:p>
        </w:tc>
        <w:tc>
          <w:tcPr>
            <w:tcW w:w="6086" w:type="dxa"/>
          </w:tcPr>
          <w:p>
            <w:pPr>
              <w:pStyle w:val="TableParagraph"/>
              <w:spacing w:before="5"/>
              <w:rPr>
                <w:rFonts w:ascii="Times New Roman"/>
                <w:sz w:val="18"/>
              </w:rPr>
            </w:pPr>
          </w:p>
          <w:p>
            <w:pPr>
              <w:pStyle w:val="TableParagraph"/>
              <w:spacing w:line="295" w:lineRule="auto"/>
              <w:ind w:left="107" w:right="251"/>
              <w:jc w:val="both"/>
              <w:rPr>
                <w:sz w:val="21"/>
              </w:rPr>
            </w:pPr>
            <w:r>
              <w:rPr>
                <w:sz w:val="21"/>
              </w:rPr>
              <w:t>指因头部遭受机械性外力伤害，引起脑重要部位损伤，并且由</w:t>
            </w:r>
            <w:r>
              <w:rPr>
                <w:spacing w:val="-4"/>
                <w:sz w:val="21"/>
              </w:rPr>
              <w:t>头颅断层扫描</w:t>
            </w:r>
            <w:r>
              <w:rPr>
                <w:spacing w:val="-5"/>
                <w:sz w:val="21"/>
              </w:rPr>
              <w:t>（CT）</w:t>
            </w:r>
            <w:r>
              <w:rPr>
                <w:spacing w:val="-7"/>
                <w:sz w:val="21"/>
              </w:rPr>
              <w:t>、核磁共振</w:t>
            </w:r>
            <w:r>
              <w:rPr>
                <w:spacing w:val="-3"/>
                <w:sz w:val="21"/>
              </w:rPr>
              <w:t>（MRI）或正电子发射断层扫描</w:t>
            </w:r>
          </w:p>
          <w:p>
            <w:pPr>
              <w:pStyle w:val="TableParagraph"/>
              <w:spacing w:line="285" w:lineRule="auto" w:before="12"/>
              <w:ind w:left="107" w:right="196"/>
              <w:jc w:val="both"/>
              <w:rPr>
                <w:sz w:val="21"/>
              </w:rPr>
            </w:pPr>
            <w:r>
              <w:rPr>
                <w:sz w:val="21"/>
              </w:rPr>
              <w:t>（PET）等影像学检查证实。头部外伤导致神经系统功能障碍， 虽然未达到重大疾病</w:t>
            </w:r>
            <w:r>
              <w:rPr>
                <w:rFonts w:ascii="Times New Roman" w:hAnsi="Times New Roman" w:eastAsia="Times New Roman"/>
                <w:sz w:val="21"/>
              </w:rPr>
              <w:t>“</w:t>
            </w:r>
            <w:r>
              <w:rPr>
                <w:sz w:val="21"/>
              </w:rPr>
              <w:t>严重脑损伤</w:t>
            </w:r>
            <w:r>
              <w:rPr>
                <w:rFonts w:ascii="Times New Roman" w:hAnsi="Times New Roman" w:eastAsia="Times New Roman"/>
                <w:sz w:val="21"/>
              </w:rPr>
              <w:t>”</w:t>
            </w:r>
            <w:r>
              <w:rPr>
                <w:sz w:val="21"/>
              </w:rPr>
              <w:t>的给付标准，但是符合以下条件之一：</w:t>
            </w:r>
          </w:p>
          <w:p>
            <w:pPr>
              <w:pStyle w:val="TableParagraph"/>
              <w:spacing w:line="292" w:lineRule="auto" w:before="23"/>
              <w:ind w:left="107" w:right="257"/>
              <w:jc w:val="both"/>
              <w:rPr>
                <w:sz w:val="21"/>
              </w:rPr>
            </w:pPr>
            <w:r>
              <w:rPr>
                <w:sz w:val="21"/>
              </w:rPr>
              <w:t>被保险人接受了全麻下颅骨切开颅内血肿清除术（颅骨钻孔术除外）；</w:t>
            </w:r>
          </w:p>
          <w:p>
            <w:pPr>
              <w:pStyle w:val="TableParagraph"/>
              <w:spacing w:line="295" w:lineRule="auto" w:before="15"/>
              <w:ind w:left="107" w:right="251"/>
              <w:jc w:val="both"/>
              <w:rPr>
                <w:sz w:val="21"/>
              </w:rPr>
            </w:pPr>
            <w:r>
              <w:rPr>
                <w:spacing w:val="7"/>
                <w:sz w:val="21"/>
              </w:rPr>
              <w:t>在外伤</w:t>
            </w:r>
            <w:r>
              <w:rPr>
                <w:sz w:val="21"/>
              </w:rPr>
              <w:t>180</w:t>
            </w:r>
            <w:r>
              <w:rPr>
                <w:spacing w:val="-8"/>
                <w:sz w:val="21"/>
              </w:rPr>
              <w:t> 天后仍然遗留一肢或一肢以上肢体肌力</w:t>
            </w:r>
            <w:r>
              <w:rPr>
                <w:sz w:val="21"/>
              </w:rPr>
              <w:t>III</w:t>
            </w:r>
            <w:r>
              <w:rPr>
                <w:spacing w:val="-12"/>
                <w:sz w:val="21"/>
              </w:rPr>
              <w:t> 级或</w:t>
            </w:r>
            <w:r>
              <w:rPr>
                <w:sz w:val="21"/>
              </w:rPr>
              <w:t>III </w:t>
            </w:r>
            <w:r>
              <w:rPr>
                <w:spacing w:val="-3"/>
                <w:sz w:val="21"/>
              </w:rPr>
              <w:t>级以下的运动功能障碍。</w:t>
            </w:r>
          </w:p>
        </w:tc>
      </w:tr>
      <w:tr>
        <w:trPr>
          <w:trHeight w:val="1435" w:hRule="atLeast"/>
        </w:trPr>
        <w:tc>
          <w:tcPr>
            <w:tcW w:w="2973" w:type="dxa"/>
            <w:gridSpan w:val="2"/>
          </w:tcPr>
          <w:p>
            <w:pPr>
              <w:pStyle w:val="TableParagraph"/>
              <w:spacing w:before="5"/>
              <w:rPr>
                <w:rFonts w:ascii="Times New Roman"/>
                <w:sz w:val="18"/>
              </w:rPr>
            </w:pPr>
          </w:p>
          <w:p>
            <w:pPr>
              <w:pStyle w:val="TableParagraph"/>
              <w:ind w:left="200"/>
              <w:rPr>
                <w:sz w:val="21"/>
              </w:rPr>
            </w:pPr>
            <w:r>
              <w:rPr>
                <w:sz w:val="21"/>
              </w:rPr>
              <w:t>（十）单个肢体缺失</w:t>
            </w:r>
          </w:p>
        </w:tc>
        <w:tc>
          <w:tcPr>
            <w:tcW w:w="6086" w:type="dxa"/>
          </w:tcPr>
          <w:p>
            <w:pPr>
              <w:pStyle w:val="TableParagraph"/>
              <w:spacing w:before="5"/>
              <w:rPr>
                <w:rFonts w:ascii="Times New Roman"/>
                <w:sz w:val="18"/>
              </w:rPr>
            </w:pPr>
          </w:p>
          <w:p>
            <w:pPr>
              <w:pStyle w:val="TableParagraph"/>
              <w:spacing w:line="292" w:lineRule="auto"/>
              <w:ind w:left="107" w:right="257"/>
              <w:jc w:val="both"/>
              <w:rPr>
                <w:sz w:val="21"/>
              </w:rPr>
            </w:pPr>
            <w:r>
              <w:rPr>
                <w:sz w:val="21"/>
              </w:rPr>
              <w:t>指因疾病或意外伤害导致一个肢体自腕关节或踝关节近端（靠近躯干端）以上完全性断离，且未满足本附加合同“多个肢体缺失”定义（8.6 第七条）的给付标准。</w:t>
            </w:r>
          </w:p>
        </w:tc>
      </w:tr>
      <w:tr>
        <w:trPr>
          <w:trHeight w:val="3120" w:hRule="atLeast"/>
        </w:trPr>
        <w:tc>
          <w:tcPr>
            <w:tcW w:w="2973" w:type="dxa"/>
            <w:gridSpan w:val="2"/>
          </w:tcPr>
          <w:p>
            <w:pPr>
              <w:pStyle w:val="TableParagraph"/>
              <w:spacing w:before="5"/>
              <w:rPr>
                <w:rFonts w:ascii="Times New Roman"/>
                <w:sz w:val="18"/>
              </w:rPr>
            </w:pPr>
          </w:p>
          <w:p>
            <w:pPr>
              <w:pStyle w:val="TableParagraph"/>
              <w:spacing w:line="295" w:lineRule="auto"/>
              <w:ind w:left="200" w:right="104"/>
              <w:rPr>
                <w:sz w:val="21"/>
              </w:rPr>
            </w:pPr>
            <w:r>
              <w:rPr>
                <w:sz w:val="21"/>
              </w:rPr>
              <w:t>（十一</w:t>
            </w:r>
            <w:r>
              <w:rPr>
                <w:spacing w:val="-70"/>
                <w:sz w:val="21"/>
              </w:rPr>
              <w:t>）</w:t>
            </w:r>
            <w:r>
              <w:rPr>
                <w:spacing w:val="-3"/>
                <w:sz w:val="21"/>
              </w:rPr>
              <w:t>非胰岛素依赖型糖尿病及并发症</w:t>
            </w:r>
          </w:p>
        </w:tc>
        <w:tc>
          <w:tcPr>
            <w:tcW w:w="6086" w:type="dxa"/>
          </w:tcPr>
          <w:p>
            <w:pPr>
              <w:pStyle w:val="TableParagraph"/>
              <w:spacing w:before="5"/>
              <w:rPr>
                <w:rFonts w:ascii="Times New Roman"/>
                <w:sz w:val="18"/>
              </w:rPr>
            </w:pPr>
          </w:p>
          <w:p>
            <w:pPr>
              <w:pStyle w:val="TableParagraph"/>
              <w:spacing w:line="295" w:lineRule="auto"/>
              <w:ind w:left="107" w:right="255"/>
              <w:rPr>
                <w:sz w:val="21"/>
              </w:rPr>
            </w:pPr>
            <w:r>
              <w:rPr>
                <w:sz w:val="21"/>
              </w:rPr>
              <w:t>非胰岛素依赖型糖尿病诊断必须由认可医院的合格内分泌专科医生作出，并满足下列条件之一：</w:t>
            </w:r>
          </w:p>
          <w:p>
            <w:pPr>
              <w:pStyle w:val="TableParagraph"/>
              <w:spacing w:before="12"/>
              <w:ind w:left="107"/>
              <w:rPr>
                <w:sz w:val="21"/>
              </w:rPr>
            </w:pPr>
            <w:r>
              <w:rPr>
                <w:sz w:val="21"/>
              </w:rPr>
              <w:t>（1）并发增殖性视网膜病变；</w:t>
            </w:r>
          </w:p>
          <w:p>
            <w:pPr>
              <w:pStyle w:val="TableParagraph"/>
              <w:spacing w:before="60"/>
              <w:ind w:left="107"/>
              <w:rPr>
                <w:sz w:val="21"/>
              </w:rPr>
            </w:pPr>
            <w:r>
              <w:rPr>
                <w:sz w:val="21"/>
              </w:rPr>
              <w:t>（2）并发心脏病变，并须植入心脏起搏器进行治疗；</w:t>
            </w:r>
          </w:p>
          <w:p>
            <w:pPr>
              <w:pStyle w:val="TableParagraph"/>
              <w:spacing w:before="60"/>
              <w:ind w:left="107"/>
              <w:rPr>
                <w:sz w:val="21"/>
              </w:rPr>
            </w:pPr>
            <w:r>
              <w:rPr>
                <w:sz w:val="21"/>
              </w:rPr>
              <w:t>（3）至少一个脚趾发生坏疽并已达到手术切除指征。</w:t>
            </w:r>
          </w:p>
          <w:p>
            <w:pPr>
              <w:pStyle w:val="TableParagraph"/>
              <w:spacing w:line="292" w:lineRule="auto" w:before="63"/>
              <w:ind w:left="107" w:right="251"/>
              <w:jc w:val="both"/>
              <w:rPr>
                <w:sz w:val="21"/>
              </w:rPr>
            </w:pPr>
            <w:r>
              <w:rPr>
                <w:sz w:val="21"/>
              </w:rPr>
              <w:t>理赔时被保险人须已持续性地依赖外源性胰岛素治疗至少 180 天以上，可以用其他方法（非胰岛素注射）治疗糖尿病不在本轻症疾病的保障范围内。</w:t>
            </w:r>
          </w:p>
        </w:tc>
      </w:tr>
      <w:tr>
        <w:trPr>
          <w:trHeight w:val="1774" w:hRule="atLeast"/>
        </w:trPr>
        <w:tc>
          <w:tcPr>
            <w:tcW w:w="2973" w:type="dxa"/>
            <w:gridSpan w:val="2"/>
          </w:tcPr>
          <w:p>
            <w:pPr>
              <w:pStyle w:val="TableParagraph"/>
              <w:spacing w:before="5"/>
              <w:rPr>
                <w:rFonts w:ascii="Times New Roman"/>
                <w:sz w:val="18"/>
              </w:rPr>
            </w:pPr>
          </w:p>
          <w:p>
            <w:pPr>
              <w:pStyle w:val="TableParagraph"/>
              <w:ind w:left="200"/>
              <w:rPr>
                <w:sz w:val="21"/>
              </w:rPr>
            </w:pPr>
            <w:r>
              <w:rPr>
                <w:sz w:val="21"/>
              </w:rPr>
              <w:t>（十二）严重哮喘</w:t>
            </w:r>
          </w:p>
        </w:tc>
        <w:tc>
          <w:tcPr>
            <w:tcW w:w="6086" w:type="dxa"/>
          </w:tcPr>
          <w:p>
            <w:pPr>
              <w:pStyle w:val="TableParagraph"/>
              <w:spacing w:before="5"/>
              <w:rPr>
                <w:rFonts w:ascii="Times New Roman"/>
                <w:sz w:val="18"/>
              </w:rPr>
            </w:pPr>
          </w:p>
          <w:p>
            <w:pPr>
              <w:pStyle w:val="TableParagraph"/>
              <w:spacing w:line="295" w:lineRule="auto"/>
              <w:ind w:left="107" w:right="257"/>
              <w:rPr>
                <w:sz w:val="21"/>
              </w:rPr>
            </w:pPr>
            <w:r>
              <w:rPr>
                <w:sz w:val="21"/>
              </w:rPr>
              <w:t>被保险人必须在过去两年内曾发生哮喘持续状态，并同时满足下列条件：</w:t>
            </w:r>
          </w:p>
          <w:p>
            <w:pPr>
              <w:pStyle w:val="TableParagraph"/>
              <w:spacing w:before="12"/>
              <w:ind w:left="107"/>
              <w:rPr>
                <w:sz w:val="21"/>
              </w:rPr>
            </w:pPr>
            <w:r>
              <w:rPr>
                <w:sz w:val="21"/>
              </w:rPr>
              <w:t>（1）长期胸腔过度膨胀而导致胸腔畸形；</w:t>
            </w:r>
          </w:p>
          <w:p>
            <w:pPr>
              <w:pStyle w:val="TableParagraph"/>
              <w:spacing w:before="60"/>
              <w:ind w:left="107"/>
              <w:rPr>
                <w:sz w:val="21"/>
              </w:rPr>
            </w:pPr>
            <w:r>
              <w:rPr>
                <w:sz w:val="21"/>
              </w:rPr>
              <w:t>（2）持续的每天服用类固醇药物（至少持续六个月以上）。</w:t>
            </w:r>
          </w:p>
        </w:tc>
      </w:tr>
      <w:tr>
        <w:trPr>
          <w:trHeight w:val="1437" w:hRule="atLeast"/>
        </w:trPr>
        <w:tc>
          <w:tcPr>
            <w:tcW w:w="2973" w:type="dxa"/>
            <w:gridSpan w:val="2"/>
          </w:tcPr>
          <w:p>
            <w:pPr>
              <w:pStyle w:val="TableParagraph"/>
              <w:spacing w:before="5"/>
              <w:rPr>
                <w:rFonts w:ascii="Times New Roman"/>
                <w:sz w:val="18"/>
              </w:rPr>
            </w:pPr>
          </w:p>
          <w:p>
            <w:pPr>
              <w:pStyle w:val="TableParagraph"/>
              <w:spacing w:line="295" w:lineRule="auto"/>
              <w:ind w:left="200" w:right="104"/>
              <w:rPr>
                <w:sz w:val="21"/>
              </w:rPr>
            </w:pPr>
            <w:r>
              <w:rPr>
                <w:sz w:val="21"/>
              </w:rPr>
              <w:t>（十三）慢性肾功能损害-肾功能衰竭期</w:t>
            </w:r>
          </w:p>
        </w:tc>
        <w:tc>
          <w:tcPr>
            <w:tcW w:w="6086" w:type="dxa"/>
          </w:tcPr>
          <w:p>
            <w:pPr>
              <w:pStyle w:val="TableParagraph"/>
              <w:spacing w:before="5"/>
              <w:rPr>
                <w:rFonts w:ascii="Times New Roman"/>
                <w:sz w:val="18"/>
              </w:rPr>
            </w:pPr>
          </w:p>
          <w:p>
            <w:pPr>
              <w:pStyle w:val="TableParagraph"/>
              <w:ind w:left="107"/>
              <w:rPr>
                <w:sz w:val="21"/>
              </w:rPr>
            </w:pPr>
            <w:r>
              <w:rPr>
                <w:sz w:val="21"/>
              </w:rPr>
              <w:t>指双肾慢性肾功能不全，须满足下列全部条件：</w:t>
            </w:r>
          </w:p>
          <w:p>
            <w:pPr>
              <w:pStyle w:val="TableParagraph"/>
              <w:spacing w:before="63"/>
              <w:ind w:left="107"/>
              <w:rPr>
                <w:sz w:val="21"/>
              </w:rPr>
            </w:pPr>
            <w:r>
              <w:rPr>
                <w:sz w:val="21"/>
              </w:rPr>
              <w:t>（1）肌酐清除率（Ccr）低于 30ml/min，持续超过 90 天；</w:t>
            </w:r>
          </w:p>
          <w:p>
            <w:pPr>
              <w:pStyle w:val="TableParagraph"/>
              <w:spacing w:before="61"/>
              <w:ind w:left="107"/>
              <w:rPr>
                <w:sz w:val="21"/>
              </w:rPr>
            </w:pPr>
            <w:r>
              <w:rPr>
                <w:sz w:val="21"/>
              </w:rPr>
              <w:t>（2）血肌酐（Scr）高于 400umol/l，持续超过 90 天。</w:t>
            </w:r>
          </w:p>
        </w:tc>
      </w:tr>
      <w:tr>
        <w:trPr>
          <w:trHeight w:val="1162" w:hRule="atLeast"/>
        </w:trPr>
        <w:tc>
          <w:tcPr>
            <w:tcW w:w="993" w:type="dxa"/>
          </w:tcPr>
          <w:p>
            <w:pPr>
              <w:pStyle w:val="TableParagraph"/>
              <w:spacing w:before="5"/>
              <w:rPr>
                <w:rFonts w:ascii="Times New Roman"/>
                <w:sz w:val="18"/>
              </w:rPr>
            </w:pPr>
          </w:p>
          <w:p>
            <w:pPr>
              <w:pStyle w:val="TableParagraph"/>
              <w:ind w:left="200"/>
              <w:rPr>
                <w:sz w:val="21"/>
              </w:rPr>
            </w:pPr>
            <w:r>
              <w:rPr>
                <w:sz w:val="21"/>
              </w:rPr>
              <w:t>8.8</w:t>
            </w:r>
          </w:p>
        </w:tc>
        <w:tc>
          <w:tcPr>
            <w:tcW w:w="1980" w:type="dxa"/>
          </w:tcPr>
          <w:p>
            <w:pPr>
              <w:pStyle w:val="TableParagraph"/>
              <w:spacing w:before="5"/>
              <w:rPr>
                <w:rFonts w:ascii="Times New Roman"/>
                <w:sz w:val="18"/>
              </w:rPr>
            </w:pPr>
          </w:p>
          <w:p>
            <w:pPr>
              <w:pStyle w:val="TableParagraph"/>
              <w:spacing w:line="292" w:lineRule="auto"/>
              <w:ind w:left="476" w:right="105"/>
              <w:rPr>
                <w:sz w:val="21"/>
              </w:rPr>
            </w:pPr>
            <w:r>
              <w:rPr>
                <w:sz w:val="21"/>
              </w:rPr>
              <w:t>六项基本日常生活活动</w:t>
            </w:r>
          </w:p>
        </w:tc>
        <w:tc>
          <w:tcPr>
            <w:tcW w:w="6086" w:type="dxa"/>
          </w:tcPr>
          <w:p>
            <w:pPr>
              <w:pStyle w:val="TableParagraph"/>
              <w:spacing w:before="5"/>
              <w:rPr>
                <w:rFonts w:ascii="Times New Roman"/>
                <w:sz w:val="18"/>
              </w:rPr>
            </w:pPr>
          </w:p>
          <w:p>
            <w:pPr>
              <w:pStyle w:val="TableParagraph"/>
              <w:ind w:left="107"/>
              <w:rPr>
                <w:sz w:val="21"/>
              </w:rPr>
            </w:pPr>
            <w:r>
              <w:rPr>
                <w:sz w:val="21"/>
              </w:rPr>
              <w:t>一、穿衣：自己能够穿衣及脱衣；</w:t>
            </w:r>
          </w:p>
          <w:p>
            <w:pPr>
              <w:pStyle w:val="TableParagraph"/>
              <w:spacing w:line="338" w:lineRule="exact" w:before="36"/>
              <w:ind w:left="107" w:right="1982"/>
              <w:rPr>
                <w:sz w:val="21"/>
              </w:rPr>
            </w:pPr>
            <w:r>
              <w:rPr>
                <w:sz w:val="21"/>
              </w:rPr>
              <w:t>二、移动：自己从一个房间到另一个房间； 三、行动：自己上下床或上下轮椅；</w:t>
            </w:r>
          </w:p>
        </w:tc>
      </w:tr>
    </w:tbl>
    <w:p>
      <w:pPr>
        <w:spacing w:after="0" w:line="338" w:lineRule="exact"/>
        <w:rPr>
          <w:sz w:val="21"/>
        </w:rPr>
        <w:sectPr>
          <w:pgSz w:w="11910" w:h="16840"/>
          <w:pgMar w:header="0" w:footer="919" w:top="1500" w:bottom="1100" w:left="1200" w:right="128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650"/>
        <w:gridCol w:w="6315"/>
      </w:tblGrid>
      <w:tr>
        <w:trPr>
          <w:trHeight w:val="991" w:hRule="atLeast"/>
        </w:trPr>
        <w:tc>
          <w:tcPr>
            <w:tcW w:w="1046" w:type="dxa"/>
          </w:tcPr>
          <w:p>
            <w:pPr>
              <w:pStyle w:val="TableParagraph"/>
              <w:rPr>
                <w:rFonts w:ascii="Times New Roman"/>
                <w:sz w:val="20"/>
              </w:rPr>
            </w:pPr>
          </w:p>
        </w:tc>
        <w:tc>
          <w:tcPr>
            <w:tcW w:w="1650" w:type="dxa"/>
          </w:tcPr>
          <w:p>
            <w:pPr>
              <w:pStyle w:val="TableParagraph"/>
              <w:rPr>
                <w:rFonts w:ascii="Times New Roman"/>
                <w:sz w:val="20"/>
              </w:rPr>
            </w:pPr>
          </w:p>
        </w:tc>
        <w:tc>
          <w:tcPr>
            <w:tcW w:w="6315" w:type="dxa"/>
          </w:tcPr>
          <w:p>
            <w:pPr>
              <w:pStyle w:val="TableParagraph"/>
              <w:spacing w:line="211" w:lineRule="exact"/>
              <w:ind w:left="384"/>
              <w:rPr>
                <w:sz w:val="21"/>
              </w:rPr>
            </w:pPr>
            <w:r>
              <w:rPr>
                <w:sz w:val="21"/>
              </w:rPr>
              <w:t>四、如厕：自己控制进行大小便；</w:t>
            </w:r>
          </w:p>
          <w:p>
            <w:pPr>
              <w:pStyle w:val="TableParagraph"/>
              <w:spacing w:line="292" w:lineRule="auto" w:before="61"/>
              <w:ind w:left="384" w:right="671"/>
              <w:rPr>
                <w:sz w:val="21"/>
              </w:rPr>
            </w:pPr>
            <w:r>
              <w:rPr>
                <w:sz w:val="21"/>
              </w:rPr>
              <w:t>五、进食：自己从已准备好的碗或碟中取食物放入口中； 六、洗澡：自己进行淋浴或盆浴。</w:t>
            </w:r>
          </w:p>
        </w:tc>
      </w:tr>
      <w:tr>
        <w:trPr>
          <w:trHeight w:val="1773" w:hRule="atLeast"/>
        </w:trPr>
        <w:tc>
          <w:tcPr>
            <w:tcW w:w="1046" w:type="dxa"/>
          </w:tcPr>
          <w:p>
            <w:pPr>
              <w:pStyle w:val="TableParagraph"/>
              <w:spacing w:before="44"/>
              <w:ind w:left="200"/>
              <w:rPr>
                <w:sz w:val="21"/>
              </w:rPr>
            </w:pPr>
            <w:r>
              <w:rPr>
                <w:sz w:val="21"/>
              </w:rPr>
              <w:t>8.9</w:t>
            </w:r>
          </w:p>
        </w:tc>
        <w:tc>
          <w:tcPr>
            <w:tcW w:w="1650" w:type="dxa"/>
          </w:tcPr>
          <w:p>
            <w:pPr>
              <w:pStyle w:val="TableParagraph"/>
              <w:spacing w:before="44"/>
              <w:ind w:left="423"/>
              <w:rPr>
                <w:sz w:val="21"/>
              </w:rPr>
            </w:pPr>
            <w:r>
              <w:rPr>
                <w:sz w:val="21"/>
              </w:rPr>
              <w:t>周岁</w:t>
            </w:r>
          </w:p>
        </w:tc>
        <w:tc>
          <w:tcPr>
            <w:tcW w:w="6315" w:type="dxa"/>
          </w:tcPr>
          <w:p>
            <w:pPr>
              <w:pStyle w:val="TableParagraph"/>
              <w:spacing w:line="295" w:lineRule="auto" w:before="44"/>
              <w:ind w:left="384" w:right="205"/>
              <w:jc w:val="both"/>
              <w:rPr>
                <w:sz w:val="21"/>
              </w:rPr>
            </w:pPr>
            <w:r>
              <w:rPr>
                <w:sz w:val="21"/>
              </w:rPr>
              <w:t>以法定身份证明文件中记载的出生日期为计算基础，按出生后所经过的整年计算，不满一整年的部分不计。例如，出生日期</w:t>
            </w:r>
            <w:r>
              <w:rPr>
                <w:spacing w:val="-27"/>
                <w:sz w:val="21"/>
              </w:rPr>
              <w:t>为 </w:t>
            </w:r>
            <w:r>
              <w:rPr>
                <w:sz w:val="21"/>
              </w:rPr>
              <w:t>2007</w:t>
            </w:r>
            <w:r>
              <w:rPr>
                <w:spacing w:val="-37"/>
                <w:sz w:val="21"/>
              </w:rPr>
              <w:t> 年 </w:t>
            </w:r>
            <w:r>
              <w:rPr>
                <w:sz w:val="21"/>
              </w:rPr>
              <w:t>11</w:t>
            </w:r>
            <w:r>
              <w:rPr>
                <w:spacing w:val="-37"/>
                <w:sz w:val="21"/>
              </w:rPr>
              <w:t> 月 </w:t>
            </w:r>
            <w:r>
              <w:rPr>
                <w:sz w:val="21"/>
              </w:rPr>
              <w:t>1</w:t>
            </w:r>
            <w:r>
              <w:rPr>
                <w:spacing w:val="-19"/>
                <w:sz w:val="21"/>
              </w:rPr>
              <w:t> 日，</w:t>
            </w:r>
            <w:r>
              <w:rPr>
                <w:sz w:val="21"/>
              </w:rPr>
              <w:t>2007</w:t>
            </w:r>
            <w:r>
              <w:rPr>
                <w:spacing w:val="-36"/>
                <w:sz w:val="21"/>
              </w:rPr>
              <w:t> 年 </w:t>
            </w:r>
            <w:r>
              <w:rPr>
                <w:sz w:val="21"/>
              </w:rPr>
              <w:t>11</w:t>
            </w:r>
            <w:r>
              <w:rPr>
                <w:spacing w:val="-37"/>
                <w:sz w:val="21"/>
              </w:rPr>
              <w:t> 月 </w:t>
            </w:r>
            <w:r>
              <w:rPr>
                <w:sz w:val="21"/>
              </w:rPr>
              <w:t>1</w:t>
            </w:r>
            <w:r>
              <w:rPr>
                <w:spacing w:val="-28"/>
                <w:sz w:val="21"/>
              </w:rPr>
              <w:t> 日至 </w:t>
            </w:r>
            <w:r>
              <w:rPr>
                <w:sz w:val="21"/>
              </w:rPr>
              <w:t>2008</w:t>
            </w:r>
            <w:r>
              <w:rPr>
                <w:spacing w:val="-36"/>
                <w:sz w:val="21"/>
              </w:rPr>
              <w:t> 年 </w:t>
            </w:r>
            <w:r>
              <w:rPr>
                <w:sz w:val="21"/>
              </w:rPr>
              <w:t>10</w:t>
            </w:r>
            <w:r>
              <w:rPr>
                <w:spacing w:val="-36"/>
                <w:sz w:val="21"/>
              </w:rPr>
              <w:t> 月 </w:t>
            </w:r>
            <w:r>
              <w:rPr>
                <w:sz w:val="21"/>
              </w:rPr>
              <w:t>31</w:t>
            </w:r>
            <w:r>
              <w:rPr>
                <w:spacing w:val="-27"/>
                <w:sz w:val="21"/>
              </w:rPr>
              <w:t> 日</w:t>
            </w:r>
          </w:p>
          <w:p>
            <w:pPr>
              <w:pStyle w:val="TableParagraph"/>
              <w:spacing w:before="12"/>
              <w:ind w:left="384"/>
              <w:jc w:val="both"/>
              <w:rPr>
                <w:sz w:val="21"/>
              </w:rPr>
            </w:pPr>
            <w:r>
              <w:rPr>
                <w:spacing w:val="-15"/>
                <w:sz w:val="21"/>
              </w:rPr>
              <w:t>期间为 </w:t>
            </w:r>
            <w:r>
              <w:rPr>
                <w:sz w:val="21"/>
              </w:rPr>
              <w:t>0</w:t>
            </w:r>
            <w:r>
              <w:rPr>
                <w:spacing w:val="-15"/>
                <w:sz w:val="21"/>
              </w:rPr>
              <w:t> 周岁，</w:t>
            </w:r>
            <w:r>
              <w:rPr>
                <w:sz w:val="21"/>
              </w:rPr>
              <w:t>2008</w:t>
            </w:r>
            <w:r>
              <w:rPr>
                <w:spacing w:val="-35"/>
                <w:sz w:val="21"/>
              </w:rPr>
              <w:t> 年 </w:t>
            </w:r>
            <w:r>
              <w:rPr>
                <w:sz w:val="21"/>
              </w:rPr>
              <w:t>11</w:t>
            </w:r>
            <w:r>
              <w:rPr>
                <w:spacing w:val="-36"/>
                <w:sz w:val="21"/>
              </w:rPr>
              <w:t> 月 </w:t>
            </w:r>
            <w:r>
              <w:rPr>
                <w:sz w:val="21"/>
              </w:rPr>
              <w:t>1</w:t>
            </w:r>
            <w:r>
              <w:rPr>
                <w:spacing w:val="-28"/>
                <w:sz w:val="21"/>
              </w:rPr>
              <w:t> 日至 </w:t>
            </w:r>
            <w:r>
              <w:rPr>
                <w:sz w:val="21"/>
              </w:rPr>
              <w:t>2009</w:t>
            </w:r>
            <w:r>
              <w:rPr>
                <w:spacing w:val="-36"/>
                <w:sz w:val="21"/>
              </w:rPr>
              <w:t> 年 </w:t>
            </w:r>
            <w:r>
              <w:rPr>
                <w:sz w:val="21"/>
              </w:rPr>
              <w:t>10</w:t>
            </w:r>
            <w:r>
              <w:rPr>
                <w:spacing w:val="-36"/>
                <w:sz w:val="21"/>
              </w:rPr>
              <w:t> 月 </w:t>
            </w:r>
            <w:r>
              <w:rPr>
                <w:sz w:val="21"/>
              </w:rPr>
              <w:t>31</w:t>
            </w:r>
            <w:r>
              <w:rPr>
                <w:spacing w:val="-12"/>
                <w:sz w:val="21"/>
              </w:rPr>
              <w:t> 日期间为</w:t>
            </w:r>
          </w:p>
          <w:p>
            <w:pPr>
              <w:pStyle w:val="TableParagraph"/>
              <w:spacing w:before="60"/>
              <w:ind w:left="384"/>
              <w:jc w:val="both"/>
              <w:rPr>
                <w:sz w:val="21"/>
              </w:rPr>
            </w:pPr>
            <w:r>
              <w:rPr>
                <w:sz w:val="21"/>
              </w:rPr>
              <w:t>1 周岁，依此类推。</w:t>
            </w:r>
          </w:p>
        </w:tc>
      </w:tr>
      <w:tr>
        <w:trPr>
          <w:trHeight w:val="9181" w:hRule="atLeast"/>
        </w:trPr>
        <w:tc>
          <w:tcPr>
            <w:tcW w:w="1046" w:type="dxa"/>
          </w:tcPr>
          <w:p>
            <w:pPr>
              <w:pStyle w:val="TableParagraph"/>
              <w:spacing w:before="44"/>
              <w:ind w:left="200"/>
              <w:rPr>
                <w:sz w:val="21"/>
              </w:rPr>
            </w:pPr>
            <w:r>
              <w:rPr>
                <w:sz w:val="21"/>
              </w:rPr>
              <w:t>8.10</w:t>
            </w:r>
          </w:p>
        </w:tc>
        <w:tc>
          <w:tcPr>
            <w:tcW w:w="1650" w:type="dxa"/>
          </w:tcPr>
          <w:p>
            <w:pPr>
              <w:pStyle w:val="TableParagraph"/>
              <w:spacing w:before="44"/>
              <w:ind w:left="423"/>
              <w:rPr>
                <w:sz w:val="21"/>
              </w:rPr>
            </w:pPr>
            <w:r>
              <w:rPr>
                <w:sz w:val="21"/>
              </w:rPr>
              <w:t>全残</w:t>
            </w:r>
          </w:p>
        </w:tc>
        <w:tc>
          <w:tcPr>
            <w:tcW w:w="6315" w:type="dxa"/>
          </w:tcPr>
          <w:p>
            <w:pPr>
              <w:pStyle w:val="TableParagraph"/>
              <w:spacing w:before="44"/>
              <w:ind w:left="384"/>
              <w:jc w:val="both"/>
              <w:rPr>
                <w:sz w:val="21"/>
              </w:rPr>
            </w:pPr>
            <w:r>
              <w:rPr>
                <w:sz w:val="21"/>
              </w:rPr>
              <w:t>指下列情形之一：</w:t>
            </w:r>
          </w:p>
          <w:p>
            <w:pPr>
              <w:pStyle w:val="TableParagraph"/>
              <w:spacing w:before="61"/>
              <w:ind w:left="384"/>
              <w:jc w:val="both"/>
              <w:rPr>
                <w:sz w:val="21"/>
              </w:rPr>
            </w:pPr>
            <w:r>
              <w:rPr>
                <w:spacing w:val="-3"/>
                <w:w w:val="100"/>
                <w:sz w:val="21"/>
              </w:rPr>
              <w:t>一、双目永久完全失明的</w:t>
            </w:r>
            <w:r>
              <w:rPr>
                <w:w w:val="100"/>
                <w:sz w:val="21"/>
              </w:rPr>
              <w:t>（注</w:t>
            </w:r>
            <w:r>
              <w:rPr>
                <w:spacing w:val="-53"/>
                <w:sz w:val="21"/>
              </w:rPr>
              <w:t> </w:t>
            </w:r>
            <w:r>
              <w:rPr>
                <w:spacing w:val="-3"/>
                <w:w w:val="100"/>
                <w:sz w:val="21"/>
              </w:rPr>
              <w:t>1</w:t>
            </w:r>
            <w:r>
              <w:rPr>
                <w:spacing w:val="-106"/>
                <w:w w:val="100"/>
                <w:sz w:val="21"/>
              </w:rPr>
              <w:t>）；</w:t>
            </w:r>
          </w:p>
          <w:p>
            <w:pPr>
              <w:pStyle w:val="TableParagraph"/>
              <w:spacing w:line="295" w:lineRule="auto" w:before="60"/>
              <w:ind w:left="384" w:right="1094"/>
              <w:jc w:val="both"/>
              <w:rPr>
                <w:sz w:val="21"/>
              </w:rPr>
            </w:pPr>
            <w:r>
              <w:rPr>
                <w:spacing w:val="-3"/>
                <w:sz w:val="21"/>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sz w:val="21"/>
              </w:rPr>
              <w:t>六、四肢关节机能永久完全丧失的（</w:t>
            </w:r>
            <w:r>
              <w:rPr>
                <w:w w:val="100"/>
                <w:sz w:val="21"/>
              </w:rPr>
              <w:t>注</w:t>
            </w:r>
            <w:r>
              <w:rPr>
                <w:spacing w:val="-53"/>
                <w:sz w:val="21"/>
              </w:rPr>
              <w:t> </w:t>
            </w:r>
            <w:r>
              <w:rPr>
                <w:spacing w:val="-3"/>
                <w:w w:val="100"/>
                <w:sz w:val="21"/>
              </w:rPr>
              <w:t>2</w:t>
            </w:r>
            <w:r>
              <w:rPr>
                <w:spacing w:val="-106"/>
                <w:w w:val="100"/>
                <w:sz w:val="21"/>
              </w:rPr>
              <w:t>）；</w:t>
            </w:r>
          </w:p>
          <w:p>
            <w:pPr>
              <w:pStyle w:val="TableParagraph"/>
              <w:spacing w:before="12"/>
              <w:ind w:left="384"/>
              <w:jc w:val="both"/>
              <w:rPr>
                <w:sz w:val="21"/>
              </w:rPr>
            </w:pPr>
            <w:r>
              <w:rPr>
                <w:spacing w:val="-3"/>
                <w:w w:val="100"/>
                <w:sz w:val="21"/>
              </w:rPr>
              <w:t>七、咀嚼、吞咽机能永久完全丧失的（</w:t>
            </w:r>
            <w:r>
              <w:rPr>
                <w:w w:val="100"/>
                <w:sz w:val="21"/>
              </w:rPr>
              <w:t>注</w:t>
            </w:r>
            <w:r>
              <w:rPr>
                <w:spacing w:val="-53"/>
                <w:sz w:val="21"/>
              </w:rPr>
              <w:t> </w:t>
            </w:r>
            <w:r>
              <w:rPr>
                <w:w w:val="100"/>
                <w:sz w:val="21"/>
              </w:rPr>
              <w:t>3</w:t>
            </w:r>
            <w:r>
              <w:rPr>
                <w:spacing w:val="-108"/>
                <w:w w:val="100"/>
                <w:sz w:val="21"/>
              </w:rPr>
              <w:t>）；</w:t>
            </w:r>
          </w:p>
          <w:p>
            <w:pPr>
              <w:pStyle w:val="TableParagraph"/>
              <w:spacing w:line="295" w:lineRule="auto" w:before="61"/>
              <w:ind w:left="384" w:right="209"/>
              <w:jc w:val="both"/>
              <w:rPr>
                <w:sz w:val="21"/>
              </w:rPr>
            </w:pPr>
            <w:r>
              <w:rPr>
                <w:sz w:val="21"/>
              </w:rPr>
              <w:t>八、中枢神经系统机能或胸、腹部脏器机能极度障碍，终生不能从事任何工作，为维持生命必要的日常生活活动，全需他人</w:t>
            </w:r>
            <w:r>
              <w:rPr>
                <w:spacing w:val="-1"/>
                <w:w w:val="100"/>
                <w:sz w:val="21"/>
              </w:rPr>
              <w:t>扶助的</w:t>
            </w:r>
            <w:r>
              <w:rPr>
                <w:spacing w:val="-3"/>
                <w:w w:val="100"/>
                <w:sz w:val="21"/>
              </w:rPr>
              <w:t>（</w:t>
            </w:r>
            <w:r>
              <w:rPr>
                <w:w w:val="100"/>
                <w:sz w:val="21"/>
              </w:rPr>
              <w:t>注</w:t>
            </w:r>
            <w:r>
              <w:rPr>
                <w:spacing w:val="-53"/>
                <w:sz w:val="21"/>
              </w:rPr>
              <w:t> </w:t>
            </w:r>
            <w:r>
              <w:rPr>
                <w:w w:val="100"/>
                <w:sz w:val="21"/>
              </w:rPr>
              <w:t>4</w:t>
            </w:r>
            <w:r>
              <w:rPr>
                <w:spacing w:val="-108"/>
                <w:w w:val="100"/>
                <w:sz w:val="21"/>
              </w:rPr>
              <w:t>）。</w:t>
            </w:r>
          </w:p>
          <w:p>
            <w:pPr>
              <w:pStyle w:val="TableParagraph"/>
              <w:spacing w:before="13"/>
              <w:ind w:left="384"/>
              <w:jc w:val="both"/>
              <w:rPr>
                <w:sz w:val="21"/>
              </w:rPr>
            </w:pPr>
            <w:r>
              <w:rPr>
                <w:sz w:val="21"/>
              </w:rPr>
              <w:t>注：</w:t>
            </w:r>
          </w:p>
          <w:p>
            <w:pPr>
              <w:pStyle w:val="TableParagraph"/>
              <w:numPr>
                <w:ilvl w:val="0"/>
                <w:numId w:val="9"/>
              </w:numPr>
              <w:tabs>
                <w:tab w:pos="702" w:val="left" w:leader="none"/>
              </w:tabs>
              <w:spacing w:line="295" w:lineRule="auto" w:before="61" w:after="0"/>
              <w:ind w:left="384" w:right="203" w:firstLine="0"/>
              <w:jc w:val="both"/>
              <w:rPr>
                <w:sz w:val="21"/>
              </w:rPr>
            </w:pPr>
            <w:r>
              <w:rPr>
                <w:spacing w:val="-8"/>
                <w:sz w:val="21"/>
              </w:rPr>
              <w:t>失明包括眼球缺失或摘除、或不能辨别明暗、或仅能辨别眼前手动者，最佳矫正视力低于国际标准视力表 </w:t>
            </w:r>
            <w:r>
              <w:rPr>
                <w:sz w:val="21"/>
              </w:rPr>
              <w:t>0.02</w:t>
            </w:r>
            <w:r>
              <w:rPr>
                <w:spacing w:val="-1"/>
                <w:sz w:val="21"/>
              </w:rPr>
              <w:t>，或视野半</w:t>
            </w:r>
            <w:r>
              <w:rPr>
                <w:spacing w:val="-5"/>
                <w:sz w:val="21"/>
              </w:rPr>
              <w:t>径小于 </w:t>
            </w:r>
            <w:r>
              <w:rPr>
                <w:sz w:val="21"/>
              </w:rPr>
              <w:t>5</w:t>
            </w:r>
            <w:r>
              <w:rPr>
                <w:spacing w:val="-5"/>
                <w:sz w:val="21"/>
              </w:rPr>
              <w:t> 度，并由保险公司指定有资格的眼科医师出具医疗诊</w:t>
            </w:r>
            <w:r>
              <w:rPr>
                <w:spacing w:val="-4"/>
                <w:sz w:val="21"/>
              </w:rPr>
              <w:t>断证明。</w:t>
            </w:r>
          </w:p>
          <w:p>
            <w:pPr>
              <w:pStyle w:val="TableParagraph"/>
              <w:numPr>
                <w:ilvl w:val="0"/>
                <w:numId w:val="9"/>
              </w:numPr>
              <w:tabs>
                <w:tab w:pos="702" w:val="left" w:leader="none"/>
              </w:tabs>
              <w:spacing w:line="292" w:lineRule="auto" w:before="15" w:after="0"/>
              <w:ind w:left="384" w:right="205" w:firstLine="0"/>
              <w:jc w:val="both"/>
              <w:rPr>
                <w:sz w:val="21"/>
              </w:rPr>
            </w:pPr>
            <w:r>
              <w:rPr>
                <w:spacing w:val="-6"/>
                <w:sz w:val="21"/>
              </w:rPr>
              <w:t>关节机能的丧失系指关节永久完全僵硬、或麻痹、或关节不</w:t>
            </w:r>
            <w:r>
              <w:rPr>
                <w:spacing w:val="-4"/>
                <w:sz w:val="21"/>
              </w:rPr>
              <w:t>能随意识活动。</w:t>
            </w:r>
          </w:p>
          <w:p>
            <w:pPr>
              <w:pStyle w:val="TableParagraph"/>
              <w:numPr>
                <w:ilvl w:val="0"/>
                <w:numId w:val="9"/>
              </w:numPr>
              <w:tabs>
                <w:tab w:pos="702" w:val="left" w:leader="none"/>
              </w:tabs>
              <w:spacing w:line="295" w:lineRule="auto" w:before="14" w:after="0"/>
              <w:ind w:left="384" w:right="203" w:firstLine="0"/>
              <w:jc w:val="both"/>
              <w:rPr>
                <w:sz w:val="21"/>
              </w:rPr>
            </w:pPr>
            <w:r>
              <w:rPr>
                <w:spacing w:val="-10"/>
                <w:sz w:val="21"/>
              </w:rPr>
              <w:t>咀嚼、吞咽机能的丧失系指由于牙齿以外的原因引起器质障碍或机能障碍，以致不能作咀嚼、吞咽运动，除流质食物外不</w:t>
            </w:r>
            <w:r>
              <w:rPr>
                <w:spacing w:val="-5"/>
                <w:sz w:val="21"/>
              </w:rPr>
              <w:t>能摄取或吞咽的状态。</w:t>
            </w:r>
          </w:p>
          <w:p>
            <w:pPr>
              <w:pStyle w:val="TableParagraph"/>
              <w:numPr>
                <w:ilvl w:val="0"/>
                <w:numId w:val="9"/>
              </w:numPr>
              <w:tabs>
                <w:tab w:pos="702" w:val="left" w:leader="none"/>
              </w:tabs>
              <w:spacing w:line="295" w:lineRule="auto" w:before="13" w:after="0"/>
              <w:ind w:left="384" w:right="203" w:firstLine="0"/>
              <w:jc w:val="both"/>
              <w:rPr>
                <w:sz w:val="21"/>
              </w:rPr>
            </w:pPr>
            <w:r>
              <w:rPr>
                <w:spacing w:val="-7"/>
                <w:sz w:val="21"/>
              </w:rPr>
              <w:t>为维持生命必要之日常生活活动，全需他人扶助系指食物摄取、大小便始末、穿脱衣服、起居、步行、入浴等，皆不能自</w:t>
            </w:r>
            <w:r>
              <w:rPr>
                <w:spacing w:val="-5"/>
                <w:sz w:val="21"/>
              </w:rPr>
              <w:t>己为之，需要他人帮助。</w:t>
            </w:r>
          </w:p>
          <w:p>
            <w:pPr>
              <w:pStyle w:val="TableParagraph"/>
              <w:spacing w:before="13"/>
              <w:ind w:left="384"/>
              <w:jc w:val="both"/>
              <w:rPr>
                <w:sz w:val="21"/>
              </w:rPr>
            </w:pPr>
            <w:r>
              <w:rPr>
                <w:sz w:val="21"/>
              </w:rPr>
              <w:t>所谓永久完全系指自意外伤害之日起或疾病确诊之日起经过</w:t>
            </w:r>
          </w:p>
          <w:p>
            <w:pPr>
              <w:pStyle w:val="TableParagraph"/>
              <w:spacing w:line="292" w:lineRule="auto" w:before="61"/>
              <w:ind w:left="384" w:right="207"/>
              <w:jc w:val="both"/>
              <w:rPr>
                <w:sz w:val="21"/>
              </w:rPr>
            </w:pPr>
            <w:r>
              <w:rPr>
                <w:sz w:val="21"/>
              </w:rPr>
              <w:t>180 日的治疗，机能仍然完全丧失，但眼球摘除等明显无法复原的情况不在此限。</w:t>
            </w:r>
          </w:p>
        </w:tc>
      </w:tr>
      <w:tr>
        <w:trPr>
          <w:trHeight w:val="1101" w:hRule="atLeast"/>
        </w:trPr>
        <w:tc>
          <w:tcPr>
            <w:tcW w:w="1046" w:type="dxa"/>
          </w:tcPr>
          <w:p>
            <w:pPr>
              <w:pStyle w:val="TableParagraph"/>
              <w:spacing w:before="44"/>
              <w:ind w:left="200"/>
              <w:rPr>
                <w:sz w:val="21"/>
              </w:rPr>
            </w:pPr>
            <w:r>
              <w:rPr>
                <w:sz w:val="21"/>
              </w:rPr>
              <w:t>8.11</w:t>
            </w:r>
          </w:p>
        </w:tc>
        <w:tc>
          <w:tcPr>
            <w:tcW w:w="1650" w:type="dxa"/>
          </w:tcPr>
          <w:p>
            <w:pPr>
              <w:pStyle w:val="TableParagraph"/>
              <w:spacing w:before="44"/>
              <w:ind w:left="423"/>
              <w:rPr>
                <w:sz w:val="21"/>
              </w:rPr>
            </w:pPr>
            <w:r>
              <w:rPr>
                <w:sz w:val="21"/>
              </w:rPr>
              <w:t>现金价值</w:t>
            </w:r>
          </w:p>
        </w:tc>
        <w:tc>
          <w:tcPr>
            <w:tcW w:w="6315" w:type="dxa"/>
          </w:tcPr>
          <w:p>
            <w:pPr>
              <w:pStyle w:val="TableParagraph"/>
              <w:spacing w:line="295" w:lineRule="auto" w:before="44"/>
              <w:ind w:left="384" w:right="207"/>
              <w:jc w:val="both"/>
              <w:rPr>
                <w:sz w:val="21"/>
              </w:rPr>
            </w:pPr>
            <w:r>
              <w:rPr>
                <w:sz w:val="21"/>
              </w:rPr>
              <w:t>指保险单所具有的价值，通常体现为解除合同时，根据精算原理计算的，由我们退还的那部分金额。此“金额”载明于保险单上。</w:t>
            </w:r>
          </w:p>
        </w:tc>
      </w:tr>
      <w:tr>
        <w:trPr>
          <w:trHeight w:val="655" w:hRule="atLeast"/>
        </w:trPr>
        <w:tc>
          <w:tcPr>
            <w:tcW w:w="1046" w:type="dxa"/>
          </w:tcPr>
          <w:p>
            <w:pPr>
              <w:pStyle w:val="TableParagraph"/>
              <w:spacing w:before="44"/>
              <w:ind w:left="200"/>
              <w:rPr>
                <w:sz w:val="21"/>
              </w:rPr>
            </w:pPr>
            <w:r>
              <w:rPr>
                <w:sz w:val="21"/>
              </w:rPr>
              <w:t>8.12</w:t>
            </w:r>
          </w:p>
        </w:tc>
        <w:tc>
          <w:tcPr>
            <w:tcW w:w="1650" w:type="dxa"/>
          </w:tcPr>
          <w:p>
            <w:pPr>
              <w:pStyle w:val="TableParagraph"/>
              <w:spacing w:before="44"/>
              <w:ind w:left="423"/>
              <w:rPr>
                <w:sz w:val="21"/>
              </w:rPr>
            </w:pPr>
            <w:r>
              <w:rPr>
                <w:sz w:val="21"/>
              </w:rPr>
              <w:t>毒品</w:t>
            </w:r>
          </w:p>
        </w:tc>
        <w:tc>
          <w:tcPr>
            <w:tcW w:w="6315" w:type="dxa"/>
          </w:tcPr>
          <w:p>
            <w:pPr>
              <w:pStyle w:val="TableParagraph"/>
              <w:spacing w:line="336" w:lineRule="exact" w:before="21"/>
              <w:ind w:left="384" w:right="203"/>
              <w:rPr>
                <w:sz w:val="21"/>
              </w:rPr>
            </w:pPr>
            <w:r>
              <w:rPr>
                <w:sz w:val="21"/>
              </w:rPr>
              <w:t>指中华人民共和国刑法规定的鸦片、海洛因、甲基苯丙胺（冰毒</w:t>
            </w:r>
            <w:r>
              <w:rPr>
                <w:spacing w:val="-106"/>
                <w:sz w:val="21"/>
              </w:rPr>
              <w:t>）</w:t>
            </w:r>
            <w:r>
              <w:rPr>
                <w:spacing w:val="-10"/>
                <w:sz w:val="21"/>
              </w:rPr>
              <w:t>、吗啡、大麻、可卡因以及国家规定管制的其他能够使人形</w:t>
            </w:r>
          </w:p>
        </w:tc>
      </w:tr>
    </w:tbl>
    <w:p>
      <w:pPr>
        <w:spacing w:after="0" w:line="336" w:lineRule="exact"/>
        <w:rPr>
          <w:sz w:val="21"/>
        </w:rPr>
        <w:sectPr>
          <w:pgSz w:w="11910" w:h="16840"/>
          <w:pgMar w:header="0" w:footer="919" w:top="1500" w:bottom="1100" w:left="1200" w:right="13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928"/>
        <w:gridCol w:w="6136"/>
      </w:tblGrid>
      <w:tr>
        <w:trPr>
          <w:trHeight w:val="655" w:hRule="atLeast"/>
        </w:trPr>
        <w:tc>
          <w:tcPr>
            <w:tcW w:w="1046" w:type="dxa"/>
          </w:tcPr>
          <w:p>
            <w:pPr>
              <w:pStyle w:val="TableParagraph"/>
              <w:rPr>
                <w:rFonts w:ascii="Times New Roman"/>
                <w:sz w:val="20"/>
              </w:rPr>
            </w:pPr>
          </w:p>
        </w:tc>
        <w:tc>
          <w:tcPr>
            <w:tcW w:w="1928" w:type="dxa"/>
          </w:tcPr>
          <w:p>
            <w:pPr>
              <w:pStyle w:val="TableParagraph"/>
              <w:rPr>
                <w:rFonts w:ascii="Times New Roman"/>
                <w:sz w:val="20"/>
              </w:rPr>
            </w:pPr>
          </w:p>
        </w:tc>
        <w:tc>
          <w:tcPr>
            <w:tcW w:w="6136" w:type="dxa"/>
          </w:tcPr>
          <w:p>
            <w:pPr>
              <w:pStyle w:val="TableParagraph"/>
              <w:spacing w:line="211" w:lineRule="exact"/>
              <w:ind w:left="106"/>
              <w:rPr>
                <w:sz w:val="21"/>
              </w:rPr>
            </w:pPr>
            <w:r>
              <w:rPr>
                <w:sz w:val="21"/>
              </w:rPr>
              <w:t>成瘾癖的麻醉药品和精神药品，但不包括由医生开具并遵医嘱</w:t>
            </w:r>
          </w:p>
          <w:p>
            <w:pPr>
              <w:pStyle w:val="TableParagraph"/>
              <w:spacing w:before="61"/>
              <w:ind w:left="106"/>
              <w:rPr>
                <w:sz w:val="21"/>
              </w:rPr>
            </w:pPr>
            <w:r>
              <w:rPr>
                <w:sz w:val="21"/>
              </w:rPr>
              <w:t>使用的用于治疗疾病但含有毒品成分的处方药品。</w:t>
            </w:r>
          </w:p>
        </w:tc>
      </w:tr>
      <w:tr>
        <w:trPr>
          <w:trHeight w:val="1099" w:hRule="atLeast"/>
        </w:trPr>
        <w:tc>
          <w:tcPr>
            <w:tcW w:w="1046" w:type="dxa"/>
          </w:tcPr>
          <w:p>
            <w:pPr>
              <w:pStyle w:val="TableParagraph"/>
              <w:spacing w:before="44"/>
              <w:ind w:left="200"/>
              <w:rPr>
                <w:sz w:val="21"/>
              </w:rPr>
            </w:pPr>
            <w:r>
              <w:rPr>
                <w:sz w:val="21"/>
              </w:rPr>
              <w:t>8.13</w:t>
            </w:r>
          </w:p>
        </w:tc>
        <w:tc>
          <w:tcPr>
            <w:tcW w:w="1928" w:type="dxa"/>
          </w:tcPr>
          <w:p>
            <w:pPr>
              <w:pStyle w:val="TableParagraph"/>
              <w:spacing w:before="44"/>
              <w:ind w:left="423"/>
              <w:rPr>
                <w:sz w:val="21"/>
              </w:rPr>
            </w:pPr>
            <w:r>
              <w:rPr>
                <w:sz w:val="21"/>
              </w:rPr>
              <w:t>酒后驾驶</w:t>
            </w:r>
          </w:p>
        </w:tc>
        <w:tc>
          <w:tcPr>
            <w:tcW w:w="6136" w:type="dxa"/>
          </w:tcPr>
          <w:p>
            <w:pPr>
              <w:pStyle w:val="TableParagraph"/>
              <w:spacing w:line="292" w:lineRule="auto" w:before="44"/>
              <w:ind w:left="106" w:right="308"/>
              <w:rPr>
                <w:sz w:val="21"/>
              </w:rPr>
            </w:pPr>
            <w:r>
              <w:rPr>
                <w:sz w:val="21"/>
              </w:rPr>
              <w:t>指经检测或鉴定，发生事故时车辆驾驶人员每百毫升血液中的酒精含量达到或超过一定的标准，公安机关交通管理部门依据</w:t>
            </w:r>
          </w:p>
          <w:p>
            <w:pPr>
              <w:pStyle w:val="TableParagraph"/>
              <w:spacing w:before="14"/>
              <w:ind w:left="106"/>
              <w:rPr>
                <w:sz w:val="21"/>
              </w:rPr>
            </w:pPr>
            <w:r>
              <w:rPr>
                <w:sz w:val="21"/>
              </w:rPr>
              <w:t>《道路交通安全法》的规定认定为饮酒后驾驶或醉酒后驾驶。</w:t>
            </w:r>
          </w:p>
        </w:tc>
      </w:tr>
      <w:tr>
        <w:trPr>
          <w:trHeight w:val="3120" w:hRule="atLeast"/>
        </w:trPr>
        <w:tc>
          <w:tcPr>
            <w:tcW w:w="1046" w:type="dxa"/>
          </w:tcPr>
          <w:p>
            <w:pPr>
              <w:pStyle w:val="TableParagraph"/>
              <w:spacing w:before="44"/>
              <w:ind w:left="200"/>
              <w:rPr>
                <w:sz w:val="21"/>
              </w:rPr>
            </w:pPr>
            <w:r>
              <w:rPr>
                <w:sz w:val="21"/>
              </w:rPr>
              <w:t>8.14</w:t>
            </w:r>
          </w:p>
        </w:tc>
        <w:tc>
          <w:tcPr>
            <w:tcW w:w="1928" w:type="dxa"/>
          </w:tcPr>
          <w:p>
            <w:pPr>
              <w:pStyle w:val="TableParagraph"/>
              <w:spacing w:line="292" w:lineRule="auto" w:before="44"/>
              <w:ind w:left="423" w:right="106"/>
              <w:rPr>
                <w:sz w:val="21"/>
              </w:rPr>
            </w:pPr>
            <w:r>
              <w:rPr>
                <w:sz w:val="21"/>
              </w:rPr>
              <w:t>无合法有效驾驶证驾驶</w:t>
            </w:r>
          </w:p>
        </w:tc>
        <w:tc>
          <w:tcPr>
            <w:tcW w:w="6136" w:type="dxa"/>
          </w:tcPr>
          <w:p>
            <w:pPr>
              <w:pStyle w:val="TableParagraph"/>
              <w:spacing w:line="292" w:lineRule="auto" w:before="44"/>
              <w:ind w:left="106" w:right="2242"/>
              <w:rPr>
                <w:sz w:val="21"/>
              </w:rPr>
            </w:pPr>
            <w:r>
              <w:rPr>
                <w:sz w:val="21"/>
              </w:rPr>
              <w:t>指发生保险事故时符合下列情形之一的： 一、没有驾驶证驾驶；</w:t>
            </w:r>
          </w:p>
          <w:p>
            <w:pPr>
              <w:pStyle w:val="TableParagraph"/>
              <w:spacing w:line="292" w:lineRule="auto" w:before="17"/>
              <w:ind w:left="106" w:right="1822"/>
              <w:rPr>
                <w:sz w:val="21"/>
              </w:rPr>
            </w:pPr>
            <w:r>
              <w:rPr>
                <w:sz w:val="21"/>
              </w:rPr>
              <w:t>二、驾驶与驾驶证准驾车型不相符合的车辆； 三、持审验不合格的驾驶证驾驶；</w:t>
            </w:r>
          </w:p>
          <w:p>
            <w:pPr>
              <w:pStyle w:val="TableParagraph"/>
              <w:spacing w:line="295" w:lineRule="auto" w:before="15"/>
              <w:ind w:left="106" w:right="199"/>
              <w:rPr>
                <w:sz w:val="21"/>
              </w:rPr>
            </w:pPr>
            <w:r>
              <w:rPr>
                <w:spacing w:val="-9"/>
                <w:sz w:val="21"/>
              </w:rPr>
              <w:t>四、未经公安机关交通管理部门同意，持未审验的驾驶证驾驶； 五、持学习驾驶证学习驾车时，无教练员随车指导，或不按指</w:t>
            </w:r>
            <w:r>
              <w:rPr>
                <w:spacing w:val="-5"/>
                <w:sz w:val="21"/>
              </w:rPr>
              <w:t>定时间、路线学习驾车；</w:t>
            </w:r>
          </w:p>
          <w:p>
            <w:pPr>
              <w:pStyle w:val="TableParagraph"/>
              <w:spacing w:line="292" w:lineRule="auto" w:before="12"/>
              <w:ind w:left="106" w:right="307"/>
              <w:rPr>
                <w:sz w:val="21"/>
              </w:rPr>
            </w:pPr>
            <w:r>
              <w:rPr>
                <w:sz w:val="21"/>
              </w:rPr>
              <w:t>六、公安机关交通管理部门规定的其他无有效驾驶证驾驶的情况。</w:t>
            </w:r>
          </w:p>
        </w:tc>
      </w:tr>
      <w:tr>
        <w:trPr>
          <w:trHeight w:val="3794" w:hRule="atLeast"/>
        </w:trPr>
        <w:tc>
          <w:tcPr>
            <w:tcW w:w="1046" w:type="dxa"/>
          </w:tcPr>
          <w:p>
            <w:pPr>
              <w:pStyle w:val="TableParagraph"/>
              <w:spacing w:before="44"/>
              <w:ind w:left="200"/>
              <w:rPr>
                <w:sz w:val="21"/>
              </w:rPr>
            </w:pPr>
            <w:r>
              <w:rPr>
                <w:sz w:val="21"/>
              </w:rPr>
              <w:t>8.15</w:t>
            </w:r>
          </w:p>
        </w:tc>
        <w:tc>
          <w:tcPr>
            <w:tcW w:w="1928" w:type="dxa"/>
          </w:tcPr>
          <w:p>
            <w:pPr>
              <w:pStyle w:val="TableParagraph"/>
              <w:spacing w:before="44"/>
              <w:ind w:left="423"/>
              <w:rPr>
                <w:sz w:val="21"/>
              </w:rPr>
            </w:pPr>
            <w:r>
              <w:rPr>
                <w:sz w:val="21"/>
              </w:rPr>
              <w:t>无有效行驶证</w:t>
            </w:r>
          </w:p>
        </w:tc>
        <w:tc>
          <w:tcPr>
            <w:tcW w:w="6136" w:type="dxa"/>
          </w:tcPr>
          <w:p>
            <w:pPr>
              <w:pStyle w:val="TableParagraph"/>
              <w:spacing w:before="44"/>
              <w:ind w:left="106"/>
              <w:rPr>
                <w:sz w:val="21"/>
              </w:rPr>
            </w:pPr>
            <w:r>
              <w:rPr>
                <w:sz w:val="21"/>
              </w:rPr>
              <w:t>指发生保险事故时机动车符合下列情形之一的：</w:t>
            </w:r>
          </w:p>
          <w:p>
            <w:pPr>
              <w:pStyle w:val="TableParagraph"/>
              <w:spacing w:line="295" w:lineRule="auto" w:before="61"/>
              <w:ind w:left="106" w:right="304"/>
              <w:rPr>
                <w:sz w:val="21"/>
              </w:rPr>
            </w:pPr>
            <w:r>
              <w:rPr>
                <w:sz w:val="21"/>
              </w:rPr>
              <w:t>一、没有公安机关交通管理部门核发的行驶证、机动车号牌或检验合格标志；</w:t>
            </w:r>
          </w:p>
          <w:p>
            <w:pPr>
              <w:pStyle w:val="TableParagraph"/>
              <w:spacing w:line="292" w:lineRule="auto" w:before="13"/>
              <w:ind w:left="106" w:right="307"/>
              <w:rPr>
                <w:sz w:val="21"/>
              </w:rPr>
            </w:pPr>
            <w:r>
              <w:rPr>
                <w:sz w:val="21"/>
              </w:rPr>
              <w:t>二、安全技术检验不合格、未按期或未按规定进行安全技术检验；</w:t>
            </w:r>
          </w:p>
          <w:p>
            <w:pPr>
              <w:pStyle w:val="TableParagraph"/>
              <w:spacing w:before="18"/>
              <w:ind w:left="106"/>
              <w:rPr>
                <w:sz w:val="21"/>
              </w:rPr>
            </w:pPr>
            <w:r>
              <w:rPr>
                <w:sz w:val="21"/>
              </w:rPr>
              <w:t>三、在停驶期间行驶；</w:t>
            </w:r>
          </w:p>
          <w:p>
            <w:pPr>
              <w:pStyle w:val="TableParagraph"/>
              <w:spacing w:line="292" w:lineRule="auto" w:before="61"/>
              <w:ind w:left="106" w:right="302"/>
              <w:rPr>
                <w:sz w:val="21"/>
              </w:rPr>
            </w:pPr>
            <w:r>
              <w:rPr>
                <w:sz w:val="21"/>
              </w:rPr>
              <w:t>四、使用伪造的、变造的或其他机动车的行驶证、号牌或检验合格标志；</w:t>
            </w:r>
          </w:p>
          <w:p>
            <w:pPr>
              <w:pStyle w:val="TableParagraph"/>
              <w:spacing w:line="295" w:lineRule="auto" w:before="14"/>
              <w:ind w:left="106" w:right="307"/>
              <w:rPr>
                <w:sz w:val="21"/>
              </w:rPr>
            </w:pPr>
            <w:r>
              <w:rPr>
                <w:sz w:val="21"/>
              </w:rPr>
              <w:t>五、未经公安机关交通管理部门同意，拼装机动车或改变机动车已登记的结构、构造或特征；</w:t>
            </w:r>
          </w:p>
          <w:p>
            <w:pPr>
              <w:pStyle w:val="TableParagraph"/>
              <w:spacing w:before="12"/>
              <w:ind w:left="106"/>
              <w:rPr>
                <w:sz w:val="21"/>
              </w:rPr>
            </w:pPr>
            <w:r>
              <w:rPr>
                <w:sz w:val="21"/>
              </w:rPr>
              <w:t>六、公安机关交通管理部门规定的其他无有效行驶证件的情况。</w:t>
            </w:r>
          </w:p>
        </w:tc>
      </w:tr>
      <w:tr>
        <w:trPr>
          <w:trHeight w:val="2110" w:hRule="atLeast"/>
        </w:trPr>
        <w:tc>
          <w:tcPr>
            <w:tcW w:w="1046" w:type="dxa"/>
          </w:tcPr>
          <w:p>
            <w:pPr>
              <w:pStyle w:val="TableParagraph"/>
              <w:spacing w:before="44"/>
              <w:ind w:left="200"/>
              <w:rPr>
                <w:sz w:val="21"/>
              </w:rPr>
            </w:pPr>
            <w:r>
              <w:rPr>
                <w:sz w:val="21"/>
              </w:rPr>
              <w:t>8.16</w:t>
            </w:r>
          </w:p>
        </w:tc>
        <w:tc>
          <w:tcPr>
            <w:tcW w:w="1928" w:type="dxa"/>
          </w:tcPr>
          <w:p>
            <w:pPr>
              <w:pStyle w:val="TableParagraph"/>
              <w:spacing w:line="292" w:lineRule="auto" w:before="44"/>
              <w:ind w:left="423" w:right="106"/>
              <w:rPr>
                <w:sz w:val="21"/>
              </w:rPr>
            </w:pPr>
            <w:r>
              <w:rPr>
                <w:sz w:val="21"/>
              </w:rPr>
              <w:t>感染艾滋病病毒或患艾滋病</w:t>
            </w:r>
          </w:p>
        </w:tc>
        <w:tc>
          <w:tcPr>
            <w:tcW w:w="6136" w:type="dxa"/>
          </w:tcPr>
          <w:p>
            <w:pPr>
              <w:pStyle w:val="TableParagraph"/>
              <w:spacing w:line="292" w:lineRule="auto" w:before="44"/>
              <w:ind w:left="106" w:right="303"/>
              <w:jc w:val="both"/>
              <w:rPr>
                <w:sz w:val="21"/>
              </w:rPr>
            </w:pPr>
            <w:r>
              <w:rPr>
                <w:sz w:val="21"/>
              </w:rPr>
              <w:t>艾滋病病毒指人类免疫缺陷病毒，英文缩写为 HIV。艾滋病指人类免疫缺陷病毒引起的获得性免疫缺陷综合征，英文缩写为</w:t>
            </w:r>
          </w:p>
          <w:p>
            <w:pPr>
              <w:pStyle w:val="TableParagraph"/>
              <w:spacing w:before="14"/>
              <w:ind w:left="106"/>
              <w:rPr>
                <w:sz w:val="21"/>
              </w:rPr>
            </w:pPr>
            <w:r>
              <w:rPr>
                <w:sz w:val="21"/>
              </w:rPr>
              <w:t>AIDS。</w:t>
            </w:r>
          </w:p>
          <w:p>
            <w:pPr>
              <w:pStyle w:val="TableParagraph"/>
              <w:spacing w:line="292" w:lineRule="auto" w:before="63"/>
              <w:ind w:left="106" w:right="308"/>
              <w:jc w:val="both"/>
              <w:rPr>
                <w:sz w:val="21"/>
              </w:rPr>
            </w:pPr>
            <w:r>
              <w:rPr>
                <w:sz w:val="21"/>
              </w:rPr>
              <w:t>在人体血液或其它样本中检测到艾滋病病毒或其抗体呈阳性， 没有出现临床症状或体征的，为感染艾滋病病毒；如果同时出现了明显临床症状或体征的，为患艾滋病。</w:t>
            </w:r>
          </w:p>
        </w:tc>
      </w:tr>
      <w:tr>
        <w:trPr>
          <w:trHeight w:val="1100" w:hRule="atLeast"/>
        </w:trPr>
        <w:tc>
          <w:tcPr>
            <w:tcW w:w="1046" w:type="dxa"/>
          </w:tcPr>
          <w:p>
            <w:pPr>
              <w:pStyle w:val="TableParagraph"/>
              <w:spacing w:before="44"/>
              <w:ind w:left="200"/>
              <w:rPr>
                <w:sz w:val="21"/>
              </w:rPr>
            </w:pPr>
            <w:r>
              <w:rPr>
                <w:sz w:val="21"/>
              </w:rPr>
              <w:t>8.17</w:t>
            </w:r>
          </w:p>
        </w:tc>
        <w:tc>
          <w:tcPr>
            <w:tcW w:w="1928" w:type="dxa"/>
          </w:tcPr>
          <w:p>
            <w:pPr>
              <w:pStyle w:val="TableParagraph"/>
              <w:spacing w:before="44"/>
              <w:ind w:left="423"/>
              <w:rPr>
                <w:sz w:val="21"/>
              </w:rPr>
            </w:pPr>
            <w:r>
              <w:rPr>
                <w:sz w:val="21"/>
              </w:rPr>
              <w:t>遗传性疾病</w:t>
            </w:r>
          </w:p>
        </w:tc>
        <w:tc>
          <w:tcPr>
            <w:tcW w:w="6136" w:type="dxa"/>
          </w:tcPr>
          <w:p>
            <w:pPr>
              <w:pStyle w:val="TableParagraph"/>
              <w:spacing w:line="295" w:lineRule="auto" w:before="44"/>
              <w:ind w:left="106" w:right="306"/>
              <w:jc w:val="both"/>
              <w:rPr>
                <w:sz w:val="21"/>
              </w:rPr>
            </w:pPr>
            <w:r>
              <w:rPr>
                <w:sz w:val="21"/>
              </w:rPr>
              <w:t>指生殖细胞或受精卵的遗传物质（染色体和基因）发生突变或畸变所引起的疾病，通常具有由亲代传至后代的垂直传递的特征。</w:t>
            </w:r>
          </w:p>
        </w:tc>
      </w:tr>
      <w:tr>
        <w:trPr>
          <w:trHeight w:val="1094" w:hRule="atLeast"/>
        </w:trPr>
        <w:tc>
          <w:tcPr>
            <w:tcW w:w="1046" w:type="dxa"/>
          </w:tcPr>
          <w:p>
            <w:pPr>
              <w:pStyle w:val="TableParagraph"/>
              <w:spacing w:before="43"/>
              <w:ind w:left="200"/>
              <w:rPr>
                <w:sz w:val="21"/>
              </w:rPr>
            </w:pPr>
            <w:r>
              <w:rPr>
                <w:sz w:val="21"/>
              </w:rPr>
              <w:t>8.18</w:t>
            </w:r>
          </w:p>
        </w:tc>
        <w:tc>
          <w:tcPr>
            <w:tcW w:w="1928" w:type="dxa"/>
          </w:tcPr>
          <w:p>
            <w:pPr>
              <w:pStyle w:val="TableParagraph"/>
              <w:spacing w:line="295" w:lineRule="auto" w:before="43"/>
              <w:ind w:left="423" w:right="105"/>
              <w:jc w:val="both"/>
              <w:rPr>
                <w:sz w:val="21"/>
              </w:rPr>
            </w:pPr>
            <w:r>
              <w:rPr>
                <w:spacing w:val="-13"/>
                <w:sz w:val="21"/>
              </w:rPr>
              <w:t>先天性畸形、变</w:t>
            </w:r>
            <w:r>
              <w:rPr>
                <w:spacing w:val="18"/>
                <w:sz w:val="21"/>
              </w:rPr>
              <w:t>形及染色体异常</w:t>
            </w:r>
          </w:p>
        </w:tc>
        <w:tc>
          <w:tcPr>
            <w:tcW w:w="6136" w:type="dxa"/>
          </w:tcPr>
          <w:p>
            <w:pPr>
              <w:pStyle w:val="TableParagraph"/>
              <w:spacing w:line="295" w:lineRule="auto" w:before="43"/>
              <w:ind w:left="106"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625" w:hRule="atLeast"/>
        </w:trPr>
        <w:tc>
          <w:tcPr>
            <w:tcW w:w="1046" w:type="dxa"/>
          </w:tcPr>
          <w:p>
            <w:pPr>
              <w:pStyle w:val="TableParagraph"/>
              <w:spacing w:before="50"/>
              <w:ind w:left="200"/>
              <w:rPr>
                <w:sz w:val="21"/>
              </w:rPr>
            </w:pPr>
            <w:r>
              <w:rPr>
                <w:sz w:val="21"/>
              </w:rPr>
              <w:t>8.19</w:t>
            </w:r>
          </w:p>
        </w:tc>
        <w:tc>
          <w:tcPr>
            <w:tcW w:w="1928" w:type="dxa"/>
          </w:tcPr>
          <w:p>
            <w:pPr>
              <w:pStyle w:val="TableParagraph"/>
              <w:spacing w:before="50"/>
              <w:ind w:left="423"/>
              <w:rPr>
                <w:sz w:val="21"/>
              </w:rPr>
            </w:pPr>
            <w:r>
              <w:rPr>
                <w:sz w:val="21"/>
              </w:rPr>
              <w:t>现金价值余额</w:t>
            </w:r>
          </w:p>
        </w:tc>
        <w:tc>
          <w:tcPr>
            <w:tcW w:w="6136" w:type="dxa"/>
          </w:tcPr>
          <w:p>
            <w:pPr>
              <w:pStyle w:val="TableParagraph"/>
              <w:spacing w:line="310" w:lineRule="atLeast" w:before="3"/>
              <w:ind w:left="106" w:right="350"/>
              <w:rPr>
                <w:sz w:val="21"/>
              </w:rPr>
            </w:pPr>
            <w:r>
              <w:rPr>
                <w:sz w:val="21"/>
              </w:rPr>
              <w:t>现金价值在扣除借款及利息后的余额。若本合同附有其他具有现金价值的附加合同，本合同及其附加合同的现金价值应合并</w:t>
            </w:r>
          </w:p>
        </w:tc>
      </w:tr>
    </w:tbl>
    <w:p>
      <w:pPr>
        <w:spacing w:after="0" w:line="310" w:lineRule="atLeast"/>
        <w:rPr>
          <w:sz w:val="21"/>
        </w:rPr>
        <w:sectPr>
          <w:pgSz w:w="11910" w:h="16840"/>
          <w:pgMar w:header="0" w:footer="919" w:top="1500" w:bottom="1100" w:left="1200" w:right="124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927"/>
        <w:gridCol w:w="6136"/>
      </w:tblGrid>
      <w:tr>
        <w:trPr>
          <w:trHeight w:val="312" w:hRule="atLeast"/>
        </w:trPr>
        <w:tc>
          <w:tcPr>
            <w:tcW w:w="1046" w:type="dxa"/>
          </w:tcPr>
          <w:p>
            <w:pPr>
              <w:pStyle w:val="TableParagraph"/>
              <w:rPr>
                <w:rFonts w:ascii="Times New Roman"/>
                <w:sz w:val="20"/>
              </w:rPr>
            </w:pPr>
          </w:p>
        </w:tc>
        <w:tc>
          <w:tcPr>
            <w:tcW w:w="1927" w:type="dxa"/>
          </w:tcPr>
          <w:p>
            <w:pPr>
              <w:pStyle w:val="TableParagraph"/>
              <w:rPr>
                <w:rFonts w:ascii="Times New Roman"/>
                <w:sz w:val="20"/>
              </w:rPr>
            </w:pPr>
          </w:p>
        </w:tc>
        <w:tc>
          <w:tcPr>
            <w:tcW w:w="6136" w:type="dxa"/>
          </w:tcPr>
          <w:p>
            <w:pPr>
              <w:pStyle w:val="TableParagraph"/>
              <w:spacing w:line="208" w:lineRule="exact"/>
              <w:ind w:left="107"/>
              <w:rPr>
                <w:sz w:val="21"/>
              </w:rPr>
            </w:pPr>
            <w:r>
              <w:rPr>
                <w:sz w:val="21"/>
              </w:rPr>
              <w:t>计算。</w:t>
            </w:r>
          </w:p>
        </w:tc>
      </w:tr>
      <w:tr>
        <w:trPr>
          <w:trHeight w:val="420" w:hRule="atLeast"/>
        </w:trPr>
        <w:tc>
          <w:tcPr>
            <w:tcW w:w="1046" w:type="dxa"/>
          </w:tcPr>
          <w:p>
            <w:pPr>
              <w:pStyle w:val="TableParagraph"/>
              <w:spacing w:before="34"/>
              <w:ind w:left="200"/>
              <w:rPr>
                <w:sz w:val="21"/>
              </w:rPr>
            </w:pPr>
            <w:r>
              <w:rPr>
                <w:sz w:val="21"/>
              </w:rPr>
              <w:t>8.20</w:t>
            </w:r>
          </w:p>
        </w:tc>
        <w:tc>
          <w:tcPr>
            <w:tcW w:w="1927" w:type="dxa"/>
          </w:tcPr>
          <w:p>
            <w:pPr>
              <w:pStyle w:val="TableParagraph"/>
              <w:spacing w:before="34"/>
              <w:ind w:left="423"/>
              <w:rPr>
                <w:sz w:val="21"/>
              </w:rPr>
            </w:pPr>
            <w:r>
              <w:rPr>
                <w:sz w:val="21"/>
              </w:rPr>
              <w:t>利息</w:t>
            </w:r>
          </w:p>
        </w:tc>
        <w:tc>
          <w:tcPr>
            <w:tcW w:w="6136" w:type="dxa"/>
          </w:tcPr>
          <w:p>
            <w:pPr>
              <w:pStyle w:val="TableParagraph"/>
              <w:spacing w:before="34"/>
              <w:ind w:left="107"/>
              <w:rPr>
                <w:sz w:val="21"/>
              </w:rPr>
            </w:pPr>
            <w:r>
              <w:rPr>
                <w:sz w:val="21"/>
              </w:rPr>
              <w:t>按</w:t>
            </w:r>
            <w:r>
              <w:rPr>
                <w:b/>
                <w:sz w:val="21"/>
              </w:rPr>
              <w:t>借款利率</w:t>
            </w:r>
            <w:r>
              <w:rPr>
                <w:sz w:val="21"/>
              </w:rPr>
              <w:t>（见 8.28）计算。</w:t>
            </w:r>
          </w:p>
        </w:tc>
      </w:tr>
      <w:tr>
        <w:trPr>
          <w:trHeight w:val="427" w:hRule="atLeast"/>
        </w:trPr>
        <w:tc>
          <w:tcPr>
            <w:tcW w:w="1046" w:type="dxa"/>
          </w:tcPr>
          <w:p>
            <w:pPr>
              <w:pStyle w:val="TableParagraph"/>
              <w:spacing w:before="41"/>
              <w:ind w:left="200"/>
              <w:rPr>
                <w:sz w:val="21"/>
              </w:rPr>
            </w:pPr>
            <w:r>
              <w:rPr>
                <w:sz w:val="21"/>
              </w:rPr>
              <w:t>8.21</w:t>
            </w:r>
          </w:p>
        </w:tc>
        <w:tc>
          <w:tcPr>
            <w:tcW w:w="1927" w:type="dxa"/>
          </w:tcPr>
          <w:p>
            <w:pPr>
              <w:pStyle w:val="TableParagraph"/>
              <w:spacing w:before="41"/>
              <w:ind w:left="423"/>
              <w:rPr>
                <w:sz w:val="21"/>
              </w:rPr>
            </w:pPr>
            <w:r>
              <w:rPr>
                <w:sz w:val="21"/>
              </w:rPr>
              <w:t>不可抗力</w:t>
            </w:r>
          </w:p>
        </w:tc>
        <w:tc>
          <w:tcPr>
            <w:tcW w:w="6136" w:type="dxa"/>
          </w:tcPr>
          <w:p>
            <w:pPr>
              <w:pStyle w:val="TableParagraph"/>
              <w:spacing w:before="41"/>
              <w:ind w:left="107"/>
              <w:rPr>
                <w:sz w:val="21"/>
              </w:rPr>
            </w:pPr>
            <w:r>
              <w:rPr>
                <w:sz w:val="21"/>
              </w:rPr>
              <w:t>指不能预见、不能避免并不能克服的客观情况。</w:t>
            </w:r>
          </w:p>
        </w:tc>
      </w:tr>
      <w:tr>
        <w:trPr>
          <w:trHeight w:val="425" w:hRule="atLeast"/>
        </w:trPr>
        <w:tc>
          <w:tcPr>
            <w:tcW w:w="1046" w:type="dxa"/>
          </w:tcPr>
          <w:p>
            <w:pPr>
              <w:pStyle w:val="TableParagraph"/>
              <w:spacing w:before="41"/>
              <w:ind w:left="200"/>
              <w:rPr>
                <w:sz w:val="21"/>
              </w:rPr>
            </w:pPr>
            <w:r>
              <w:rPr>
                <w:sz w:val="21"/>
              </w:rPr>
              <w:t>8.22</w:t>
            </w:r>
          </w:p>
        </w:tc>
        <w:tc>
          <w:tcPr>
            <w:tcW w:w="1927" w:type="dxa"/>
          </w:tcPr>
          <w:p>
            <w:pPr>
              <w:pStyle w:val="TableParagraph"/>
              <w:spacing w:before="41"/>
              <w:ind w:left="423"/>
              <w:rPr>
                <w:sz w:val="21"/>
              </w:rPr>
            </w:pPr>
            <w:r>
              <w:rPr>
                <w:sz w:val="21"/>
              </w:rPr>
              <w:t>伤残鉴定机构</w:t>
            </w:r>
          </w:p>
        </w:tc>
        <w:tc>
          <w:tcPr>
            <w:tcW w:w="6136" w:type="dxa"/>
          </w:tcPr>
          <w:p>
            <w:pPr>
              <w:pStyle w:val="TableParagraph"/>
              <w:spacing w:before="41"/>
              <w:ind w:left="107"/>
              <w:rPr>
                <w:sz w:val="21"/>
              </w:rPr>
            </w:pPr>
            <w:r>
              <w:rPr>
                <w:sz w:val="21"/>
              </w:rPr>
              <w:t>指具有合法资质、除医院以外的伤残鉴定机构。</w:t>
            </w:r>
          </w:p>
        </w:tc>
      </w:tr>
      <w:tr>
        <w:trPr>
          <w:trHeight w:val="2447" w:hRule="atLeast"/>
        </w:trPr>
        <w:tc>
          <w:tcPr>
            <w:tcW w:w="1046" w:type="dxa"/>
          </w:tcPr>
          <w:p>
            <w:pPr>
              <w:pStyle w:val="TableParagraph"/>
              <w:spacing w:before="40"/>
              <w:ind w:left="200"/>
              <w:rPr>
                <w:sz w:val="21"/>
              </w:rPr>
            </w:pPr>
            <w:r>
              <w:rPr>
                <w:sz w:val="21"/>
              </w:rPr>
              <w:t>8.23</w:t>
            </w:r>
          </w:p>
        </w:tc>
        <w:tc>
          <w:tcPr>
            <w:tcW w:w="1927" w:type="dxa"/>
          </w:tcPr>
          <w:p>
            <w:pPr>
              <w:pStyle w:val="TableParagraph"/>
              <w:spacing w:before="40"/>
              <w:ind w:left="423"/>
              <w:rPr>
                <w:sz w:val="21"/>
              </w:rPr>
            </w:pPr>
            <w:r>
              <w:rPr>
                <w:sz w:val="21"/>
              </w:rPr>
              <w:t>专科医生</w:t>
            </w:r>
          </w:p>
        </w:tc>
        <w:tc>
          <w:tcPr>
            <w:tcW w:w="6136" w:type="dxa"/>
          </w:tcPr>
          <w:p>
            <w:pPr>
              <w:pStyle w:val="TableParagraph"/>
              <w:spacing w:before="40"/>
              <w:ind w:left="107"/>
              <w:rPr>
                <w:sz w:val="21"/>
              </w:rPr>
            </w:pPr>
            <w:r>
              <w:rPr>
                <w:sz w:val="21"/>
              </w:rPr>
              <w:t>指同时满足下列四项资格条件的医生或医师：</w:t>
            </w:r>
          </w:p>
          <w:p>
            <w:pPr>
              <w:pStyle w:val="TableParagraph"/>
              <w:spacing w:before="63"/>
              <w:ind w:left="107"/>
              <w:rPr>
                <w:sz w:val="21"/>
              </w:rPr>
            </w:pPr>
            <w:r>
              <w:rPr>
                <w:sz w:val="21"/>
              </w:rPr>
              <w:t>一、 具有有效的中华人民共和国《医师资格证书》；</w:t>
            </w:r>
          </w:p>
          <w:p>
            <w:pPr>
              <w:pStyle w:val="TableParagraph"/>
              <w:spacing w:line="292" w:lineRule="auto" w:before="61"/>
              <w:ind w:left="107" w:right="237"/>
              <w:rPr>
                <w:sz w:val="21"/>
              </w:rPr>
            </w:pPr>
            <w:r>
              <w:rPr>
                <w:sz w:val="21"/>
              </w:rPr>
              <w:t>二、 具有有效的中华人民共和国《医师执业证书》，并按期到相关部门登记注册；</w:t>
            </w:r>
          </w:p>
          <w:p>
            <w:pPr>
              <w:pStyle w:val="TableParagraph"/>
              <w:spacing w:line="292" w:lineRule="auto" w:before="17"/>
              <w:ind w:left="107" w:right="307"/>
              <w:rPr>
                <w:sz w:val="21"/>
              </w:rPr>
            </w:pPr>
            <w:r>
              <w:rPr>
                <w:sz w:val="21"/>
              </w:rPr>
              <w:t>三、具有有效的中华人民共和国主治医师或主治医师以上职称的《医师职称证书》；</w:t>
            </w:r>
          </w:p>
          <w:p>
            <w:pPr>
              <w:pStyle w:val="TableParagraph"/>
              <w:spacing w:before="14"/>
              <w:ind w:left="107"/>
              <w:rPr>
                <w:sz w:val="21"/>
              </w:rPr>
            </w:pPr>
            <w:r>
              <w:rPr>
                <w:sz w:val="21"/>
              </w:rPr>
              <w:t>四、在二级或二级以上医院的相应科室从事临床工作三年以上。</w:t>
            </w:r>
          </w:p>
        </w:tc>
      </w:tr>
      <w:tr>
        <w:trPr>
          <w:trHeight w:val="1437" w:hRule="atLeast"/>
        </w:trPr>
        <w:tc>
          <w:tcPr>
            <w:tcW w:w="1046" w:type="dxa"/>
          </w:tcPr>
          <w:p>
            <w:pPr>
              <w:pStyle w:val="TableParagraph"/>
              <w:spacing w:before="41"/>
              <w:ind w:left="200"/>
              <w:rPr>
                <w:sz w:val="21"/>
              </w:rPr>
            </w:pPr>
            <w:r>
              <w:rPr>
                <w:sz w:val="21"/>
              </w:rPr>
              <w:t>8.24</w:t>
            </w:r>
          </w:p>
        </w:tc>
        <w:tc>
          <w:tcPr>
            <w:tcW w:w="1927" w:type="dxa"/>
          </w:tcPr>
          <w:p>
            <w:pPr>
              <w:pStyle w:val="TableParagraph"/>
              <w:spacing w:before="41"/>
              <w:ind w:left="423"/>
              <w:rPr>
                <w:sz w:val="21"/>
              </w:rPr>
            </w:pPr>
            <w:r>
              <w:rPr>
                <w:sz w:val="21"/>
              </w:rPr>
              <w:t>原位癌</w:t>
            </w:r>
          </w:p>
        </w:tc>
        <w:tc>
          <w:tcPr>
            <w:tcW w:w="6136" w:type="dxa"/>
          </w:tcPr>
          <w:p>
            <w:pPr>
              <w:pStyle w:val="TableParagraph"/>
              <w:spacing w:line="295" w:lineRule="auto" w:before="41"/>
              <w:ind w:left="107" w:right="305"/>
              <w:jc w:val="both"/>
              <w:rPr>
                <w:sz w:val="21"/>
              </w:rPr>
            </w:pP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763" w:hRule="atLeast"/>
        </w:trPr>
        <w:tc>
          <w:tcPr>
            <w:tcW w:w="1046" w:type="dxa"/>
          </w:tcPr>
          <w:p>
            <w:pPr>
              <w:pStyle w:val="TableParagraph"/>
              <w:spacing w:before="41"/>
              <w:ind w:left="200"/>
              <w:rPr>
                <w:sz w:val="21"/>
              </w:rPr>
            </w:pPr>
            <w:r>
              <w:rPr>
                <w:sz w:val="21"/>
              </w:rPr>
              <w:t>8.25</w:t>
            </w:r>
          </w:p>
        </w:tc>
        <w:tc>
          <w:tcPr>
            <w:tcW w:w="1927" w:type="dxa"/>
          </w:tcPr>
          <w:p>
            <w:pPr>
              <w:pStyle w:val="TableParagraph"/>
              <w:spacing w:line="292" w:lineRule="auto" w:before="41"/>
              <w:ind w:left="423" w:right="105"/>
              <w:rPr>
                <w:sz w:val="21"/>
              </w:rPr>
            </w:pPr>
            <w:r>
              <w:rPr>
                <w:sz w:val="21"/>
              </w:rPr>
              <w:t>肢体机能完全丧失</w:t>
            </w:r>
          </w:p>
        </w:tc>
        <w:tc>
          <w:tcPr>
            <w:tcW w:w="6136" w:type="dxa"/>
          </w:tcPr>
          <w:p>
            <w:pPr>
              <w:pStyle w:val="TableParagraph"/>
              <w:spacing w:line="292" w:lineRule="auto" w:before="41"/>
              <w:ind w:left="107" w:right="307"/>
              <w:rPr>
                <w:sz w:val="21"/>
              </w:rPr>
            </w:pPr>
            <w:r>
              <w:rPr>
                <w:sz w:val="21"/>
              </w:rPr>
              <w:t>指肢体的三大关节中的两大关节僵硬，或不能随意识活动。肢体是指包括肩关节的整个上肢或包括髋关节的整个下肢。</w:t>
            </w:r>
          </w:p>
        </w:tc>
      </w:tr>
      <w:tr>
        <w:trPr>
          <w:trHeight w:val="2110" w:hRule="atLeast"/>
        </w:trPr>
        <w:tc>
          <w:tcPr>
            <w:tcW w:w="1046" w:type="dxa"/>
          </w:tcPr>
          <w:p>
            <w:pPr>
              <w:pStyle w:val="TableParagraph"/>
              <w:spacing w:before="41"/>
              <w:ind w:left="200"/>
              <w:rPr>
                <w:sz w:val="21"/>
              </w:rPr>
            </w:pPr>
            <w:r>
              <w:rPr>
                <w:sz w:val="21"/>
              </w:rPr>
              <w:t>8.26</w:t>
            </w:r>
          </w:p>
        </w:tc>
        <w:tc>
          <w:tcPr>
            <w:tcW w:w="1927" w:type="dxa"/>
          </w:tcPr>
          <w:p>
            <w:pPr>
              <w:pStyle w:val="TableParagraph"/>
              <w:spacing w:line="292" w:lineRule="auto" w:before="41"/>
              <w:ind w:left="423" w:right="105"/>
              <w:jc w:val="both"/>
              <w:rPr>
                <w:sz w:val="21"/>
              </w:rPr>
            </w:pPr>
            <w:r>
              <w:rPr>
                <w:sz w:val="21"/>
              </w:rPr>
              <w:t>语言能力或咀嚼吞咽能力完全丧失</w:t>
            </w:r>
          </w:p>
        </w:tc>
        <w:tc>
          <w:tcPr>
            <w:tcW w:w="6136" w:type="dxa"/>
          </w:tcPr>
          <w:p>
            <w:pPr>
              <w:pStyle w:val="TableParagraph"/>
              <w:spacing w:line="292" w:lineRule="auto" w:before="41"/>
              <w:ind w:left="107" w:right="30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92" w:lineRule="auto" w:before="17"/>
              <w:ind w:left="107" w:right="304"/>
              <w:jc w:val="both"/>
              <w:rPr>
                <w:sz w:val="21"/>
              </w:rPr>
            </w:pPr>
            <w:r>
              <w:rPr>
                <w:sz w:val="21"/>
              </w:rPr>
              <w:t>咀嚼吞咽能力完全丧失，指因牙齿以外的原因导致器质障碍或机能障碍，以致不能作咀嚼吞咽运动，除流质食物外不能摄取或吞咽的状态。</w:t>
            </w:r>
          </w:p>
        </w:tc>
      </w:tr>
      <w:tr>
        <w:trPr>
          <w:trHeight w:val="763" w:hRule="atLeast"/>
        </w:trPr>
        <w:tc>
          <w:tcPr>
            <w:tcW w:w="1046" w:type="dxa"/>
          </w:tcPr>
          <w:p>
            <w:pPr>
              <w:pStyle w:val="TableParagraph"/>
              <w:spacing w:before="41"/>
              <w:ind w:left="200"/>
              <w:rPr>
                <w:sz w:val="21"/>
              </w:rPr>
            </w:pPr>
            <w:r>
              <w:rPr>
                <w:sz w:val="21"/>
              </w:rPr>
              <w:t>8.27</w:t>
            </w:r>
          </w:p>
        </w:tc>
        <w:tc>
          <w:tcPr>
            <w:tcW w:w="1927" w:type="dxa"/>
          </w:tcPr>
          <w:p>
            <w:pPr>
              <w:pStyle w:val="TableParagraph"/>
              <w:spacing w:before="41"/>
              <w:ind w:left="423"/>
              <w:rPr>
                <w:sz w:val="21"/>
              </w:rPr>
            </w:pPr>
            <w:r>
              <w:rPr>
                <w:sz w:val="21"/>
              </w:rPr>
              <w:t>永久不可逆</w:t>
            </w:r>
          </w:p>
        </w:tc>
        <w:tc>
          <w:tcPr>
            <w:tcW w:w="6136" w:type="dxa"/>
          </w:tcPr>
          <w:p>
            <w:pPr>
              <w:pStyle w:val="TableParagraph"/>
              <w:spacing w:line="292" w:lineRule="auto" w:before="41"/>
              <w:ind w:left="107" w:right="246"/>
              <w:rPr>
                <w:sz w:val="21"/>
              </w:rPr>
            </w:pPr>
            <w:r>
              <w:rPr>
                <w:sz w:val="21"/>
              </w:rPr>
              <w:t>指自疾病确诊或意外伤害发生之日起，经过积极治疗180天后， 仍无法通过现有医疗手段恢复。</w:t>
            </w:r>
          </w:p>
        </w:tc>
      </w:tr>
      <w:tr>
        <w:trPr>
          <w:trHeight w:val="655" w:hRule="atLeast"/>
        </w:trPr>
        <w:tc>
          <w:tcPr>
            <w:tcW w:w="1046" w:type="dxa"/>
          </w:tcPr>
          <w:p>
            <w:pPr>
              <w:pStyle w:val="TableParagraph"/>
              <w:spacing w:before="41"/>
              <w:ind w:left="200"/>
              <w:rPr>
                <w:sz w:val="21"/>
              </w:rPr>
            </w:pPr>
            <w:r>
              <w:rPr>
                <w:sz w:val="21"/>
              </w:rPr>
              <w:t>8.28</w:t>
            </w:r>
          </w:p>
        </w:tc>
        <w:tc>
          <w:tcPr>
            <w:tcW w:w="1927" w:type="dxa"/>
          </w:tcPr>
          <w:p>
            <w:pPr>
              <w:pStyle w:val="TableParagraph"/>
              <w:spacing w:before="41"/>
              <w:ind w:left="423"/>
              <w:rPr>
                <w:sz w:val="21"/>
              </w:rPr>
            </w:pPr>
            <w:r>
              <w:rPr>
                <w:sz w:val="21"/>
              </w:rPr>
              <w:t>借款利率</w:t>
            </w:r>
          </w:p>
        </w:tc>
        <w:tc>
          <w:tcPr>
            <w:tcW w:w="6136" w:type="dxa"/>
          </w:tcPr>
          <w:p>
            <w:pPr>
              <w:pStyle w:val="TableParagraph"/>
              <w:spacing w:line="336" w:lineRule="exact" w:before="18"/>
              <w:ind w:left="107" w:right="307"/>
              <w:rPr>
                <w:sz w:val="21"/>
              </w:rPr>
            </w:pPr>
            <w:r>
              <w:rPr>
                <w:sz w:val="21"/>
              </w:rPr>
              <w:t>参照借款时中国人民银行公布的人民币一年期贷款基准利率确定，但不低于年利率 4%。</w:t>
            </w:r>
          </w:p>
        </w:tc>
      </w:tr>
    </w:tbl>
    <w:sectPr>
      <w:pgSz w:w="11910" w:h="16840"/>
      <w:pgMar w:header="0" w:footer="919" w:top="1500" w:bottom="1100" w:left="12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780.985596pt;width:119.15pt;height:11pt;mso-position-horizontal-relative:page;mso-position-vertical-relative:page;z-index:-47176" type="#_x0000_t202" filled="false" stroked="false">
          <v:textbox inset="0,0,0,0">
            <w:txbxContent>
              <w:p>
                <w:pPr>
                  <w:spacing w:line="200" w:lineRule="exact" w:before="0"/>
                  <w:ind w:left="20" w:right="0" w:firstLine="0"/>
                  <w:jc w:val="left"/>
                  <w:rPr>
                    <w:sz w:val="18"/>
                  </w:rPr>
                </w:pPr>
                <w:r>
                  <w:rPr>
                    <w:spacing w:val="-8"/>
                    <w:sz w:val="18"/>
                  </w:rPr>
                  <w:t>英大安康宝 </w:t>
                </w:r>
                <w:r>
                  <w:rPr>
                    <w:sz w:val="18"/>
                  </w:rPr>
                  <w:t>B</w:t>
                </w:r>
                <w:r>
                  <w:rPr>
                    <w:spacing w:val="-7"/>
                    <w:sz w:val="18"/>
                  </w:rPr>
                  <w:t> 款重大疾病保险</w:t>
                </w:r>
              </w:p>
            </w:txbxContent>
          </v:textbox>
          <w10:wrap type="none"/>
        </v:shape>
      </w:pict>
    </w:r>
    <w:r>
      <w:rPr/>
      <w:pict>
        <v:shape style="position:absolute;margin-left:289.450012pt;margin-top:780.985596pt;width:20pt;height:11pt;mso-position-horizontal-relative:page;mso-position-vertical-relative:page;z-index:-4715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28.910004pt;margin-top:780.985596pt;width:78.75pt;height:11pt;mso-position-horizontal-relative:page;mso-position-vertical-relative:page;z-index:-4712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25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384" w:hanging="317"/>
        <w:jc w:val="left"/>
      </w:pPr>
      <w:rPr>
        <w:rFonts w:hint="default" w:ascii="宋体" w:hAnsi="宋体" w:eastAsia="宋体" w:cs="宋体"/>
        <w:w w:val="100"/>
        <w:sz w:val="21"/>
        <w:szCs w:val="21"/>
      </w:rPr>
    </w:lvl>
    <w:lvl w:ilvl="1">
      <w:start w:val="0"/>
      <w:numFmt w:val="bullet"/>
      <w:lvlText w:val="•"/>
      <w:lvlJc w:val="left"/>
      <w:pPr>
        <w:ind w:left="973" w:hanging="317"/>
      </w:pPr>
      <w:rPr>
        <w:rFonts w:hint="default"/>
      </w:rPr>
    </w:lvl>
    <w:lvl w:ilvl="2">
      <w:start w:val="0"/>
      <w:numFmt w:val="bullet"/>
      <w:lvlText w:val="•"/>
      <w:lvlJc w:val="left"/>
      <w:pPr>
        <w:ind w:left="1567" w:hanging="317"/>
      </w:pPr>
      <w:rPr>
        <w:rFonts w:hint="default"/>
      </w:rPr>
    </w:lvl>
    <w:lvl w:ilvl="3">
      <w:start w:val="0"/>
      <w:numFmt w:val="bullet"/>
      <w:lvlText w:val="•"/>
      <w:lvlJc w:val="left"/>
      <w:pPr>
        <w:ind w:left="2160" w:hanging="317"/>
      </w:pPr>
      <w:rPr>
        <w:rFonts w:hint="default"/>
      </w:rPr>
    </w:lvl>
    <w:lvl w:ilvl="4">
      <w:start w:val="0"/>
      <w:numFmt w:val="bullet"/>
      <w:lvlText w:val="•"/>
      <w:lvlJc w:val="left"/>
      <w:pPr>
        <w:ind w:left="2754" w:hanging="317"/>
      </w:pPr>
      <w:rPr>
        <w:rFonts w:hint="default"/>
      </w:rPr>
    </w:lvl>
    <w:lvl w:ilvl="5">
      <w:start w:val="0"/>
      <w:numFmt w:val="bullet"/>
      <w:lvlText w:val="•"/>
      <w:lvlJc w:val="left"/>
      <w:pPr>
        <w:ind w:left="3347" w:hanging="317"/>
      </w:pPr>
      <w:rPr>
        <w:rFonts w:hint="default"/>
      </w:rPr>
    </w:lvl>
    <w:lvl w:ilvl="6">
      <w:start w:val="0"/>
      <w:numFmt w:val="bullet"/>
      <w:lvlText w:val="•"/>
      <w:lvlJc w:val="left"/>
      <w:pPr>
        <w:ind w:left="3941" w:hanging="317"/>
      </w:pPr>
      <w:rPr>
        <w:rFonts w:hint="default"/>
      </w:rPr>
    </w:lvl>
    <w:lvl w:ilvl="7">
      <w:start w:val="0"/>
      <w:numFmt w:val="bullet"/>
      <w:lvlText w:val="•"/>
      <w:lvlJc w:val="left"/>
      <w:pPr>
        <w:ind w:left="4534" w:hanging="317"/>
      </w:pPr>
      <w:rPr>
        <w:rFonts w:hint="default"/>
      </w:rPr>
    </w:lvl>
    <w:lvl w:ilvl="8">
      <w:start w:val="0"/>
      <w:numFmt w:val="bullet"/>
      <w:lvlText w:val="•"/>
      <w:lvlJc w:val="left"/>
      <w:pPr>
        <w:ind w:left="5128" w:hanging="317"/>
      </w:pPr>
      <w:rPr>
        <w:rFonts w:hint="default"/>
      </w:rPr>
    </w:lvl>
  </w:abstractNum>
  <w:abstractNum w:abstractNumId="7">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693" w:hanging="632"/>
      </w:pPr>
      <w:rPr>
        <w:rFonts w:hint="default"/>
      </w:rPr>
    </w:lvl>
    <w:lvl w:ilvl="2">
      <w:start w:val="0"/>
      <w:numFmt w:val="bullet"/>
      <w:lvlText w:val="•"/>
      <w:lvlJc w:val="left"/>
      <w:pPr>
        <w:ind w:left="1287" w:hanging="632"/>
      </w:pPr>
      <w:rPr>
        <w:rFonts w:hint="default"/>
      </w:rPr>
    </w:lvl>
    <w:lvl w:ilvl="3">
      <w:start w:val="0"/>
      <w:numFmt w:val="bullet"/>
      <w:lvlText w:val="•"/>
      <w:lvlJc w:val="left"/>
      <w:pPr>
        <w:ind w:left="1881" w:hanging="632"/>
      </w:pPr>
      <w:rPr>
        <w:rFonts w:hint="default"/>
      </w:rPr>
    </w:lvl>
    <w:lvl w:ilvl="4">
      <w:start w:val="0"/>
      <w:numFmt w:val="bullet"/>
      <w:lvlText w:val="•"/>
      <w:lvlJc w:val="left"/>
      <w:pPr>
        <w:ind w:left="2475" w:hanging="632"/>
      </w:pPr>
      <w:rPr>
        <w:rFonts w:hint="default"/>
      </w:rPr>
    </w:lvl>
    <w:lvl w:ilvl="5">
      <w:start w:val="0"/>
      <w:numFmt w:val="bullet"/>
      <w:lvlText w:val="•"/>
      <w:lvlJc w:val="left"/>
      <w:pPr>
        <w:ind w:left="3069" w:hanging="632"/>
      </w:pPr>
      <w:rPr>
        <w:rFonts w:hint="default"/>
      </w:rPr>
    </w:lvl>
    <w:lvl w:ilvl="6">
      <w:start w:val="0"/>
      <w:numFmt w:val="bullet"/>
      <w:lvlText w:val="•"/>
      <w:lvlJc w:val="left"/>
      <w:pPr>
        <w:ind w:left="3663" w:hanging="632"/>
      </w:pPr>
      <w:rPr>
        <w:rFonts w:hint="default"/>
      </w:rPr>
    </w:lvl>
    <w:lvl w:ilvl="7">
      <w:start w:val="0"/>
      <w:numFmt w:val="bullet"/>
      <w:lvlText w:val="•"/>
      <w:lvlJc w:val="left"/>
      <w:pPr>
        <w:ind w:left="4257" w:hanging="632"/>
      </w:pPr>
      <w:rPr>
        <w:rFonts w:hint="default"/>
      </w:rPr>
    </w:lvl>
    <w:lvl w:ilvl="8">
      <w:start w:val="0"/>
      <w:numFmt w:val="bullet"/>
      <w:lvlText w:val="•"/>
      <w:lvlJc w:val="left"/>
      <w:pPr>
        <w:ind w:left="4851" w:hanging="632"/>
      </w:pPr>
      <w:rPr>
        <w:rFonts w:hint="default"/>
      </w:rPr>
    </w:lvl>
  </w:abstractNum>
  <w:abstractNum w:abstractNumId="6">
    <w:multiLevelType w:val="hybridMultilevel"/>
    <w:lvl w:ilvl="0">
      <w:start w:val="1"/>
      <w:numFmt w:val="decimal"/>
      <w:lvlText w:val="%1."/>
      <w:lvlJc w:val="left"/>
      <w:pPr>
        <w:ind w:left="594"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2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840" w:hanging="420"/>
      </w:pPr>
      <w:rPr>
        <w:rFonts w:hint="default"/>
      </w:rPr>
    </w:lvl>
    <w:lvl w:ilvl="5">
      <w:start w:val="0"/>
      <w:numFmt w:val="bullet"/>
      <w:lvlText w:val="•"/>
      <w:lvlJc w:val="left"/>
      <w:pPr>
        <w:ind w:left="3401" w:hanging="420"/>
      </w:pPr>
      <w:rPr>
        <w:rFonts w:hint="default"/>
      </w:rPr>
    </w:lvl>
    <w:lvl w:ilvl="6">
      <w:start w:val="0"/>
      <w:numFmt w:val="bullet"/>
      <w:lvlText w:val="•"/>
      <w:lvlJc w:val="left"/>
      <w:pPr>
        <w:ind w:left="3961" w:hanging="420"/>
      </w:pPr>
      <w:rPr>
        <w:rFonts w:hint="default"/>
      </w:rPr>
    </w:lvl>
    <w:lvl w:ilvl="7">
      <w:start w:val="0"/>
      <w:numFmt w:val="bullet"/>
      <w:lvlText w:val="•"/>
      <w:lvlJc w:val="left"/>
      <w:pPr>
        <w:ind w:left="4521" w:hanging="420"/>
      </w:pPr>
      <w:rPr>
        <w:rFonts w:hint="default"/>
      </w:rPr>
    </w:lvl>
    <w:lvl w:ilvl="8">
      <w:start w:val="0"/>
      <w:numFmt w:val="bullet"/>
      <w:lvlText w:val="•"/>
      <w:lvlJc w:val="left"/>
      <w:pPr>
        <w:ind w:left="5081" w:hanging="420"/>
      </w:pPr>
      <w:rPr>
        <w:rFonts w:hint="default"/>
      </w:rPr>
    </w:lvl>
  </w:abstractNum>
  <w:abstractNum w:abstractNumId="5">
    <w:multiLevelType w:val="hybridMultilevel"/>
    <w:lvl w:ilvl="0">
      <w:start w:val="1"/>
      <w:numFmt w:val="decimal"/>
      <w:lvlText w:val="%1."/>
      <w:lvlJc w:val="left"/>
      <w:pPr>
        <w:ind w:left="594"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2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840" w:hanging="420"/>
      </w:pPr>
      <w:rPr>
        <w:rFonts w:hint="default"/>
      </w:rPr>
    </w:lvl>
    <w:lvl w:ilvl="5">
      <w:start w:val="0"/>
      <w:numFmt w:val="bullet"/>
      <w:lvlText w:val="•"/>
      <w:lvlJc w:val="left"/>
      <w:pPr>
        <w:ind w:left="3401" w:hanging="420"/>
      </w:pPr>
      <w:rPr>
        <w:rFonts w:hint="default"/>
      </w:rPr>
    </w:lvl>
    <w:lvl w:ilvl="6">
      <w:start w:val="0"/>
      <w:numFmt w:val="bullet"/>
      <w:lvlText w:val="•"/>
      <w:lvlJc w:val="left"/>
      <w:pPr>
        <w:ind w:left="3961" w:hanging="420"/>
      </w:pPr>
      <w:rPr>
        <w:rFonts w:hint="default"/>
      </w:rPr>
    </w:lvl>
    <w:lvl w:ilvl="7">
      <w:start w:val="0"/>
      <w:numFmt w:val="bullet"/>
      <w:lvlText w:val="•"/>
      <w:lvlJc w:val="left"/>
      <w:pPr>
        <w:ind w:left="4521" w:hanging="420"/>
      </w:pPr>
      <w:rPr>
        <w:rFonts w:hint="default"/>
      </w:rPr>
    </w:lvl>
    <w:lvl w:ilvl="8">
      <w:start w:val="0"/>
      <w:numFmt w:val="bullet"/>
      <w:lvlText w:val="•"/>
      <w:lvlJc w:val="left"/>
      <w:pPr>
        <w:ind w:left="5081" w:hanging="420"/>
      </w:pPr>
      <w:rPr>
        <w:rFonts w:hint="default"/>
      </w:rPr>
    </w:lvl>
  </w:abstractNum>
  <w:abstractNum w:abstractNumId="4">
    <w:multiLevelType w:val="hybridMultilevel"/>
    <w:lvl w:ilvl="0">
      <w:start w:val="1"/>
      <w:numFmt w:val="decimal"/>
      <w:lvlText w:val="%1."/>
      <w:lvlJc w:val="left"/>
      <w:pPr>
        <w:ind w:left="488" w:hanging="423"/>
        <w:jc w:val="left"/>
      </w:pPr>
      <w:rPr>
        <w:rFonts w:hint="default" w:ascii="宋体" w:hAnsi="宋体" w:eastAsia="宋体" w:cs="宋体"/>
        <w:w w:val="100"/>
        <w:sz w:val="21"/>
        <w:szCs w:val="21"/>
      </w:rPr>
    </w:lvl>
    <w:lvl w:ilvl="1">
      <w:start w:val="0"/>
      <w:numFmt w:val="bullet"/>
      <w:lvlText w:val="•"/>
      <w:lvlJc w:val="left"/>
      <w:pPr>
        <w:ind w:left="1041" w:hanging="423"/>
      </w:pPr>
      <w:rPr>
        <w:rFonts w:hint="default"/>
      </w:rPr>
    </w:lvl>
    <w:lvl w:ilvl="2">
      <w:start w:val="0"/>
      <w:numFmt w:val="bullet"/>
      <w:lvlText w:val="•"/>
      <w:lvlJc w:val="left"/>
      <w:pPr>
        <w:ind w:left="1603" w:hanging="423"/>
      </w:pPr>
      <w:rPr>
        <w:rFonts w:hint="default"/>
      </w:rPr>
    </w:lvl>
    <w:lvl w:ilvl="3">
      <w:start w:val="0"/>
      <w:numFmt w:val="bullet"/>
      <w:lvlText w:val="•"/>
      <w:lvlJc w:val="left"/>
      <w:pPr>
        <w:ind w:left="2165" w:hanging="423"/>
      </w:pPr>
      <w:rPr>
        <w:rFonts w:hint="default"/>
      </w:rPr>
    </w:lvl>
    <w:lvl w:ilvl="4">
      <w:start w:val="0"/>
      <w:numFmt w:val="bullet"/>
      <w:lvlText w:val="•"/>
      <w:lvlJc w:val="left"/>
      <w:pPr>
        <w:ind w:left="2726" w:hanging="423"/>
      </w:pPr>
      <w:rPr>
        <w:rFonts w:hint="default"/>
      </w:rPr>
    </w:lvl>
    <w:lvl w:ilvl="5">
      <w:start w:val="0"/>
      <w:numFmt w:val="bullet"/>
      <w:lvlText w:val="•"/>
      <w:lvlJc w:val="left"/>
      <w:pPr>
        <w:ind w:left="3288" w:hanging="423"/>
      </w:pPr>
      <w:rPr>
        <w:rFonts w:hint="default"/>
      </w:rPr>
    </w:lvl>
    <w:lvl w:ilvl="6">
      <w:start w:val="0"/>
      <w:numFmt w:val="bullet"/>
      <w:lvlText w:val="•"/>
      <w:lvlJc w:val="left"/>
      <w:pPr>
        <w:ind w:left="3850" w:hanging="423"/>
      </w:pPr>
      <w:rPr>
        <w:rFonts w:hint="default"/>
      </w:rPr>
    </w:lvl>
    <w:lvl w:ilvl="7">
      <w:start w:val="0"/>
      <w:numFmt w:val="bullet"/>
      <w:lvlText w:val="•"/>
      <w:lvlJc w:val="left"/>
      <w:pPr>
        <w:ind w:left="4411" w:hanging="423"/>
      </w:pPr>
      <w:rPr>
        <w:rFonts w:hint="default"/>
      </w:rPr>
    </w:lvl>
    <w:lvl w:ilvl="8">
      <w:start w:val="0"/>
      <w:numFmt w:val="bullet"/>
      <w:lvlText w:val="•"/>
      <w:lvlJc w:val="left"/>
      <w:pPr>
        <w:ind w:left="4973" w:hanging="423"/>
      </w:pPr>
      <w:rPr>
        <w:rFonts w:hint="default"/>
      </w:rPr>
    </w:lvl>
  </w:abstractNum>
  <w:abstractNum w:abstractNumId="3">
    <w:multiLevelType w:val="hybridMultilevel"/>
    <w:lvl w:ilvl="0">
      <w:start w:val="8"/>
      <w:numFmt w:val="decimal"/>
      <w:lvlText w:val="%1"/>
      <w:lvlJc w:val="left"/>
      <w:pPr>
        <w:ind w:left="757" w:hanging="526"/>
        <w:jc w:val="left"/>
      </w:pPr>
      <w:rPr>
        <w:rFonts w:hint="default"/>
      </w:rPr>
    </w:lvl>
    <w:lvl w:ilvl="1">
      <w:start w:val="8"/>
      <w:numFmt w:val="decimal"/>
      <w:lvlText w:val="%1.%2"/>
      <w:lvlJc w:val="left"/>
      <w:pPr>
        <w:ind w:left="757" w:hanging="526"/>
        <w:jc w:val="left"/>
      </w:pPr>
      <w:rPr>
        <w:rFonts w:hint="default" w:ascii="宋体" w:hAnsi="宋体" w:eastAsia="宋体" w:cs="宋体"/>
        <w:w w:val="100"/>
        <w:sz w:val="21"/>
        <w:szCs w:val="21"/>
      </w:rPr>
    </w:lvl>
    <w:lvl w:ilvl="2">
      <w:start w:val="0"/>
      <w:numFmt w:val="bullet"/>
      <w:lvlText w:val="•"/>
      <w:lvlJc w:val="left"/>
      <w:pPr>
        <w:ind w:left="1429" w:hanging="526"/>
      </w:pPr>
      <w:rPr>
        <w:rFonts w:hint="default"/>
      </w:rPr>
    </w:lvl>
    <w:lvl w:ilvl="3">
      <w:start w:val="0"/>
      <w:numFmt w:val="bullet"/>
      <w:lvlText w:val="•"/>
      <w:lvlJc w:val="left"/>
      <w:pPr>
        <w:ind w:left="1764" w:hanging="526"/>
      </w:pPr>
      <w:rPr>
        <w:rFonts w:hint="default"/>
      </w:rPr>
    </w:lvl>
    <w:lvl w:ilvl="4">
      <w:start w:val="0"/>
      <w:numFmt w:val="bullet"/>
      <w:lvlText w:val="•"/>
      <w:lvlJc w:val="left"/>
      <w:pPr>
        <w:ind w:left="2099" w:hanging="526"/>
      </w:pPr>
      <w:rPr>
        <w:rFonts w:hint="default"/>
      </w:rPr>
    </w:lvl>
    <w:lvl w:ilvl="5">
      <w:start w:val="0"/>
      <w:numFmt w:val="bullet"/>
      <w:lvlText w:val="•"/>
      <w:lvlJc w:val="left"/>
      <w:pPr>
        <w:ind w:left="2434" w:hanging="526"/>
      </w:pPr>
      <w:rPr>
        <w:rFonts w:hint="default"/>
      </w:rPr>
    </w:lvl>
    <w:lvl w:ilvl="6">
      <w:start w:val="0"/>
      <w:numFmt w:val="bullet"/>
      <w:lvlText w:val="•"/>
      <w:lvlJc w:val="left"/>
      <w:pPr>
        <w:ind w:left="2769" w:hanging="526"/>
      </w:pPr>
      <w:rPr>
        <w:rFonts w:hint="default"/>
      </w:rPr>
    </w:lvl>
    <w:lvl w:ilvl="7">
      <w:start w:val="0"/>
      <w:numFmt w:val="bullet"/>
      <w:lvlText w:val="•"/>
      <w:lvlJc w:val="left"/>
      <w:pPr>
        <w:ind w:left="3104" w:hanging="526"/>
      </w:pPr>
      <w:rPr>
        <w:rFonts w:hint="default"/>
      </w:rPr>
    </w:lvl>
    <w:lvl w:ilvl="8">
      <w:start w:val="0"/>
      <w:numFmt w:val="bullet"/>
      <w:lvlText w:val="•"/>
      <w:lvlJc w:val="left"/>
      <w:pPr>
        <w:ind w:left="3439" w:hanging="526"/>
      </w:pPr>
      <w:rPr>
        <w:rFonts w:hint="default"/>
      </w:rPr>
    </w:lvl>
  </w:abstractNum>
  <w:abstractNum w:abstractNumId="2">
    <w:multiLevelType w:val="hybridMultilevel"/>
    <w:lvl w:ilvl="0">
      <w:start w:val="6"/>
      <w:numFmt w:val="decimal"/>
      <w:lvlText w:val="%1"/>
      <w:lvlJc w:val="left"/>
      <w:pPr>
        <w:ind w:left="583" w:hanging="423"/>
        <w:jc w:val="left"/>
      </w:pPr>
      <w:rPr>
        <w:rFonts w:hint="default" w:ascii="宋体" w:hAnsi="宋体" w:eastAsia="宋体" w:cs="宋体"/>
        <w:b/>
        <w:bCs/>
        <w:w w:val="99"/>
        <w:sz w:val="21"/>
        <w:szCs w:val="21"/>
      </w:rPr>
    </w:lvl>
    <w:lvl w:ilvl="1">
      <w:start w:val="1"/>
      <w:numFmt w:val="decimal"/>
      <w:lvlText w:val="%1.%2"/>
      <w:lvlJc w:val="left"/>
      <w:pPr>
        <w:ind w:left="897" w:hanging="526"/>
        <w:jc w:val="left"/>
      </w:pPr>
      <w:rPr>
        <w:rFonts w:hint="default" w:ascii="宋体" w:hAnsi="宋体" w:eastAsia="宋体" w:cs="宋体"/>
        <w:w w:val="100"/>
        <w:sz w:val="21"/>
        <w:szCs w:val="21"/>
      </w:rPr>
    </w:lvl>
    <w:lvl w:ilvl="2">
      <w:start w:val="0"/>
      <w:numFmt w:val="bullet"/>
      <w:lvlText w:val="•"/>
      <w:lvlJc w:val="left"/>
      <w:pPr>
        <w:ind w:left="1135" w:hanging="526"/>
      </w:pPr>
      <w:rPr>
        <w:rFonts w:hint="default"/>
      </w:rPr>
    </w:lvl>
    <w:lvl w:ilvl="3">
      <w:start w:val="0"/>
      <w:numFmt w:val="bullet"/>
      <w:lvlText w:val="•"/>
      <w:lvlJc w:val="left"/>
      <w:pPr>
        <w:ind w:left="1371" w:hanging="526"/>
      </w:pPr>
      <w:rPr>
        <w:rFonts w:hint="default"/>
      </w:rPr>
    </w:lvl>
    <w:lvl w:ilvl="4">
      <w:start w:val="0"/>
      <w:numFmt w:val="bullet"/>
      <w:lvlText w:val="•"/>
      <w:lvlJc w:val="left"/>
      <w:pPr>
        <w:ind w:left="1607" w:hanging="526"/>
      </w:pPr>
      <w:rPr>
        <w:rFonts w:hint="default"/>
      </w:rPr>
    </w:lvl>
    <w:lvl w:ilvl="5">
      <w:start w:val="0"/>
      <w:numFmt w:val="bullet"/>
      <w:lvlText w:val="•"/>
      <w:lvlJc w:val="left"/>
      <w:pPr>
        <w:ind w:left="1842" w:hanging="526"/>
      </w:pPr>
      <w:rPr>
        <w:rFonts w:hint="default"/>
      </w:rPr>
    </w:lvl>
    <w:lvl w:ilvl="6">
      <w:start w:val="0"/>
      <w:numFmt w:val="bullet"/>
      <w:lvlText w:val="•"/>
      <w:lvlJc w:val="left"/>
      <w:pPr>
        <w:ind w:left="2078" w:hanging="526"/>
      </w:pPr>
      <w:rPr>
        <w:rFonts w:hint="default"/>
      </w:rPr>
    </w:lvl>
    <w:lvl w:ilvl="7">
      <w:start w:val="0"/>
      <w:numFmt w:val="bullet"/>
      <w:lvlText w:val="•"/>
      <w:lvlJc w:val="left"/>
      <w:pPr>
        <w:ind w:left="2314" w:hanging="526"/>
      </w:pPr>
      <w:rPr>
        <w:rFonts w:hint="default"/>
      </w:rPr>
    </w:lvl>
    <w:lvl w:ilvl="8">
      <w:start w:val="0"/>
      <w:numFmt w:val="bullet"/>
      <w:lvlText w:val="•"/>
      <w:lvlJc w:val="left"/>
      <w:pPr>
        <w:ind w:left="2549" w:hanging="526"/>
      </w:pPr>
      <w:rPr>
        <w:rFonts w:hint="default"/>
      </w:rPr>
    </w:lvl>
  </w:abstractNum>
  <w:abstractNum w:abstractNumId="1">
    <w:multiLevelType w:val="hybridMultilevel"/>
    <w:lvl w:ilvl="0">
      <w:start w:val="1"/>
      <w:numFmt w:val="decimal"/>
      <w:lvlText w:val="%1"/>
      <w:lvlJc w:val="left"/>
      <w:pPr>
        <w:ind w:left="632" w:hanging="423"/>
        <w:jc w:val="left"/>
      </w:pPr>
      <w:rPr>
        <w:rFonts w:hint="default" w:ascii="宋体" w:hAnsi="宋体" w:eastAsia="宋体" w:cs="宋体"/>
        <w:b/>
        <w:bCs/>
        <w:w w:val="99"/>
        <w:sz w:val="21"/>
        <w:szCs w:val="21"/>
      </w:rPr>
    </w:lvl>
    <w:lvl w:ilvl="1">
      <w:start w:val="1"/>
      <w:numFmt w:val="decimal"/>
      <w:lvlText w:val="%1.%2"/>
      <w:lvlJc w:val="left"/>
      <w:pPr>
        <w:ind w:left="943" w:hanging="526"/>
        <w:jc w:val="left"/>
      </w:pPr>
      <w:rPr>
        <w:rFonts w:hint="default" w:ascii="宋体" w:hAnsi="宋体" w:eastAsia="宋体" w:cs="宋体"/>
        <w:w w:val="100"/>
        <w:sz w:val="21"/>
        <w:szCs w:val="21"/>
      </w:rPr>
    </w:lvl>
    <w:lvl w:ilvl="2">
      <w:start w:val="0"/>
      <w:numFmt w:val="bullet"/>
      <w:lvlText w:val="•"/>
      <w:lvlJc w:val="left"/>
      <w:pPr>
        <w:ind w:left="1157" w:hanging="526"/>
      </w:pPr>
      <w:rPr>
        <w:rFonts w:hint="default"/>
      </w:rPr>
    </w:lvl>
    <w:lvl w:ilvl="3">
      <w:start w:val="0"/>
      <w:numFmt w:val="bullet"/>
      <w:lvlText w:val="•"/>
      <w:lvlJc w:val="left"/>
      <w:pPr>
        <w:ind w:left="1374" w:hanging="526"/>
      </w:pPr>
      <w:rPr>
        <w:rFonts w:hint="default"/>
      </w:rPr>
    </w:lvl>
    <w:lvl w:ilvl="4">
      <w:start w:val="0"/>
      <w:numFmt w:val="bullet"/>
      <w:lvlText w:val="•"/>
      <w:lvlJc w:val="left"/>
      <w:pPr>
        <w:ind w:left="1591" w:hanging="526"/>
      </w:pPr>
      <w:rPr>
        <w:rFonts w:hint="default"/>
      </w:rPr>
    </w:lvl>
    <w:lvl w:ilvl="5">
      <w:start w:val="0"/>
      <w:numFmt w:val="bullet"/>
      <w:lvlText w:val="•"/>
      <w:lvlJc w:val="left"/>
      <w:pPr>
        <w:ind w:left="1808" w:hanging="526"/>
      </w:pPr>
      <w:rPr>
        <w:rFonts w:hint="default"/>
      </w:rPr>
    </w:lvl>
    <w:lvl w:ilvl="6">
      <w:start w:val="0"/>
      <w:numFmt w:val="bullet"/>
      <w:lvlText w:val="•"/>
      <w:lvlJc w:val="left"/>
      <w:pPr>
        <w:ind w:left="2025" w:hanging="526"/>
      </w:pPr>
      <w:rPr>
        <w:rFonts w:hint="default"/>
      </w:rPr>
    </w:lvl>
    <w:lvl w:ilvl="7">
      <w:start w:val="0"/>
      <w:numFmt w:val="bullet"/>
      <w:lvlText w:val="•"/>
      <w:lvlJc w:val="left"/>
      <w:pPr>
        <w:ind w:left="2242" w:hanging="526"/>
      </w:pPr>
      <w:rPr>
        <w:rFonts w:hint="default"/>
      </w:rPr>
    </w:lvl>
    <w:lvl w:ilvl="8">
      <w:start w:val="0"/>
      <w:numFmt w:val="bullet"/>
      <w:lvlText w:val="•"/>
      <w:lvlJc w:val="left"/>
      <w:pPr>
        <w:ind w:left="2459" w:hanging="526"/>
      </w:pPr>
      <w:rPr>
        <w:rFonts w:hint="default"/>
      </w:rPr>
    </w:lvl>
  </w:abstractNum>
  <w:abstractNum w:abstractNumId="0">
    <w:multiLevelType w:val="hybridMultilevel"/>
    <w:lvl w:ilvl="0">
      <w:start w:val="0"/>
      <w:numFmt w:val="bullet"/>
      <w:lvlText w:val=""/>
      <w:lvlJc w:val="left"/>
      <w:pPr>
        <w:ind w:left="1142" w:hanging="399"/>
      </w:pPr>
      <w:rPr>
        <w:rFonts w:hint="default" w:ascii="Wingdings" w:hAnsi="Wingdings" w:eastAsia="Wingdings" w:cs="Wingdings"/>
        <w:w w:val="100"/>
        <w:sz w:val="21"/>
        <w:szCs w:val="21"/>
      </w:rPr>
    </w:lvl>
    <w:lvl w:ilvl="1">
      <w:start w:val="0"/>
      <w:numFmt w:val="bullet"/>
      <w:lvlText w:val="•"/>
      <w:lvlJc w:val="left"/>
      <w:pPr>
        <w:ind w:left="2050" w:hanging="399"/>
      </w:pPr>
      <w:rPr>
        <w:rFonts w:hint="default"/>
      </w:rPr>
    </w:lvl>
    <w:lvl w:ilvl="2">
      <w:start w:val="0"/>
      <w:numFmt w:val="bullet"/>
      <w:lvlText w:val="•"/>
      <w:lvlJc w:val="left"/>
      <w:pPr>
        <w:ind w:left="2961" w:hanging="399"/>
      </w:pPr>
      <w:rPr>
        <w:rFonts w:hint="default"/>
      </w:rPr>
    </w:lvl>
    <w:lvl w:ilvl="3">
      <w:start w:val="0"/>
      <w:numFmt w:val="bullet"/>
      <w:lvlText w:val="•"/>
      <w:lvlJc w:val="left"/>
      <w:pPr>
        <w:ind w:left="3871" w:hanging="399"/>
      </w:pPr>
      <w:rPr>
        <w:rFonts w:hint="default"/>
      </w:rPr>
    </w:lvl>
    <w:lvl w:ilvl="4">
      <w:start w:val="0"/>
      <w:numFmt w:val="bullet"/>
      <w:lvlText w:val="•"/>
      <w:lvlJc w:val="left"/>
      <w:pPr>
        <w:ind w:left="4782" w:hanging="399"/>
      </w:pPr>
      <w:rPr>
        <w:rFonts w:hint="default"/>
      </w:rPr>
    </w:lvl>
    <w:lvl w:ilvl="5">
      <w:start w:val="0"/>
      <w:numFmt w:val="bullet"/>
      <w:lvlText w:val="•"/>
      <w:lvlJc w:val="left"/>
      <w:pPr>
        <w:ind w:left="5693" w:hanging="399"/>
      </w:pPr>
      <w:rPr>
        <w:rFonts w:hint="default"/>
      </w:rPr>
    </w:lvl>
    <w:lvl w:ilvl="6">
      <w:start w:val="0"/>
      <w:numFmt w:val="bullet"/>
      <w:lvlText w:val="•"/>
      <w:lvlJc w:val="left"/>
      <w:pPr>
        <w:ind w:left="6603" w:hanging="399"/>
      </w:pPr>
      <w:rPr>
        <w:rFonts w:hint="default"/>
      </w:rPr>
    </w:lvl>
    <w:lvl w:ilvl="7">
      <w:start w:val="0"/>
      <w:numFmt w:val="bullet"/>
      <w:lvlText w:val="•"/>
      <w:lvlJc w:val="left"/>
      <w:pPr>
        <w:ind w:left="7514" w:hanging="399"/>
      </w:pPr>
      <w:rPr>
        <w:rFonts w:hint="default"/>
      </w:rPr>
    </w:lvl>
    <w:lvl w:ilvl="8">
      <w:start w:val="0"/>
      <w:numFmt w:val="bullet"/>
      <w:lvlText w:val="•"/>
      <w:lvlJc w:val="left"/>
      <w:pPr>
        <w:ind w:left="8425"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142" w:hanging="3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温贤烃</dc:creator>
  <dc:title>附件1-2    英大元丰两全保险（分红型）条款</dc:title>
  <dcterms:created xsi:type="dcterms:W3CDTF">2018-10-20T01:56:56Z</dcterms:created>
  <dcterms:modified xsi:type="dcterms:W3CDTF">2018-10-20T01:56:56Z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2015-05-04T00:00:00Z</vt:filetime>
  </property>
  <property fmtid="{D5CDD505-2E9C-101B-9397-08002B2CF9AE}" pid="3" name="Creator">
    <vt:lpwstr>Microsoft® Office Word 2007</vt:lpwstr>
  </property>
  <property fmtid="{D5CDD505-2E9C-101B-9397-08002B2CF9AE}" pid="4" name="LastSaved">
    <vt:filetime>2018-10-19T00:00:00Z</vt:filetime>
  </property>
</Properties>
</file>