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2" w:after="50"/>
        <w:ind w:right="115"/>
        <w:jc w:val="right"/>
      </w:pPr>
      <w:r>
        <w:rPr/>
        <w:t>阳光人寿[2009]疾病保险 073 号</w:t>
      </w:r>
    </w:p>
    <w:p>
      <w:pPr>
        <w:pStyle w:val="BodyText"/>
        <w:ind w:left="8101"/>
        <w:rPr>
          <w:sz w:val="20"/>
        </w:rPr>
      </w:pPr>
      <w:r>
        <w:rPr>
          <w:sz w:val="20"/>
        </w:rPr>
        <w:drawing>
          <wp:inline distT="0" distB="0" distL="0" distR="0">
            <wp:extent cx="723899"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900"/>
                    </a:xfrm>
                    <a:prstGeom prst="rect">
                      <a:avLst/>
                    </a:prstGeom>
                  </pic:spPr>
                </pic:pic>
              </a:graphicData>
            </a:graphic>
          </wp:inline>
        </w:drawing>
      </w:r>
      <w:r>
        <w:rPr>
          <w:sz w:val="20"/>
        </w:rPr>
      </w:r>
    </w:p>
    <w:p>
      <w:pPr>
        <w:spacing w:after="0"/>
        <w:rPr>
          <w:sz w:val="20"/>
        </w:rPr>
        <w:sectPr>
          <w:type w:val="continuous"/>
          <w:pgSz w:w="11910" w:h="16840"/>
          <w:pgMar w:top="1080" w:bottom="280" w:left="1120" w:right="900"/>
        </w:sectPr>
      </w:pPr>
    </w:p>
    <w:p>
      <w:pPr>
        <w:pStyle w:val="Heading1"/>
        <w:spacing w:before="189"/>
        <w:ind w:left="3105"/>
      </w:pPr>
      <w:r>
        <w:rPr/>
        <w:t>阳光人寿保险股份有限公司</w:t>
      </w:r>
    </w:p>
    <w:p>
      <w:pPr>
        <w:pStyle w:val="BodyText"/>
        <w:spacing w:line="263" w:lineRule="exact"/>
        <w:ind w:left="679"/>
      </w:pPr>
      <w:r>
        <w:rPr/>
        <w:br w:type="column"/>
      </w:r>
      <w:r>
        <w:rPr/>
        <w:t>请扫描以查询验证条款</w:t>
      </w:r>
    </w:p>
    <w:p>
      <w:pPr>
        <w:spacing w:after="0" w:line="263" w:lineRule="exact"/>
        <w:sectPr>
          <w:type w:val="continuous"/>
          <w:pgSz w:w="11910" w:h="16840"/>
          <w:pgMar w:top="1080" w:bottom="280" w:left="1120" w:right="900"/>
          <w:cols w:num="2" w:equalWidth="0">
            <w:col w:w="6947" w:space="40"/>
            <w:col w:w="2903"/>
          </w:cols>
        </w:sectPr>
      </w:pPr>
    </w:p>
    <w:p>
      <w:pPr>
        <w:pStyle w:val="BodyText"/>
        <w:spacing w:before="3"/>
        <w:rPr>
          <w:sz w:val="27"/>
        </w:rPr>
      </w:pPr>
    </w:p>
    <w:p>
      <w:pPr>
        <w:pStyle w:val="Heading1"/>
        <w:spacing w:line="505" w:lineRule="exact"/>
        <w:ind w:left="1503"/>
      </w:pPr>
      <w:r>
        <w:rPr/>
        <w:t>阳光人寿附加豁免保险费重大疾病保险 </w:t>
      </w:r>
      <w:r>
        <w:rPr>
          <w:rFonts w:ascii="Microsoft JhengHei UI" w:eastAsia="Microsoft JhengHei UI" w:hint="eastAsia"/>
        </w:rPr>
        <w:t>A </w:t>
      </w:r>
      <w:r>
        <w:rPr/>
        <w:t>款条款</w:t>
      </w:r>
    </w:p>
    <w:p>
      <w:pPr>
        <w:pStyle w:val="BodyText"/>
        <w:rPr>
          <w:rFonts w:ascii="微软雅黑"/>
          <w:b/>
          <w:sz w:val="20"/>
        </w:rPr>
      </w:pPr>
    </w:p>
    <w:p>
      <w:pPr>
        <w:pStyle w:val="BodyText"/>
        <w:spacing w:before="8"/>
        <w:rPr>
          <w:rFonts w:ascii="微软雅黑"/>
          <w:b/>
          <w:sz w:val="15"/>
        </w:rPr>
      </w:pPr>
      <w:r>
        <w:rPr/>
        <w:pict>
          <v:line style="position:absolute;mso-position-horizontal-relative:page;mso-position-vertical-relative:paragraph;z-index:0;mso-wrap-distance-left:0;mso-wrap-distance-right:0" from="61.549999pt,15.721375pt" to="523.549999pt,15.721375pt" stroked="true" strokeweight=".75pt" strokecolor="#000000">
            <v:stroke dashstyle="solid"/>
            <w10:wrap type="topAndBottom"/>
          </v:line>
        </w:pict>
      </w:r>
    </w:p>
    <w:p>
      <w:pPr>
        <w:pStyle w:val="BodyText"/>
        <w:spacing w:before="2"/>
        <w:rPr>
          <w:rFonts w:ascii="微软雅黑"/>
          <w:b/>
          <w:sz w:val="54"/>
        </w:rPr>
      </w:pPr>
    </w:p>
    <w:p>
      <w:pPr>
        <w:spacing w:before="0"/>
        <w:ind w:left="1225" w:right="1524"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5"/>
        <w:rPr>
          <w:rFonts w:ascii="微软雅黑"/>
          <w:b/>
          <w:sz w:val="28"/>
        </w:rPr>
      </w:pPr>
    </w:p>
    <w:p>
      <w:pPr>
        <w:pStyle w:val="BodyText"/>
        <w:spacing w:line="261" w:lineRule="auto"/>
        <w:ind w:left="1573" w:right="1524"/>
        <w:jc w:val="center"/>
      </w:pPr>
      <w:r>
        <w:rPr>
          <w:spacing w:val="-149"/>
          <w:w w:val="100"/>
        </w:rPr>
        <w:t>条</w:t>
      </w:r>
      <w:r>
        <w:rPr>
          <w:spacing w:val="-63"/>
          <w:w w:val="100"/>
          <w:position w:val="-7"/>
        </w:rPr>
        <w:t>．</w:t>
      </w:r>
      <w:r>
        <w:rPr>
          <w:spacing w:val="-149"/>
          <w:w w:val="100"/>
        </w:rPr>
        <w:t>款</w:t>
      </w:r>
      <w:r>
        <w:rPr>
          <w:spacing w:val="-63"/>
          <w:w w:val="100"/>
          <w:position w:val="-7"/>
        </w:rPr>
        <w:t>．</w:t>
      </w:r>
      <w:r>
        <w:rPr>
          <w:spacing w:val="-152"/>
          <w:w w:val="100"/>
        </w:rPr>
        <w:t>是</w:t>
      </w:r>
      <w:r>
        <w:rPr>
          <w:spacing w:val="-63"/>
          <w:w w:val="100"/>
          <w:position w:val="-7"/>
        </w:rPr>
        <w:t>．</w:t>
      </w:r>
      <w:r>
        <w:rPr>
          <w:spacing w:val="-149"/>
          <w:w w:val="100"/>
        </w:rPr>
        <w:t>保</w:t>
      </w:r>
      <w:r>
        <w:rPr>
          <w:spacing w:val="-63"/>
          <w:w w:val="100"/>
          <w:position w:val="-7"/>
        </w:rPr>
        <w:t>．</w:t>
      </w:r>
      <w:r>
        <w:rPr>
          <w:spacing w:val="-151"/>
          <w:w w:val="100"/>
        </w:rPr>
        <w:t>险</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的</w:t>
      </w:r>
      <w:r>
        <w:rPr>
          <w:spacing w:val="-63"/>
          <w:w w:val="100"/>
          <w:position w:val="-7"/>
        </w:rPr>
        <w:t>．</w:t>
      </w:r>
      <w:r>
        <w:rPr>
          <w:spacing w:val="-151"/>
          <w:w w:val="100"/>
        </w:rPr>
        <w:t>重</w:t>
      </w:r>
      <w:r>
        <w:rPr>
          <w:spacing w:val="-63"/>
          <w:w w:val="100"/>
          <w:position w:val="-7"/>
        </w:rPr>
        <w:t>．</w:t>
      </w:r>
      <w:r>
        <w:rPr>
          <w:spacing w:val="-149"/>
          <w:w w:val="100"/>
        </w:rPr>
        <w:t>要</w:t>
      </w:r>
      <w:r>
        <w:rPr>
          <w:spacing w:val="-63"/>
          <w:w w:val="100"/>
          <w:position w:val="-7"/>
        </w:rPr>
        <w:t>．</w:t>
      </w:r>
      <w:r>
        <w:rPr>
          <w:spacing w:val="-151"/>
          <w:w w:val="100"/>
        </w:rPr>
        <w:t>内</w:t>
      </w:r>
      <w:r>
        <w:rPr>
          <w:spacing w:val="-63"/>
          <w:w w:val="100"/>
          <w:position w:val="-7"/>
        </w:rPr>
        <w:t>．</w:t>
      </w:r>
      <w:r>
        <w:rPr>
          <w:spacing w:val="-149"/>
          <w:w w:val="100"/>
        </w:rPr>
        <w:t>容</w:t>
      </w:r>
      <w:r>
        <w:rPr>
          <w:spacing w:val="-63"/>
          <w:w w:val="100"/>
          <w:position w:val="-7"/>
        </w:rPr>
        <w:t>．</w:t>
      </w:r>
      <w:r>
        <w:rPr>
          <w:spacing w:val="-149"/>
          <w:w w:val="100"/>
        </w:rPr>
        <w:t>，</w:t>
      </w:r>
      <w:r>
        <w:rPr>
          <w:spacing w:val="-63"/>
          <w:w w:val="100"/>
          <w:position w:val="-7"/>
        </w:rPr>
        <w:t>．</w:t>
      </w:r>
      <w:r>
        <w:rPr>
          <w:spacing w:val="-151"/>
          <w:w w:val="100"/>
        </w:rPr>
        <w:t>为</w:t>
      </w:r>
      <w:r>
        <w:rPr>
          <w:spacing w:val="-63"/>
          <w:w w:val="100"/>
          <w:position w:val="-7"/>
        </w:rPr>
        <w:t>．</w:t>
      </w:r>
      <w:r>
        <w:rPr>
          <w:spacing w:val="-149"/>
          <w:w w:val="100"/>
        </w:rPr>
        <w:t>充</w:t>
      </w:r>
      <w:r>
        <w:rPr>
          <w:spacing w:val="-63"/>
          <w:w w:val="100"/>
          <w:position w:val="-7"/>
        </w:rPr>
        <w:t>．</w:t>
      </w:r>
      <w:r>
        <w:rPr>
          <w:spacing w:val="-151"/>
          <w:w w:val="100"/>
        </w:rPr>
        <w:t>分</w:t>
      </w:r>
      <w:r>
        <w:rPr>
          <w:spacing w:val="-63"/>
          <w:w w:val="100"/>
          <w:position w:val="-7"/>
        </w:rPr>
        <w:t>．</w:t>
      </w:r>
      <w:r>
        <w:rPr>
          <w:spacing w:val="-149"/>
          <w:w w:val="100"/>
        </w:rPr>
        <w:t>保</w:t>
      </w:r>
      <w:r>
        <w:rPr>
          <w:spacing w:val="-63"/>
          <w:w w:val="100"/>
          <w:position w:val="-7"/>
        </w:rPr>
        <w:t>．</w:t>
      </w:r>
      <w:r>
        <w:rPr>
          <w:spacing w:val="-151"/>
          <w:w w:val="100"/>
        </w:rPr>
        <w:t>障</w:t>
      </w:r>
      <w:r>
        <w:rPr>
          <w:spacing w:val="-63"/>
          <w:w w:val="100"/>
          <w:position w:val="-7"/>
        </w:rPr>
        <w:t>．</w:t>
      </w:r>
      <w:r>
        <w:rPr>
          <w:spacing w:val="-149"/>
          <w:w w:val="100"/>
        </w:rPr>
        <w:t>您</w:t>
      </w:r>
      <w:r>
        <w:rPr>
          <w:spacing w:val="-63"/>
          <w:w w:val="100"/>
          <w:position w:val="-7"/>
        </w:rPr>
        <w:t>．</w:t>
      </w:r>
      <w:r>
        <w:rPr>
          <w:spacing w:val="-151"/>
          <w:w w:val="100"/>
        </w:rPr>
        <w:t>的</w:t>
      </w:r>
      <w:r>
        <w:rPr>
          <w:spacing w:val="-63"/>
          <w:w w:val="100"/>
          <w:position w:val="-7"/>
        </w:rPr>
        <w:t>．</w:t>
      </w:r>
      <w:r>
        <w:rPr>
          <w:spacing w:val="-149"/>
          <w:w w:val="100"/>
        </w:rPr>
        <w:t>权</w:t>
      </w:r>
      <w:r>
        <w:rPr>
          <w:spacing w:val="-63"/>
          <w:w w:val="100"/>
          <w:position w:val="-7"/>
        </w:rPr>
        <w:t>．</w:t>
      </w:r>
      <w:r>
        <w:rPr>
          <w:spacing w:val="-151"/>
          <w:w w:val="100"/>
        </w:rPr>
        <w:t>益</w:t>
      </w:r>
      <w:r>
        <w:rPr>
          <w:spacing w:val="-63"/>
          <w:w w:val="100"/>
          <w:position w:val="-7"/>
        </w:rPr>
        <w:t>．</w:t>
      </w:r>
      <w:r>
        <w:rPr>
          <w:spacing w:val="-149"/>
          <w:w w:val="100"/>
        </w:rPr>
        <w:t>，</w:t>
      </w:r>
      <w:r>
        <w:rPr>
          <w:spacing w:val="-63"/>
          <w:w w:val="100"/>
          <w:position w:val="-7"/>
        </w:rPr>
        <w:t>．</w:t>
      </w:r>
      <w:r>
        <w:rPr>
          <w:spacing w:val="-149"/>
          <w:w w:val="100"/>
        </w:rPr>
        <w:t>请</w:t>
      </w:r>
      <w:r>
        <w:rPr>
          <w:spacing w:val="-63"/>
          <w:w w:val="100"/>
          <w:position w:val="-7"/>
        </w:rPr>
        <w:t>．</w:t>
      </w:r>
      <w:r>
        <w:rPr>
          <w:spacing w:val="-151"/>
          <w:w w:val="100"/>
        </w:rPr>
        <w:t>您</w:t>
      </w:r>
      <w:r>
        <w:rPr>
          <w:spacing w:val="-64"/>
          <w:w w:val="100"/>
          <w:position w:val="-7"/>
        </w:rPr>
        <w:t>．</w:t>
      </w:r>
      <w:r>
        <w:rPr>
          <w:spacing w:val="-149"/>
          <w:w w:val="100"/>
        </w:rPr>
        <w:t>仔</w:t>
      </w:r>
      <w:r>
        <w:rPr>
          <w:spacing w:val="-64"/>
          <w:w w:val="100"/>
          <w:position w:val="-7"/>
        </w:rPr>
        <w:t>．</w:t>
      </w:r>
      <w:r>
        <w:rPr>
          <w:spacing w:val="-151"/>
          <w:w w:val="100"/>
        </w:rPr>
        <w:t>细</w:t>
      </w:r>
      <w:r>
        <w:rPr>
          <w:spacing w:val="-64"/>
          <w:w w:val="100"/>
          <w:position w:val="-7"/>
        </w:rPr>
        <w:t>．</w:t>
      </w:r>
      <w:r>
        <w:rPr>
          <w:spacing w:val="-149"/>
          <w:w w:val="100"/>
        </w:rPr>
        <w:t>阅</w:t>
      </w:r>
      <w:r>
        <w:rPr>
          <w:spacing w:val="-64"/>
          <w:w w:val="100"/>
          <w:position w:val="-7"/>
        </w:rPr>
        <w:t>．</w:t>
      </w:r>
      <w:r>
        <w:rPr>
          <w:spacing w:val="-151"/>
          <w:w w:val="100"/>
        </w:rPr>
        <w:t>读</w:t>
      </w:r>
      <w:r>
        <w:rPr>
          <w:spacing w:val="-63"/>
          <w:w w:val="100"/>
          <w:position w:val="-7"/>
        </w:rPr>
        <w:t>．</w:t>
      </w:r>
      <w:r>
        <w:rPr>
          <w:spacing w:val="-149"/>
          <w:w w:val="100"/>
        </w:rPr>
        <w:t>条</w:t>
      </w:r>
      <w:r>
        <w:rPr>
          <w:spacing w:val="-63"/>
          <w:w w:val="100"/>
          <w:position w:val="-7"/>
        </w:rPr>
        <w:t>．</w:t>
      </w:r>
      <w:r>
        <w:rPr>
          <w:spacing w:val="-151"/>
          <w:w w:val="100"/>
        </w:rPr>
        <w:t>款</w:t>
      </w:r>
      <w:r>
        <w:rPr>
          <w:spacing w:val="-63"/>
          <w:w w:val="100"/>
          <w:position w:val="-7"/>
        </w:rPr>
        <w:t>．</w:t>
      </w:r>
      <w:r>
        <w:rPr>
          <w:spacing w:val="-151"/>
          <w:w w:val="100"/>
        </w:rPr>
        <w:t>。</w:t>
      </w:r>
      <w:r>
        <w:rPr>
          <w:w w:val="100"/>
          <w:position w:val="-7"/>
        </w:rPr>
        <w:t>．</w:t>
      </w:r>
      <w:r>
        <w:rPr>
          <w:spacing w:val="-149"/>
          <w:w w:val="100"/>
        </w:rPr>
        <w:t>本</w:t>
      </w:r>
      <w:r>
        <w:rPr>
          <w:spacing w:val="-63"/>
          <w:w w:val="100"/>
          <w:position w:val="-7"/>
        </w:rPr>
        <w:t>．</w:t>
      </w:r>
      <w:r>
        <w:rPr>
          <w:spacing w:val="-149"/>
          <w:w w:val="100"/>
        </w:rPr>
        <w:t>阅</w:t>
      </w:r>
      <w:r>
        <w:rPr>
          <w:spacing w:val="-63"/>
          <w:w w:val="100"/>
          <w:position w:val="-7"/>
        </w:rPr>
        <w:t>．</w:t>
      </w:r>
      <w:r>
        <w:rPr>
          <w:spacing w:val="-151"/>
          <w:w w:val="100"/>
        </w:rPr>
        <w:t>读</w:t>
      </w:r>
      <w:r>
        <w:rPr>
          <w:spacing w:val="-63"/>
          <w:w w:val="100"/>
          <w:position w:val="-7"/>
        </w:rPr>
        <w:t>．</w:t>
      </w:r>
      <w:r>
        <w:rPr>
          <w:spacing w:val="-149"/>
          <w:w w:val="100"/>
        </w:rPr>
        <w:t>指</w:t>
      </w:r>
      <w:r>
        <w:rPr>
          <w:spacing w:val="-63"/>
          <w:w w:val="100"/>
          <w:position w:val="-7"/>
        </w:rPr>
        <w:t>．</w:t>
      </w:r>
      <w:r>
        <w:rPr>
          <w:spacing w:val="-151"/>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1"/>
          <w:w w:val="100"/>
        </w:rPr>
        <w:t>释</w:t>
      </w:r>
      <w:r>
        <w:rPr>
          <w:spacing w:val="-63"/>
          <w:w w:val="100"/>
          <w:position w:val="-7"/>
        </w:rPr>
        <w:t>．</w:t>
      </w:r>
      <w:r>
        <w:rPr>
          <w:spacing w:val="-149"/>
          <w:w w:val="100"/>
        </w:rPr>
        <w:t>以</w:t>
      </w:r>
      <w:r>
        <w:rPr>
          <w:spacing w:val="-63"/>
          <w:w w:val="100"/>
          <w:position w:val="-7"/>
        </w:rPr>
        <w:t>．</w:t>
      </w:r>
      <w:r>
        <w:rPr>
          <w:spacing w:val="-151"/>
          <w:w w:val="100"/>
        </w:rPr>
        <w:t>条</w:t>
      </w:r>
      <w:r>
        <w:rPr>
          <w:spacing w:val="-63"/>
          <w:w w:val="100"/>
          <w:position w:val="-7"/>
        </w:rPr>
        <w:t>．</w:t>
      </w:r>
      <w:r>
        <w:rPr>
          <w:spacing w:val="-149"/>
          <w:w w:val="100"/>
        </w:rPr>
        <w:t>款</w:t>
      </w:r>
      <w:r>
        <w:rPr>
          <w:spacing w:val="-63"/>
          <w:w w:val="100"/>
          <w:position w:val="-7"/>
        </w:rPr>
        <w:t>．</w:t>
      </w:r>
      <w:r>
        <w:rPr>
          <w:spacing w:val="-151"/>
          <w:w w:val="100"/>
        </w:rPr>
        <w:t>为</w:t>
      </w:r>
      <w:r>
        <w:rPr>
          <w:spacing w:val="-63"/>
          <w:w w:val="100"/>
          <w:position w:val="-7"/>
        </w:rPr>
        <w:t>．</w:t>
      </w:r>
      <w:r>
        <w:rPr>
          <w:spacing w:val="-149"/>
          <w:w w:val="100"/>
        </w:rPr>
        <w:t>准</w:t>
      </w:r>
      <w:r>
        <w:rPr>
          <w:spacing w:val="-63"/>
          <w:w w:val="100"/>
          <w:position w:val="-7"/>
        </w:rPr>
        <w:t>．</w:t>
      </w:r>
      <w:r>
        <w:rPr>
          <w:w w:val="100"/>
        </w:rPr>
        <w:t>。</w:t>
      </w:r>
    </w:p>
    <w:p>
      <w:pPr>
        <w:pStyle w:val="BodyText"/>
        <w:rPr>
          <w:sz w:val="28"/>
        </w:rPr>
      </w:pPr>
    </w:p>
    <w:p>
      <w:pPr>
        <w:pStyle w:val="BodyText"/>
        <w:spacing w:before="6"/>
        <w:rPr>
          <w:sz w:val="19"/>
        </w:rPr>
      </w:pPr>
    </w:p>
    <w:p>
      <w:pPr>
        <w:pStyle w:val="Heading2"/>
        <w:spacing w:before="1"/>
        <w:ind w:right="1524" w:firstLine="0"/>
        <w:jc w:val="center"/>
        <w:rPr>
          <w:rFonts w:ascii="宋体" w:eastAsia="宋体" w:hint="eastAsia"/>
        </w:rPr>
      </w:pPr>
      <w:r>
        <w:rPr>
          <w:rFonts w:ascii="宋体" w:eastAsia="宋体" w:hint="eastAsia"/>
        </w:rPr>
        <w:t>您拥有的重要权益</w:t>
      </w:r>
    </w:p>
    <w:p>
      <w:pPr>
        <w:pStyle w:val="BodyText"/>
        <w:tabs>
          <w:tab w:pos="9768" w:val="right" w:leader="dot"/>
        </w:tabs>
        <w:spacing w:before="349"/>
        <w:ind w:left="111"/>
      </w:pPr>
      <w:r>
        <w:rPr/>
        <w:t>签收</w:t>
      </w:r>
      <w:r>
        <w:rPr>
          <w:spacing w:val="-3"/>
        </w:rPr>
        <w:t>本</w:t>
      </w:r>
      <w:r>
        <w:rPr/>
        <w:t>附</w:t>
      </w:r>
      <w:r>
        <w:rPr>
          <w:spacing w:val="-3"/>
        </w:rPr>
        <w:t>加</w:t>
      </w:r>
      <w:r>
        <w:rPr/>
        <w:t>合</w:t>
      </w:r>
      <w:r>
        <w:rPr>
          <w:spacing w:val="-3"/>
        </w:rPr>
        <w:t>同</w:t>
      </w:r>
      <w:r>
        <w:rPr/>
        <w:t>次</w:t>
      </w:r>
      <w:r>
        <w:rPr>
          <w:spacing w:val="-3"/>
        </w:rPr>
        <w:t>日</w:t>
      </w:r>
      <w:r>
        <w:rPr/>
        <w:t>起</w:t>
      </w:r>
      <w:r>
        <w:rPr>
          <w:spacing w:val="-51"/>
        </w:rPr>
        <w:t> </w:t>
      </w:r>
      <w:r>
        <w:rPr/>
        <w:t>10</w:t>
      </w:r>
      <w:r>
        <w:rPr>
          <w:spacing w:val="-54"/>
        </w:rPr>
        <w:t> </w:t>
      </w:r>
      <w:r>
        <w:rPr>
          <w:spacing w:val="-29"/>
        </w:rPr>
        <w:t>日</w:t>
      </w:r>
      <w:r>
        <w:rPr>
          <w:spacing w:val="-3"/>
        </w:rPr>
        <w:t>（</w:t>
      </w:r>
      <w:r>
        <w:rPr/>
        <w:t>即</w:t>
      </w:r>
      <w:r>
        <w:rPr>
          <w:spacing w:val="-3"/>
        </w:rPr>
        <w:t>犹</w:t>
      </w:r>
      <w:r>
        <w:rPr/>
        <w:t>豫</w:t>
      </w:r>
      <w:r>
        <w:rPr>
          <w:spacing w:val="-3"/>
        </w:rPr>
        <w:t>期</w:t>
      </w:r>
      <w:r>
        <w:rPr>
          <w:spacing w:val="-29"/>
        </w:rPr>
        <w:t>）</w:t>
      </w:r>
      <w:r>
        <w:rPr>
          <w:spacing w:val="-3"/>
        </w:rPr>
        <w:t>内</w:t>
      </w:r>
      <w:r>
        <w:rPr/>
        <w:t>您</w:t>
      </w:r>
      <w:r>
        <w:rPr>
          <w:spacing w:val="-3"/>
        </w:rPr>
        <w:t>可以</w:t>
      </w:r>
      <w:r>
        <w:rPr/>
        <w:t>要求</w:t>
      </w:r>
      <w:r>
        <w:rPr>
          <w:spacing w:val="-3"/>
        </w:rPr>
        <w:t>退</w:t>
      </w:r>
      <w:r>
        <w:rPr/>
        <w:t>还</w:t>
      </w:r>
      <w:r>
        <w:rPr>
          <w:spacing w:val="-3"/>
        </w:rPr>
        <w:t>扣</w:t>
      </w:r>
      <w:r>
        <w:rPr/>
        <w:t>除</w:t>
      </w:r>
      <w:r>
        <w:rPr>
          <w:spacing w:val="-3"/>
        </w:rPr>
        <w:t>工</w:t>
      </w:r>
      <w:r>
        <w:rPr/>
        <w:t>本</w:t>
      </w:r>
      <w:r>
        <w:rPr>
          <w:spacing w:val="-3"/>
        </w:rPr>
        <w:t>费</w:t>
      </w:r>
      <w:r>
        <w:rPr/>
        <w:t>外</w:t>
      </w:r>
      <w:r>
        <w:rPr>
          <w:spacing w:val="-3"/>
        </w:rPr>
        <w:t>的</w:t>
      </w:r>
      <w:r>
        <w:rPr/>
        <w:t>全部</w:t>
      </w:r>
      <w:r>
        <w:rPr>
          <w:spacing w:val="-3"/>
        </w:rPr>
        <w:t>保</w:t>
      </w:r>
      <w:r>
        <w:rPr/>
        <w:t>险费</w:t>
        <w:tab/>
        <w:t>1.4</w:t>
      </w:r>
    </w:p>
    <w:p>
      <w:pPr>
        <w:pStyle w:val="BodyText"/>
        <w:tabs>
          <w:tab w:pos="9768" w:val="right" w:leader="dot"/>
        </w:tabs>
        <w:spacing w:before="37"/>
        <w:ind w:left="111"/>
      </w:pPr>
      <w:r>
        <w:rPr/>
        <w:t>被保</w:t>
      </w:r>
      <w:r>
        <w:rPr>
          <w:spacing w:val="-3"/>
        </w:rPr>
        <w:t>险</w:t>
      </w:r>
      <w:r>
        <w:rPr/>
        <w:t>人</w:t>
      </w:r>
      <w:r>
        <w:rPr>
          <w:spacing w:val="-3"/>
        </w:rPr>
        <w:t>可</w:t>
      </w:r>
      <w:r>
        <w:rPr/>
        <w:t>以</w:t>
      </w:r>
      <w:r>
        <w:rPr>
          <w:spacing w:val="-3"/>
        </w:rPr>
        <w:t>享</w:t>
      </w:r>
      <w:r>
        <w:rPr/>
        <w:t>受</w:t>
      </w:r>
      <w:r>
        <w:rPr>
          <w:spacing w:val="-3"/>
        </w:rPr>
        <w:t>本</w:t>
      </w:r>
      <w:r>
        <w:rPr/>
        <w:t>附</w:t>
      </w:r>
      <w:r>
        <w:rPr>
          <w:spacing w:val="-3"/>
        </w:rPr>
        <w:t>加</w:t>
      </w:r>
      <w:r>
        <w:rPr/>
        <w:t>合同</w:t>
      </w:r>
      <w:r>
        <w:rPr>
          <w:spacing w:val="-3"/>
        </w:rPr>
        <w:t>提</w:t>
      </w:r>
      <w:r>
        <w:rPr/>
        <w:t>供</w:t>
      </w:r>
      <w:r>
        <w:rPr>
          <w:spacing w:val="-3"/>
        </w:rPr>
        <w:t>的</w:t>
      </w:r>
      <w:r>
        <w:rPr/>
        <w:t>保障</w:t>
        <w:tab/>
        <w:t>2.2</w:t>
      </w:r>
    </w:p>
    <w:p>
      <w:pPr>
        <w:pStyle w:val="BodyText"/>
        <w:tabs>
          <w:tab w:pos="9768" w:val="right" w:leader="dot"/>
        </w:tabs>
        <w:spacing w:before="37"/>
        <w:ind w:left="111"/>
      </w:pPr>
      <w:r>
        <w:rPr/>
        <w:t>您有</w:t>
      </w:r>
      <w:r>
        <w:rPr>
          <w:spacing w:val="-3"/>
        </w:rPr>
        <w:t>退</w:t>
      </w:r>
      <w:r>
        <w:rPr/>
        <w:t>保</w:t>
      </w:r>
      <w:r>
        <w:rPr>
          <w:spacing w:val="-3"/>
        </w:rPr>
        <w:t>的</w:t>
      </w:r>
      <w:r>
        <w:rPr/>
        <w:t>权利</w:t>
        <w:tab/>
        <w:t>7.1</w:t>
      </w:r>
    </w:p>
    <w:p>
      <w:pPr>
        <w:pStyle w:val="Heading2"/>
        <w:spacing w:before="661"/>
        <w:ind w:left="1035" w:right="1524" w:firstLine="0"/>
        <w:jc w:val="center"/>
        <w:rPr>
          <w:rFonts w:ascii="宋体" w:eastAsia="宋体" w:hint="eastAsia"/>
        </w:rPr>
      </w:pPr>
      <w:r>
        <w:rPr>
          <w:rFonts w:ascii="宋体" w:eastAsia="宋体" w:hint="eastAsia"/>
        </w:rPr>
        <w:t>您应当特别注意的事项</w:t>
      </w:r>
    </w:p>
    <w:p>
      <w:pPr>
        <w:pStyle w:val="BodyText"/>
        <w:tabs>
          <w:tab w:pos="9768" w:val="right" w:leader="dot"/>
        </w:tabs>
        <w:spacing w:before="349"/>
        <w:ind w:left="111"/>
      </w:pPr>
      <w:r>
        <w:rPr/>
        <w:t>被保</w:t>
      </w:r>
      <w:r>
        <w:rPr>
          <w:spacing w:val="-3"/>
        </w:rPr>
        <w:t>险</w:t>
      </w:r>
      <w:r>
        <w:rPr/>
        <w:t>人</w:t>
      </w:r>
      <w:r>
        <w:rPr>
          <w:spacing w:val="-3"/>
        </w:rPr>
        <w:t>应</w:t>
      </w:r>
      <w:r>
        <w:rPr/>
        <w:t>到</w:t>
      </w:r>
      <w:r>
        <w:rPr>
          <w:spacing w:val="-3"/>
        </w:rPr>
        <w:t>我</w:t>
      </w:r>
      <w:r>
        <w:rPr/>
        <w:t>们</w:t>
      </w:r>
      <w:r>
        <w:rPr>
          <w:spacing w:val="-3"/>
        </w:rPr>
        <w:t>认</w:t>
      </w:r>
      <w:r>
        <w:rPr/>
        <w:t>可</w:t>
      </w:r>
      <w:r>
        <w:rPr>
          <w:spacing w:val="-3"/>
        </w:rPr>
        <w:t>的</w:t>
      </w:r>
      <w:r>
        <w:rPr/>
        <w:t>医院</w:t>
      </w:r>
      <w:r>
        <w:rPr>
          <w:spacing w:val="-3"/>
        </w:rPr>
        <w:t>就</w:t>
      </w:r>
      <w:r>
        <w:rPr/>
        <w:t>诊</w:t>
        <w:tab/>
        <w:t>2.2</w:t>
      </w:r>
    </w:p>
    <w:p>
      <w:pPr>
        <w:pStyle w:val="BodyText"/>
        <w:tabs>
          <w:tab w:pos="9763" w:val="right" w:leader="dot"/>
        </w:tabs>
        <w:spacing w:before="37"/>
        <w:ind w:left="111"/>
      </w:pPr>
      <w:r>
        <w:rPr/>
        <w:t>在某</w:t>
      </w:r>
      <w:r>
        <w:rPr>
          <w:spacing w:val="-3"/>
        </w:rPr>
        <w:t>些</w:t>
      </w:r>
      <w:r>
        <w:rPr/>
        <w:t>情</w:t>
      </w:r>
      <w:r>
        <w:rPr>
          <w:spacing w:val="-3"/>
        </w:rPr>
        <w:t>况</w:t>
      </w:r>
      <w:r>
        <w:rPr/>
        <w:t>下</w:t>
      </w:r>
      <w:r>
        <w:rPr>
          <w:spacing w:val="-8"/>
        </w:rPr>
        <w:t>，</w:t>
      </w:r>
      <w:r>
        <w:rPr>
          <w:spacing w:val="-3"/>
        </w:rPr>
        <w:t>我</w:t>
      </w:r>
      <w:r>
        <w:rPr/>
        <w:t>们</w:t>
      </w:r>
      <w:r>
        <w:rPr>
          <w:spacing w:val="-3"/>
        </w:rPr>
        <w:t>不承</w:t>
      </w:r>
      <w:r>
        <w:rPr/>
        <w:t>担保</w:t>
      </w:r>
      <w:r>
        <w:rPr>
          <w:spacing w:val="-3"/>
        </w:rPr>
        <w:t>险</w:t>
      </w:r>
      <w:r>
        <w:rPr/>
        <w:t>责任</w:t>
        <w:tab/>
      </w:r>
      <w:r>
        <w:rPr>
          <w:spacing w:val="-3"/>
        </w:rPr>
        <w:t>2.3</w:t>
      </w:r>
    </w:p>
    <w:p>
      <w:pPr>
        <w:pStyle w:val="BodyText"/>
        <w:tabs>
          <w:tab w:pos="9768" w:val="right" w:leader="dot"/>
        </w:tabs>
        <w:spacing w:before="37"/>
        <w:ind w:left="111"/>
      </w:pPr>
      <w:r>
        <w:rPr/>
        <w:t>您应</w:t>
      </w:r>
      <w:r>
        <w:rPr>
          <w:spacing w:val="-3"/>
        </w:rPr>
        <w:t>当</w:t>
      </w:r>
      <w:r>
        <w:rPr/>
        <w:t>按</w:t>
      </w:r>
      <w:r>
        <w:rPr>
          <w:spacing w:val="-3"/>
        </w:rPr>
        <w:t>时</w:t>
      </w:r>
      <w:r>
        <w:rPr/>
        <w:t>交</w:t>
      </w:r>
      <w:r>
        <w:rPr>
          <w:spacing w:val="-3"/>
        </w:rPr>
        <w:t>纳</w:t>
      </w:r>
      <w:r>
        <w:rPr/>
        <w:t>保</w:t>
      </w:r>
      <w:r>
        <w:rPr>
          <w:spacing w:val="-3"/>
        </w:rPr>
        <w:t>险</w:t>
      </w:r>
      <w:r>
        <w:rPr/>
        <w:t>费</w:t>
        <w:tab/>
        <w:t>5.1</w:t>
      </w:r>
    </w:p>
    <w:p>
      <w:pPr>
        <w:pStyle w:val="BodyText"/>
        <w:tabs>
          <w:tab w:pos="9766" w:val="right" w:leader="dot"/>
        </w:tabs>
        <w:spacing w:before="37"/>
        <w:ind w:left="111"/>
      </w:pPr>
      <w:r>
        <w:rPr/>
        <w:t>我们</w:t>
      </w:r>
      <w:r>
        <w:rPr>
          <w:spacing w:val="-3"/>
        </w:rPr>
        <w:t>保</w:t>
      </w:r>
      <w:r>
        <w:rPr/>
        <w:t>留</w:t>
      </w:r>
      <w:r>
        <w:rPr>
          <w:spacing w:val="-3"/>
        </w:rPr>
        <w:t>提</w:t>
      </w:r>
      <w:r>
        <w:rPr/>
        <w:t>高</w:t>
      </w:r>
      <w:r>
        <w:rPr>
          <w:spacing w:val="-3"/>
        </w:rPr>
        <w:t>或</w:t>
      </w:r>
      <w:r>
        <w:rPr/>
        <w:t>降</w:t>
      </w:r>
      <w:r>
        <w:rPr>
          <w:spacing w:val="-3"/>
        </w:rPr>
        <w:t>低</w:t>
      </w:r>
      <w:r>
        <w:rPr/>
        <w:t>保</w:t>
      </w:r>
      <w:r>
        <w:rPr>
          <w:spacing w:val="-3"/>
        </w:rPr>
        <w:t>险</w:t>
      </w:r>
      <w:r>
        <w:rPr/>
        <w:t>费率</w:t>
      </w:r>
      <w:r>
        <w:rPr>
          <w:spacing w:val="-3"/>
        </w:rPr>
        <w:t>的</w:t>
      </w:r>
      <w:r>
        <w:rPr/>
        <w:t>权利</w:t>
        <w:tab/>
        <w:t>5.3</w:t>
      </w:r>
    </w:p>
    <w:p>
      <w:pPr>
        <w:pStyle w:val="BodyText"/>
        <w:tabs>
          <w:tab w:pos="9768" w:val="right" w:leader="dot"/>
        </w:tabs>
        <w:spacing w:before="37"/>
        <w:ind w:left="111"/>
      </w:pPr>
      <w:r>
        <w:rPr/>
        <w:t>退保</w:t>
      </w:r>
      <w:r>
        <w:rPr>
          <w:spacing w:val="-3"/>
        </w:rPr>
        <w:t>会</w:t>
      </w:r>
      <w:r>
        <w:rPr/>
        <w:t>给</w:t>
      </w:r>
      <w:r>
        <w:rPr>
          <w:spacing w:val="-3"/>
        </w:rPr>
        <w:t>您</w:t>
      </w:r>
      <w:r>
        <w:rPr/>
        <w:t>造</w:t>
      </w:r>
      <w:r>
        <w:rPr>
          <w:spacing w:val="-3"/>
        </w:rPr>
        <w:t>成</w:t>
      </w:r>
      <w:r>
        <w:rPr/>
        <w:t>一</w:t>
      </w:r>
      <w:r>
        <w:rPr>
          <w:spacing w:val="-3"/>
        </w:rPr>
        <w:t>定</w:t>
      </w:r>
      <w:r>
        <w:rPr/>
        <w:t>的</w:t>
      </w:r>
      <w:r>
        <w:rPr>
          <w:spacing w:val="-3"/>
        </w:rPr>
        <w:t>损</w:t>
      </w:r>
      <w:r>
        <w:rPr/>
        <w:t>失</w:t>
      </w:r>
      <w:r>
        <w:rPr>
          <w:spacing w:val="-8"/>
        </w:rPr>
        <w:t>，</w:t>
      </w:r>
      <w:r>
        <w:rPr/>
        <w:t>请</w:t>
      </w:r>
      <w:r>
        <w:rPr>
          <w:spacing w:val="-3"/>
        </w:rPr>
        <w:t>您</w:t>
      </w:r>
      <w:r>
        <w:rPr/>
        <w:t>慎</w:t>
      </w:r>
      <w:r>
        <w:rPr>
          <w:spacing w:val="-3"/>
        </w:rPr>
        <w:t>重</w:t>
      </w:r>
      <w:r>
        <w:rPr/>
        <w:t>决策</w:t>
        <w:tab/>
        <w:t>7.1</w:t>
      </w:r>
    </w:p>
    <w:p>
      <w:pPr>
        <w:pStyle w:val="BodyText"/>
        <w:tabs>
          <w:tab w:pos="9768" w:val="right" w:leader="dot"/>
        </w:tabs>
        <w:spacing w:before="37"/>
        <w:ind w:left="111"/>
      </w:pPr>
      <w:r>
        <w:rPr/>
        <w:t>您有</w:t>
      </w:r>
      <w:r>
        <w:rPr>
          <w:spacing w:val="-3"/>
        </w:rPr>
        <w:t>如</w:t>
      </w:r>
      <w:r>
        <w:rPr/>
        <w:t>实</w:t>
      </w:r>
      <w:r>
        <w:rPr>
          <w:spacing w:val="-3"/>
        </w:rPr>
        <w:t>告</w:t>
      </w:r>
      <w:r>
        <w:rPr/>
        <w:t>知</w:t>
      </w:r>
      <w:r>
        <w:rPr>
          <w:spacing w:val="-3"/>
        </w:rPr>
        <w:t>的</w:t>
      </w:r>
      <w:r>
        <w:rPr/>
        <w:t>义务</w:t>
        <w:tab/>
        <w:t>8.1</w:t>
      </w:r>
    </w:p>
    <w:p>
      <w:pPr>
        <w:pStyle w:val="BodyText"/>
        <w:tabs>
          <w:tab w:pos="9558" w:val="right" w:leader="dot"/>
        </w:tabs>
        <w:spacing w:before="37"/>
        <w:ind w:right="102"/>
        <w:jc w:val="center"/>
      </w:pPr>
      <w:r>
        <w:rPr/>
        <w:t>我们</w:t>
      </w:r>
      <w:r>
        <w:rPr>
          <w:spacing w:val="-3"/>
        </w:rPr>
        <w:t>对</w:t>
      </w:r>
      <w:r>
        <w:rPr/>
        <w:t>一</w:t>
      </w:r>
      <w:r>
        <w:rPr>
          <w:spacing w:val="-3"/>
        </w:rPr>
        <w:t>些</w:t>
      </w:r>
      <w:r>
        <w:rPr/>
        <w:t>重</w:t>
      </w:r>
      <w:r>
        <w:rPr>
          <w:spacing w:val="-3"/>
        </w:rPr>
        <w:t>要</w:t>
      </w:r>
      <w:r>
        <w:rPr/>
        <w:t>术</w:t>
      </w:r>
      <w:r>
        <w:rPr>
          <w:spacing w:val="-3"/>
        </w:rPr>
        <w:t>语</w:t>
      </w:r>
      <w:r>
        <w:rPr/>
        <w:t>进</w:t>
      </w:r>
      <w:r>
        <w:rPr>
          <w:spacing w:val="-3"/>
        </w:rPr>
        <w:t>行</w:t>
      </w:r>
      <w:r>
        <w:rPr/>
        <w:t>了解</w:t>
      </w:r>
      <w:r>
        <w:rPr>
          <w:spacing w:val="-3"/>
        </w:rPr>
        <w:t>释</w:t>
      </w:r>
      <w:r>
        <w:rPr/>
        <w:t>，</w:t>
      </w:r>
      <w:r>
        <w:rPr>
          <w:spacing w:val="-3"/>
        </w:rPr>
        <w:t>并</w:t>
      </w:r>
      <w:r>
        <w:rPr/>
        <w:t>作</w:t>
      </w:r>
      <w:r>
        <w:rPr>
          <w:spacing w:val="-3"/>
        </w:rPr>
        <w:t>了</w:t>
      </w:r>
      <w:r>
        <w:rPr/>
        <w:t>显</w:t>
      </w:r>
      <w:r>
        <w:rPr>
          <w:spacing w:val="-3"/>
        </w:rPr>
        <w:t>著</w:t>
      </w:r>
      <w:r>
        <w:rPr/>
        <w:t>标</w:t>
      </w:r>
      <w:r>
        <w:rPr>
          <w:spacing w:val="-3"/>
        </w:rPr>
        <w:t>识</w:t>
      </w:r>
      <w:r>
        <w:rPr/>
        <w:t>，请</w:t>
      </w:r>
      <w:r>
        <w:rPr>
          <w:spacing w:val="-3"/>
        </w:rPr>
        <w:t>您</w:t>
      </w:r>
      <w:r>
        <w:rPr/>
        <w:t>注意</w:t>
        <w:tab/>
        <w:t>10</w:t>
      </w:r>
    </w:p>
    <w:p>
      <w:pPr>
        <w:spacing w:after="0"/>
        <w:jc w:val="center"/>
        <w:sectPr>
          <w:type w:val="continuous"/>
          <w:pgSz w:w="11910" w:h="16840"/>
          <w:pgMar w:top="1080" w:bottom="280" w:left="1120" w:right="900"/>
        </w:sectPr>
      </w:pPr>
    </w:p>
    <w:p>
      <w:pPr>
        <w:spacing w:line="478" w:lineRule="exact" w:before="0"/>
        <w:ind w:left="4356" w:right="4594" w:firstLine="0"/>
        <w:jc w:val="center"/>
        <w:rPr>
          <w:rFonts w:ascii="微软雅黑" w:eastAsia="微软雅黑" w:hint="eastAsia"/>
          <w:b/>
          <w:sz w:val="32"/>
        </w:rPr>
      </w:pPr>
      <w:r>
        <w:rPr/>
        <w:pict>
          <v:shape style="position:absolute;margin-left:391.660004pt;margin-top:61.139965pt;width:.25pt;height:447.2pt;mso-position-horizontal-relative:page;mso-position-vertical-relative:paragraph;z-index:-45736" coordorigin="7833,1223" coordsize="5,8944" path="m7838,6422l7833,6422,7833,6427,7833,6465,7833,6503,7833,6542,7833,6580,7833,6619,7833,6657,7833,6695,7833,6734,7833,6765,7833,6803,7833,6842,7833,6880,7833,6919,7833,6957,7833,6995,7833,7034,7833,7072,7833,7106,7833,7144,7833,7183,7833,7221,7833,7259,7833,7298,7833,7336,7833,7375,7833,7413,7833,7447,7833,7485,7833,7523,7833,7562,7833,7600,7833,7639,7833,7677,7833,7715,7833,7754,7833,7785,7833,7823,7833,7862,7833,7900,7833,7939,7833,7977,7833,8015,7833,8054,7833,8092,7833,8126,7833,8164,7833,8164,7833,8203,7833,8241,7833,8280,7833,8318,7833,8357,7833,8395,7833,8433,7833,8467,7833,8505,7833,8544,7833,8582,7833,8621,7833,8659,7833,8697,7833,8736,7833,8774,7833,8805,7833,8844,7833,8882,7833,8921,7833,8959,7833,8997,7833,9036,7833,9074,7833,9113,7833,9146,7833,9185,7833,9223,7833,9261,7833,9300,7833,9338,7833,9377,7833,9415,7833,9453,7833,9487,7833,9525,7833,9564,7833,9602,7833,9641,7833,9679,7833,9717,7833,9756,7833,9794,7833,9825,7833,9864,7833,9902,7833,9941,7833,9979,7833,10017,7833,10056,7833,10094,7833,10133,7833,10166,7838,10166,7838,10133,7838,10094,7838,10056,7838,10017,7838,9979,7838,9941,7838,9902,7838,9864,7838,9825,7838,9794,7838,9756,7838,9717,7838,9679,7838,9641,7838,9602,7838,9564,7838,9525,7838,9487,7838,9453,7838,9415,7838,9377,7838,9338,7838,9300,7838,9261,7838,9223,7838,9185,7838,9146,7838,9113,7838,9074,7838,9036,7838,8997,7838,8959,7838,8921,7838,8882,7838,8844,7838,8805,7838,8774,7838,8736,7838,8697,7838,8659,7838,8621,7838,8582,7838,8544,7838,8505,7838,8467,7838,8433,7838,8395,7838,8357,7838,8318,7838,8280,7838,8241,7838,8203,7838,8164,7838,8164,7838,8126,7838,8092,7838,8054,7838,8015,7838,7977,7838,7939,7838,7900,7838,7862,7838,7823,7838,7785,7838,7754,7838,7715,7838,7677,7838,7639,7838,7600,7838,7562,7838,7523,7838,7485,7838,7447,7838,7413,7838,7375,7838,7336,7838,7298,7838,7259,7838,7221,7838,7183,7838,7144,7838,7106,7838,7072,7838,7034,7838,6995,7838,6957,7838,6919,7838,6880,7838,6842,7838,6803,7838,6765,7838,6734,7838,6695,7838,6657,7838,6619,7838,6580,7838,6542,7838,6503,7838,6465,7838,6427,7838,6422m7838,5702l7833,5702,7833,5740,7833,5774,7833,5812,7833,5851,7833,5889,7833,5927,7833,5966,7833,6004,7833,6043,7833,6081,7833,6115,7833,6153,7833,6191,7833,6230,7833,6268,7833,6307,7833,6345,7833,6383,7833,6422,7838,6422,7838,6383,7838,6345,7838,6307,7838,6268,7838,6230,7838,6191,7838,6153,7838,6115,7838,6081,7838,6043,7838,6004,7838,5966,7838,5927,7838,5889,7838,5851,7838,5812,7838,5774,7838,5740,7838,5702m7838,5363l7833,5363,7833,5402,7833,5433,7833,5471,7833,5510,7833,5548,7833,5587,7833,5625,7833,5663,7838,5663,7838,5625,7838,5587,7838,5548,7838,5510,7838,5471,7838,5433,7838,5402,7838,5363m7838,5248l7833,5248,7833,5287,7833,5325,7833,5363,7838,5363,7838,5325,7838,5287,7838,5248m7838,5133l7833,5133,7833,5171,7833,5210,7833,5248,7838,5248,7838,5210,7838,5171,7838,5133m7838,5023l7833,5023,7833,5061,7833,5095,7833,5133,7838,5133,7838,5095,7838,5061,7838,5023m7838,4946l7833,4946,7833,4984,7833,5023,7838,5023,7838,4984,7838,4946m7838,4831l7833,4831,7833,4869,7833,4907,7833,4946,7838,4946,7838,4907,7838,4869,7838,4831m7838,4720l7833,4720,7833,4754,7833,4792,7833,4831,7838,4831,7838,4792,7838,4754,7838,4720m7838,4643l7833,4643,7833,4682,7833,4720,7838,4720,7838,4682,7838,4643m7838,4528l7833,4528,7833,4567,7833,4605,7833,4643,7838,4643,7838,4605,7838,4567,7838,4528m7838,4413l7833,4413,7833,4451,7833,4490,7833,4528,7838,4528,7838,4490,7838,4451,7838,4413m7838,4381l7833,4381,7833,4412,7838,4412,7838,4381m7838,4266l7833,4266,7833,4304,7833,4343,7833,4381,7838,4381,7838,4343,7838,4304,7838,4266m7838,4151l7833,4151,7833,4189,7833,4228,7833,4266,7838,4266,7838,4228,7838,4189,7838,4151m7838,4040l7833,4040,7833,4074,7833,4112,7833,4151,7838,4151,7838,4112,7838,4074,7838,4040m7838,3964l7833,3964,7833,4002,7833,4040,7838,4040,7838,4002,7838,3964m7838,3848l7833,3848,7833,3887,7833,3925,7833,3964,7838,3964,7838,3925,7838,3887,7838,3848m7838,3733l7833,3733,7833,3772,7833,3810,7833,3848,7838,3848,7838,3810,7838,3772,7838,3733m7838,3661l7833,3661,7833,3700,7833,3733,7838,3733,7838,3700,7838,3661m7838,3546l7833,3546,7833,3584,7833,3623,7833,3661,7838,3661,7838,3623,7838,3584,7838,3546m7838,3431l7833,3431,7833,3469,7833,3508,7833,3546,7838,3546,7838,3508,7838,3469,7838,3431m7838,3361l7833,3361,7833,3392,7833,3431,7838,3431,7838,3392,7838,3361m7838,3246l7833,3246,7833,3284,7833,3323,7833,3361,7838,3361,7838,3323,7838,3284,7838,3246m7838,3131l7833,3131,7833,3169,7833,3208,7833,3246,7838,3246,7838,3208,7838,3169,7838,3131m7838,3020l7833,3020,7833,3054,7833,3092,7833,3131,7838,3131,7838,3092,7838,3054,7838,3020m7838,2944l7833,2944,7833,2982,7833,3020,7838,3020,7838,2982,7838,2944m7838,2828l7833,2828,7833,2867,7833,2905,7833,2944,7838,2944,7838,2905,7838,2867,7838,2828m7838,2713l7833,2713,7833,2752,7833,2790,7833,2828,7838,2828,7838,2790,7838,2752,7838,2713m7838,2641l7833,2641,7833,2680,7833,2713,7838,2713,7838,2680,7838,2641m7838,2526l7833,2526,7833,2564,7833,2603,7833,2641,7838,2641,7838,2603,7838,2564,7838,2526m7838,2411l7833,2411,7833,2449,7833,2488,7833,2526,7838,2526,7838,2488,7838,2449,7838,2411m7838,2341l7833,2341,7833,2372,7833,2411,7838,2411,7838,2372,7838,2341m7838,2226l7833,2226,7833,2264,7833,2303,7833,2341,7838,2341,7838,2303,7838,2264,7838,2226m7838,2111l7833,2111,7833,2149,7833,2188,7833,2226,7838,2226,7838,2188,7838,2149,7838,2111m7838,2000l7833,2000,7833,2034,7833,2072,7833,2111,7838,2111,7838,2072,7838,2034,7838,2000m7838,1924l7833,1924,7833,1962,7833,2000,7838,2000,7838,1962,7838,1924m7838,1808l7833,1808,7833,1847,7833,1885,7833,1924,7838,1924,7838,1885,7838,1847,7838,1808m7838,1693l7833,1693,7833,1732,7833,1770,7833,1808,7838,1808,7838,1770,7838,1732,7838,1693m7838,1684l7833,1684,7833,1693,7838,1693,7838,1684m7838,1568l7833,1568,7833,1607,7833,1645,7833,1684,7838,1684,7838,1645,7838,1607,7838,1568m7838,1453l7833,1453,7833,1492,7833,1530,7833,1568,7838,1568,7838,1530,7838,1492,7838,1453m7838,1338l7833,1338,7833,1376,7833,1415,7833,1453,7838,1453,7838,1415,7838,1376,7838,1338m7838,1261l7833,1261,7833,1300,7833,1338,7838,1338,7838,1300,7838,1261m7838,1223l7833,1223,7833,1261,7838,1261,7838,1223e" filled="true" fillcolor="#000000" stroked="false">
            <v:path arrowok="t"/>
            <v:fill type="solid"/>
            <w10:wrap type="none"/>
          </v:shape>
        </w:pict>
      </w:r>
      <w:r>
        <w:rPr>
          <w:rFonts w:ascii="微软雅黑" w:eastAsia="微软雅黑" w:hint="eastAsia"/>
          <w:b/>
          <w:sz w:val="32"/>
        </w:rPr>
        <w:t>条款目录</w:t>
      </w:r>
    </w:p>
    <w:p>
      <w:pPr>
        <w:pStyle w:val="BodyText"/>
        <w:rPr>
          <w:rFonts w:ascii="微软雅黑"/>
          <w:b/>
          <w:sz w:val="20"/>
        </w:rPr>
      </w:pPr>
    </w:p>
    <w:p>
      <w:pPr>
        <w:pStyle w:val="BodyText"/>
        <w:spacing w:before="1" w:after="1"/>
        <w:rPr>
          <w:rFonts w:ascii="微软雅黑"/>
          <w:b/>
          <w:sz w:val="23"/>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38"/>
        <w:gridCol w:w="3769"/>
        <w:gridCol w:w="3145"/>
      </w:tblGrid>
      <w:tr>
        <w:trPr>
          <w:trHeight w:val="392" w:hRule="atLeast"/>
        </w:trPr>
        <w:tc>
          <w:tcPr>
            <w:tcW w:w="3138" w:type="dxa"/>
            <w:tcBorders>
              <w:right w:val="single" w:sz="2" w:space="0" w:color="000000"/>
            </w:tcBorders>
          </w:tcPr>
          <w:p>
            <w:pPr>
              <w:pStyle w:val="TableParagraph"/>
              <w:spacing w:line="262" w:lineRule="exact"/>
              <w:ind w:left="200"/>
              <w:rPr>
                <w:b/>
                <w:sz w:val="21"/>
              </w:rPr>
            </w:pPr>
            <w:r>
              <w:rPr>
                <w:b/>
                <w:sz w:val="21"/>
              </w:rPr>
              <w:t>1 您与我们订立的合同</w:t>
            </w:r>
          </w:p>
        </w:tc>
        <w:tc>
          <w:tcPr>
            <w:tcW w:w="3769" w:type="dxa"/>
            <w:tcBorders>
              <w:left w:val="single" w:sz="2" w:space="0" w:color="000000"/>
            </w:tcBorders>
          </w:tcPr>
          <w:p>
            <w:pPr>
              <w:pStyle w:val="TableParagraph"/>
              <w:spacing w:line="262" w:lineRule="exact"/>
              <w:ind w:left="105"/>
              <w:rPr>
                <w:b/>
                <w:sz w:val="21"/>
              </w:rPr>
            </w:pPr>
            <w:r>
              <w:rPr>
                <w:b/>
                <w:sz w:val="21"/>
              </w:rPr>
              <w:t>5 保险费的交纳</w:t>
            </w:r>
          </w:p>
        </w:tc>
        <w:tc>
          <w:tcPr>
            <w:tcW w:w="3145" w:type="dxa"/>
          </w:tcPr>
          <w:p>
            <w:pPr>
              <w:pStyle w:val="TableParagraph"/>
              <w:spacing w:line="262" w:lineRule="exact"/>
              <w:ind w:left="108"/>
              <w:rPr>
                <w:b/>
                <w:sz w:val="21"/>
              </w:rPr>
            </w:pPr>
            <w:r>
              <w:rPr>
                <w:b/>
                <w:sz w:val="21"/>
              </w:rPr>
              <w:t>9 其他需要关注的事项</w:t>
            </w:r>
          </w:p>
        </w:tc>
      </w:tr>
      <w:tr>
        <w:trPr>
          <w:trHeight w:val="405" w:hRule="atLeast"/>
        </w:trPr>
        <w:tc>
          <w:tcPr>
            <w:tcW w:w="3138" w:type="dxa"/>
            <w:tcBorders>
              <w:right w:val="single" w:sz="2" w:space="0" w:color="000000"/>
            </w:tcBorders>
          </w:tcPr>
          <w:p>
            <w:pPr>
              <w:pStyle w:val="TableParagraph"/>
              <w:spacing w:before="66"/>
              <w:ind w:left="411"/>
              <w:rPr>
                <w:sz w:val="21"/>
              </w:rPr>
            </w:pPr>
            <w:r>
              <w:rPr>
                <w:sz w:val="21"/>
              </w:rPr>
              <w:t>1.1 合同订立</w:t>
            </w:r>
          </w:p>
        </w:tc>
        <w:tc>
          <w:tcPr>
            <w:tcW w:w="3769" w:type="dxa"/>
            <w:tcBorders>
              <w:left w:val="single" w:sz="2" w:space="0" w:color="000000"/>
            </w:tcBorders>
          </w:tcPr>
          <w:p>
            <w:pPr>
              <w:pStyle w:val="TableParagraph"/>
              <w:spacing w:before="66"/>
              <w:ind w:left="316"/>
              <w:rPr>
                <w:sz w:val="21"/>
              </w:rPr>
            </w:pPr>
            <w:r>
              <w:rPr>
                <w:sz w:val="21"/>
              </w:rPr>
              <w:t>5.1 保险费的交纳</w:t>
            </w:r>
          </w:p>
        </w:tc>
        <w:tc>
          <w:tcPr>
            <w:tcW w:w="3145" w:type="dxa"/>
          </w:tcPr>
          <w:p>
            <w:pPr>
              <w:pStyle w:val="TableParagraph"/>
              <w:spacing w:before="66"/>
              <w:ind w:left="319"/>
              <w:rPr>
                <w:sz w:val="21"/>
              </w:rPr>
            </w:pPr>
            <w:r>
              <w:rPr>
                <w:sz w:val="21"/>
              </w:rPr>
              <w:t>9.1 年龄性别错误处理</w:t>
            </w: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1.2 合同生效</w:t>
            </w:r>
          </w:p>
        </w:tc>
        <w:tc>
          <w:tcPr>
            <w:tcW w:w="3769" w:type="dxa"/>
            <w:tcBorders>
              <w:left w:val="single" w:sz="2" w:space="0" w:color="000000"/>
            </w:tcBorders>
          </w:tcPr>
          <w:p>
            <w:pPr>
              <w:pStyle w:val="TableParagraph"/>
              <w:spacing w:before="1"/>
              <w:ind w:left="316"/>
              <w:rPr>
                <w:sz w:val="21"/>
              </w:rPr>
            </w:pPr>
            <w:r>
              <w:rPr>
                <w:sz w:val="21"/>
              </w:rPr>
              <w:t>5.2 宽限期</w:t>
            </w:r>
          </w:p>
        </w:tc>
        <w:tc>
          <w:tcPr>
            <w:tcW w:w="3145" w:type="dxa"/>
          </w:tcPr>
          <w:p>
            <w:pPr>
              <w:pStyle w:val="TableParagraph"/>
              <w:spacing w:before="1"/>
              <w:ind w:left="319"/>
              <w:rPr>
                <w:sz w:val="21"/>
              </w:rPr>
            </w:pPr>
            <w:r>
              <w:rPr>
                <w:sz w:val="21"/>
              </w:rPr>
              <w:t>9.2 未还款项</w:t>
            </w:r>
          </w:p>
        </w:tc>
      </w:tr>
      <w:tr>
        <w:trPr>
          <w:trHeight w:val="339" w:hRule="atLeast"/>
        </w:trPr>
        <w:tc>
          <w:tcPr>
            <w:tcW w:w="3138" w:type="dxa"/>
            <w:tcBorders>
              <w:right w:val="single" w:sz="2" w:space="0" w:color="000000"/>
            </w:tcBorders>
          </w:tcPr>
          <w:p>
            <w:pPr>
              <w:pStyle w:val="TableParagraph"/>
              <w:ind w:left="411"/>
              <w:rPr>
                <w:sz w:val="21"/>
              </w:rPr>
            </w:pPr>
            <w:r>
              <w:rPr>
                <w:sz w:val="21"/>
              </w:rPr>
              <w:t>1.3 投保对象</w:t>
            </w:r>
          </w:p>
        </w:tc>
        <w:tc>
          <w:tcPr>
            <w:tcW w:w="3769" w:type="dxa"/>
            <w:tcBorders>
              <w:left w:val="single" w:sz="2" w:space="0" w:color="000000"/>
            </w:tcBorders>
          </w:tcPr>
          <w:p>
            <w:pPr>
              <w:pStyle w:val="TableParagraph"/>
              <w:ind w:left="316"/>
              <w:rPr>
                <w:sz w:val="21"/>
              </w:rPr>
            </w:pPr>
            <w:r>
              <w:rPr>
                <w:sz w:val="21"/>
              </w:rPr>
              <w:t>5.3 保险费率调整</w:t>
            </w:r>
          </w:p>
        </w:tc>
        <w:tc>
          <w:tcPr>
            <w:tcW w:w="3145" w:type="dxa"/>
          </w:tcPr>
          <w:p>
            <w:pPr>
              <w:pStyle w:val="TableParagraph"/>
              <w:ind w:left="319"/>
              <w:rPr>
                <w:sz w:val="21"/>
              </w:rPr>
            </w:pPr>
            <w:r>
              <w:rPr>
                <w:sz w:val="21"/>
              </w:rPr>
              <w:t>9.3 合同效力终止</w:t>
            </w:r>
          </w:p>
        </w:tc>
      </w:tr>
      <w:tr>
        <w:trPr>
          <w:trHeight w:val="850" w:hRule="atLeast"/>
        </w:trPr>
        <w:tc>
          <w:tcPr>
            <w:tcW w:w="3138" w:type="dxa"/>
            <w:tcBorders>
              <w:right w:val="single" w:sz="2" w:space="0" w:color="000000"/>
            </w:tcBorders>
          </w:tcPr>
          <w:p>
            <w:pPr>
              <w:pStyle w:val="TableParagraph"/>
              <w:spacing w:before="1"/>
              <w:ind w:left="411"/>
              <w:rPr>
                <w:sz w:val="21"/>
              </w:rPr>
            </w:pPr>
            <w:r>
              <w:rPr>
                <w:sz w:val="21"/>
              </w:rPr>
              <w:t>1.4 犹豫期</w:t>
            </w:r>
          </w:p>
        </w:tc>
        <w:tc>
          <w:tcPr>
            <w:tcW w:w="3769" w:type="dxa"/>
            <w:tcBorders>
              <w:left w:val="single" w:sz="2" w:space="0" w:color="000000"/>
            </w:tcBorders>
          </w:tcPr>
          <w:p>
            <w:pPr>
              <w:pStyle w:val="TableParagraph"/>
              <w:rPr>
                <w:rFonts w:ascii="Times New Roman"/>
                <w:sz w:val="20"/>
              </w:rPr>
            </w:pPr>
          </w:p>
        </w:tc>
        <w:tc>
          <w:tcPr>
            <w:tcW w:w="3145" w:type="dxa"/>
          </w:tcPr>
          <w:p>
            <w:pPr>
              <w:pStyle w:val="TableParagraph"/>
              <w:spacing w:before="1"/>
              <w:ind w:left="319"/>
              <w:rPr>
                <w:sz w:val="21"/>
              </w:rPr>
            </w:pPr>
            <w:r>
              <w:rPr>
                <w:sz w:val="21"/>
              </w:rPr>
              <w:t>9.4 适用主合同条款</w:t>
            </w:r>
          </w:p>
        </w:tc>
      </w:tr>
      <w:tr>
        <w:trPr>
          <w:trHeight w:val="849" w:hRule="atLeast"/>
        </w:trPr>
        <w:tc>
          <w:tcPr>
            <w:tcW w:w="3138" w:type="dxa"/>
            <w:tcBorders>
              <w:right w:val="single" w:sz="2" w:space="0" w:color="000000"/>
            </w:tcBorders>
          </w:tcPr>
          <w:p>
            <w:pPr>
              <w:pStyle w:val="TableParagraph"/>
              <w:spacing w:before="10"/>
              <w:rPr>
                <w:rFonts w:ascii="微软雅黑"/>
                <w:b/>
                <w:sz w:val="29"/>
              </w:rPr>
            </w:pPr>
          </w:p>
          <w:p>
            <w:pPr>
              <w:pStyle w:val="TableParagraph"/>
              <w:ind w:left="200"/>
              <w:rPr>
                <w:b/>
                <w:sz w:val="21"/>
              </w:rPr>
            </w:pPr>
            <w:r>
              <w:rPr>
                <w:b/>
                <w:sz w:val="21"/>
              </w:rPr>
              <w:t>2 我们提供的保障</w:t>
            </w:r>
          </w:p>
        </w:tc>
        <w:tc>
          <w:tcPr>
            <w:tcW w:w="3769" w:type="dxa"/>
            <w:tcBorders>
              <w:left w:val="single" w:sz="2" w:space="0" w:color="000000"/>
            </w:tcBorders>
          </w:tcPr>
          <w:p>
            <w:pPr>
              <w:pStyle w:val="TableParagraph"/>
              <w:spacing w:before="10"/>
              <w:rPr>
                <w:rFonts w:ascii="微软雅黑"/>
                <w:b/>
                <w:sz w:val="29"/>
              </w:rPr>
            </w:pPr>
          </w:p>
          <w:p>
            <w:pPr>
              <w:pStyle w:val="TableParagraph"/>
              <w:ind w:left="105"/>
              <w:rPr>
                <w:b/>
                <w:sz w:val="21"/>
              </w:rPr>
            </w:pPr>
            <w:r>
              <w:rPr>
                <w:b/>
                <w:sz w:val="21"/>
              </w:rPr>
              <w:t>6 合同效力的中止与恢复</w:t>
            </w:r>
          </w:p>
        </w:tc>
        <w:tc>
          <w:tcPr>
            <w:tcW w:w="3145" w:type="dxa"/>
          </w:tcPr>
          <w:p>
            <w:pPr>
              <w:pStyle w:val="TableParagraph"/>
              <w:spacing w:before="10"/>
              <w:rPr>
                <w:rFonts w:ascii="微软雅黑"/>
                <w:b/>
                <w:sz w:val="29"/>
              </w:rPr>
            </w:pPr>
          </w:p>
          <w:p>
            <w:pPr>
              <w:pStyle w:val="TableParagraph"/>
              <w:ind w:left="108"/>
              <w:rPr>
                <w:b/>
                <w:sz w:val="21"/>
              </w:rPr>
            </w:pPr>
            <w:r>
              <w:rPr>
                <w:b/>
                <w:sz w:val="21"/>
              </w:rPr>
              <w:t>10 释义</w:t>
            </w:r>
          </w:p>
        </w:tc>
      </w:tr>
      <w:tr>
        <w:trPr>
          <w:trHeight w:val="339" w:hRule="atLeast"/>
        </w:trPr>
        <w:tc>
          <w:tcPr>
            <w:tcW w:w="3138" w:type="dxa"/>
            <w:tcBorders>
              <w:right w:val="single" w:sz="2" w:space="0" w:color="000000"/>
            </w:tcBorders>
          </w:tcPr>
          <w:p>
            <w:pPr>
              <w:pStyle w:val="TableParagraph"/>
              <w:ind w:left="411"/>
              <w:rPr>
                <w:sz w:val="21"/>
              </w:rPr>
            </w:pPr>
            <w:r>
              <w:rPr>
                <w:sz w:val="21"/>
              </w:rPr>
              <w:t>2.1 保险期间</w:t>
            </w:r>
          </w:p>
        </w:tc>
        <w:tc>
          <w:tcPr>
            <w:tcW w:w="3769" w:type="dxa"/>
            <w:tcBorders>
              <w:left w:val="single" w:sz="2" w:space="0" w:color="000000"/>
            </w:tcBorders>
          </w:tcPr>
          <w:p>
            <w:pPr>
              <w:pStyle w:val="TableParagraph"/>
              <w:ind w:left="316"/>
              <w:rPr>
                <w:sz w:val="21"/>
              </w:rPr>
            </w:pPr>
            <w:r>
              <w:rPr>
                <w:sz w:val="21"/>
              </w:rPr>
              <w:t>6.1 合同效力中止</w:t>
            </w:r>
          </w:p>
        </w:tc>
        <w:tc>
          <w:tcPr>
            <w:tcW w:w="3145" w:type="dxa"/>
          </w:tcPr>
          <w:p>
            <w:pPr>
              <w:pStyle w:val="TableParagraph"/>
              <w:ind w:left="319"/>
              <w:rPr>
                <w:sz w:val="21"/>
              </w:rPr>
            </w:pPr>
            <w:r>
              <w:rPr>
                <w:sz w:val="21"/>
              </w:rPr>
              <w:t>10.1 意外伤害</w:t>
            </w:r>
          </w:p>
        </w:tc>
      </w:tr>
      <w:tr>
        <w:trPr>
          <w:trHeight w:val="340" w:hRule="atLeast"/>
        </w:trPr>
        <w:tc>
          <w:tcPr>
            <w:tcW w:w="3138" w:type="dxa"/>
            <w:tcBorders>
              <w:right w:val="single" w:sz="2" w:space="0" w:color="000000"/>
            </w:tcBorders>
          </w:tcPr>
          <w:p>
            <w:pPr>
              <w:pStyle w:val="TableParagraph"/>
              <w:spacing w:before="1"/>
              <w:ind w:left="411"/>
              <w:rPr>
                <w:sz w:val="21"/>
              </w:rPr>
            </w:pPr>
            <w:r>
              <w:rPr>
                <w:sz w:val="21"/>
              </w:rPr>
              <w:t>2.2 保险责任</w:t>
            </w:r>
          </w:p>
        </w:tc>
        <w:tc>
          <w:tcPr>
            <w:tcW w:w="3769" w:type="dxa"/>
            <w:tcBorders>
              <w:left w:val="single" w:sz="2" w:space="0" w:color="000000"/>
            </w:tcBorders>
          </w:tcPr>
          <w:p>
            <w:pPr>
              <w:pStyle w:val="TableParagraph"/>
              <w:spacing w:before="1"/>
              <w:ind w:left="316"/>
              <w:rPr>
                <w:sz w:val="21"/>
              </w:rPr>
            </w:pPr>
            <w:r>
              <w:rPr>
                <w:sz w:val="21"/>
              </w:rPr>
              <w:t>6.2 合同效力恢复（复效）</w:t>
            </w:r>
          </w:p>
        </w:tc>
        <w:tc>
          <w:tcPr>
            <w:tcW w:w="3145" w:type="dxa"/>
          </w:tcPr>
          <w:p>
            <w:pPr>
              <w:pStyle w:val="TableParagraph"/>
              <w:spacing w:before="1"/>
              <w:ind w:left="319"/>
              <w:rPr>
                <w:sz w:val="21"/>
              </w:rPr>
            </w:pPr>
            <w:r>
              <w:rPr>
                <w:sz w:val="21"/>
              </w:rPr>
              <w:t>10.2 我们认可的医院</w:t>
            </w: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2.3 责任免除</w:t>
            </w:r>
          </w:p>
        </w:tc>
        <w:tc>
          <w:tcPr>
            <w:tcW w:w="3769" w:type="dxa"/>
            <w:tcBorders>
              <w:left w:val="single" w:sz="2" w:space="0" w:color="000000"/>
            </w:tcBorders>
          </w:tcPr>
          <w:p>
            <w:pPr>
              <w:pStyle w:val="TableParagraph"/>
              <w:rPr>
                <w:rFonts w:ascii="Times New Roman"/>
                <w:sz w:val="20"/>
              </w:rPr>
            </w:pPr>
          </w:p>
        </w:tc>
        <w:tc>
          <w:tcPr>
            <w:tcW w:w="3145" w:type="dxa"/>
          </w:tcPr>
          <w:p>
            <w:pPr>
              <w:pStyle w:val="TableParagraph"/>
              <w:spacing w:before="1"/>
              <w:ind w:left="319"/>
              <w:rPr>
                <w:sz w:val="21"/>
              </w:rPr>
            </w:pPr>
            <w:r>
              <w:rPr>
                <w:sz w:val="21"/>
              </w:rPr>
              <w:t>10.3 专科医生</w:t>
            </w:r>
          </w:p>
        </w:tc>
      </w:tr>
      <w:tr>
        <w:trPr>
          <w:trHeight w:val="274" w:hRule="atLeast"/>
        </w:trPr>
        <w:tc>
          <w:tcPr>
            <w:tcW w:w="3138" w:type="dxa"/>
            <w:tcBorders>
              <w:right w:val="single" w:sz="2" w:space="0" w:color="000000"/>
            </w:tcBorders>
          </w:tcPr>
          <w:p>
            <w:pPr>
              <w:pStyle w:val="TableParagraph"/>
              <w:rPr>
                <w:rFonts w:ascii="Times New Roman"/>
                <w:sz w:val="20"/>
              </w:rPr>
            </w:pPr>
          </w:p>
        </w:tc>
        <w:tc>
          <w:tcPr>
            <w:tcW w:w="3769" w:type="dxa"/>
            <w:tcBorders>
              <w:left w:val="single" w:sz="2" w:space="0" w:color="000000"/>
            </w:tcBorders>
          </w:tcPr>
          <w:p>
            <w:pPr>
              <w:pStyle w:val="TableParagraph"/>
              <w:rPr>
                <w:rFonts w:ascii="Times New Roman"/>
                <w:sz w:val="18"/>
              </w:rPr>
            </w:pPr>
          </w:p>
        </w:tc>
        <w:tc>
          <w:tcPr>
            <w:tcW w:w="3145" w:type="dxa"/>
          </w:tcPr>
          <w:p>
            <w:pPr>
              <w:pStyle w:val="TableParagraph"/>
              <w:spacing w:line="255" w:lineRule="exact"/>
              <w:ind w:left="319"/>
              <w:rPr>
                <w:sz w:val="21"/>
              </w:rPr>
            </w:pPr>
            <w:r>
              <w:rPr>
                <w:sz w:val="21"/>
              </w:rPr>
              <w:t>10.4 毒品</w:t>
            </w:r>
          </w:p>
        </w:tc>
      </w:tr>
      <w:tr>
        <w:trPr>
          <w:trHeight w:val="405" w:hRule="atLeast"/>
        </w:trPr>
        <w:tc>
          <w:tcPr>
            <w:tcW w:w="3138" w:type="dxa"/>
            <w:tcBorders>
              <w:right w:val="single" w:sz="2" w:space="0" w:color="000000"/>
            </w:tcBorders>
          </w:tcPr>
          <w:p>
            <w:pPr>
              <w:pStyle w:val="TableParagraph"/>
              <w:rPr>
                <w:rFonts w:ascii="Times New Roman"/>
                <w:sz w:val="20"/>
              </w:rPr>
            </w:pPr>
          </w:p>
        </w:tc>
        <w:tc>
          <w:tcPr>
            <w:tcW w:w="3769" w:type="dxa"/>
            <w:tcBorders>
              <w:left w:val="single" w:sz="2" w:space="0" w:color="000000"/>
            </w:tcBorders>
          </w:tcPr>
          <w:p>
            <w:pPr>
              <w:pStyle w:val="TableParagraph"/>
              <w:rPr>
                <w:rFonts w:ascii="Times New Roman"/>
                <w:sz w:val="20"/>
              </w:rPr>
            </w:pPr>
          </w:p>
        </w:tc>
        <w:tc>
          <w:tcPr>
            <w:tcW w:w="3145" w:type="dxa"/>
          </w:tcPr>
          <w:p>
            <w:pPr>
              <w:pStyle w:val="TableParagraph"/>
              <w:spacing w:before="66"/>
              <w:ind w:right="197"/>
              <w:jc w:val="right"/>
              <w:rPr>
                <w:sz w:val="21"/>
              </w:rPr>
            </w:pPr>
            <w:r>
              <w:rPr>
                <w:sz w:val="21"/>
              </w:rPr>
              <w:t>10.5 患艾滋病或感染艾滋病</w:t>
            </w:r>
          </w:p>
        </w:tc>
      </w:tr>
      <w:tr>
        <w:trPr>
          <w:trHeight w:val="326" w:hRule="atLeast"/>
        </w:trPr>
        <w:tc>
          <w:tcPr>
            <w:tcW w:w="3138" w:type="dxa"/>
            <w:tcBorders>
              <w:right w:val="single" w:sz="2" w:space="0" w:color="000000"/>
            </w:tcBorders>
          </w:tcPr>
          <w:p>
            <w:pPr>
              <w:pStyle w:val="TableParagraph"/>
              <w:spacing w:before="1"/>
              <w:ind w:left="200"/>
              <w:rPr>
                <w:b/>
                <w:sz w:val="21"/>
              </w:rPr>
            </w:pPr>
            <w:r>
              <w:rPr>
                <w:b/>
                <w:sz w:val="21"/>
              </w:rPr>
              <w:t>3 重大疾病</w:t>
            </w:r>
          </w:p>
        </w:tc>
        <w:tc>
          <w:tcPr>
            <w:tcW w:w="3769" w:type="dxa"/>
            <w:tcBorders>
              <w:left w:val="single" w:sz="2" w:space="0" w:color="000000"/>
            </w:tcBorders>
          </w:tcPr>
          <w:p>
            <w:pPr>
              <w:pStyle w:val="TableParagraph"/>
              <w:spacing w:before="1"/>
              <w:ind w:left="105"/>
              <w:rPr>
                <w:b/>
                <w:sz w:val="21"/>
              </w:rPr>
            </w:pPr>
            <w:r>
              <w:rPr>
                <w:b/>
                <w:sz w:val="21"/>
              </w:rPr>
              <w:t>7 合同解除</w:t>
            </w:r>
          </w:p>
        </w:tc>
        <w:tc>
          <w:tcPr>
            <w:tcW w:w="3145" w:type="dxa"/>
          </w:tcPr>
          <w:p>
            <w:pPr>
              <w:pStyle w:val="TableParagraph"/>
              <w:spacing w:before="1"/>
              <w:ind w:left="852"/>
              <w:rPr>
                <w:sz w:val="21"/>
              </w:rPr>
            </w:pPr>
            <w:r>
              <w:rPr>
                <w:sz w:val="21"/>
              </w:rPr>
              <w:t>病毒</w:t>
            </w:r>
          </w:p>
        </w:tc>
      </w:tr>
      <w:tr>
        <w:trPr>
          <w:trHeight w:val="325" w:hRule="atLeast"/>
        </w:trPr>
        <w:tc>
          <w:tcPr>
            <w:tcW w:w="3138" w:type="dxa"/>
            <w:tcBorders>
              <w:right w:val="single" w:sz="2" w:space="0" w:color="000000"/>
            </w:tcBorders>
          </w:tcPr>
          <w:p>
            <w:pPr>
              <w:pStyle w:val="TableParagraph"/>
              <w:spacing w:line="261" w:lineRule="exact"/>
              <w:ind w:right="828"/>
              <w:jc w:val="right"/>
              <w:rPr>
                <w:sz w:val="21"/>
              </w:rPr>
            </w:pPr>
            <w:r>
              <w:rPr>
                <w:sz w:val="21"/>
              </w:rPr>
              <w:t>3.1 重大疾病的范围</w:t>
            </w:r>
          </w:p>
        </w:tc>
        <w:tc>
          <w:tcPr>
            <w:tcW w:w="3769" w:type="dxa"/>
            <w:tcBorders>
              <w:left w:val="single" w:sz="2" w:space="0" w:color="000000"/>
            </w:tcBorders>
          </w:tcPr>
          <w:p>
            <w:pPr>
              <w:pStyle w:val="TableParagraph"/>
              <w:spacing w:line="261" w:lineRule="exact"/>
              <w:ind w:left="316"/>
              <w:rPr>
                <w:sz w:val="21"/>
              </w:rPr>
            </w:pPr>
            <w:r>
              <w:rPr>
                <w:sz w:val="21"/>
              </w:rPr>
              <w:t>7.1 犹豫期后解除合同（退保）</w:t>
            </w:r>
          </w:p>
        </w:tc>
        <w:tc>
          <w:tcPr>
            <w:tcW w:w="3145" w:type="dxa"/>
          </w:tcPr>
          <w:p>
            <w:pPr>
              <w:pStyle w:val="TableParagraph"/>
              <w:spacing w:line="261" w:lineRule="exact"/>
              <w:ind w:left="319"/>
              <w:rPr>
                <w:sz w:val="21"/>
              </w:rPr>
            </w:pPr>
            <w:r>
              <w:rPr>
                <w:sz w:val="21"/>
              </w:rPr>
              <w:t>10.6 遗传性疾病</w:t>
            </w:r>
          </w:p>
        </w:tc>
      </w:tr>
      <w:tr>
        <w:trPr>
          <w:trHeight w:val="339" w:hRule="atLeast"/>
        </w:trPr>
        <w:tc>
          <w:tcPr>
            <w:tcW w:w="3138" w:type="dxa"/>
            <w:tcBorders>
              <w:right w:val="single" w:sz="2" w:space="0" w:color="000000"/>
            </w:tcBorders>
          </w:tcPr>
          <w:p>
            <w:pPr>
              <w:pStyle w:val="TableParagraph"/>
              <w:ind w:right="828"/>
              <w:jc w:val="right"/>
              <w:rPr>
                <w:sz w:val="21"/>
              </w:rPr>
            </w:pPr>
            <w:r>
              <w:rPr>
                <w:sz w:val="21"/>
              </w:rPr>
              <w:t>3.2 重大疾病的定义</w:t>
            </w:r>
          </w:p>
        </w:tc>
        <w:tc>
          <w:tcPr>
            <w:tcW w:w="3769" w:type="dxa"/>
            <w:tcBorders>
              <w:left w:val="single" w:sz="2" w:space="0" w:color="000000"/>
            </w:tcBorders>
          </w:tcPr>
          <w:p>
            <w:pPr>
              <w:pStyle w:val="TableParagraph"/>
              <w:ind w:left="739"/>
              <w:rPr>
                <w:sz w:val="21"/>
              </w:rPr>
            </w:pPr>
            <w:r>
              <w:rPr>
                <w:sz w:val="21"/>
              </w:rPr>
              <w:t>的手续及风险</w:t>
            </w:r>
          </w:p>
        </w:tc>
        <w:tc>
          <w:tcPr>
            <w:tcW w:w="3145" w:type="dxa"/>
          </w:tcPr>
          <w:p>
            <w:pPr>
              <w:pStyle w:val="TableParagraph"/>
              <w:ind w:right="197"/>
              <w:jc w:val="right"/>
              <w:rPr>
                <w:sz w:val="21"/>
              </w:rPr>
            </w:pPr>
            <w:r>
              <w:rPr>
                <w:sz w:val="21"/>
              </w:rPr>
              <w:t>10.7 先天性畸形、变形或染</w:t>
            </w:r>
          </w:p>
        </w:tc>
      </w:tr>
      <w:tr>
        <w:trPr>
          <w:trHeight w:val="340" w:hRule="atLeast"/>
        </w:trPr>
        <w:tc>
          <w:tcPr>
            <w:tcW w:w="3138" w:type="dxa"/>
            <w:tcBorders>
              <w:right w:val="single" w:sz="2" w:space="0" w:color="000000"/>
            </w:tcBorders>
          </w:tcPr>
          <w:p>
            <w:pPr>
              <w:pStyle w:val="TableParagraph"/>
              <w:rPr>
                <w:rFonts w:ascii="Times New Roman"/>
                <w:sz w:val="20"/>
              </w:rPr>
            </w:pPr>
          </w:p>
        </w:tc>
        <w:tc>
          <w:tcPr>
            <w:tcW w:w="3769" w:type="dxa"/>
            <w:tcBorders>
              <w:left w:val="single" w:sz="2" w:space="0" w:color="000000"/>
            </w:tcBorders>
          </w:tcPr>
          <w:p>
            <w:pPr>
              <w:pStyle w:val="TableParagraph"/>
              <w:rPr>
                <w:rFonts w:ascii="Times New Roman"/>
                <w:sz w:val="20"/>
              </w:rPr>
            </w:pPr>
          </w:p>
        </w:tc>
        <w:tc>
          <w:tcPr>
            <w:tcW w:w="3145" w:type="dxa"/>
          </w:tcPr>
          <w:p>
            <w:pPr>
              <w:pStyle w:val="TableParagraph"/>
              <w:spacing w:before="1"/>
              <w:ind w:left="852"/>
              <w:rPr>
                <w:sz w:val="21"/>
              </w:rPr>
            </w:pPr>
            <w:r>
              <w:rPr>
                <w:sz w:val="21"/>
              </w:rPr>
              <w:t>色体异常</w:t>
            </w:r>
          </w:p>
        </w:tc>
      </w:tr>
      <w:tr>
        <w:trPr>
          <w:trHeight w:val="339" w:hRule="atLeast"/>
        </w:trPr>
        <w:tc>
          <w:tcPr>
            <w:tcW w:w="3138" w:type="dxa"/>
            <w:tcBorders>
              <w:right w:val="single" w:sz="2" w:space="0" w:color="000000"/>
            </w:tcBorders>
          </w:tcPr>
          <w:p>
            <w:pPr>
              <w:pStyle w:val="TableParagraph"/>
              <w:rPr>
                <w:rFonts w:ascii="Times New Roman"/>
                <w:sz w:val="20"/>
              </w:rPr>
            </w:pPr>
          </w:p>
        </w:tc>
        <w:tc>
          <w:tcPr>
            <w:tcW w:w="3769" w:type="dxa"/>
            <w:tcBorders>
              <w:left w:val="single" w:sz="2" w:space="0" w:color="000000"/>
            </w:tcBorders>
          </w:tcPr>
          <w:p>
            <w:pPr>
              <w:pStyle w:val="TableParagraph"/>
              <w:rPr>
                <w:rFonts w:ascii="Times New Roman"/>
                <w:sz w:val="20"/>
              </w:rPr>
            </w:pPr>
          </w:p>
        </w:tc>
        <w:tc>
          <w:tcPr>
            <w:tcW w:w="3145" w:type="dxa"/>
          </w:tcPr>
          <w:p>
            <w:pPr>
              <w:pStyle w:val="TableParagraph"/>
              <w:spacing w:before="1"/>
              <w:ind w:right="197"/>
              <w:jc w:val="right"/>
              <w:rPr>
                <w:sz w:val="21"/>
              </w:rPr>
            </w:pPr>
            <w:r>
              <w:rPr>
                <w:sz w:val="21"/>
              </w:rPr>
              <w:t>10.8 六项基本日常生活活动</w:t>
            </w:r>
          </w:p>
        </w:tc>
      </w:tr>
      <w:tr>
        <w:trPr>
          <w:trHeight w:val="339" w:hRule="atLeast"/>
        </w:trPr>
        <w:tc>
          <w:tcPr>
            <w:tcW w:w="3138" w:type="dxa"/>
            <w:tcBorders>
              <w:right w:val="single" w:sz="2" w:space="0" w:color="000000"/>
            </w:tcBorders>
          </w:tcPr>
          <w:p>
            <w:pPr>
              <w:pStyle w:val="TableParagraph"/>
              <w:ind w:left="200"/>
              <w:rPr>
                <w:b/>
                <w:sz w:val="21"/>
              </w:rPr>
            </w:pPr>
            <w:r>
              <w:rPr>
                <w:b/>
                <w:sz w:val="21"/>
              </w:rPr>
              <w:t>4 豁免保险费申请</w:t>
            </w:r>
          </w:p>
        </w:tc>
        <w:tc>
          <w:tcPr>
            <w:tcW w:w="3769" w:type="dxa"/>
            <w:tcBorders>
              <w:left w:val="single" w:sz="2" w:space="0" w:color="000000"/>
            </w:tcBorders>
          </w:tcPr>
          <w:p>
            <w:pPr>
              <w:pStyle w:val="TableParagraph"/>
              <w:ind w:left="105"/>
              <w:rPr>
                <w:b/>
                <w:sz w:val="21"/>
              </w:rPr>
            </w:pPr>
            <w:r>
              <w:rPr>
                <w:b/>
                <w:sz w:val="21"/>
              </w:rPr>
              <w:t>8 如实告知</w:t>
            </w:r>
          </w:p>
        </w:tc>
        <w:tc>
          <w:tcPr>
            <w:tcW w:w="3145" w:type="dxa"/>
          </w:tcPr>
          <w:p>
            <w:pPr>
              <w:pStyle w:val="TableParagraph"/>
              <w:ind w:left="319"/>
              <w:rPr>
                <w:sz w:val="21"/>
              </w:rPr>
            </w:pPr>
            <w:r>
              <w:rPr>
                <w:sz w:val="21"/>
              </w:rPr>
              <w:t>10.9 肢体机能完全丧失</w:t>
            </w:r>
          </w:p>
        </w:tc>
      </w:tr>
      <w:tr>
        <w:trPr>
          <w:trHeight w:val="341" w:hRule="atLeast"/>
        </w:trPr>
        <w:tc>
          <w:tcPr>
            <w:tcW w:w="3138" w:type="dxa"/>
            <w:tcBorders>
              <w:right w:val="single" w:sz="2" w:space="0" w:color="000000"/>
            </w:tcBorders>
          </w:tcPr>
          <w:p>
            <w:pPr>
              <w:pStyle w:val="TableParagraph"/>
              <w:spacing w:before="1"/>
              <w:ind w:right="828"/>
              <w:jc w:val="right"/>
              <w:rPr>
                <w:sz w:val="21"/>
              </w:rPr>
            </w:pPr>
            <w:r>
              <w:rPr>
                <w:sz w:val="21"/>
              </w:rPr>
              <w:t>4.1 豁免保险费申请</w:t>
            </w:r>
          </w:p>
        </w:tc>
        <w:tc>
          <w:tcPr>
            <w:tcW w:w="3769" w:type="dxa"/>
            <w:tcBorders>
              <w:left w:val="single" w:sz="2" w:space="0" w:color="000000"/>
            </w:tcBorders>
          </w:tcPr>
          <w:p>
            <w:pPr>
              <w:pStyle w:val="TableParagraph"/>
              <w:spacing w:before="1"/>
              <w:ind w:left="316"/>
              <w:rPr>
                <w:sz w:val="21"/>
              </w:rPr>
            </w:pPr>
            <w:r>
              <w:rPr>
                <w:sz w:val="21"/>
              </w:rPr>
              <w:t>8.1 明确说明与如实告知</w:t>
            </w:r>
          </w:p>
        </w:tc>
        <w:tc>
          <w:tcPr>
            <w:tcW w:w="3145" w:type="dxa"/>
          </w:tcPr>
          <w:p>
            <w:pPr>
              <w:pStyle w:val="TableParagraph"/>
              <w:spacing w:before="1"/>
              <w:ind w:left="319"/>
              <w:rPr>
                <w:sz w:val="21"/>
              </w:rPr>
            </w:pPr>
            <w:r>
              <w:rPr>
                <w:sz w:val="21"/>
              </w:rPr>
              <w:t>10.10 语言能力或咀嚼吞咽</w:t>
            </w: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4.2 保险费的豁免</w:t>
            </w:r>
          </w:p>
        </w:tc>
        <w:tc>
          <w:tcPr>
            <w:tcW w:w="3769" w:type="dxa"/>
            <w:tcBorders>
              <w:left w:val="single" w:sz="2" w:space="0" w:color="000000"/>
            </w:tcBorders>
          </w:tcPr>
          <w:p>
            <w:pPr>
              <w:pStyle w:val="TableParagraph"/>
              <w:spacing w:before="1"/>
              <w:ind w:left="316"/>
              <w:rPr>
                <w:sz w:val="21"/>
              </w:rPr>
            </w:pPr>
            <w:r>
              <w:rPr>
                <w:sz w:val="21"/>
              </w:rPr>
              <w:t>8.2 本公司合同解除权的限制</w:t>
            </w:r>
          </w:p>
        </w:tc>
        <w:tc>
          <w:tcPr>
            <w:tcW w:w="3145" w:type="dxa"/>
          </w:tcPr>
          <w:p>
            <w:pPr>
              <w:pStyle w:val="TableParagraph"/>
              <w:spacing w:before="1"/>
              <w:ind w:left="950"/>
              <w:rPr>
                <w:sz w:val="21"/>
              </w:rPr>
            </w:pPr>
            <w:r>
              <w:rPr>
                <w:sz w:val="21"/>
              </w:rPr>
              <w:t>能力完全丧失</w:t>
            </w:r>
          </w:p>
        </w:tc>
      </w:tr>
      <w:tr>
        <w:trPr>
          <w:trHeight w:val="1373" w:hRule="atLeast"/>
        </w:trPr>
        <w:tc>
          <w:tcPr>
            <w:tcW w:w="3138" w:type="dxa"/>
            <w:tcBorders>
              <w:right w:val="single" w:sz="2" w:space="0" w:color="000000"/>
            </w:tcBorders>
          </w:tcPr>
          <w:p>
            <w:pPr>
              <w:pStyle w:val="TableParagraph"/>
              <w:ind w:left="411"/>
              <w:rPr>
                <w:sz w:val="21"/>
              </w:rPr>
            </w:pPr>
            <w:r>
              <w:rPr>
                <w:sz w:val="21"/>
              </w:rPr>
              <w:t>4.3 诉讼时效</w:t>
            </w:r>
          </w:p>
        </w:tc>
        <w:tc>
          <w:tcPr>
            <w:tcW w:w="3769" w:type="dxa"/>
            <w:tcBorders>
              <w:left w:val="single" w:sz="2" w:space="0" w:color="000000"/>
            </w:tcBorders>
          </w:tcPr>
          <w:p>
            <w:pPr>
              <w:pStyle w:val="TableParagraph"/>
              <w:rPr>
                <w:rFonts w:ascii="Times New Roman"/>
                <w:sz w:val="20"/>
              </w:rPr>
            </w:pPr>
          </w:p>
        </w:tc>
        <w:tc>
          <w:tcPr>
            <w:tcW w:w="3145" w:type="dxa"/>
          </w:tcPr>
          <w:p>
            <w:pPr>
              <w:pStyle w:val="TableParagraph"/>
              <w:ind w:left="319"/>
              <w:rPr>
                <w:sz w:val="21"/>
              </w:rPr>
            </w:pPr>
            <w:r>
              <w:rPr>
                <w:sz w:val="21"/>
              </w:rPr>
              <w:t>10.11 永久不可逆</w:t>
            </w:r>
          </w:p>
        </w:tc>
      </w:tr>
    </w:tbl>
    <w:p>
      <w:pPr>
        <w:spacing w:after="0"/>
        <w:rPr>
          <w:sz w:val="21"/>
        </w:rPr>
        <w:sectPr>
          <w:pgSz w:w="11910" w:h="16840"/>
          <w:pgMar w:top="1140" w:bottom="280" w:left="820" w:right="820"/>
        </w:sectPr>
      </w:pPr>
    </w:p>
    <w:p>
      <w:pPr>
        <w:pStyle w:val="BodyText"/>
        <w:spacing w:before="1"/>
        <w:rPr>
          <w:rFonts w:ascii="微软雅黑"/>
          <w:b/>
          <w:sz w:val="22"/>
        </w:rPr>
      </w:pPr>
    </w:p>
    <w:p>
      <w:pPr>
        <w:pStyle w:val="Heading1"/>
        <w:spacing w:before="1"/>
        <w:ind w:left="1650"/>
        <w:rPr>
          <w:rFonts w:ascii="黑体" w:eastAsia="黑体" w:hint="eastAsia"/>
        </w:rPr>
      </w:pPr>
      <w:r>
        <w:rPr>
          <w:rFonts w:ascii="黑体" w:eastAsia="黑体" w:hint="eastAsia"/>
        </w:rPr>
        <w:t>阳光人寿附加豁免保险费重大疾病保险 A 款条款</w:t>
      </w:r>
    </w:p>
    <w:p>
      <w:pPr>
        <w:pStyle w:val="BodyText"/>
        <w:spacing w:before="9"/>
        <w:rPr>
          <w:rFonts w:ascii="黑体"/>
          <w:b/>
          <w:sz w:val="34"/>
        </w:rPr>
      </w:pPr>
    </w:p>
    <w:p>
      <w:pPr>
        <w:pStyle w:val="BodyText"/>
        <w:spacing w:line="273" w:lineRule="auto"/>
        <w:ind w:left="220" w:right="30"/>
      </w:pPr>
      <w:r>
        <w:rPr>
          <w:w w:val="100"/>
        </w:rPr>
        <w:t>在本条款中，“您”指投保人，“我们”、“本公司”均指阳光人寿保险股份有限公司，“本附加合同”指</w:t>
      </w:r>
      <w:r>
        <w:rPr/>
        <w:t>您与我们之间订立的“阳光人寿附加豁免保险费重大疾病保险 A 款合同”。</w:t>
      </w:r>
    </w:p>
    <w:p>
      <w:pPr>
        <w:pStyle w:val="BodyText"/>
        <w:rPr>
          <w:sz w:val="20"/>
        </w:rPr>
      </w:pPr>
    </w:p>
    <w:p>
      <w:pPr>
        <w:pStyle w:val="BodyText"/>
        <w:spacing w:before="6"/>
        <w:rPr>
          <w:sz w:val="29"/>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0"/>
        <w:gridCol w:w="1724"/>
        <w:gridCol w:w="7304"/>
      </w:tblGrid>
      <w:tr>
        <w:trPr>
          <w:trHeight w:val="451" w:hRule="atLeast"/>
        </w:trPr>
        <w:tc>
          <w:tcPr>
            <w:tcW w:w="840" w:type="dxa"/>
            <w:tcBorders>
              <w:bottom w:val="double" w:sz="1" w:space="0" w:color="000000"/>
            </w:tcBorders>
          </w:tcPr>
          <w:p>
            <w:pPr>
              <w:pStyle w:val="TableParagraph"/>
              <w:spacing w:line="281" w:lineRule="exact"/>
              <w:ind w:left="107"/>
              <w:rPr>
                <w:b/>
                <w:sz w:val="28"/>
              </w:rPr>
            </w:pPr>
            <w:r>
              <w:rPr>
                <w:b/>
                <w:w w:val="99"/>
                <w:sz w:val="28"/>
              </w:rPr>
              <w:t>1</w:t>
            </w:r>
          </w:p>
        </w:tc>
        <w:tc>
          <w:tcPr>
            <w:tcW w:w="9028" w:type="dxa"/>
            <w:gridSpan w:val="2"/>
            <w:tcBorders>
              <w:bottom w:val="double" w:sz="1" w:space="0" w:color="000000"/>
            </w:tcBorders>
          </w:tcPr>
          <w:p>
            <w:pPr>
              <w:pStyle w:val="TableParagraph"/>
              <w:spacing w:line="281" w:lineRule="exact"/>
              <w:ind w:left="415"/>
              <w:rPr>
                <w:b/>
                <w:sz w:val="28"/>
              </w:rPr>
            </w:pPr>
            <w:r>
              <w:rPr>
                <w:b/>
                <w:w w:val="95"/>
                <w:sz w:val="28"/>
              </w:rPr>
              <w:t>您与我们订立的合同</w:t>
            </w:r>
          </w:p>
        </w:tc>
      </w:tr>
      <w:tr>
        <w:trPr>
          <w:trHeight w:val="935" w:hRule="atLeast"/>
        </w:trPr>
        <w:tc>
          <w:tcPr>
            <w:tcW w:w="840" w:type="dxa"/>
            <w:tcBorders>
              <w:top w:val="double" w:sz="1" w:space="0" w:color="000000"/>
            </w:tcBorders>
          </w:tcPr>
          <w:p>
            <w:pPr>
              <w:pStyle w:val="TableParagraph"/>
              <w:rPr>
                <w:sz w:val="14"/>
              </w:rPr>
            </w:pPr>
          </w:p>
          <w:p>
            <w:pPr>
              <w:pStyle w:val="TableParagraph"/>
              <w:ind w:left="107"/>
              <w:rPr>
                <w:b/>
                <w:sz w:val="21"/>
              </w:rPr>
            </w:pPr>
            <w:r>
              <w:rPr>
                <w:b/>
                <w:sz w:val="21"/>
              </w:rPr>
              <w:t>1.1</w:t>
            </w:r>
          </w:p>
        </w:tc>
        <w:tc>
          <w:tcPr>
            <w:tcW w:w="1724" w:type="dxa"/>
            <w:tcBorders>
              <w:top w:val="double" w:sz="1" w:space="0" w:color="000000"/>
            </w:tcBorders>
          </w:tcPr>
          <w:p>
            <w:pPr>
              <w:pStyle w:val="TableParagraph"/>
              <w:rPr>
                <w:sz w:val="14"/>
              </w:rPr>
            </w:pPr>
          </w:p>
          <w:p>
            <w:pPr>
              <w:pStyle w:val="TableParagraph"/>
              <w:ind w:left="415"/>
              <w:rPr>
                <w:b/>
                <w:sz w:val="21"/>
              </w:rPr>
            </w:pPr>
            <w:r>
              <w:rPr>
                <w:b/>
                <w:sz w:val="21"/>
              </w:rPr>
              <w:t>合同订立</w:t>
            </w:r>
          </w:p>
        </w:tc>
        <w:tc>
          <w:tcPr>
            <w:tcW w:w="7304" w:type="dxa"/>
            <w:tcBorders>
              <w:top w:val="double" w:sz="1" w:space="0" w:color="000000"/>
            </w:tcBorders>
          </w:tcPr>
          <w:p>
            <w:pPr>
              <w:pStyle w:val="TableParagraph"/>
              <w:rPr>
                <w:sz w:val="14"/>
              </w:rPr>
            </w:pPr>
          </w:p>
          <w:p>
            <w:pPr>
              <w:pStyle w:val="TableParagraph"/>
              <w:spacing w:line="273" w:lineRule="auto"/>
              <w:ind w:left="256" w:right="107"/>
              <w:rPr>
                <w:sz w:val="21"/>
              </w:rPr>
            </w:pPr>
            <w:r>
              <w:rPr>
                <w:sz w:val="21"/>
              </w:rPr>
              <w:t>本附加合同由主合同投保人提出申请，经我们同意而订立。本附加合同须附加于主合同后始为有效。</w:t>
            </w:r>
          </w:p>
        </w:tc>
      </w:tr>
      <w:tr>
        <w:trPr>
          <w:trHeight w:val="1475" w:hRule="atLeast"/>
        </w:trPr>
        <w:tc>
          <w:tcPr>
            <w:tcW w:w="840" w:type="dxa"/>
          </w:tcPr>
          <w:p>
            <w:pPr>
              <w:pStyle w:val="TableParagraph"/>
              <w:spacing w:before="100"/>
              <w:ind w:left="107"/>
              <w:rPr>
                <w:b/>
                <w:sz w:val="21"/>
              </w:rPr>
            </w:pPr>
            <w:r>
              <w:rPr>
                <w:b/>
                <w:sz w:val="21"/>
              </w:rPr>
              <w:t>1.2</w:t>
            </w:r>
          </w:p>
        </w:tc>
        <w:tc>
          <w:tcPr>
            <w:tcW w:w="1724" w:type="dxa"/>
          </w:tcPr>
          <w:p>
            <w:pPr>
              <w:pStyle w:val="TableParagraph"/>
              <w:spacing w:before="100"/>
              <w:ind w:left="415"/>
              <w:rPr>
                <w:b/>
                <w:sz w:val="21"/>
              </w:rPr>
            </w:pPr>
            <w:r>
              <w:rPr>
                <w:b/>
                <w:sz w:val="21"/>
              </w:rPr>
              <w:t>合同生效</w:t>
            </w:r>
          </w:p>
        </w:tc>
        <w:tc>
          <w:tcPr>
            <w:tcW w:w="7304" w:type="dxa"/>
          </w:tcPr>
          <w:p>
            <w:pPr>
              <w:pStyle w:val="TableParagraph"/>
              <w:spacing w:line="273" w:lineRule="auto" w:before="100"/>
              <w:ind w:left="256" w:right="100"/>
              <w:rPr>
                <w:sz w:val="21"/>
              </w:rPr>
            </w:pPr>
            <w:r>
              <w:rPr>
                <w:spacing w:val="-3"/>
                <w:sz w:val="21"/>
              </w:rPr>
              <w:t>如果本附加合同与主合同同时投保，本附加合同的生效日与主合同相同。 如果您在主合同有效期内投保本附加合同，本附加合同生效日以批注所载的日期为准。</w:t>
            </w:r>
          </w:p>
          <w:p>
            <w:pPr>
              <w:pStyle w:val="TableParagraph"/>
              <w:spacing w:before="7"/>
              <w:ind w:left="256"/>
              <w:rPr>
                <w:sz w:val="21"/>
              </w:rPr>
            </w:pPr>
            <w:r>
              <w:rPr>
                <w:sz w:val="21"/>
              </w:rPr>
              <w:t>本附加合同的保单年度、保险费约定交纳日均以生效日起算。</w:t>
            </w:r>
          </w:p>
        </w:tc>
      </w:tr>
      <w:tr>
        <w:trPr>
          <w:trHeight w:val="535" w:hRule="atLeast"/>
        </w:trPr>
        <w:tc>
          <w:tcPr>
            <w:tcW w:w="840" w:type="dxa"/>
          </w:tcPr>
          <w:p>
            <w:pPr>
              <w:pStyle w:val="TableParagraph"/>
              <w:spacing w:before="99"/>
              <w:ind w:left="107"/>
              <w:rPr>
                <w:b/>
                <w:sz w:val="21"/>
              </w:rPr>
            </w:pPr>
            <w:r>
              <w:rPr>
                <w:b/>
                <w:sz w:val="21"/>
              </w:rPr>
              <w:t>1.3</w:t>
            </w:r>
          </w:p>
        </w:tc>
        <w:tc>
          <w:tcPr>
            <w:tcW w:w="1724" w:type="dxa"/>
          </w:tcPr>
          <w:p>
            <w:pPr>
              <w:pStyle w:val="TableParagraph"/>
              <w:spacing w:before="99"/>
              <w:ind w:left="415"/>
              <w:rPr>
                <w:b/>
                <w:sz w:val="21"/>
              </w:rPr>
            </w:pPr>
            <w:r>
              <w:rPr>
                <w:b/>
                <w:sz w:val="21"/>
              </w:rPr>
              <w:t>投保对象</w:t>
            </w:r>
          </w:p>
        </w:tc>
        <w:tc>
          <w:tcPr>
            <w:tcW w:w="7304" w:type="dxa"/>
          </w:tcPr>
          <w:p>
            <w:pPr>
              <w:pStyle w:val="TableParagraph"/>
              <w:spacing w:before="99"/>
              <w:ind w:left="256"/>
              <w:rPr>
                <w:sz w:val="21"/>
              </w:rPr>
            </w:pPr>
            <w:r>
              <w:rPr>
                <w:sz w:val="21"/>
              </w:rPr>
              <w:t>主合同的被保险人为本附加合同的被保险人。</w:t>
            </w:r>
          </w:p>
        </w:tc>
      </w:tr>
      <w:tr>
        <w:trPr>
          <w:trHeight w:val="2276" w:hRule="atLeast"/>
        </w:trPr>
        <w:tc>
          <w:tcPr>
            <w:tcW w:w="840" w:type="dxa"/>
          </w:tcPr>
          <w:p>
            <w:pPr>
              <w:pStyle w:val="TableParagraph"/>
              <w:spacing w:before="104"/>
              <w:ind w:left="107"/>
              <w:rPr>
                <w:b/>
                <w:sz w:val="21"/>
              </w:rPr>
            </w:pPr>
            <w:r>
              <w:rPr>
                <w:b/>
                <w:sz w:val="21"/>
              </w:rPr>
              <w:t>1.4</w:t>
            </w:r>
          </w:p>
        </w:tc>
        <w:tc>
          <w:tcPr>
            <w:tcW w:w="1724" w:type="dxa"/>
          </w:tcPr>
          <w:p>
            <w:pPr>
              <w:pStyle w:val="TableParagraph"/>
              <w:spacing w:before="104"/>
              <w:ind w:left="415"/>
              <w:rPr>
                <w:b/>
                <w:sz w:val="21"/>
              </w:rPr>
            </w:pPr>
            <w:r>
              <w:rPr>
                <w:b/>
                <w:sz w:val="21"/>
              </w:rPr>
              <w:t>犹豫期</w:t>
            </w:r>
          </w:p>
        </w:tc>
        <w:tc>
          <w:tcPr>
            <w:tcW w:w="7304" w:type="dxa"/>
          </w:tcPr>
          <w:p>
            <w:pPr>
              <w:pStyle w:val="TableParagraph"/>
              <w:spacing w:before="104"/>
              <w:ind w:left="256"/>
              <w:rPr>
                <w:sz w:val="21"/>
              </w:rPr>
            </w:pPr>
            <w:r>
              <w:rPr>
                <w:spacing w:val="-8"/>
                <w:sz w:val="21"/>
              </w:rPr>
              <w:t>自您签收本附加合同的次日起，有 </w:t>
            </w:r>
            <w:r>
              <w:rPr>
                <w:rFonts w:ascii="Times New Roman" w:eastAsia="Times New Roman"/>
                <w:sz w:val="21"/>
              </w:rPr>
              <w:t>10 </w:t>
            </w:r>
            <w:r>
              <w:rPr>
                <w:spacing w:val="-10"/>
                <w:sz w:val="21"/>
              </w:rPr>
              <w:t>日的犹豫期。在此期间，您可以提出解</w:t>
            </w:r>
          </w:p>
          <w:p>
            <w:pPr>
              <w:pStyle w:val="TableParagraph"/>
              <w:spacing w:line="256" w:lineRule="auto" w:before="21"/>
              <w:ind w:left="256" w:right="102"/>
              <w:rPr>
                <w:sz w:val="21"/>
              </w:rPr>
            </w:pPr>
            <w:r>
              <w:rPr>
                <w:spacing w:val="-14"/>
                <w:sz w:val="21"/>
              </w:rPr>
              <w:t>除本附加合同，我们将在扣除不超过 </w:t>
            </w:r>
            <w:r>
              <w:rPr>
                <w:rFonts w:ascii="Times New Roman" w:eastAsia="Times New Roman"/>
                <w:sz w:val="21"/>
              </w:rPr>
              <w:t>10 </w:t>
            </w:r>
            <w:r>
              <w:rPr>
                <w:spacing w:val="-3"/>
                <w:sz w:val="21"/>
              </w:rPr>
              <w:t>元的工本费后无息退还您所交纳的保险费。</w:t>
            </w:r>
          </w:p>
          <w:p>
            <w:pPr>
              <w:pStyle w:val="TableParagraph"/>
              <w:spacing w:line="273" w:lineRule="auto" w:before="22"/>
              <w:ind w:left="256" w:right="-15"/>
              <w:rPr>
                <w:sz w:val="21"/>
              </w:rPr>
            </w:pPr>
            <w:r>
              <w:rPr>
                <w:spacing w:val="-11"/>
                <w:sz w:val="21"/>
              </w:rPr>
              <w:t>解除合同时，您需要填写申请书，并提供您的保险合同及法定有效身份证明。</w:t>
            </w:r>
            <w:r>
              <w:rPr>
                <w:spacing w:val="-6"/>
                <w:sz w:val="21"/>
              </w:rPr>
              <w:t>自您书面申请解除合同之日起，本附加合同即被解除，我们自始不承担保险责任。</w:t>
            </w:r>
          </w:p>
        </w:tc>
      </w:tr>
      <w:tr>
        <w:trPr>
          <w:trHeight w:val="789" w:hRule="atLeast"/>
        </w:trPr>
        <w:tc>
          <w:tcPr>
            <w:tcW w:w="840" w:type="dxa"/>
            <w:tcBorders>
              <w:bottom w:val="double" w:sz="1" w:space="0" w:color="000000"/>
            </w:tcBorders>
          </w:tcPr>
          <w:p>
            <w:pPr>
              <w:pStyle w:val="TableParagraph"/>
              <w:spacing w:before="251"/>
              <w:ind w:left="107"/>
              <w:rPr>
                <w:b/>
                <w:sz w:val="28"/>
              </w:rPr>
            </w:pPr>
            <w:r>
              <w:rPr>
                <w:b/>
                <w:w w:val="99"/>
                <w:sz w:val="28"/>
              </w:rPr>
              <w:t>2</w:t>
            </w:r>
          </w:p>
        </w:tc>
        <w:tc>
          <w:tcPr>
            <w:tcW w:w="9028" w:type="dxa"/>
            <w:gridSpan w:val="2"/>
            <w:tcBorders>
              <w:bottom w:val="double" w:sz="1" w:space="0" w:color="000000"/>
            </w:tcBorders>
          </w:tcPr>
          <w:p>
            <w:pPr>
              <w:pStyle w:val="TableParagraph"/>
              <w:spacing w:before="251"/>
              <w:ind w:left="415"/>
              <w:rPr>
                <w:b/>
                <w:sz w:val="28"/>
              </w:rPr>
            </w:pPr>
            <w:r>
              <w:rPr>
                <w:b/>
                <w:w w:val="95"/>
                <w:sz w:val="28"/>
              </w:rPr>
              <w:t>我们提供的保障</w:t>
            </w:r>
          </w:p>
        </w:tc>
      </w:tr>
      <w:tr>
        <w:trPr>
          <w:trHeight w:val="2444" w:hRule="atLeast"/>
        </w:trPr>
        <w:tc>
          <w:tcPr>
            <w:tcW w:w="840" w:type="dxa"/>
            <w:tcBorders>
              <w:top w:val="double" w:sz="1" w:space="0" w:color="000000"/>
            </w:tcBorders>
          </w:tcPr>
          <w:p>
            <w:pPr>
              <w:pStyle w:val="TableParagraph"/>
              <w:spacing w:before="133"/>
              <w:ind w:left="107"/>
              <w:rPr>
                <w:b/>
                <w:sz w:val="21"/>
              </w:rPr>
            </w:pPr>
            <w:r>
              <w:rPr>
                <w:b/>
                <w:sz w:val="21"/>
              </w:rPr>
              <w:t>2.1</w:t>
            </w:r>
          </w:p>
        </w:tc>
        <w:tc>
          <w:tcPr>
            <w:tcW w:w="1724" w:type="dxa"/>
            <w:tcBorders>
              <w:top w:val="double" w:sz="1" w:space="0" w:color="000000"/>
            </w:tcBorders>
          </w:tcPr>
          <w:p>
            <w:pPr>
              <w:pStyle w:val="TableParagraph"/>
              <w:spacing w:before="133"/>
              <w:ind w:left="415"/>
              <w:rPr>
                <w:b/>
                <w:sz w:val="21"/>
              </w:rPr>
            </w:pPr>
            <w:r>
              <w:rPr>
                <w:b/>
                <w:sz w:val="21"/>
              </w:rPr>
              <w:t>保险期间</w:t>
            </w:r>
          </w:p>
        </w:tc>
        <w:tc>
          <w:tcPr>
            <w:tcW w:w="7304" w:type="dxa"/>
            <w:tcBorders>
              <w:top w:val="double" w:sz="1" w:space="0" w:color="000000"/>
            </w:tcBorders>
          </w:tcPr>
          <w:p>
            <w:pPr>
              <w:pStyle w:val="TableParagraph"/>
              <w:spacing w:before="133"/>
              <w:ind w:left="256"/>
              <w:rPr>
                <w:sz w:val="21"/>
              </w:rPr>
            </w:pPr>
            <w:r>
              <w:rPr>
                <w:sz w:val="21"/>
              </w:rPr>
              <w:t>本附加合同可附加于主合同或保险期间超过 </w:t>
            </w:r>
            <w:r>
              <w:rPr>
                <w:rFonts w:ascii="Times New Roman" w:eastAsia="Times New Roman"/>
                <w:sz w:val="21"/>
              </w:rPr>
              <w:t>1  </w:t>
            </w:r>
            <w:r>
              <w:rPr>
                <w:sz w:val="21"/>
              </w:rPr>
              <w:t>年的其他附加合同（不包括保</w:t>
            </w:r>
          </w:p>
          <w:p>
            <w:pPr>
              <w:pStyle w:val="TableParagraph"/>
              <w:spacing w:before="21"/>
              <w:ind w:left="256"/>
              <w:rPr>
                <w:sz w:val="21"/>
              </w:rPr>
            </w:pPr>
            <w:r>
              <w:rPr>
                <w:spacing w:val="-10"/>
                <w:sz w:val="21"/>
              </w:rPr>
              <w:t>险期间为 </w:t>
            </w:r>
            <w:r>
              <w:rPr>
                <w:sz w:val="21"/>
              </w:rPr>
              <w:t>1</w:t>
            </w:r>
            <w:r>
              <w:rPr>
                <w:spacing w:val="-8"/>
                <w:sz w:val="21"/>
              </w:rPr>
              <w:t> 年的保证续保附加合同</w:t>
            </w:r>
            <w:r>
              <w:rPr>
                <w:spacing w:val="-108"/>
                <w:sz w:val="21"/>
              </w:rPr>
              <w:t>）</w:t>
            </w:r>
            <w:r>
              <w:rPr>
                <w:sz w:val="21"/>
              </w:rPr>
              <w:t>。</w:t>
            </w:r>
          </w:p>
          <w:p>
            <w:pPr>
              <w:pStyle w:val="TableParagraph"/>
              <w:spacing w:line="273" w:lineRule="auto" w:before="37"/>
              <w:ind w:left="256" w:right="100"/>
              <w:jc w:val="both"/>
              <w:rPr>
                <w:sz w:val="21"/>
              </w:rPr>
            </w:pPr>
            <w:r>
              <w:rPr>
                <w:sz w:val="21"/>
              </w:rPr>
              <w:t>如果主合同或其他附加合同交费期间为终身的，本附加合同的保险期间需要由您与我们约定并在保险单上载明。</w:t>
            </w:r>
          </w:p>
          <w:p>
            <w:pPr>
              <w:pStyle w:val="TableParagraph"/>
              <w:spacing w:line="273" w:lineRule="auto" w:before="7"/>
              <w:ind w:left="256" w:right="100"/>
              <w:jc w:val="both"/>
              <w:rPr>
                <w:sz w:val="21"/>
              </w:rPr>
            </w:pPr>
            <w:r>
              <w:rPr>
                <w:sz w:val="21"/>
              </w:rPr>
              <w:t>如果主合同或其他附加合同交费期间不为终身的，本附加合同的保险期间自本附加合同生效之日起至主合同或其他附加合同最后一期保险费的约定交纳日止。</w:t>
            </w:r>
          </w:p>
        </w:tc>
      </w:tr>
      <w:tr>
        <w:trPr>
          <w:trHeight w:val="2772" w:hRule="atLeast"/>
        </w:trPr>
        <w:tc>
          <w:tcPr>
            <w:tcW w:w="840" w:type="dxa"/>
          </w:tcPr>
          <w:p>
            <w:pPr>
              <w:pStyle w:val="TableParagraph"/>
              <w:spacing w:before="100"/>
              <w:ind w:left="107"/>
              <w:rPr>
                <w:b/>
                <w:sz w:val="21"/>
              </w:rPr>
            </w:pPr>
            <w:r>
              <w:rPr>
                <w:b/>
                <w:sz w:val="21"/>
              </w:rPr>
              <w:t>2.2</w:t>
            </w:r>
          </w:p>
        </w:tc>
        <w:tc>
          <w:tcPr>
            <w:tcW w:w="1724" w:type="dxa"/>
          </w:tcPr>
          <w:p>
            <w:pPr>
              <w:pStyle w:val="TableParagraph"/>
              <w:spacing w:before="100"/>
              <w:ind w:left="415"/>
              <w:rPr>
                <w:b/>
                <w:sz w:val="21"/>
              </w:rPr>
            </w:pPr>
            <w:r>
              <w:rPr>
                <w:b/>
                <w:sz w:val="21"/>
              </w:rPr>
              <w:t>保险责任</w:t>
            </w:r>
          </w:p>
        </w:tc>
        <w:tc>
          <w:tcPr>
            <w:tcW w:w="7304" w:type="dxa"/>
          </w:tcPr>
          <w:p>
            <w:pPr>
              <w:pStyle w:val="TableParagraph"/>
              <w:spacing w:before="127"/>
              <w:ind w:left="256"/>
              <w:rPr>
                <w:sz w:val="21"/>
              </w:rPr>
            </w:pPr>
            <w:r>
              <w:rPr>
                <w:sz w:val="21"/>
              </w:rPr>
              <w:t>在本附加合同有效期内，我们承担如下保险责任：</w:t>
            </w:r>
          </w:p>
          <w:p>
            <w:pPr>
              <w:pStyle w:val="TableParagraph"/>
              <w:spacing w:line="280" w:lineRule="auto" w:before="44"/>
              <w:ind w:left="256" w:right="-15"/>
              <w:rPr>
                <w:sz w:val="21"/>
              </w:rPr>
            </w:pPr>
            <w:r>
              <w:rPr>
                <w:spacing w:val="-7"/>
                <w:sz w:val="21"/>
              </w:rPr>
              <w:t>自本附加合同生效</w:t>
            </w:r>
            <w:r>
              <w:rPr>
                <w:sz w:val="21"/>
              </w:rPr>
              <w:t>（</w:t>
            </w:r>
            <w:r>
              <w:rPr>
                <w:spacing w:val="-3"/>
                <w:sz w:val="21"/>
              </w:rPr>
              <w:t>或最后复效</w:t>
            </w:r>
            <w:r>
              <w:rPr>
                <w:spacing w:val="-34"/>
                <w:sz w:val="21"/>
              </w:rPr>
              <w:t>）</w:t>
            </w:r>
            <w:r>
              <w:rPr>
                <w:spacing w:val="-13"/>
                <w:sz w:val="21"/>
              </w:rPr>
              <w:t>之日起 </w:t>
            </w:r>
            <w:r>
              <w:rPr>
                <w:sz w:val="21"/>
              </w:rPr>
              <w:t>90</w:t>
            </w:r>
            <w:r>
              <w:rPr>
                <w:spacing w:val="-11"/>
                <w:sz w:val="21"/>
              </w:rPr>
              <w:t> 天内，被保险人发生下列情形之</w:t>
            </w:r>
            <w:r>
              <w:rPr>
                <w:spacing w:val="-43"/>
                <w:w w:val="100"/>
                <w:sz w:val="21"/>
              </w:rPr>
              <w:t>一的：</w:t>
            </w:r>
            <w:r>
              <w:rPr>
                <w:spacing w:val="-3"/>
                <w:w w:val="100"/>
                <w:sz w:val="21"/>
              </w:rPr>
              <w:t>（</w:t>
            </w:r>
            <w:r>
              <w:rPr>
                <w:w w:val="100"/>
                <w:sz w:val="21"/>
              </w:rPr>
              <w:t>一）</w:t>
            </w:r>
            <w:r>
              <w:rPr>
                <w:spacing w:val="-24"/>
                <w:w w:val="100"/>
                <w:sz w:val="21"/>
              </w:rPr>
              <w:t>重大疾病，</w:t>
            </w:r>
            <w:r>
              <w:rPr>
                <w:spacing w:val="-3"/>
                <w:w w:val="100"/>
                <w:sz w:val="21"/>
              </w:rPr>
              <w:t>（</w:t>
            </w:r>
            <w:r>
              <w:rPr>
                <w:w w:val="100"/>
                <w:sz w:val="21"/>
              </w:rPr>
              <w:t>二）</w:t>
            </w:r>
            <w:r>
              <w:rPr>
                <w:spacing w:val="-3"/>
                <w:w w:val="100"/>
                <w:sz w:val="21"/>
              </w:rPr>
              <w:t>因导致重大疾病的相关疾病就诊；我们不承担</w:t>
            </w:r>
            <w:r>
              <w:rPr>
                <w:spacing w:val="-11"/>
                <w:sz w:val="21"/>
              </w:rPr>
              <w:t>保险责任，将无息全额退还本附加合同已交的保险费，本附加合同效力终止。</w:t>
            </w:r>
            <w:r>
              <w:rPr>
                <w:spacing w:val="-25"/>
                <w:sz w:val="21"/>
              </w:rPr>
              <w:t>这 </w:t>
            </w:r>
            <w:r>
              <w:rPr>
                <w:sz w:val="21"/>
              </w:rPr>
              <w:t>90</w:t>
            </w:r>
            <w:r>
              <w:rPr>
                <w:spacing w:val="-8"/>
                <w:sz w:val="21"/>
              </w:rPr>
              <w:t> 天的时间称为等待期；被保险人因</w:t>
            </w:r>
            <w:r>
              <w:rPr>
                <w:b/>
                <w:sz w:val="21"/>
              </w:rPr>
              <w:t>意外伤害</w:t>
            </w:r>
            <w:r>
              <w:rPr>
                <w:spacing w:val="-3"/>
                <w:sz w:val="21"/>
              </w:rPr>
              <w:t>发生上述两项情形之一的， 无等待期。</w:t>
            </w:r>
          </w:p>
          <w:p>
            <w:pPr>
              <w:pStyle w:val="TableParagraph"/>
              <w:spacing w:line="257" w:lineRule="exact"/>
              <w:ind w:left="256"/>
              <w:rPr>
                <w:sz w:val="21"/>
              </w:rPr>
            </w:pPr>
            <w:r>
              <w:rPr>
                <w:sz w:val="21"/>
              </w:rPr>
              <w:t>被保险人因</w:t>
            </w:r>
            <w:r>
              <w:rPr>
                <w:b/>
                <w:sz w:val="21"/>
              </w:rPr>
              <w:t>意外伤害</w:t>
            </w:r>
            <w:r>
              <w:rPr>
                <w:sz w:val="21"/>
              </w:rPr>
              <w:t>或于等待期后发生保险事故，我们按照下列方式豁免保</w:t>
            </w:r>
          </w:p>
          <w:p>
            <w:pPr>
              <w:pStyle w:val="TableParagraph"/>
              <w:spacing w:before="37"/>
              <w:ind w:left="256"/>
              <w:rPr>
                <w:sz w:val="21"/>
              </w:rPr>
            </w:pPr>
            <w:r>
              <w:rPr>
                <w:sz w:val="21"/>
              </w:rPr>
              <w:t>险费:</w:t>
            </w:r>
          </w:p>
        </w:tc>
      </w:tr>
      <w:tr>
        <w:trPr>
          <w:trHeight w:val="375" w:hRule="atLeast"/>
        </w:trPr>
        <w:tc>
          <w:tcPr>
            <w:tcW w:w="840" w:type="dxa"/>
          </w:tcPr>
          <w:p>
            <w:pPr>
              <w:pStyle w:val="TableParagraph"/>
              <w:rPr>
                <w:rFonts w:ascii="Times New Roman"/>
                <w:sz w:val="20"/>
              </w:rPr>
            </w:pPr>
          </w:p>
        </w:tc>
        <w:tc>
          <w:tcPr>
            <w:tcW w:w="1724" w:type="dxa"/>
          </w:tcPr>
          <w:p>
            <w:pPr>
              <w:pStyle w:val="TableParagraph"/>
              <w:spacing w:line="255" w:lineRule="exact" w:before="100"/>
              <w:ind w:left="415"/>
              <w:rPr>
                <w:sz w:val="21"/>
              </w:rPr>
            </w:pPr>
            <w:r>
              <w:rPr>
                <w:sz w:val="21"/>
              </w:rPr>
              <w:t>豁免保险费</w:t>
            </w:r>
          </w:p>
        </w:tc>
        <w:tc>
          <w:tcPr>
            <w:tcW w:w="7304" w:type="dxa"/>
          </w:tcPr>
          <w:p>
            <w:pPr>
              <w:pStyle w:val="TableParagraph"/>
              <w:spacing w:line="255" w:lineRule="exact" w:before="100"/>
              <w:ind w:left="256"/>
              <w:rPr>
                <w:sz w:val="21"/>
              </w:rPr>
            </w:pPr>
            <w:r>
              <w:rPr>
                <w:sz w:val="21"/>
              </w:rPr>
              <w:t>若被保险人经</w:t>
            </w:r>
            <w:r>
              <w:rPr>
                <w:b/>
                <w:sz w:val="21"/>
              </w:rPr>
              <w:t>我们认可的医院专科医生</w:t>
            </w:r>
            <w:r>
              <w:rPr>
                <w:sz w:val="21"/>
              </w:rPr>
              <w:t>确诊首次患本附加合同约定的重大</w:t>
            </w:r>
          </w:p>
        </w:tc>
      </w:tr>
    </w:tbl>
    <w:p>
      <w:pPr>
        <w:spacing w:after="0" w:line="255" w:lineRule="exact"/>
        <w:rPr>
          <w:sz w:val="21"/>
        </w:rPr>
        <w:sectPr>
          <w:headerReference w:type="default" r:id="rId6"/>
          <w:pgSz w:w="11910" w:h="16840"/>
          <w:pgMar w:header="568" w:footer="0" w:top="800" w:bottom="280" w:left="800" w:right="920"/>
          <w:pgNumType w:start="1"/>
        </w:sectPr>
      </w:pPr>
    </w:p>
    <w:p>
      <w:pPr>
        <w:pStyle w:val="BodyText"/>
        <w:spacing w:before="7"/>
      </w:pPr>
    </w:p>
    <w:p>
      <w:pPr>
        <w:pStyle w:val="BodyText"/>
        <w:spacing w:before="37"/>
        <w:ind w:left="2933"/>
      </w:pPr>
      <w:r>
        <w:rPr>
          <w:spacing w:val="-24"/>
        </w:rPr>
        <w:t>疾病</w:t>
      </w:r>
      <w:r>
        <w:rPr>
          <w:spacing w:val="-3"/>
        </w:rPr>
        <w:t>（无论一种或多种</w:t>
      </w:r>
      <w:r>
        <w:rPr>
          <w:spacing w:val="-80"/>
        </w:rPr>
        <w:t>）</w:t>
      </w:r>
      <w:r>
        <w:rPr>
          <w:spacing w:val="-10"/>
        </w:rPr>
        <w:t>，则我们豁免保险单上所列的主合同和保险期间超过</w:t>
      </w:r>
    </w:p>
    <w:p>
      <w:pPr>
        <w:pStyle w:val="BodyText"/>
        <w:spacing w:line="273" w:lineRule="auto" w:before="37"/>
        <w:ind w:left="2933" w:right="207"/>
      </w:pPr>
      <w:r>
        <w:rPr/>
        <w:t>1</w:t>
      </w:r>
      <w:r>
        <w:rPr>
          <w:spacing w:val="-7"/>
        </w:rPr>
        <w:t> 年的附加合同(不包括保险期间为 </w:t>
      </w:r>
      <w:r>
        <w:rPr/>
        <w:t>1</w:t>
      </w:r>
      <w:r>
        <w:rPr>
          <w:spacing w:val="-6"/>
        </w:rPr>
        <w:t> 年的保证续保附加合同)的以后各期保险费。</w:t>
      </w:r>
    </w:p>
    <w:p>
      <w:pPr>
        <w:pStyle w:val="BodyText"/>
        <w:spacing w:before="3"/>
        <w:rPr>
          <w:sz w:val="18"/>
        </w:rPr>
      </w:pPr>
    </w:p>
    <w:p>
      <w:pPr>
        <w:pStyle w:val="BodyText"/>
        <w:tabs>
          <w:tab w:pos="1367" w:val="left" w:leader="none"/>
          <w:tab w:pos="2932" w:val="left" w:leader="none"/>
        </w:tabs>
        <w:spacing w:line="278" w:lineRule="auto" w:before="1"/>
        <w:ind w:left="2933" w:right="206" w:hanging="2713"/>
        <w:rPr>
          <w:rFonts w:ascii="黑体" w:eastAsia="黑体" w:hint="eastAsia"/>
        </w:rPr>
      </w:pPr>
      <w:r>
        <w:rPr>
          <w:b/>
          <w:position w:val="2"/>
        </w:rPr>
        <w:t>2.3</w:t>
        <w:tab/>
        <w:t>责任免除</w:t>
        <w:tab/>
      </w:r>
      <w:r>
        <w:rPr>
          <w:rFonts w:ascii="黑体" w:eastAsia="黑体" w:hint="eastAsia"/>
          <w:spacing w:val="-1"/>
        </w:rPr>
        <w:t>因下</w:t>
      </w:r>
      <w:r>
        <w:rPr>
          <w:rFonts w:ascii="黑体" w:eastAsia="黑体" w:hint="eastAsia"/>
          <w:spacing w:val="-3"/>
        </w:rPr>
        <w:t>列</w:t>
      </w:r>
      <w:r>
        <w:rPr>
          <w:rFonts w:ascii="黑体" w:eastAsia="黑体" w:hint="eastAsia"/>
        </w:rPr>
        <w:t>情形</w:t>
      </w:r>
      <w:r>
        <w:rPr>
          <w:rFonts w:ascii="黑体" w:eastAsia="黑体" w:hint="eastAsia"/>
          <w:spacing w:val="-3"/>
        </w:rPr>
        <w:t>之</w:t>
      </w:r>
      <w:r>
        <w:rPr>
          <w:rFonts w:ascii="黑体" w:eastAsia="黑体" w:hint="eastAsia"/>
        </w:rPr>
        <w:t>一，</w:t>
      </w:r>
      <w:r>
        <w:rPr>
          <w:rFonts w:ascii="黑体" w:eastAsia="黑体" w:hint="eastAsia"/>
          <w:spacing w:val="-3"/>
        </w:rPr>
        <w:t>导</w:t>
      </w:r>
      <w:r>
        <w:rPr>
          <w:rFonts w:ascii="黑体" w:eastAsia="黑体" w:hint="eastAsia"/>
        </w:rPr>
        <w:t>致</w:t>
      </w:r>
      <w:r>
        <w:rPr>
          <w:rFonts w:ascii="黑体" w:eastAsia="黑体" w:hint="eastAsia"/>
          <w:spacing w:val="-3"/>
        </w:rPr>
        <w:t>被</w:t>
      </w:r>
      <w:r>
        <w:rPr>
          <w:rFonts w:ascii="黑体" w:eastAsia="黑体" w:hint="eastAsia"/>
        </w:rPr>
        <w:t>保险</w:t>
      </w:r>
      <w:r>
        <w:rPr>
          <w:rFonts w:ascii="黑体" w:eastAsia="黑体" w:hint="eastAsia"/>
          <w:spacing w:val="-3"/>
        </w:rPr>
        <w:t>人</w:t>
      </w:r>
      <w:r>
        <w:rPr>
          <w:rFonts w:ascii="黑体" w:eastAsia="黑体" w:hint="eastAsia"/>
        </w:rPr>
        <w:t>发Th</w:t>
      </w:r>
      <w:r>
        <w:rPr>
          <w:rFonts w:ascii="黑体" w:eastAsia="黑体" w:hint="eastAsia"/>
          <w:spacing w:val="-3"/>
        </w:rPr>
        <w:t>重</w:t>
      </w:r>
      <w:r>
        <w:rPr>
          <w:rFonts w:ascii="黑体" w:eastAsia="黑体" w:hint="eastAsia"/>
        </w:rPr>
        <w:t>大疾</w:t>
      </w:r>
      <w:r>
        <w:rPr>
          <w:rFonts w:ascii="黑体" w:eastAsia="黑体" w:hint="eastAsia"/>
          <w:spacing w:val="-3"/>
        </w:rPr>
        <w:t>病</w:t>
      </w:r>
      <w:r>
        <w:rPr>
          <w:rFonts w:ascii="黑体" w:eastAsia="黑体" w:hint="eastAsia"/>
        </w:rPr>
        <w:t>的，我们</w:t>
      </w:r>
      <w:r>
        <w:rPr>
          <w:rFonts w:ascii="黑体" w:eastAsia="黑体" w:hint="eastAsia"/>
          <w:spacing w:val="-3"/>
        </w:rPr>
        <w:t>不</w:t>
      </w:r>
      <w:r>
        <w:rPr>
          <w:rFonts w:ascii="黑体" w:eastAsia="黑体" w:hint="eastAsia"/>
        </w:rPr>
        <w:t>承担</w:t>
      </w:r>
      <w:r>
        <w:rPr>
          <w:rFonts w:ascii="黑体" w:eastAsia="黑体" w:hint="eastAsia"/>
          <w:spacing w:val="-3"/>
        </w:rPr>
        <w:t>豁</w:t>
      </w:r>
      <w:r>
        <w:rPr>
          <w:rFonts w:ascii="黑体" w:eastAsia="黑体" w:hint="eastAsia"/>
        </w:rPr>
        <w:t>免保</w:t>
      </w:r>
      <w:r>
        <w:rPr>
          <w:rFonts w:ascii="黑体" w:eastAsia="黑体" w:hint="eastAsia"/>
          <w:spacing w:val="-3"/>
        </w:rPr>
        <w:t>险</w:t>
      </w:r>
      <w:r>
        <w:rPr>
          <w:rFonts w:ascii="黑体" w:eastAsia="黑体" w:hint="eastAsia"/>
        </w:rPr>
        <w:t>费责 任：</w:t>
      </w:r>
    </w:p>
    <w:p>
      <w:pPr>
        <w:pStyle w:val="BodyText"/>
        <w:spacing w:before="13"/>
        <w:ind w:left="2933"/>
        <w:rPr>
          <w:rFonts w:ascii="黑体" w:eastAsia="黑体" w:hint="eastAsia"/>
        </w:rPr>
      </w:pPr>
      <w:r>
        <w:rPr>
          <w:rFonts w:ascii="黑体" w:eastAsia="黑体" w:hint="eastAsia"/>
        </w:rPr>
        <w:t>1、投保人对被保险人的故意杀害、故意伤害；</w:t>
      </w:r>
    </w:p>
    <w:p>
      <w:pPr>
        <w:pStyle w:val="BodyText"/>
        <w:spacing w:line="274" w:lineRule="exact" w:before="44"/>
        <w:ind w:left="2933"/>
        <w:rPr>
          <w:rFonts w:ascii="黑体" w:eastAsia="黑体" w:hint="eastAsia"/>
        </w:rPr>
      </w:pPr>
      <w:r>
        <w:rPr>
          <w:rFonts w:ascii="黑体" w:eastAsia="黑体" w:hint="eastAsia"/>
        </w:rPr>
        <w:t>2、被保险人故意自伤、故意犯罪或抗拒依法采取的刑事强制措施；</w:t>
      </w:r>
    </w:p>
    <w:p>
      <w:pPr>
        <w:pStyle w:val="BodyText"/>
        <w:spacing w:line="274" w:lineRule="exact"/>
        <w:ind w:left="2933"/>
        <w:rPr>
          <w:rFonts w:ascii="黑体" w:eastAsia="黑体" w:hint="eastAsia"/>
        </w:rPr>
      </w:pPr>
      <w:r>
        <w:rPr>
          <w:rFonts w:ascii="黑体" w:eastAsia="黑体" w:hint="eastAsia"/>
        </w:rPr>
        <w:t>3、被保险人主动吸食或注射</w:t>
      </w:r>
      <w:r>
        <w:rPr>
          <w:rFonts w:ascii="黑体" w:eastAsia="黑体" w:hint="eastAsia"/>
          <w:b/>
        </w:rPr>
        <w:t>毒品</w:t>
      </w:r>
      <w:r>
        <w:rPr>
          <w:rFonts w:ascii="黑体" w:eastAsia="黑体" w:hint="eastAsia"/>
        </w:rPr>
        <w:t>；</w:t>
      </w:r>
    </w:p>
    <w:p>
      <w:pPr>
        <w:spacing w:line="237" w:lineRule="auto" w:before="2"/>
        <w:ind w:left="2933" w:right="204" w:firstLine="0"/>
        <w:jc w:val="left"/>
        <w:rPr>
          <w:rFonts w:ascii="黑体" w:eastAsia="黑体" w:hint="eastAsia"/>
          <w:sz w:val="21"/>
        </w:rPr>
      </w:pPr>
      <w:r>
        <w:rPr>
          <w:rFonts w:ascii="黑体" w:eastAsia="黑体" w:hint="eastAsia"/>
          <w:sz w:val="21"/>
        </w:rPr>
        <w:t>4、被保险人</w:t>
      </w:r>
      <w:r>
        <w:rPr>
          <w:rFonts w:ascii="黑体" w:eastAsia="黑体" w:hint="eastAsia"/>
          <w:b/>
          <w:sz w:val="21"/>
        </w:rPr>
        <w:t>酒后驾驶</w:t>
      </w:r>
      <w:r>
        <w:rPr>
          <w:rFonts w:ascii="黑体" w:eastAsia="黑体" w:hint="eastAsia"/>
          <w:sz w:val="21"/>
        </w:rPr>
        <w:t>，</w:t>
      </w:r>
      <w:r>
        <w:rPr>
          <w:rFonts w:ascii="黑体" w:eastAsia="黑体" w:hint="eastAsia"/>
          <w:b/>
          <w:sz w:val="21"/>
        </w:rPr>
        <w:t>无合法有效驾驶证驾驶</w:t>
      </w:r>
      <w:r>
        <w:rPr>
          <w:rFonts w:ascii="黑体" w:eastAsia="黑体" w:hint="eastAsia"/>
          <w:sz w:val="21"/>
        </w:rPr>
        <w:t>，或驾驶</w:t>
      </w:r>
      <w:r>
        <w:rPr>
          <w:rFonts w:ascii="黑体" w:eastAsia="黑体" w:hint="eastAsia"/>
          <w:b/>
          <w:sz w:val="21"/>
        </w:rPr>
        <w:t>无有效行驶证</w:t>
      </w:r>
      <w:r>
        <w:rPr>
          <w:rFonts w:ascii="黑体" w:eastAsia="黑体" w:hint="eastAsia"/>
          <w:sz w:val="21"/>
        </w:rPr>
        <w:t>的机动车；</w:t>
      </w:r>
    </w:p>
    <w:p>
      <w:pPr>
        <w:spacing w:before="44"/>
        <w:ind w:left="2933" w:right="0" w:firstLine="0"/>
        <w:jc w:val="left"/>
        <w:rPr>
          <w:rFonts w:ascii="黑体" w:eastAsia="黑体" w:hint="eastAsia"/>
          <w:sz w:val="21"/>
        </w:rPr>
      </w:pPr>
      <w:r>
        <w:rPr>
          <w:rFonts w:ascii="黑体" w:eastAsia="黑体" w:hint="eastAsia"/>
          <w:w w:val="100"/>
          <w:sz w:val="21"/>
        </w:rPr>
        <w:t>5</w:t>
      </w:r>
      <w:r>
        <w:rPr>
          <w:rFonts w:ascii="黑体" w:eastAsia="黑体" w:hint="eastAsia"/>
          <w:spacing w:val="-13"/>
          <w:w w:val="100"/>
          <w:sz w:val="21"/>
        </w:rPr>
        <w:t>、被保险人</w:t>
      </w:r>
      <w:r>
        <w:rPr>
          <w:rFonts w:ascii="黑体" w:eastAsia="黑体" w:hint="eastAsia"/>
          <w:b/>
          <w:spacing w:val="-1"/>
          <w:w w:val="100"/>
          <w:sz w:val="21"/>
        </w:rPr>
        <w:t>患艾滋病或感染艾滋病病毒</w:t>
      </w:r>
      <w:r>
        <w:rPr>
          <w:rFonts w:ascii="黑体" w:eastAsia="黑体" w:hint="eastAsia"/>
          <w:spacing w:val="-28"/>
          <w:w w:val="100"/>
          <w:sz w:val="21"/>
        </w:rPr>
        <w:t>期间</w:t>
      </w:r>
      <w:r>
        <w:rPr>
          <w:rFonts w:ascii="黑体" w:eastAsia="黑体" w:hint="eastAsia"/>
          <w:spacing w:val="-3"/>
          <w:w w:val="100"/>
          <w:sz w:val="21"/>
        </w:rPr>
        <w:t>（本附加合同另有约定的除外</w:t>
      </w:r>
      <w:r>
        <w:rPr>
          <w:rFonts w:ascii="黑体" w:eastAsia="黑体" w:hint="eastAsia"/>
          <w:spacing w:val="-109"/>
          <w:w w:val="100"/>
          <w:sz w:val="21"/>
        </w:rPr>
        <w:t>）</w:t>
      </w:r>
      <w:r>
        <w:rPr>
          <w:rFonts w:ascii="黑体" w:eastAsia="黑体" w:hint="eastAsia"/>
          <w:w w:val="100"/>
          <w:sz w:val="21"/>
        </w:rPr>
        <w:t>；</w:t>
      </w:r>
    </w:p>
    <w:p>
      <w:pPr>
        <w:pStyle w:val="Heading2"/>
        <w:spacing w:before="44"/>
        <w:ind w:left="2933" w:firstLine="0"/>
      </w:pPr>
      <w:r>
        <w:rPr>
          <w:b w:val="0"/>
        </w:rPr>
        <w:t>6、</w:t>
      </w:r>
      <w:r>
        <w:rPr/>
        <w:t>遗传性疾病，先天性畸形、变形或染色体异常；</w:t>
      </w:r>
    </w:p>
    <w:p>
      <w:pPr>
        <w:pStyle w:val="BodyText"/>
        <w:spacing w:before="46"/>
        <w:ind w:left="2933"/>
        <w:rPr>
          <w:rFonts w:ascii="黑体" w:eastAsia="黑体" w:hint="eastAsia"/>
        </w:rPr>
      </w:pPr>
      <w:r>
        <w:rPr>
          <w:rFonts w:ascii="黑体" w:eastAsia="黑体" w:hint="eastAsia"/>
        </w:rPr>
        <w:t>7、战争、军事冲突、暴乱或武装叛乱；</w:t>
      </w:r>
    </w:p>
    <w:p>
      <w:pPr>
        <w:pStyle w:val="BodyText"/>
        <w:spacing w:before="44"/>
        <w:ind w:left="2933"/>
        <w:rPr>
          <w:rFonts w:ascii="黑体" w:eastAsia="黑体" w:hint="eastAsia"/>
        </w:rPr>
      </w:pPr>
      <w:r>
        <w:rPr>
          <w:rFonts w:ascii="黑体" w:eastAsia="黑体" w:hint="eastAsia"/>
        </w:rPr>
        <w:t>8、核爆炸、核辐射或核污染。</w:t>
      </w:r>
    </w:p>
    <w:p>
      <w:pPr>
        <w:pStyle w:val="BodyText"/>
        <w:spacing w:line="273" w:lineRule="auto" w:before="20"/>
        <w:ind w:left="2933" w:right="206"/>
        <w:rPr>
          <w:rFonts w:ascii="黑体" w:eastAsia="黑体" w:hint="eastAsia"/>
        </w:rPr>
      </w:pPr>
      <w:r>
        <w:rPr>
          <w:rFonts w:ascii="黑体" w:eastAsia="黑体" w:hint="eastAsia"/>
        </w:rPr>
        <w:t>发Th</w:t>
      </w:r>
      <w:r>
        <w:rPr>
          <w:rFonts w:ascii="黑体" w:eastAsia="黑体" w:hint="eastAsia"/>
          <w:spacing w:val="-10"/>
        </w:rPr>
        <w:t>上述第 </w:t>
      </w:r>
      <w:r>
        <w:rPr>
          <w:rFonts w:ascii="黑体" w:eastAsia="黑体" w:hint="eastAsia"/>
        </w:rPr>
        <w:t>1</w:t>
      </w:r>
      <w:r>
        <w:rPr>
          <w:rFonts w:ascii="黑体" w:eastAsia="黑体" w:hint="eastAsia"/>
          <w:spacing w:val="-7"/>
        </w:rPr>
        <w:t> 项情形导致被保险人发</w:t>
      </w:r>
      <w:r>
        <w:rPr>
          <w:rFonts w:ascii="黑体" w:eastAsia="黑体" w:hint="eastAsia"/>
        </w:rPr>
        <w:t>Th</w:t>
      </w:r>
      <w:r>
        <w:rPr>
          <w:rFonts w:ascii="黑体" w:eastAsia="黑体" w:hint="eastAsia"/>
          <w:spacing w:val="-3"/>
        </w:rPr>
        <w:t>重大疾病的，本附加合同终止，我们向重大疾病保险金受益人退还本附加合同当时的现金价值。</w:t>
      </w:r>
    </w:p>
    <w:p>
      <w:pPr>
        <w:pStyle w:val="BodyText"/>
        <w:spacing w:line="280" w:lineRule="auto" w:before="32"/>
        <w:ind w:left="2933" w:right="206"/>
        <w:rPr>
          <w:rFonts w:ascii="黑体" w:eastAsia="黑体" w:hint="eastAsia"/>
        </w:rPr>
      </w:pPr>
      <w:r>
        <w:rPr>
          <w:rFonts w:ascii="黑体" w:eastAsia="黑体" w:hint="eastAsia"/>
        </w:rPr>
        <w:t>发Th上述其他情形导致被保险人发Th重大疾病的，本附加合同终止，我们向投保人退还本附加合同当时的现金价值。</w:t>
      </w:r>
    </w:p>
    <w:p>
      <w:pPr>
        <w:pStyle w:val="BodyText"/>
        <w:rPr>
          <w:rFonts w:ascii="黑体"/>
          <w:sz w:val="20"/>
        </w:rPr>
      </w:pPr>
    </w:p>
    <w:p>
      <w:pPr>
        <w:pStyle w:val="BodyText"/>
        <w:rPr>
          <w:rFonts w:ascii="黑体"/>
        </w:rPr>
      </w:pPr>
    </w:p>
    <w:p>
      <w:pPr>
        <w:pStyle w:val="ListParagraph"/>
        <w:numPr>
          <w:ilvl w:val="0"/>
          <w:numId w:val="1"/>
        </w:numPr>
        <w:tabs>
          <w:tab w:pos="1367" w:val="left" w:leader="none"/>
          <w:tab w:pos="1368" w:val="left" w:leader="none"/>
        </w:tabs>
        <w:spacing w:line="240" w:lineRule="auto" w:before="0" w:after="0"/>
        <w:ind w:left="1367" w:right="0" w:hanging="1147"/>
        <w:jc w:val="left"/>
        <w:rPr>
          <w:b/>
          <w:sz w:val="28"/>
        </w:rPr>
      </w:pPr>
      <w:r>
        <w:rPr>
          <w:b/>
          <w:sz w:val="28"/>
        </w:rPr>
        <w:t>重大疾病</w:t>
      </w:r>
    </w:p>
    <w:p>
      <w:pPr>
        <w:pStyle w:val="BodyText"/>
        <w:spacing w:before="1"/>
        <w:rPr>
          <w:b/>
          <w:sz w:val="10"/>
        </w:rPr>
      </w:pPr>
      <w:r>
        <w:rPr/>
        <w:pict>
          <v:group style="position:absolute;margin-left:45.599998pt;margin-top:8.582330pt;width:493.45pt;height:1.45pt;mso-position-horizontal-relative:page;mso-position-vertical-relative:paragraph;z-index:1072;mso-wrap-distance-left:0;mso-wrap-distance-right:0" coordorigin="912,172" coordsize="9869,29">
            <v:line style="position:absolute" from="912,176" to="2060,176" stroked="true" strokeweight=".48001pt" strokecolor="#000000">
              <v:stroke dashstyle="solid"/>
            </v:line>
            <v:line style="position:absolute" from="912,196" to="2060,196" stroked="true" strokeweight=".47998pt" strokecolor="#000000">
              <v:stroke dashstyle="solid"/>
            </v:line>
            <v:rect style="position:absolute;left:2059;top:171;width:29;height:10" filled="true" fillcolor="#000000" stroked="false">
              <v:fill type="solid"/>
            </v:rect>
            <v:rect style="position:absolute;left:2059;top:190;width:29;height:10" filled="true" fillcolor="#000000" stroked="false">
              <v:fill type="solid"/>
            </v:rect>
            <v:line style="position:absolute" from="2088,176" to="3625,176" stroked="true" strokeweight=".48001pt" strokecolor="#000000">
              <v:stroke dashstyle="solid"/>
            </v:line>
            <v:line style="position:absolute" from="2088,196" to="3625,196" stroked="true" strokeweight=".47998pt" strokecolor="#000000">
              <v:stroke dashstyle="solid"/>
            </v:line>
            <v:rect style="position:absolute;left:3625;top:171;width:29;height:10" filled="true" fillcolor="#000000" stroked="false">
              <v:fill type="solid"/>
            </v:rect>
            <v:rect style="position:absolute;left:3625;top:190;width:29;height:10" filled="true" fillcolor="#000000" stroked="false">
              <v:fill type="solid"/>
            </v:rect>
            <v:line style="position:absolute" from="3654,176" to="10781,176" stroked="true" strokeweight=".48001pt" strokecolor="#000000">
              <v:stroke dashstyle="solid"/>
            </v:line>
            <v:line style="position:absolute" from="3654,196" to="10781,196" stroked="true" strokeweight=".47998pt" strokecolor="#000000">
              <v:stroke dashstyle="solid"/>
            </v:line>
            <w10:wrap type="topAndBottom"/>
          </v:group>
        </w:pict>
      </w:r>
    </w:p>
    <w:p>
      <w:pPr>
        <w:pStyle w:val="BodyText"/>
        <w:spacing w:before="4"/>
        <w:rPr>
          <w:b/>
          <w:sz w:val="5"/>
        </w:rPr>
      </w:pPr>
    </w:p>
    <w:p>
      <w:pPr>
        <w:spacing w:after="0"/>
        <w:rPr>
          <w:sz w:val="5"/>
        </w:rPr>
        <w:sectPr>
          <w:footerReference w:type="default" r:id="rId7"/>
          <w:pgSz w:w="11910" w:h="16840"/>
          <w:pgMar w:footer="458" w:header="568" w:top="800" w:bottom="640" w:left="800" w:right="1020"/>
        </w:sectPr>
      </w:pPr>
    </w:p>
    <w:p>
      <w:pPr>
        <w:pStyle w:val="Heading2"/>
        <w:numPr>
          <w:ilvl w:val="1"/>
          <w:numId w:val="1"/>
        </w:numPr>
        <w:tabs>
          <w:tab w:pos="1367" w:val="left" w:leader="none"/>
          <w:tab w:pos="1368" w:val="left" w:leader="none"/>
        </w:tabs>
        <w:spacing w:line="273" w:lineRule="auto" w:before="0" w:after="0"/>
        <w:ind w:left="1367" w:right="0" w:hanging="1147"/>
        <w:jc w:val="left"/>
        <w:rPr>
          <w:rFonts w:ascii="宋体" w:eastAsia="宋体" w:hint="eastAsia"/>
        </w:rPr>
      </w:pPr>
      <w:r>
        <w:rPr>
          <w:rFonts w:ascii="宋体" w:eastAsia="宋体" w:hint="eastAsia"/>
          <w:spacing w:val="15"/>
        </w:rPr>
        <w:t>重大疾病的范</w:t>
      </w:r>
      <w:r>
        <w:rPr>
          <w:rFonts w:ascii="宋体" w:eastAsia="宋体" w:hint="eastAsia"/>
        </w:rPr>
        <w:t>围</w:t>
      </w:r>
    </w:p>
    <w:p>
      <w:pPr>
        <w:pStyle w:val="BodyText"/>
        <w:spacing w:line="280" w:lineRule="auto" w:before="13"/>
        <w:ind w:left="157" w:right="207"/>
        <w:jc w:val="both"/>
      </w:pPr>
      <w:r>
        <w:rPr/>
        <w:br w:type="column"/>
      </w:r>
      <w:r>
        <w:rPr/>
        <w:t>本附加合同所指的重大疾病在本附加合同中有确定的含义，不仅包括部分一般意义上的重大疾病，还包括某些重大手术，本附加合同所指的重大疾病可能与临床医学所指的重大疾病在概念和范围上有所不同，我们将在本附加合同重大疾病定义中详细列明，您投保本附加合同即表明认可并遵从本附加合同中对重大疾病的定义。</w:t>
      </w:r>
    </w:p>
    <w:p>
      <w:pPr>
        <w:pStyle w:val="BodyText"/>
        <w:spacing w:line="278" w:lineRule="auto" w:before="8"/>
        <w:ind w:left="157" w:right="206"/>
        <w:jc w:val="both"/>
      </w:pPr>
      <w:r>
        <w:rPr>
          <w:spacing w:val="-10"/>
        </w:rPr>
        <w:t>在本附加合同有效期内，被保险人年满 </w:t>
      </w:r>
      <w:r>
        <w:rPr/>
        <w:t>18</w:t>
      </w:r>
      <w:r>
        <w:rPr>
          <w:spacing w:val="-11"/>
        </w:rPr>
        <w:t> 周岁前，我们保障的重大疾病如下所示：</w:t>
      </w:r>
    </w:p>
    <w:p>
      <w:pPr>
        <w:spacing w:after="0" w:line="278" w:lineRule="auto"/>
        <w:jc w:val="both"/>
        <w:sectPr>
          <w:type w:val="continuous"/>
          <w:pgSz w:w="11910" w:h="16840"/>
          <w:pgMar w:top="1080" w:bottom="280" w:left="800" w:right="1020"/>
          <w:cols w:num="2" w:equalWidth="0">
            <w:col w:w="2736" w:space="40"/>
            <w:col w:w="7314"/>
          </w:cols>
        </w:sectPr>
      </w:pPr>
    </w:p>
    <w:p>
      <w:pPr>
        <w:pStyle w:val="BodyText"/>
        <w:spacing w:before="1"/>
        <w:rPr>
          <w:sz w:val="6"/>
        </w:rPr>
      </w:pPr>
    </w:p>
    <w:tbl>
      <w:tblPr>
        <w:tblW w:w="0" w:type="auto"/>
        <w:jc w:val="left"/>
        <w:tblInd w:w="28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1"/>
        <w:gridCol w:w="2986"/>
        <w:gridCol w:w="288"/>
        <w:gridCol w:w="2239"/>
      </w:tblGrid>
      <w:tr>
        <w:trPr>
          <w:trHeight w:val="253" w:hRule="atLeast"/>
        </w:trPr>
        <w:tc>
          <w:tcPr>
            <w:tcW w:w="441" w:type="dxa"/>
          </w:tcPr>
          <w:p>
            <w:pPr>
              <w:pStyle w:val="TableParagraph"/>
              <w:spacing w:line="180" w:lineRule="exact"/>
              <w:ind w:right="60"/>
              <w:jc w:val="right"/>
              <w:rPr>
                <w:sz w:val="18"/>
              </w:rPr>
            </w:pPr>
            <w:r>
              <w:rPr>
                <w:sz w:val="18"/>
              </w:rPr>
              <w:t>1</w:t>
            </w:r>
          </w:p>
        </w:tc>
        <w:tc>
          <w:tcPr>
            <w:tcW w:w="2986" w:type="dxa"/>
          </w:tcPr>
          <w:p>
            <w:pPr>
              <w:pStyle w:val="TableParagraph"/>
              <w:spacing w:line="180" w:lineRule="exact"/>
              <w:ind w:left="58"/>
              <w:rPr>
                <w:sz w:val="18"/>
              </w:rPr>
            </w:pPr>
            <w:r>
              <w:rPr>
                <w:sz w:val="18"/>
              </w:rPr>
              <w:t>恶性肿瘤</w:t>
            </w:r>
          </w:p>
        </w:tc>
        <w:tc>
          <w:tcPr>
            <w:tcW w:w="288" w:type="dxa"/>
          </w:tcPr>
          <w:p>
            <w:pPr>
              <w:pStyle w:val="TableParagraph"/>
              <w:spacing w:line="180" w:lineRule="exact"/>
              <w:ind w:left="29" w:right="38"/>
              <w:jc w:val="center"/>
              <w:rPr>
                <w:sz w:val="18"/>
              </w:rPr>
            </w:pPr>
            <w:r>
              <w:rPr>
                <w:sz w:val="18"/>
              </w:rPr>
              <w:t>15</w:t>
            </w:r>
          </w:p>
        </w:tc>
        <w:tc>
          <w:tcPr>
            <w:tcW w:w="2239" w:type="dxa"/>
          </w:tcPr>
          <w:p>
            <w:pPr>
              <w:pStyle w:val="TableParagraph"/>
              <w:spacing w:line="180" w:lineRule="exact"/>
              <w:ind w:left="58"/>
              <w:rPr>
                <w:sz w:val="18"/>
              </w:rPr>
            </w:pPr>
            <w:r>
              <w:rPr>
                <w:sz w:val="18"/>
              </w:rPr>
              <w:t>瘫痪</w:t>
            </w:r>
          </w:p>
        </w:tc>
      </w:tr>
      <w:tr>
        <w:trPr>
          <w:trHeight w:val="326" w:hRule="atLeast"/>
        </w:trPr>
        <w:tc>
          <w:tcPr>
            <w:tcW w:w="441" w:type="dxa"/>
          </w:tcPr>
          <w:p>
            <w:pPr>
              <w:pStyle w:val="TableParagraph"/>
              <w:spacing w:before="17"/>
              <w:ind w:right="60"/>
              <w:jc w:val="right"/>
              <w:rPr>
                <w:sz w:val="18"/>
              </w:rPr>
            </w:pPr>
            <w:r>
              <w:rPr>
                <w:sz w:val="18"/>
              </w:rPr>
              <w:t>2</w:t>
            </w:r>
          </w:p>
        </w:tc>
        <w:tc>
          <w:tcPr>
            <w:tcW w:w="2986" w:type="dxa"/>
          </w:tcPr>
          <w:p>
            <w:pPr>
              <w:pStyle w:val="TableParagraph"/>
              <w:spacing w:before="17"/>
              <w:ind w:left="58"/>
              <w:rPr>
                <w:sz w:val="18"/>
              </w:rPr>
            </w:pPr>
            <w:r>
              <w:rPr>
                <w:sz w:val="18"/>
              </w:rPr>
              <w:t>急性心肌梗塞</w:t>
            </w:r>
          </w:p>
        </w:tc>
        <w:tc>
          <w:tcPr>
            <w:tcW w:w="288" w:type="dxa"/>
          </w:tcPr>
          <w:p>
            <w:pPr>
              <w:pStyle w:val="TableParagraph"/>
              <w:spacing w:before="17"/>
              <w:ind w:left="29" w:right="38"/>
              <w:jc w:val="center"/>
              <w:rPr>
                <w:sz w:val="18"/>
              </w:rPr>
            </w:pPr>
            <w:r>
              <w:rPr>
                <w:sz w:val="18"/>
              </w:rPr>
              <w:t>16</w:t>
            </w:r>
          </w:p>
        </w:tc>
        <w:tc>
          <w:tcPr>
            <w:tcW w:w="2239" w:type="dxa"/>
          </w:tcPr>
          <w:p>
            <w:pPr>
              <w:pStyle w:val="TableParagraph"/>
              <w:spacing w:before="17"/>
              <w:ind w:left="58"/>
              <w:rPr>
                <w:sz w:val="18"/>
              </w:rPr>
            </w:pPr>
            <w:r>
              <w:rPr>
                <w:sz w:val="18"/>
              </w:rPr>
              <w:t>心脏瓣膜手术</w:t>
            </w:r>
          </w:p>
        </w:tc>
      </w:tr>
      <w:tr>
        <w:trPr>
          <w:trHeight w:val="327" w:hRule="atLeast"/>
        </w:trPr>
        <w:tc>
          <w:tcPr>
            <w:tcW w:w="441" w:type="dxa"/>
          </w:tcPr>
          <w:p>
            <w:pPr>
              <w:pStyle w:val="TableParagraph"/>
              <w:spacing w:before="17"/>
              <w:ind w:right="60"/>
              <w:jc w:val="right"/>
              <w:rPr>
                <w:sz w:val="18"/>
              </w:rPr>
            </w:pPr>
            <w:r>
              <w:rPr>
                <w:sz w:val="18"/>
              </w:rPr>
              <w:t>3</w:t>
            </w:r>
          </w:p>
        </w:tc>
        <w:tc>
          <w:tcPr>
            <w:tcW w:w="2986" w:type="dxa"/>
          </w:tcPr>
          <w:p>
            <w:pPr>
              <w:pStyle w:val="TableParagraph"/>
              <w:spacing w:before="17"/>
              <w:ind w:left="58"/>
              <w:rPr>
                <w:sz w:val="18"/>
              </w:rPr>
            </w:pPr>
            <w:r>
              <w:rPr>
                <w:sz w:val="18"/>
              </w:rPr>
              <w:t>脑中风后遗症</w:t>
            </w:r>
          </w:p>
        </w:tc>
        <w:tc>
          <w:tcPr>
            <w:tcW w:w="288" w:type="dxa"/>
          </w:tcPr>
          <w:p>
            <w:pPr>
              <w:pStyle w:val="TableParagraph"/>
              <w:spacing w:before="17"/>
              <w:ind w:left="29" w:right="38"/>
              <w:jc w:val="center"/>
              <w:rPr>
                <w:sz w:val="18"/>
              </w:rPr>
            </w:pPr>
            <w:r>
              <w:rPr>
                <w:sz w:val="18"/>
              </w:rPr>
              <w:t>17</w:t>
            </w:r>
          </w:p>
        </w:tc>
        <w:tc>
          <w:tcPr>
            <w:tcW w:w="2239" w:type="dxa"/>
          </w:tcPr>
          <w:p>
            <w:pPr>
              <w:pStyle w:val="TableParagraph"/>
              <w:spacing w:before="17"/>
              <w:ind w:left="58"/>
              <w:rPr>
                <w:sz w:val="18"/>
              </w:rPr>
            </w:pPr>
            <w:r>
              <w:rPr>
                <w:sz w:val="18"/>
              </w:rPr>
              <w:t>严重阿尔茨海默病</w:t>
            </w:r>
          </w:p>
        </w:tc>
      </w:tr>
      <w:tr>
        <w:trPr>
          <w:trHeight w:val="327" w:hRule="atLeast"/>
        </w:trPr>
        <w:tc>
          <w:tcPr>
            <w:tcW w:w="441" w:type="dxa"/>
          </w:tcPr>
          <w:p>
            <w:pPr>
              <w:pStyle w:val="TableParagraph"/>
              <w:spacing w:before="19"/>
              <w:ind w:right="60"/>
              <w:jc w:val="right"/>
              <w:rPr>
                <w:sz w:val="18"/>
              </w:rPr>
            </w:pPr>
            <w:r>
              <w:rPr>
                <w:sz w:val="18"/>
              </w:rPr>
              <w:t>4</w:t>
            </w:r>
          </w:p>
        </w:tc>
        <w:tc>
          <w:tcPr>
            <w:tcW w:w="2986" w:type="dxa"/>
          </w:tcPr>
          <w:p>
            <w:pPr>
              <w:pStyle w:val="TableParagraph"/>
              <w:spacing w:before="19"/>
              <w:ind w:left="58"/>
              <w:rPr>
                <w:sz w:val="18"/>
              </w:rPr>
            </w:pPr>
            <w:r>
              <w:rPr>
                <w:sz w:val="18"/>
              </w:rPr>
              <w:t>重大器官移植术或造血干细胞移植术</w:t>
            </w:r>
          </w:p>
        </w:tc>
        <w:tc>
          <w:tcPr>
            <w:tcW w:w="288" w:type="dxa"/>
          </w:tcPr>
          <w:p>
            <w:pPr>
              <w:pStyle w:val="TableParagraph"/>
              <w:spacing w:before="19"/>
              <w:ind w:left="29" w:right="38"/>
              <w:jc w:val="center"/>
              <w:rPr>
                <w:sz w:val="18"/>
              </w:rPr>
            </w:pPr>
            <w:r>
              <w:rPr>
                <w:sz w:val="18"/>
              </w:rPr>
              <w:t>18</w:t>
            </w:r>
          </w:p>
        </w:tc>
        <w:tc>
          <w:tcPr>
            <w:tcW w:w="2239" w:type="dxa"/>
          </w:tcPr>
          <w:p>
            <w:pPr>
              <w:pStyle w:val="TableParagraph"/>
              <w:spacing w:before="19"/>
              <w:ind w:left="58"/>
              <w:rPr>
                <w:sz w:val="18"/>
              </w:rPr>
            </w:pPr>
            <w:r>
              <w:rPr>
                <w:sz w:val="18"/>
              </w:rPr>
              <w:t>严重脑损伤</w:t>
            </w:r>
          </w:p>
        </w:tc>
      </w:tr>
      <w:tr>
        <w:trPr>
          <w:trHeight w:val="326" w:hRule="atLeast"/>
        </w:trPr>
        <w:tc>
          <w:tcPr>
            <w:tcW w:w="441" w:type="dxa"/>
          </w:tcPr>
          <w:p>
            <w:pPr>
              <w:pStyle w:val="TableParagraph"/>
              <w:spacing w:before="17"/>
              <w:ind w:right="60"/>
              <w:jc w:val="right"/>
              <w:rPr>
                <w:sz w:val="18"/>
              </w:rPr>
            </w:pPr>
            <w:r>
              <w:rPr>
                <w:sz w:val="18"/>
              </w:rPr>
              <w:t>5</w:t>
            </w:r>
          </w:p>
        </w:tc>
        <w:tc>
          <w:tcPr>
            <w:tcW w:w="2986" w:type="dxa"/>
          </w:tcPr>
          <w:p>
            <w:pPr>
              <w:pStyle w:val="TableParagraph"/>
              <w:spacing w:before="17"/>
              <w:ind w:left="58"/>
              <w:rPr>
                <w:sz w:val="18"/>
              </w:rPr>
            </w:pPr>
            <w:r>
              <w:rPr>
                <w:sz w:val="18"/>
              </w:rPr>
              <w:t>冠状动脉搭桥术</w:t>
            </w:r>
          </w:p>
        </w:tc>
        <w:tc>
          <w:tcPr>
            <w:tcW w:w="288" w:type="dxa"/>
          </w:tcPr>
          <w:p>
            <w:pPr>
              <w:pStyle w:val="TableParagraph"/>
              <w:spacing w:before="17"/>
              <w:ind w:left="29" w:right="38"/>
              <w:jc w:val="center"/>
              <w:rPr>
                <w:sz w:val="18"/>
              </w:rPr>
            </w:pPr>
            <w:r>
              <w:rPr>
                <w:sz w:val="18"/>
              </w:rPr>
              <w:t>19</w:t>
            </w:r>
          </w:p>
        </w:tc>
        <w:tc>
          <w:tcPr>
            <w:tcW w:w="2239" w:type="dxa"/>
          </w:tcPr>
          <w:p>
            <w:pPr>
              <w:pStyle w:val="TableParagraph"/>
              <w:spacing w:before="17"/>
              <w:ind w:left="58"/>
              <w:rPr>
                <w:sz w:val="18"/>
              </w:rPr>
            </w:pPr>
            <w:r>
              <w:rPr>
                <w:sz w:val="18"/>
              </w:rPr>
              <w:t>严重帕金森病</w:t>
            </w:r>
          </w:p>
        </w:tc>
      </w:tr>
      <w:tr>
        <w:trPr>
          <w:trHeight w:val="326" w:hRule="atLeast"/>
        </w:trPr>
        <w:tc>
          <w:tcPr>
            <w:tcW w:w="441" w:type="dxa"/>
          </w:tcPr>
          <w:p>
            <w:pPr>
              <w:pStyle w:val="TableParagraph"/>
              <w:rPr>
                <w:rFonts w:ascii="Times New Roman"/>
                <w:sz w:val="20"/>
              </w:rPr>
            </w:pPr>
          </w:p>
        </w:tc>
        <w:tc>
          <w:tcPr>
            <w:tcW w:w="2986" w:type="dxa"/>
          </w:tcPr>
          <w:p>
            <w:pPr>
              <w:pStyle w:val="TableParagraph"/>
              <w:spacing w:before="17"/>
              <w:ind w:left="58"/>
              <w:rPr>
                <w:sz w:val="18"/>
              </w:rPr>
            </w:pPr>
            <w:r>
              <w:rPr>
                <w:sz w:val="18"/>
              </w:rPr>
              <w:t>（或称冠状动脉旁路移植术）</w:t>
            </w:r>
          </w:p>
        </w:tc>
        <w:tc>
          <w:tcPr>
            <w:tcW w:w="288" w:type="dxa"/>
          </w:tcPr>
          <w:p>
            <w:pPr>
              <w:pStyle w:val="TableParagraph"/>
              <w:spacing w:before="17"/>
              <w:ind w:left="29" w:right="38"/>
              <w:jc w:val="center"/>
              <w:rPr>
                <w:sz w:val="18"/>
              </w:rPr>
            </w:pPr>
            <w:r>
              <w:rPr>
                <w:sz w:val="18"/>
              </w:rPr>
              <w:t>20</w:t>
            </w:r>
          </w:p>
        </w:tc>
        <w:tc>
          <w:tcPr>
            <w:tcW w:w="2239" w:type="dxa"/>
          </w:tcPr>
          <w:p>
            <w:pPr>
              <w:pStyle w:val="TableParagraph"/>
              <w:spacing w:before="17"/>
              <w:ind w:left="58"/>
              <w:rPr>
                <w:sz w:val="18"/>
              </w:rPr>
            </w:pPr>
            <w:r>
              <w:rPr>
                <w:sz w:val="18"/>
              </w:rPr>
              <w:t>严重Ⅲ度烧伤</w:t>
            </w:r>
          </w:p>
        </w:tc>
      </w:tr>
      <w:tr>
        <w:trPr>
          <w:trHeight w:val="326" w:hRule="atLeast"/>
        </w:trPr>
        <w:tc>
          <w:tcPr>
            <w:tcW w:w="441" w:type="dxa"/>
          </w:tcPr>
          <w:p>
            <w:pPr>
              <w:pStyle w:val="TableParagraph"/>
              <w:spacing w:before="17"/>
              <w:ind w:right="60"/>
              <w:jc w:val="right"/>
              <w:rPr>
                <w:sz w:val="18"/>
              </w:rPr>
            </w:pPr>
            <w:r>
              <w:rPr>
                <w:sz w:val="18"/>
              </w:rPr>
              <w:t>6</w:t>
            </w:r>
          </w:p>
        </w:tc>
        <w:tc>
          <w:tcPr>
            <w:tcW w:w="2986" w:type="dxa"/>
          </w:tcPr>
          <w:p>
            <w:pPr>
              <w:pStyle w:val="TableParagraph"/>
              <w:spacing w:before="17"/>
              <w:ind w:left="58"/>
              <w:rPr>
                <w:sz w:val="18"/>
              </w:rPr>
            </w:pPr>
            <w:r>
              <w:rPr>
                <w:sz w:val="18"/>
              </w:rPr>
              <w:t>终末期肾病</w:t>
            </w:r>
          </w:p>
        </w:tc>
        <w:tc>
          <w:tcPr>
            <w:tcW w:w="288" w:type="dxa"/>
          </w:tcPr>
          <w:p>
            <w:pPr>
              <w:pStyle w:val="TableParagraph"/>
              <w:spacing w:before="17"/>
              <w:ind w:left="29" w:right="38"/>
              <w:jc w:val="center"/>
              <w:rPr>
                <w:sz w:val="18"/>
              </w:rPr>
            </w:pPr>
            <w:r>
              <w:rPr>
                <w:sz w:val="18"/>
              </w:rPr>
              <w:t>21</w:t>
            </w:r>
          </w:p>
        </w:tc>
        <w:tc>
          <w:tcPr>
            <w:tcW w:w="2239" w:type="dxa"/>
          </w:tcPr>
          <w:p>
            <w:pPr>
              <w:pStyle w:val="TableParagraph"/>
              <w:spacing w:before="17"/>
              <w:ind w:left="58"/>
              <w:rPr>
                <w:sz w:val="18"/>
              </w:rPr>
            </w:pPr>
            <w:r>
              <w:rPr>
                <w:sz w:val="18"/>
              </w:rPr>
              <w:t>严重原发性肺动脉高压</w:t>
            </w:r>
          </w:p>
        </w:tc>
      </w:tr>
      <w:tr>
        <w:trPr>
          <w:trHeight w:val="327" w:hRule="atLeast"/>
        </w:trPr>
        <w:tc>
          <w:tcPr>
            <w:tcW w:w="441" w:type="dxa"/>
          </w:tcPr>
          <w:p>
            <w:pPr>
              <w:pStyle w:val="TableParagraph"/>
              <w:rPr>
                <w:rFonts w:ascii="Times New Roman"/>
                <w:sz w:val="20"/>
              </w:rPr>
            </w:pPr>
          </w:p>
        </w:tc>
        <w:tc>
          <w:tcPr>
            <w:tcW w:w="2986" w:type="dxa"/>
          </w:tcPr>
          <w:p>
            <w:pPr>
              <w:pStyle w:val="TableParagraph"/>
              <w:spacing w:before="17"/>
              <w:ind w:left="58"/>
              <w:rPr>
                <w:sz w:val="18"/>
              </w:rPr>
            </w:pPr>
            <w:r>
              <w:rPr>
                <w:sz w:val="18"/>
              </w:rPr>
              <w:t>（或称慢性肾功能衰竭尿毒症期）</w:t>
            </w:r>
          </w:p>
        </w:tc>
        <w:tc>
          <w:tcPr>
            <w:tcW w:w="288" w:type="dxa"/>
          </w:tcPr>
          <w:p>
            <w:pPr>
              <w:pStyle w:val="TableParagraph"/>
              <w:spacing w:before="17"/>
              <w:ind w:left="29" w:right="38"/>
              <w:jc w:val="center"/>
              <w:rPr>
                <w:sz w:val="18"/>
              </w:rPr>
            </w:pPr>
            <w:r>
              <w:rPr>
                <w:sz w:val="18"/>
              </w:rPr>
              <w:t>22</w:t>
            </w:r>
          </w:p>
        </w:tc>
        <w:tc>
          <w:tcPr>
            <w:tcW w:w="2239" w:type="dxa"/>
          </w:tcPr>
          <w:p>
            <w:pPr>
              <w:pStyle w:val="TableParagraph"/>
              <w:spacing w:before="17"/>
              <w:ind w:left="58"/>
              <w:rPr>
                <w:sz w:val="18"/>
              </w:rPr>
            </w:pPr>
            <w:r>
              <w:rPr>
                <w:sz w:val="18"/>
              </w:rPr>
              <w:t>严重运动神经元病</w:t>
            </w:r>
          </w:p>
        </w:tc>
      </w:tr>
      <w:tr>
        <w:trPr>
          <w:trHeight w:val="327" w:hRule="atLeast"/>
        </w:trPr>
        <w:tc>
          <w:tcPr>
            <w:tcW w:w="441" w:type="dxa"/>
          </w:tcPr>
          <w:p>
            <w:pPr>
              <w:pStyle w:val="TableParagraph"/>
              <w:spacing w:before="19"/>
              <w:ind w:right="60"/>
              <w:jc w:val="right"/>
              <w:rPr>
                <w:sz w:val="18"/>
              </w:rPr>
            </w:pPr>
            <w:r>
              <w:rPr>
                <w:sz w:val="18"/>
              </w:rPr>
              <w:t>7</w:t>
            </w:r>
          </w:p>
        </w:tc>
        <w:tc>
          <w:tcPr>
            <w:tcW w:w="2986" w:type="dxa"/>
          </w:tcPr>
          <w:p>
            <w:pPr>
              <w:pStyle w:val="TableParagraph"/>
              <w:spacing w:before="19"/>
              <w:ind w:left="58"/>
              <w:rPr>
                <w:sz w:val="18"/>
              </w:rPr>
            </w:pPr>
            <w:r>
              <w:rPr>
                <w:sz w:val="18"/>
              </w:rPr>
              <w:t>多个肢体缺失</w:t>
            </w:r>
          </w:p>
        </w:tc>
        <w:tc>
          <w:tcPr>
            <w:tcW w:w="288" w:type="dxa"/>
          </w:tcPr>
          <w:p>
            <w:pPr>
              <w:pStyle w:val="TableParagraph"/>
              <w:spacing w:before="19"/>
              <w:ind w:left="29" w:right="38"/>
              <w:jc w:val="center"/>
              <w:rPr>
                <w:sz w:val="18"/>
              </w:rPr>
            </w:pPr>
            <w:r>
              <w:rPr>
                <w:sz w:val="18"/>
              </w:rPr>
              <w:t>23</w:t>
            </w:r>
          </w:p>
        </w:tc>
        <w:tc>
          <w:tcPr>
            <w:tcW w:w="2239" w:type="dxa"/>
          </w:tcPr>
          <w:p>
            <w:pPr>
              <w:pStyle w:val="TableParagraph"/>
              <w:spacing w:before="19"/>
              <w:ind w:left="58"/>
              <w:rPr>
                <w:sz w:val="18"/>
              </w:rPr>
            </w:pPr>
            <w:r>
              <w:rPr>
                <w:sz w:val="18"/>
              </w:rPr>
              <w:t>语言能力丧失</w:t>
            </w:r>
          </w:p>
        </w:tc>
      </w:tr>
      <w:tr>
        <w:trPr>
          <w:trHeight w:val="326" w:hRule="atLeast"/>
        </w:trPr>
        <w:tc>
          <w:tcPr>
            <w:tcW w:w="441" w:type="dxa"/>
          </w:tcPr>
          <w:p>
            <w:pPr>
              <w:pStyle w:val="TableParagraph"/>
              <w:spacing w:before="17"/>
              <w:ind w:right="60"/>
              <w:jc w:val="right"/>
              <w:rPr>
                <w:sz w:val="18"/>
              </w:rPr>
            </w:pPr>
            <w:r>
              <w:rPr>
                <w:sz w:val="18"/>
              </w:rPr>
              <w:t>8</w:t>
            </w:r>
          </w:p>
        </w:tc>
        <w:tc>
          <w:tcPr>
            <w:tcW w:w="2986" w:type="dxa"/>
          </w:tcPr>
          <w:p>
            <w:pPr>
              <w:pStyle w:val="TableParagraph"/>
              <w:spacing w:before="17"/>
              <w:ind w:left="58"/>
              <w:rPr>
                <w:sz w:val="18"/>
              </w:rPr>
            </w:pPr>
            <w:r>
              <w:rPr>
                <w:sz w:val="18"/>
              </w:rPr>
              <w:t>急性或亚急性重症肝炎</w:t>
            </w:r>
          </w:p>
        </w:tc>
        <w:tc>
          <w:tcPr>
            <w:tcW w:w="288" w:type="dxa"/>
          </w:tcPr>
          <w:p>
            <w:pPr>
              <w:pStyle w:val="TableParagraph"/>
              <w:spacing w:before="17"/>
              <w:ind w:left="29" w:right="38"/>
              <w:jc w:val="center"/>
              <w:rPr>
                <w:sz w:val="18"/>
              </w:rPr>
            </w:pPr>
            <w:r>
              <w:rPr>
                <w:sz w:val="18"/>
              </w:rPr>
              <w:t>24</w:t>
            </w:r>
          </w:p>
        </w:tc>
        <w:tc>
          <w:tcPr>
            <w:tcW w:w="2239" w:type="dxa"/>
          </w:tcPr>
          <w:p>
            <w:pPr>
              <w:pStyle w:val="TableParagraph"/>
              <w:spacing w:before="17"/>
              <w:ind w:left="58"/>
              <w:rPr>
                <w:sz w:val="18"/>
              </w:rPr>
            </w:pPr>
            <w:r>
              <w:rPr>
                <w:sz w:val="18"/>
              </w:rPr>
              <w:t>重型再生障碍性贫血</w:t>
            </w:r>
          </w:p>
        </w:tc>
      </w:tr>
      <w:tr>
        <w:trPr>
          <w:trHeight w:val="326" w:hRule="atLeast"/>
        </w:trPr>
        <w:tc>
          <w:tcPr>
            <w:tcW w:w="441" w:type="dxa"/>
          </w:tcPr>
          <w:p>
            <w:pPr>
              <w:pStyle w:val="TableParagraph"/>
              <w:spacing w:before="17"/>
              <w:ind w:right="60"/>
              <w:jc w:val="right"/>
              <w:rPr>
                <w:sz w:val="18"/>
              </w:rPr>
            </w:pPr>
            <w:r>
              <w:rPr>
                <w:sz w:val="18"/>
              </w:rPr>
              <w:t>9</w:t>
            </w:r>
          </w:p>
        </w:tc>
        <w:tc>
          <w:tcPr>
            <w:tcW w:w="2986" w:type="dxa"/>
          </w:tcPr>
          <w:p>
            <w:pPr>
              <w:pStyle w:val="TableParagraph"/>
              <w:spacing w:before="17"/>
              <w:ind w:left="58"/>
              <w:rPr>
                <w:sz w:val="18"/>
              </w:rPr>
            </w:pPr>
            <w:r>
              <w:rPr>
                <w:sz w:val="18"/>
              </w:rPr>
              <w:t>良性脑肿瘤</w:t>
            </w:r>
          </w:p>
        </w:tc>
        <w:tc>
          <w:tcPr>
            <w:tcW w:w="288" w:type="dxa"/>
          </w:tcPr>
          <w:p>
            <w:pPr>
              <w:pStyle w:val="TableParagraph"/>
              <w:spacing w:before="17"/>
              <w:ind w:left="29" w:right="38"/>
              <w:jc w:val="center"/>
              <w:rPr>
                <w:sz w:val="18"/>
              </w:rPr>
            </w:pPr>
            <w:r>
              <w:rPr>
                <w:sz w:val="18"/>
              </w:rPr>
              <w:t>25</w:t>
            </w:r>
          </w:p>
        </w:tc>
        <w:tc>
          <w:tcPr>
            <w:tcW w:w="2239" w:type="dxa"/>
          </w:tcPr>
          <w:p>
            <w:pPr>
              <w:pStyle w:val="TableParagraph"/>
              <w:spacing w:before="17"/>
              <w:ind w:left="58"/>
              <w:rPr>
                <w:sz w:val="18"/>
              </w:rPr>
            </w:pPr>
            <w:r>
              <w:rPr>
                <w:sz w:val="18"/>
              </w:rPr>
              <w:t>主动脉手术</w:t>
            </w:r>
          </w:p>
        </w:tc>
      </w:tr>
      <w:tr>
        <w:trPr>
          <w:trHeight w:val="327" w:hRule="atLeast"/>
        </w:trPr>
        <w:tc>
          <w:tcPr>
            <w:tcW w:w="441" w:type="dxa"/>
          </w:tcPr>
          <w:p>
            <w:pPr>
              <w:pStyle w:val="TableParagraph"/>
              <w:spacing w:before="17"/>
              <w:ind w:right="56"/>
              <w:jc w:val="right"/>
              <w:rPr>
                <w:sz w:val="18"/>
              </w:rPr>
            </w:pPr>
            <w:r>
              <w:rPr>
                <w:sz w:val="18"/>
              </w:rPr>
              <w:t>10</w:t>
            </w:r>
          </w:p>
        </w:tc>
        <w:tc>
          <w:tcPr>
            <w:tcW w:w="2986" w:type="dxa"/>
          </w:tcPr>
          <w:p>
            <w:pPr>
              <w:pStyle w:val="TableParagraph"/>
              <w:spacing w:before="17"/>
              <w:ind w:left="58"/>
              <w:rPr>
                <w:sz w:val="18"/>
              </w:rPr>
            </w:pPr>
            <w:r>
              <w:rPr>
                <w:sz w:val="18"/>
              </w:rPr>
              <w:t>慢性肝功能衰竭失代偿期</w:t>
            </w:r>
          </w:p>
        </w:tc>
        <w:tc>
          <w:tcPr>
            <w:tcW w:w="288" w:type="dxa"/>
          </w:tcPr>
          <w:p>
            <w:pPr>
              <w:pStyle w:val="TableParagraph"/>
              <w:spacing w:before="17"/>
              <w:ind w:left="29" w:right="38"/>
              <w:jc w:val="center"/>
              <w:rPr>
                <w:sz w:val="18"/>
              </w:rPr>
            </w:pPr>
            <w:r>
              <w:rPr>
                <w:sz w:val="18"/>
              </w:rPr>
              <w:t>26</w:t>
            </w:r>
          </w:p>
        </w:tc>
        <w:tc>
          <w:tcPr>
            <w:tcW w:w="2239" w:type="dxa"/>
          </w:tcPr>
          <w:p>
            <w:pPr>
              <w:pStyle w:val="TableParagraph"/>
              <w:spacing w:before="17"/>
              <w:ind w:left="58"/>
              <w:rPr>
                <w:sz w:val="18"/>
              </w:rPr>
            </w:pPr>
            <w:r>
              <w:rPr>
                <w:sz w:val="18"/>
              </w:rPr>
              <w:t>胰岛素依赖型糖尿病</w:t>
            </w:r>
          </w:p>
        </w:tc>
      </w:tr>
      <w:tr>
        <w:trPr>
          <w:trHeight w:val="327" w:hRule="atLeast"/>
        </w:trPr>
        <w:tc>
          <w:tcPr>
            <w:tcW w:w="441" w:type="dxa"/>
          </w:tcPr>
          <w:p>
            <w:pPr>
              <w:pStyle w:val="TableParagraph"/>
              <w:spacing w:before="19"/>
              <w:ind w:right="56"/>
              <w:jc w:val="right"/>
              <w:rPr>
                <w:sz w:val="18"/>
              </w:rPr>
            </w:pPr>
            <w:r>
              <w:rPr>
                <w:sz w:val="18"/>
              </w:rPr>
              <w:t>11</w:t>
            </w:r>
          </w:p>
        </w:tc>
        <w:tc>
          <w:tcPr>
            <w:tcW w:w="2986" w:type="dxa"/>
          </w:tcPr>
          <w:p>
            <w:pPr>
              <w:pStyle w:val="TableParagraph"/>
              <w:spacing w:before="19"/>
              <w:ind w:left="58"/>
              <w:rPr>
                <w:sz w:val="18"/>
              </w:rPr>
            </w:pPr>
            <w:r>
              <w:rPr>
                <w:sz w:val="18"/>
              </w:rPr>
              <w:t>脑炎后遗症或脑膜炎后遗症</w:t>
            </w:r>
          </w:p>
        </w:tc>
        <w:tc>
          <w:tcPr>
            <w:tcW w:w="288" w:type="dxa"/>
          </w:tcPr>
          <w:p>
            <w:pPr>
              <w:pStyle w:val="TableParagraph"/>
              <w:spacing w:before="19"/>
              <w:ind w:left="29" w:right="38"/>
              <w:jc w:val="center"/>
              <w:rPr>
                <w:sz w:val="18"/>
              </w:rPr>
            </w:pPr>
            <w:r>
              <w:rPr>
                <w:sz w:val="18"/>
              </w:rPr>
              <w:t>27</w:t>
            </w:r>
          </w:p>
        </w:tc>
        <w:tc>
          <w:tcPr>
            <w:tcW w:w="2239" w:type="dxa"/>
          </w:tcPr>
          <w:p>
            <w:pPr>
              <w:pStyle w:val="TableParagraph"/>
              <w:spacing w:before="19"/>
              <w:ind w:left="58"/>
              <w:rPr>
                <w:sz w:val="18"/>
              </w:rPr>
            </w:pPr>
            <w:r>
              <w:rPr>
                <w:sz w:val="18"/>
              </w:rPr>
              <w:t>脊髓灰质炎</w:t>
            </w:r>
          </w:p>
        </w:tc>
      </w:tr>
      <w:tr>
        <w:trPr>
          <w:trHeight w:val="326" w:hRule="atLeast"/>
        </w:trPr>
        <w:tc>
          <w:tcPr>
            <w:tcW w:w="441" w:type="dxa"/>
          </w:tcPr>
          <w:p>
            <w:pPr>
              <w:pStyle w:val="TableParagraph"/>
              <w:spacing w:before="17"/>
              <w:ind w:right="56"/>
              <w:jc w:val="right"/>
              <w:rPr>
                <w:sz w:val="18"/>
              </w:rPr>
            </w:pPr>
            <w:r>
              <w:rPr>
                <w:sz w:val="18"/>
              </w:rPr>
              <w:t>12</w:t>
            </w:r>
          </w:p>
        </w:tc>
        <w:tc>
          <w:tcPr>
            <w:tcW w:w="2986" w:type="dxa"/>
          </w:tcPr>
          <w:p>
            <w:pPr>
              <w:pStyle w:val="TableParagraph"/>
              <w:spacing w:before="17"/>
              <w:ind w:left="58"/>
              <w:rPr>
                <w:sz w:val="18"/>
              </w:rPr>
            </w:pPr>
            <w:r>
              <w:rPr>
                <w:sz w:val="18"/>
              </w:rPr>
              <w:t>深度昏迷</w:t>
            </w:r>
          </w:p>
        </w:tc>
        <w:tc>
          <w:tcPr>
            <w:tcW w:w="288" w:type="dxa"/>
          </w:tcPr>
          <w:p>
            <w:pPr>
              <w:pStyle w:val="TableParagraph"/>
              <w:spacing w:before="17"/>
              <w:ind w:left="29" w:right="38"/>
              <w:jc w:val="center"/>
              <w:rPr>
                <w:sz w:val="18"/>
              </w:rPr>
            </w:pPr>
            <w:r>
              <w:rPr>
                <w:sz w:val="18"/>
              </w:rPr>
              <w:t>28</w:t>
            </w:r>
          </w:p>
        </w:tc>
        <w:tc>
          <w:tcPr>
            <w:tcW w:w="2239" w:type="dxa"/>
          </w:tcPr>
          <w:p>
            <w:pPr>
              <w:pStyle w:val="TableParagraph"/>
              <w:spacing w:before="17"/>
              <w:ind w:left="58"/>
              <w:rPr>
                <w:sz w:val="18"/>
              </w:rPr>
            </w:pPr>
            <w:r>
              <w:rPr>
                <w:sz w:val="18"/>
              </w:rPr>
              <w:t>严重川崎病</w:t>
            </w:r>
          </w:p>
        </w:tc>
      </w:tr>
      <w:tr>
        <w:trPr>
          <w:trHeight w:val="326" w:hRule="atLeast"/>
        </w:trPr>
        <w:tc>
          <w:tcPr>
            <w:tcW w:w="441" w:type="dxa"/>
          </w:tcPr>
          <w:p>
            <w:pPr>
              <w:pStyle w:val="TableParagraph"/>
              <w:spacing w:before="17"/>
              <w:ind w:right="56"/>
              <w:jc w:val="right"/>
              <w:rPr>
                <w:sz w:val="18"/>
              </w:rPr>
            </w:pPr>
            <w:r>
              <w:rPr>
                <w:sz w:val="18"/>
              </w:rPr>
              <w:t>13</w:t>
            </w:r>
          </w:p>
        </w:tc>
        <w:tc>
          <w:tcPr>
            <w:tcW w:w="2986" w:type="dxa"/>
          </w:tcPr>
          <w:p>
            <w:pPr>
              <w:pStyle w:val="TableParagraph"/>
              <w:spacing w:before="17"/>
              <w:ind w:left="58"/>
              <w:rPr>
                <w:sz w:val="18"/>
              </w:rPr>
            </w:pPr>
            <w:r>
              <w:rPr>
                <w:sz w:val="18"/>
              </w:rPr>
              <w:t>双耳失聪</w:t>
            </w:r>
          </w:p>
        </w:tc>
        <w:tc>
          <w:tcPr>
            <w:tcW w:w="288" w:type="dxa"/>
          </w:tcPr>
          <w:p>
            <w:pPr>
              <w:pStyle w:val="TableParagraph"/>
              <w:spacing w:before="17"/>
              <w:ind w:left="29" w:right="38"/>
              <w:jc w:val="center"/>
              <w:rPr>
                <w:sz w:val="18"/>
              </w:rPr>
            </w:pPr>
            <w:r>
              <w:rPr>
                <w:sz w:val="18"/>
              </w:rPr>
              <w:t>29</w:t>
            </w:r>
          </w:p>
        </w:tc>
        <w:tc>
          <w:tcPr>
            <w:tcW w:w="2239" w:type="dxa"/>
          </w:tcPr>
          <w:p>
            <w:pPr>
              <w:pStyle w:val="TableParagraph"/>
              <w:spacing w:before="17"/>
              <w:ind w:left="58"/>
              <w:rPr>
                <w:sz w:val="18"/>
              </w:rPr>
            </w:pPr>
            <w:r>
              <w:rPr>
                <w:sz w:val="18"/>
              </w:rPr>
              <w:t>严重幼年型类风湿关节炎</w:t>
            </w:r>
          </w:p>
        </w:tc>
      </w:tr>
      <w:tr>
        <w:trPr>
          <w:trHeight w:val="253" w:hRule="atLeast"/>
        </w:trPr>
        <w:tc>
          <w:tcPr>
            <w:tcW w:w="441" w:type="dxa"/>
          </w:tcPr>
          <w:p>
            <w:pPr>
              <w:pStyle w:val="TableParagraph"/>
              <w:spacing w:line="216" w:lineRule="exact" w:before="17"/>
              <w:ind w:right="56"/>
              <w:jc w:val="right"/>
              <w:rPr>
                <w:sz w:val="18"/>
              </w:rPr>
            </w:pPr>
            <w:r>
              <w:rPr>
                <w:sz w:val="18"/>
              </w:rPr>
              <w:t>14</w:t>
            </w:r>
          </w:p>
        </w:tc>
        <w:tc>
          <w:tcPr>
            <w:tcW w:w="2986" w:type="dxa"/>
          </w:tcPr>
          <w:p>
            <w:pPr>
              <w:pStyle w:val="TableParagraph"/>
              <w:spacing w:line="216" w:lineRule="exact" w:before="17"/>
              <w:ind w:left="58"/>
              <w:rPr>
                <w:sz w:val="18"/>
              </w:rPr>
            </w:pPr>
            <w:r>
              <w:rPr>
                <w:sz w:val="18"/>
              </w:rPr>
              <w:t>双目失明</w:t>
            </w:r>
          </w:p>
        </w:tc>
        <w:tc>
          <w:tcPr>
            <w:tcW w:w="288" w:type="dxa"/>
          </w:tcPr>
          <w:p>
            <w:pPr>
              <w:pStyle w:val="TableParagraph"/>
              <w:spacing w:line="216" w:lineRule="exact" w:before="17"/>
              <w:ind w:left="29" w:right="38"/>
              <w:jc w:val="center"/>
              <w:rPr>
                <w:sz w:val="18"/>
              </w:rPr>
            </w:pPr>
            <w:r>
              <w:rPr>
                <w:sz w:val="18"/>
              </w:rPr>
              <w:t>30</w:t>
            </w:r>
          </w:p>
        </w:tc>
        <w:tc>
          <w:tcPr>
            <w:tcW w:w="2239" w:type="dxa"/>
          </w:tcPr>
          <w:p>
            <w:pPr>
              <w:pStyle w:val="TableParagraph"/>
              <w:spacing w:line="216" w:lineRule="exact" w:before="17"/>
              <w:ind w:left="58"/>
              <w:rPr>
                <w:sz w:val="18"/>
              </w:rPr>
            </w:pPr>
            <w:r>
              <w:rPr>
                <w:sz w:val="18"/>
              </w:rPr>
              <w:t>严重的原发性心肌病</w:t>
            </w:r>
          </w:p>
        </w:tc>
      </w:tr>
    </w:tbl>
    <w:p>
      <w:pPr>
        <w:spacing w:after="0" w:line="216" w:lineRule="exact"/>
        <w:rPr>
          <w:sz w:val="18"/>
        </w:rPr>
        <w:sectPr>
          <w:type w:val="continuous"/>
          <w:pgSz w:w="11910" w:h="16840"/>
          <w:pgMar w:top="1080" w:bottom="280" w:left="800" w:right="1020"/>
        </w:sectPr>
      </w:pPr>
    </w:p>
    <w:p>
      <w:pPr>
        <w:pStyle w:val="BodyText"/>
        <w:spacing w:before="5"/>
        <w:rPr>
          <w:sz w:val="23"/>
        </w:rPr>
      </w:pPr>
    </w:p>
    <w:p>
      <w:pPr>
        <w:pStyle w:val="BodyText"/>
        <w:spacing w:line="280" w:lineRule="auto" w:before="36"/>
        <w:ind w:left="2873" w:right="267"/>
      </w:pPr>
      <w:r>
        <w:rPr>
          <w:spacing w:val="-10"/>
        </w:rPr>
        <w:t>在本附加合同有效期内，被保险人年满 </w:t>
      </w:r>
      <w:r>
        <w:rPr/>
        <w:t>18</w:t>
      </w:r>
      <w:r>
        <w:rPr>
          <w:spacing w:val="-11"/>
        </w:rPr>
        <w:t> 周岁后，我们保障的重大疾病如下所示：</w:t>
      </w:r>
    </w:p>
    <w:p>
      <w:pPr>
        <w:pStyle w:val="BodyText"/>
        <w:spacing w:before="9"/>
        <w:rPr>
          <w:sz w:val="5"/>
        </w:rPr>
      </w:pPr>
    </w:p>
    <w:tbl>
      <w:tblPr>
        <w:tblW w:w="0" w:type="auto"/>
        <w:jc w:val="left"/>
        <w:tblInd w:w="2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1"/>
        <w:gridCol w:w="2986"/>
        <w:gridCol w:w="288"/>
        <w:gridCol w:w="3139"/>
      </w:tblGrid>
      <w:tr>
        <w:trPr>
          <w:trHeight w:val="254" w:hRule="atLeast"/>
        </w:trPr>
        <w:tc>
          <w:tcPr>
            <w:tcW w:w="441" w:type="dxa"/>
          </w:tcPr>
          <w:p>
            <w:pPr>
              <w:pStyle w:val="TableParagraph"/>
              <w:spacing w:line="180" w:lineRule="exact"/>
              <w:ind w:right="60"/>
              <w:jc w:val="right"/>
              <w:rPr>
                <w:sz w:val="18"/>
              </w:rPr>
            </w:pPr>
            <w:r>
              <w:rPr>
                <w:sz w:val="18"/>
              </w:rPr>
              <w:t>1</w:t>
            </w:r>
          </w:p>
        </w:tc>
        <w:tc>
          <w:tcPr>
            <w:tcW w:w="2986" w:type="dxa"/>
          </w:tcPr>
          <w:p>
            <w:pPr>
              <w:pStyle w:val="TableParagraph"/>
              <w:spacing w:line="180" w:lineRule="exact"/>
              <w:ind w:left="58"/>
              <w:rPr>
                <w:sz w:val="18"/>
              </w:rPr>
            </w:pPr>
            <w:r>
              <w:rPr>
                <w:sz w:val="18"/>
              </w:rPr>
              <w:t>恶性肿瘤</w:t>
            </w:r>
          </w:p>
        </w:tc>
        <w:tc>
          <w:tcPr>
            <w:tcW w:w="288" w:type="dxa"/>
          </w:tcPr>
          <w:p>
            <w:pPr>
              <w:pStyle w:val="TableParagraph"/>
              <w:spacing w:line="180" w:lineRule="exact"/>
              <w:ind w:left="29" w:right="38"/>
              <w:jc w:val="center"/>
              <w:rPr>
                <w:sz w:val="18"/>
              </w:rPr>
            </w:pPr>
            <w:r>
              <w:rPr>
                <w:sz w:val="18"/>
              </w:rPr>
              <w:t>15</w:t>
            </w:r>
          </w:p>
        </w:tc>
        <w:tc>
          <w:tcPr>
            <w:tcW w:w="3139" w:type="dxa"/>
          </w:tcPr>
          <w:p>
            <w:pPr>
              <w:pStyle w:val="TableParagraph"/>
              <w:spacing w:line="180" w:lineRule="exact"/>
              <w:ind w:left="58"/>
              <w:rPr>
                <w:sz w:val="18"/>
              </w:rPr>
            </w:pPr>
            <w:r>
              <w:rPr>
                <w:sz w:val="18"/>
              </w:rPr>
              <w:t>瘫痪</w:t>
            </w:r>
          </w:p>
        </w:tc>
      </w:tr>
      <w:tr>
        <w:trPr>
          <w:trHeight w:val="327" w:hRule="atLeast"/>
        </w:trPr>
        <w:tc>
          <w:tcPr>
            <w:tcW w:w="441" w:type="dxa"/>
          </w:tcPr>
          <w:p>
            <w:pPr>
              <w:pStyle w:val="TableParagraph"/>
              <w:spacing w:before="19"/>
              <w:ind w:right="60"/>
              <w:jc w:val="right"/>
              <w:rPr>
                <w:sz w:val="18"/>
              </w:rPr>
            </w:pPr>
            <w:r>
              <w:rPr>
                <w:sz w:val="18"/>
              </w:rPr>
              <w:t>2</w:t>
            </w:r>
          </w:p>
        </w:tc>
        <w:tc>
          <w:tcPr>
            <w:tcW w:w="2986" w:type="dxa"/>
          </w:tcPr>
          <w:p>
            <w:pPr>
              <w:pStyle w:val="TableParagraph"/>
              <w:spacing w:before="19"/>
              <w:ind w:left="58"/>
              <w:rPr>
                <w:sz w:val="18"/>
              </w:rPr>
            </w:pPr>
            <w:r>
              <w:rPr>
                <w:sz w:val="18"/>
              </w:rPr>
              <w:t>急性心肌梗塞</w:t>
            </w:r>
          </w:p>
        </w:tc>
        <w:tc>
          <w:tcPr>
            <w:tcW w:w="288" w:type="dxa"/>
          </w:tcPr>
          <w:p>
            <w:pPr>
              <w:pStyle w:val="TableParagraph"/>
              <w:spacing w:before="19"/>
              <w:ind w:left="29" w:right="38"/>
              <w:jc w:val="center"/>
              <w:rPr>
                <w:sz w:val="18"/>
              </w:rPr>
            </w:pPr>
            <w:r>
              <w:rPr>
                <w:sz w:val="18"/>
              </w:rPr>
              <w:t>16</w:t>
            </w:r>
          </w:p>
        </w:tc>
        <w:tc>
          <w:tcPr>
            <w:tcW w:w="3139" w:type="dxa"/>
          </w:tcPr>
          <w:p>
            <w:pPr>
              <w:pStyle w:val="TableParagraph"/>
              <w:spacing w:before="19"/>
              <w:ind w:left="58"/>
              <w:rPr>
                <w:sz w:val="18"/>
              </w:rPr>
            </w:pPr>
            <w:r>
              <w:rPr>
                <w:sz w:val="18"/>
              </w:rPr>
              <w:t>心脏瓣膜手术</w:t>
            </w:r>
          </w:p>
        </w:tc>
      </w:tr>
      <w:tr>
        <w:trPr>
          <w:trHeight w:val="326" w:hRule="atLeast"/>
        </w:trPr>
        <w:tc>
          <w:tcPr>
            <w:tcW w:w="441" w:type="dxa"/>
          </w:tcPr>
          <w:p>
            <w:pPr>
              <w:pStyle w:val="TableParagraph"/>
              <w:spacing w:before="17"/>
              <w:ind w:right="60"/>
              <w:jc w:val="right"/>
              <w:rPr>
                <w:sz w:val="18"/>
              </w:rPr>
            </w:pPr>
            <w:r>
              <w:rPr>
                <w:sz w:val="18"/>
              </w:rPr>
              <w:t>3</w:t>
            </w:r>
          </w:p>
        </w:tc>
        <w:tc>
          <w:tcPr>
            <w:tcW w:w="2986" w:type="dxa"/>
          </w:tcPr>
          <w:p>
            <w:pPr>
              <w:pStyle w:val="TableParagraph"/>
              <w:spacing w:before="17"/>
              <w:ind w:left="58"/>
              <w:rPr>
                <w:sz w:val="18"/>
              </w:rPr>
            </w:pPr>
            <w:r>
              <w:rPr>
                <w:sz w:val="18"/>
              </w:rPr>
              <w:t>脑中风后遗症</w:t>
            </w:r>
          </w:p>
        </w:tc>
        <w:tc>
          <w:tcPr>
            <w:tcW w:w="288" w:type="dxa"/>
          </w:tcPr>
          <w:p>
            <w:pPr>
              <w:pStyle w:val="TableParagraph"/>
              <w:spacing w:before="17"/>
              <w:ind w:left="29" w:right="38"/>
              <w:jc w:val="center"/>
              <w:rPr>
                <w:sz w:val="18"/>
              </w:rPr>
            </w:pPr>
            <w:r>
              <w:rPr>
                <w:sz w:val="18"/>
              </w:rPr>
              <w:t>17</w:t>
            </w:r>
          </w:p>
        </w:tc>
        <w:tc>
          <w:tcPr>
            <w:tcW w:w="3139" w:type="dxa"/>
          </w:tcPr>
          <w:p>
            <w:pPr>
              <w:pStyle w:val="TableParagraph"/>
              <w:spacing w:before="17"/>
              <w:ind w:left="58"/>
              <w:rPr>
                <w:sz w:val="18"/>
              </w:rPr>
            </w:pPr>
            <w:r>
              <w:rPr>
                <w:sz w:val="18"/>
              </w:rPr>
              <w:t>严重阿尔茨海默病</w:t>
            </w:r>
          </w:p>
        </w:tc>
      </w:tr>
      <w:tr>
        <w:trPr>
          <w:trHeight w:val="326" w:hRule="atLeast"/>
        </w:trPr>
        <w:tc>
          <w:tcPr>
            <w:tcW w:w="441" w:type="dxa"/>
          </w:tcPr>
          <w:p>
            <w:pPr>
              <w:pStyle w:val="TableParagraph"/>
              <w:spacing w:before="17"/>
              <w:ind w:right="60"/>
              <w:jc w:val="right"/>
              <w:rPr>
                <w:sz w:val="18"/>
              </w:rPr>
            </w:pPr>
            <w:r>
              <w:rPr>
                <w:sz w:val="18"/>
              </w:rPr>
              <w:t>4</w:t>
            </w:r>
          </w:p>
        </w:tc>
        <w:tc>
          <w:tcPr>
            <w:tcW w:w="2986" w:type="dxa"/>
          </w:tcPr>
          <w:p>
            <w:pPr>
              <w:pStyle w:val="TableParagraph"/>
              <w:spacing w:before="17"/>
              <w:ind w:left="58"/>
              <w:rPr>
                <w:sz w:val="18"/>
              </w:rPr>
            </w:pPr>
            <w:r>
              <w:rPr>
                <w:sz w:val="18"/>
              </w:rPr>
              <w:t>重大器官移植术或造血干细胞移植术</w:t>
            </w:r>
          </w:p>
        </w:tc>
        <w:tc>
          <w:tcPr>
            <w:tcW w:w="288" w:type="dxa"/>
          </w:tcPr>
          <w:p>
            <w:pPr>
              <w:pStyle w:val="TableParagraph"/>
              <w:spacing w:before="17"/>
              <w:ind w:left="29" w:right="38"/>
              <w:jc w:val="center"/>
              <w:rPr>
                <w:sz w:val="18"/>
              </w:rPr>
            </w:pPr>
            <w:r>
              <w:rPr>
                <w:sz w:val="18"/>
              </w:rPr>
              <w:t>18</w:t>
            </w:r>
          </w:p>
        </w:tc>
        <w:tc>
          <w:tcPr>
            <w:tcW w:w="3139" w:type="dxa"/>
          </w:tcPr>
          <w:p>
            <w:pPr>
              <w:pStyle w:val="TableParagraph"/>
              <w:spacing w:before="17"/>
              <w:ind w:left="58"/>
              <w:rPr>
                <w:sz w:val="18"/>
              </w:rPr>
            </w:pPr>
            <w:r>
              <w:rPr>
                <w:sz w:val="18"/>
              </w:rPr>
              <w:t>严重脑损伤</w:t>
            </w:r>
          </w:p>
        </w:tc>
      </w:tr>
      <w:tr>
        <w:trPr>
          <w:trHeight w:val="327" w:hRule="atLeast"/>
        </w:trPr>
        <w:tc>
          <w:tcPr>
            <w:tcW w:w="441" w:type="dxa"/>
          </w:tcPr>
          <w:p>
            <w:pPr>
              <w:pStyle w:val="TableParagraph"/>
              <w:spacing w:before="17"/>
              <w:ind w:right="60"/>
              <w:jc w:val="right"/>
              <w:rPr>
                <w:sz w:val="18"/>
              </w:rPr>
            </w:pPr>
            <w:r>
              <w:rPr>
                <w:sz w:val="18"/>
              </w:rPr>
              <w:t>5</w:t>
            </w:r>
          </w:p>
        </w:tc>
        <w:tc>
          <w:tcPr>
            <w:tcW w:w="2986" w:type="dxa"/>
          </w:tcPr>
          <w:p>
            <w:pPr>
              <w:pStyle w:val="TableParagraph"/>
              <w:spacing w:before="17"/>
              <w:ind w:left="58"/>
              <w:rPr>
                <w:sz w:val="18"/>
              </w:rPr>
            </w:pPr>
            <w:r>
              <w:rPr>
                <w:sz w:val="18"/>
              </w:rPr>
              <w:t>冠状动脉搭桥术</w:t>
            </w:r>
          </w:p>
        </w:tc>
        <w:tc>
          <w:tcPr>
            <w:tcW w:w="288" w:type="dxa"/>
          </w:tcPr>
          <w:p>
            <w:pPr>
              <w:pStyle w:val="TableParagraph"/>
              <w:spacing w:before="17"/>
              <w:ind w:left="29" w:right="38"/>
              <w:jc w:val="center"/>
              <w:rPr>
                <w:sz w:val="18"/>
              </w:rPr>
            </w:pPr>
            <w:r>
              <w:rPr>
                <w:sz w:val="18"/>
              </w:rPr>
              <w:t>19</w:t>
            </w:r>
          </w:p>
        </w:tc>
        <w:tc>
          <w:tcPr>
            <w:tcW w:w="3139" w:type="dxa"/>
          </w:tcPr>
          <w:p>
            <w:pPr>
              <w:pStyle w:val="TableParagraph"/>
              <w:spacing w:before="17"/>
              <w:ind w:left="58"/>
              <w:rPr>
                <w:sz w:val="18"/>
              </w:rPr>
            </w:pPr>
            <w:r>
              <w:rPr>
                <w:sz w:val="18"/>
              </w:rPr>
              <w:t>严重帕金森病</w:t>
            </w:r>
          </w:p>
        </w:tc>
      </w:tr>
      <w:tr>
        <w:trPr>
          <w:trHeight w:val="327" w:hRule="atLeast"/>
        </w:trPr>
        <w:tc>
          <w:tcPr>
            <w:tcW w:w="441" w:type="dxa"/>
          </w:tcPr>
          <w:p>
            <w:pPr>
              <w:pStyle w:val="TableParagraph"/>
              <w:rPr>
                <w:rFonts w:ascii="Times New Roman"/>
                <w:sz w:val="20"/>
              </w:rPr>
            </w:pPr>
          </w:p>
        </w:tc>
        <w:tc>
          <w:tcPr>
            <w:tcW w:w="2986" w:type="dxa"/>
          </w:tcPr>
          <w:p>
            <w:pPr>
              <w:pStyle w:val="TableParagraph"/>
              <w:spacing w:before="19"/>
              <w:ind w:left="58"/>
              <w:rPr>
                <w:sz w:val="18"/>
              </w:rPr>
            </w:pPr>
            <w:r>
              <w:rPr>
                <w:sz w:val="18"/>
              </w:rPr>
              <w:t>（或称冠状动脉旁路移植术）</w:t>
            </w:r>
          </w:p>
        </w:tc>
        <w:tc>
          <w:tcPr>
            <w:tcW w:w="288" w:type="dxa"/>
          </w:tcPr>
          <w:p>
            <w:pPr>
              <w:pStyle w:val="TableParagraph"/>
              <w:spacing w:before="19"/>
              <w:ind w:left="29" w:right="38"/>
              <w:jc w:val="center"/>
              <w:rPr>
                <w:sz w:val="18"/>
              </w:rPr>
            </w:pPr>
            <w:r>
              <w:rPr>
                <w:sz w:val="18"/>
              </w:rPr>
              <w:t>20</w:t>
            </w:r>
          </w:p>
        </w:tc>
        <w:tc>
          <w:tcPr>
            <w:tcW w:w="3139" w:type="dxa"/>
          </w:tcPr>
          <w:p>
            <w:pPr>
              <w:pStyle w:val="TableParagraph"/>
              <w:spacing w:before="19"/>
              <w:ind w:left="58"/>
              <w:rPr>
                <w:sz w:val="18"/>
              </w:rPr>
            </w:pPr>
            <w:r>
              <w:rPr>
                <w:sz w:val="18"/>
              </w:rPr>
              <w:t>严重Ⅲ度烧伤</w:t>
            </w:r>
          </w:p>
        </w:tc>
      </w:tr>
      <w:tr>
        <w:trPr>
          <w:trHeight w:val="326" w:hRule="atLeast"/>
        </w:trPr>
        <w:tc>
          <w:tcPr>
            <w:tcW w:w="441" w:type="dxa"/>
          </w:tcPr>
          <w:p>
            <w:pPr>
              <w:pStyle w:val="TableParagraph"/>
              <w:spacing w:before="17"/>
              <w:ind w:right="60"/>
              <w:jc w:val="right"/>
              <w:rPr>
                <w:sz w:val="18"/>
              </w:rPr>
            </w:pPr>
            <w:r>
              <w:rPr>
                <w:sz w:val="18"/>
              </w:rPr>
              <w:t>6</w:t>
            </w:r>
          </w:p>
        </w:tc>
        <w:tc>
          <w:tcPr>
            <w:tcW w:w="2986" w:type="dxa"/>
          </w:tcPr>
          <w:p>
            <w:pPr>
              <w:pStyle w:val="TableParagraph"/>
              <w:spacing w:before="17"/>
              <w:ind w:left="58"/>
              <w:rPr>
                <w:sz w:val="18"/>
              </w:rPr>
            </w:pPr>
            <w:r>
              <w:rPr>
                <w:sz w:val="18"/>
              </w:rPr>
              <w:t>终末期肾病</w:t>
            </w:r>
          </w:p>
        </w:tc>
        <w:tc>
          <w:tcPr>
            <w:tcW w:w="288" w:type="dxa"/>
          </w:tcPr>
          <w:p>
            <w:pPr>
              <w:pStyle w:val="TableParagraph"/>
              <w:spacing w:before="17"/>
              <w:ind w:left="29" w:right="38"/>
              <w:jc w:val="center"/>
              <w:rPr>
                <w:sz w:val="18"/>
              </w:rPr>
            </w:pPr>
            <w:r>
              <w:rPr>
                <w:sz w:val="18"/>
              </w:rPr>
              <w:t>21</w:t>
            </w:r>
          </w:p>
        </w:tc>
        <w:tc>
          <w:tcPr>
            <w:tcW w:w="3139" w:type="dxa"/>
          </w:tcPr>
          <w:p>
            <w:pPr>
              <w:pStyle w:val="TableParagraph"/>
              <w:spacing w:before="17"/>
              <w:ind w:left="58"/>
              <w:rPr>
                <w:sz w:val="18"/>
              </w:rPr>
            </w:pPr>
            <w:r>
              <w:rPr>
                <w:sz w:val="18"/>
              </w:rPr>
              <w:t>严重原发性肺动脉高压</w:t>
            </w:r>
          </w:p>
        </w:tc>
      </w:tr>
      <w:tr>
        <w:trPr>
          <w:trHeight w:val="326" w:hRule="atLeast"/>
        </w:trPr>
        <w:tc>
          <w:tcPr>
            <w:tcW w:w="441" w:type="dxa"/>
          </w:tcPr>
          <w:p>
            <w:pPr>
              <w:pStyle w:val="TableParagraph"/>
              <w:rPr>
                <w:rFonts w:ascii="Times New Roman"/>
                <w:sz w:val="20"/>
              </w:rPr>
            </w:pPr>
          </w:p>
        </w:tc>
        <w:tc>
          <w:tcPr>
            <w:tcW w:w="2986" w:type="dxa"/>
          </w:tcPr>
          <w:p>
            <w:pPr>
              <w:pStyle w:val="TableParagraph"/>
              <w:spacing w:before="17"/>
              <w:ind w:left="58"/>
              <w:rPr>
                <w:sz w:val="18"/>
              </w:rPr>
            </w:pPr>
            <w:r>
              <w:rPr>
                <w:sz w:val="18"/>
              </w:rPr>
              <w:t>（或称慢性肾功能衰竭尿毒症期）</w:t>
            </w:r>
          </w:p>
        </w:tc>
        <w:tc>
          <w:tcPr>
            <w:tcW w:w="288" w:type="dxa"/>
          </w:tcPr>
          <w:p>
            <w:pPr>
              <w:pStyle w:val="TableParagraph"/>
              <w:spacing w:before="17"/>
              <w:ind w:left="29" w:right="38"/>
              <w:jc w:val="center"/>
              <w:rPr>
                <w:sz w:val="18"/>
              </w:rPr>
            </w:pPr>
            <w:r>
              <w:rPr>
                <w:sz w:val="18"/>
              </w:rPr>
              <w:t>22</w:t>
            </w:r>
          </w:p>
        </w:tc>
        <w:tc>
          <w:tcPr>
            <w:tcW w:w="3139" w:type="dxa"/>
          </w:tcPr>
          <w:p>
            <w:pPr>
              <w:pStyle w:val="TableParagraph"/>
              <w:spacing w:before="17"/>
              <w:ind w:left="58"/>
              <w:rPr>
                <w:sz w:val="18"/>
              </w:rPr>
            </w:pPr>
            <w:r>
              <w:rPr>
                <w:sz w:val="18"/>
              </w:rPr>
              <w:t>严重运动神经元病</w:t>
            </w:r>
          </w:p>
        </w:tc>
      </w:tr>
      <w:tr>
        <w:trPr>
          <w:trHeight w:val="327" w:hRule="atLeast"/>
        </w:trPr>
        <w:tc>
          <w:tcPr>
            <w:tcW w:w="441" w:type="dxa"/>
          </w:tcPr>
          <w:p>
            <w:pPr>
              <w:pStyle w:val="TableParagraph"/>
              <w:spacing w:before="17"/>
              <w:ind w:right="60"/>
              <w:jc w:val="right"/>
              <w:rPr>
                <w:sz w:val="18"/>
              </w:rPr>
            </w:pPr>
            <w:r>
              <w:rPr>
                <w:sz w:val="18"/>
              </w:rPr>
              <w:t>7</w:t>
            </w:r>
          </w:p>
        </w:tc>
        <w:tc>
          <w:tcPr>
            <w:tcW w:w="2986" w:type="dxa"/>
          </w:tcPr>
          <w:p>
            <w:pPr>
              <w:pStyle w:val="TableParagraph"/>
              <w:spacing w:before="17"/>
              <w:ind w:left="58"/>
              <w:rPr>
                <w:sz w:val="18"/>
              </w:rPr>
            </w:pPr>
            <w:r>
              <w:rPr>
                <w:sz w:val="18"/>
              </w:rPr>
              <w:t>多个肢体缺失</w:t>
            </w:r>
          </w:p>
        </w:tc>
        <w:tc>
          <w:tcPr>
            <w:tcW w:w="288" w:type="dxa"/>
          </w:tcPr>
          <w:p>
            <w:pPr>
              <w:pStyle w:val="TableParagraph"/>
              <w:spacing w:before="17"/>
              <w:ind w:left="29" w:right="38"/>
              <w:jc w:val="center"/>
              <w:rPr>
                <w:sz w:val="18"/>
              </w:rPr>
            </w:pPr>
            <w:r>
              <w:rPr>
                <w:sz w:val="18"/>
              </w:rPr>
              <w:t>23</w:t>
            </w:r>
          </w:p>
        </w:tc>
        <w:tc>
          <w:tcPr>
            <w:tcW w:w="3139" w:type="dxa"/>
          </w:tcPr>
          <w:p>
            <w:pPr>
              <w:pStyle w:val="TableParagraph"/>
              <w:spacing w:before="17"/>
              <w:ind w:left="58"/>
              <w:rPr>
                <w:sz w:val="18"/>
              </w:rPr>
            </w:pPr>
            <w:r>
              <w:rPr>
                <w:sz w:val="18"/>
              </w:rPr>
              <w:t>语言能力丧失</w:t>
            </w:r>
          </w:p>
        </w:tc>
      </w:tr>
      <w:tr>
        <w:trPr>
          <w:trHeight w:val="327" w:hRule="atLeast"/>
        </w:trPr>
        <w:tc>
          <w:tcPr>
            <w:tcW w:w="441" w:type="dxa"/>
          </w:tcPr>
          <w:p>
            <w:pPr>
              <w:pStyle w:val="TableParagraph"/>
              <w:spacing w:before="19"/>
              <w:ind w:right="60"/>
              <w:jc w:val="right"/>
              <w:rPr>
                <w:sz w:val="18"/>
              </w:rPr>
            </w:pPr>
            <w:r>
              <w:rPr>
                <w:sz w:val="18"/>
              </w:rPr>
              <w:t>8</w:t>
            </w:r>
          </w:p>
        </w:tc>
        <w:tc>
          <w:tcPr>
            <w:tcW w:w="2986" w:type="dxa"/>
          </w:tcPr>
          <w:p>
            <w:pPr>
              <w:pStyle w:val="TableParagraph"/>
              <w:spacing w:before="19"/>
              <w:ind w:left="58"/>
              <w:rPr>
                <w:sz w:val="18"/>
              </w:rPr>
            </w:pPr>
            <w:r>
              <w:rPr>
                <w:sz w:val="18"/>
              </w:rPr>
              <w:t>急性或亚急性重症肝炎</w:t>
            </w:r>
          </w:p>
        </w:tc>
        <w:tc>
          <w:tcPr>
            <w:tcW w:w="288" w:type="dxa"/>
          </w:tcPr>
          <w:p>
            <w:pPr>
              <w:pStyle w:val="TableParagraph"/>
              <w:spacing w:before="19"/>
              <w:ind w:left="29" w:right="38"/>
              <w:jc w:val="center"/>
              <w:rPr>
                <w:sz w:val="18"/>
              </w:rPr>
            </w:pPr>
            <w:r>
              <w:rPr>
                <w:sz w:val="18"/>
              </w:rPr>
              <w:t>24</w:t>
            </w:r>
          </w:p>
        </w:tc>
        <w:tc>
          <w:tcPr>
            <w:tcW w:w="3139" w:type="dxa"/>
          </w:tcPr>
          <w:p>
            <w:pPr>
              <w:pStyle w:val="TableParagraph"/>
              <w:spacing w:before="19"/>
              <w:ind w:left="58"/>
              <w:rPr>
                <w:sz w:val="18"/>
              </w:rPr>
            </w:pPr>
            <w:r>
              <w:rPr>
                <w:sz w:val="18"/>
              </w:rPr>
              <w:t>重型再生障碍性贫血</w:t>
            </w:r>
          </w:p>
        </w:tc>
      </w:tr>
      <w:tr>
        <w:trPr>
          <w:trHeight w:val="326" w:hRule="atLeast"/>
        </w:trPr>
        <w:tc>
          <w:tcPr>
            <w:tcW w:w="441" w:type="dxa"/>
          </w:tcPr>
          <w:p>
            <w:pPr>
              <w:pStyle w:val="TableParagraph"/>
              <w:spacing w:before="17"/>
              <w:ind w:right="60"/>
              <w:jc w:val="right"/>
              <w:rPr>
                <w:sz w:val="18"/>
              </w:rPr>
            </w:pPr>
            <w:r>
              <w:rPr>
                <w:sz w:val="18"/>
              </w:rPr>
              <w:t>9</w:t>
            </w:r>
          </w:p>
        </w:tc>
        <w:tc>
          <w:tcPr>
            <w:tcW w:w="2986" w:type="dxa"/>
          </w:tcPr>
          <w:p>
            <w:pPr>
              <w:pStyle w:val="TableParagraph"/>
              <w:spacing w:before="17"/>
              <w:ind w:left="58"/>
              <w:rPr>
                <w:sz w:val="18"/>
              </w:rPr>
            </w:pPr>
            <w:r>
              <w:rPr>
                <w:sz w:val="18"/>
              </w:rPr>
              <w:t>良性脑肿瘤</w:t>
            </w:r>
          </w:p>
        </w:tc>
        <w:tc>
          <w:tcPr>
            <w:tcW w:w="288" w:type="dxa"/>
          </w:tcPr>
          <w:p>
            <w:pPr>
              <w:pStyle w:val="TableParagraph"/>
              <w:spacing w:before="17"/>
              <w:ind w:left="29" w:right="38"/>
              <w:jc w:val="center"/>
              <w:rPr>
                <w:sz w:val="18"/>
              </w:rPr>
            </w:pPr>
            <w:r>
              <w:rPr>
                <w:sz w:val="18"/>
              </w:rPr>
              <w:t>25</w:t>
            </w:r>
          </w:p>
        </w:tc>
        <w:tc>
          <w:tcPr>
            <w:tcW w:w="3139" w:type="dxa"/>
          </w:tcPr>
          <w:p>
            <w:pPr>
              <w:pStyle w:val="TableParagraph"/>
              <w:spacing w:before="17"/>
              <w:ind w:left="58"/>
              <w:rPr>
                <w:sz w:val="18"/>
              </w:rPr>
            </w:pPr>
            <w:r>
              <w:rPr>
                <w:sz w:val="18"/>
              </w:rPr>
              <w:t>主动脉手术</w:t>
            </w:r>
          </w:p>
        </w:tc>
      </w:tr>
      <w:tr>
        <w:trPr>
          <w:trHeight w:val="326" w:hRule="atLeast"/>
        </w:trPr>
        <w:tc>
          <w:tcPr>
            <w:tcW w:w="441" w:type="dxa"/>
          </w:tcPr>
          <w:p>
            <w:pPr>
              <w:pStyle w:val="TableParagraph"/>
              <w:spacing w:before="18"/>
              <w:ind w:right="56"/>
              <w:jc w:val="right"/>
              <w:rPr>
                <w:sz w:val="18"/>
              </w:rPr>
            </w:pPr>
            <w:r>
              <w:rPr>
                <w:sz w:val="18"/>
              </w:rPr>
              <w:t>10</w:t>
            </w:r>
          </w:p>
        </w:tc>
        <w:tc>
          <w:tcPr>
            <w:tcW w:w="2986" w:type="dxa"/>
          </w:tcPr>
          <w:p>
            <w:pPr>
              <w:pStyle w:val="TableParagraph"/>
              <w:spacing w:before="18"/>
              <w:ind w:left="58"/>
              <w:rPr>
                <w:sz w:val="18"/>
              </w:rPr>
            </w:pPr>
            <w:r>
              <w:rPr>
                <w:sz w:val="18"/>
              </w:rPr>
              <w:t>慢性肝功能衰竭失代偿期</w:t>
            </w:r>
          </w:p>
        </w:tc>
        <w:tc>
          <w:tcPr>
            <w:tcW w:w="288" w:type="dxa"/>
          </w:tcPr>
          <w:p>
            <w:pPr>
              <w:pStyle w:val="TableParagraph"/>
              <w:spacing w:before="18"/>
              <w:ind w:left="29" w:right="38"/>
              <w:jc w:val="center"/>
              <w:rPr>
                <w:sz w:val="18"/>
              </w:rPr>
            </w:pPr>
            <w:r>
              <w:rPr>
                <w:sz w:val="18"/>
              </w:rPr>
              <w:t>26</w:t>
            </w:r>
          </w:p>
        </w:tc>
        <w:tc>
          <w:tcPr>
            <w:tcW w:w="3139" w:type="dxa"/>
          </w:tcPr>
          <w:p>
            <w:pPr>
              <w:pStyle w:val="TableParagraph"/>
              <w:spacing w:before="18"/>
              <w:ind w:left="58"/>
              <w:rPr>
                <w:sz w:val="18"/>
              </w:rPr>
            </w:pPr>
            <w:r>
              <w:rPr>
                <w:sz w:val="18"/>
              </w:rPr>
              <w:t>多发性硬化</w:t>
            </w:r>
          </w:p>
        </w:tc>
      </w:tr>
      <w:tr>
        <w:trPr>
          <w:trHeight w:val="327" w:hRule="atLeast"/>
        </w:trPr>
        <w:tc>
          <w:tcPr>
            <w:tcW w:w="441" w:type="dxa"/>
          </w:tcPr>
          <w:p>
            <w:pPr>
              <w:pStyle w:val="TableParagraph"/>
              <w:spacing w:before="17"/>
              <w:ind w:right="56"/>
              <w:jc w:val="right"/>
              <w:rPr>
                <w:sz w:val="18"/>
              </w:rPr>
            </w:pPr>
            <w:r>
              <w:rPr>
                <w:sz w:val="18"/>
              </w:rPr>
              <w:t>11</w:t>
            </w:r>
          </w:p>
        </w:tc>
        <w:tc>
          <w:tcPr>
            <w:tcW w:w="2986" w:type="dxa"/>
          </w:tcPr>
          <w:p>
            <w:pPr>
              <w:pStyle w:val="TableParagraph"/>
              <w:spacing w:before="17"/>
              <w:ind w:left="58"/>
              <w:rPr>
                <w:sz w:val="18"/>
              </w:rPr>
            </w:pPr>
            <w:r>
              <w:rPr>
                <w:sz w:val="18"/>
              </w:rPr>
              <w:t>脑炎后遗症或脑膜炎后遗症</w:t>
            </w:r>
          </w:p>
        </w:tc>
        <w:tc>
          <w:tcPr>
            <w:tcW w:w="288" w:type="dxa"/>
          </w:tcPr>
          <w:p>
            <w:pPr>
              <w:pStyle w:val="TableParagraph"/>
              <w:spacing w:before="17"/>
              <w:ind w:left="29" w:right="38"/>
              <w:jc w:val="center"/>
              <w:rPr>
                <w:sz w:val="18"/>
              </w:rPr>
            </w:pPr>
            <w:r>
              <w:rPr>
                <w:sz w:val="18"/>
              </w:rPr>
              <w:t>27</w:t>
            </w:r>
          </w:p>
        </w:tc>
        <w:tc>
          <w:tcPr>
            <w:tcW w:w="3139" w:type="dxa"/>
          </w:tcPr>
          <w:p>
            <w:pPr>
              <w:pStyle w:val="TableParagraph"/>
              <w:spacing w:before="17"/>
              <w:ind w:left="58"/>
              <w:rPr>
                <w:sz w:val="18"/>
              </w:rPr>
            </w:pPr>
            <w:r>
              <w:rPr>
                <w:sz w:val="18"/>
              </w:rPr>
              <w:t>经输血导致的人类免疫缺陷病毒感染</w:t>
            </w:r>
          </w:p>
        </w:tc>
      </w:tr>
      <w:tr>
        <w:trPr>
          <w:trHeight w:val="327" w:hRule="atLeast"/>
        </w:trPr>
        <w:tc>
          <w:tcPr>
            <w:tcW w:w="441" w:type="dxa"/>
          </w:tcPr>
          <w:p>
            <w:pPr>
              <w:pStyle w:val="TableParagraph"/>
              <w:spacing w:before="19"/>
              <w:ind w:right="56"/>
              <w:jc w:val="right"/>
              <w:rPr>
                <w:sz w:val="18"/>
              </w:rPr>
            </w:pPr>
            <w:r>
              <w:rPr>
                <w:sz w:val="18"/>
              </w:rPr>
              <w:t>12</w:t>
            </w:r>
          </w:p>
        </w:tc>
        <w:tc>
          <w:tcPr>
            <w:tcW w:w="2986" w:type="dxa"/>
          </w:tcPr>
          <w:p>
            <w:pPr>
              <w:pStyle w:val="TableParagraph"/>
              <w:spacing w:before="19"/>
              <w:ind w:left="58"/>
              <w:rPr>
                <w:sz w:val="18"/>
              </w:rPr>
            </w:pPr>
            <w:r>
              <w:rPr>
                <w:sz w:val="18"/>
              </w:rPr>
              <w:t>深度昏迷</w:t>
            </w:r>
          </w:p>
        </w:tc>
        <w:tc>
          <w:tcPr>
            <w:tcW w:w="288" w:type="dxa"/>
          </w:tcPr>
          <w:p>
            <w:pPr>
              <w:pStyle w:val="TableParagraph"/>
              <w:spacing w:before="19"/>
              <w:ind w:left="29" w:right="38"/>
              <w:jc w:val="center"/>
              <w:rPr>
                <w:sz w:val="18"/>
              </w:rPr>
            </w:pPr>
            <w:r>
              <w:rPr>
                <w:sz w:val="18"/>
              </w:rPr>
              <w:t>28</w:t>
            </w:r>
          </w:p>
        </w:tc>
        <w:tc>
          <w:tcPr>
            <w:tcW w:w="3139" w:type="dxa"/>
          </w:tcPr>
          <w:p>
            <w:pPr>
              <w:pStyle w:val="TableParagraph"/>
              <w:spacing w:before="19"/>
              <w:ind w:left="58"/>
              <w:rPr>
                <w:sz w:val="18"/>
              </w:rPr>
            </w:pPr>
            <w:r>
              <w:rPr>
                <w:sz w:val="18"/>
              </w:rPr>
              <w:t>终末期肺病</w:t>
            </w:r>
          </w:p>
        </w:tc>
      </w:tr>
      <w:tr>
        <w:trPr>
          <w:trHeight w:val="326" w:hRule="atLeast"/>
        </w:trPr>
        <w:tc>
          <w:tcPr>
            <w:tcW w:w="441" w:type="dxa"/>
          </w:tcPr>
          <w:p>
            <w:pPr>
              <w:pStyle w:val="TableParagraph"/>
              <w:spacing w:before="17"/>
              <w:ind w:right="56"/>
              <w:jc w:val="right"/>
              <w:rPr>
                <w:sz w:val="18"/>
              </w:rPr>
            </w:pPr>
            <w:r>
              <w:rPr>
                <w:sz w:val="18"/>
              </w:rPr>
              <w:t>13</w:t>
            </w:r>
          </w:p>
        </w:tc>
        <w:tc>
          <w:tcPr>
            <w:tcW w:w="2986" w:type="dxa"/>
          </w:tcPr>
          <w:p>
            <w:pPr>
              <w:pStyle w:val="TableParagraph"/>
              <w:spacing w:before="17"/>
              <w:ind w:left="58"/>
              <w:rPr>
                <w:sz w:val="18"/>
              </w:rPr>
            </w:pPr>
            <w:r>
              <w:rPr>
                <w:sz w:val="18"/>
              </w:rPr>
              <w:t>双耳失聪</w:t>
            </w:r>
          </w:p>
        </w:tc>
        <w:tc>
          <w:tcPr>
            <w:tcW w:w="288" w:type="dxa"/>
          </w:tcPr>
          <w:p>
            <w:pPr>
              <w:pStyle w:val="TableParagraph"/>
              <w:spacing w:before="17"/>
              <w:ind w:left="29" w:right="38"/>
              <w:jc w:val="center"/>
              <w:rPr>
                <w:sz w:val="18"/>
              </w:rPr>
            </w:pPr>
            <w:r>
              <w:rPr>
                <w:sz w:val="18"/>
              </w:rPr>
              <w:t>29</w:t>
            </w:r>
          </w:p>
        </w:tc>
        <w:tc>
          <w:tcPr>
            <w:tcW w:w="3139" w:type="dxa"/>
          </w:tcPr>
          <w:p>
            <w:pPr>
              <w:pStyle w:val="TableParagraph"/>
              <w:spacing w:before="17"/>
              <w:ind w:left="58"/>
              <w:rPr>
                <w:sz w:val="18"/>
              </w:rPr>
            </w:pPr>
            <w:r>
              <w:rPr>
                <w:sz w:val="18"/>
              </w:rPr>
              <w:t>严重类风湿性关节炎</w:t>
            </w:r>
          </w:p>
        </w:tc>
      </w:tr>
      <w:tr>
        <w:trPr>
          <w:trHeight w:val="253" w:hRule="atLeast"/>
        </w:trPr>
        <w:tc>
          <w:tcPr>
            <w:tcW w:w="441" w:type="dxa"/>
          </w:tcPr>
          <w:p>
            <w:pPr>
              <w:pStyle w:val="TableParagraph"/>
              <w:spacing w:line="216" w:lineRule="exact" w:before="17"/>
              <w:ind w:right="56"/>
              <w:jc w:val="right"/>
              <w:rPr>
                <w:sz w:val="18"/>
              </w:rPr>
            </w:pPr>
            <w:r>
              <w:rPr>
                <w:sz w:val="18"/>
              </w:rPr>
              <w:t>14</w:t>
            </w:r>
          </w:p>
        </w:tc>
        <w:tc>
          <w:tcPr>
            <w:tcW w:w="2986" w:type="dxa"/>
          </w:tcPr>
          <w:p>
            <w:pPr>
              <w:pStyle w:val="TableParagraph"/>
              <w:spacing w:line="216" w:lineRule="exact" w:before="17"/>
              <w:ind w:left="58"/>
              <w:rPr>
                <w:sz w:val="18"/>
              </w:rPr>
            </w:pPr>
            <w:r>
              <w:rPr>
                <w:sz w:val="18"/>
              </w:rPr>
              <w:t>双目失明</w:t>
            </w:r>
          </w:p>
        </w:tc>
        <w:tc>
          <w:tcPr>
            <w:tcW w:w="288" w:type="dxa"/>
          </w:tcPr>
          <w:p>
            <w:pPr>
              <w:pStyle w:val="TableParagraph"/>
              <w:spacing w:line="216" w:lineRule="exact" w:before="17"/>
              <w:ind w:left="29" w:right="38"/>
              <w:jc w:val="center"/>
              <w:rPr>
                <w:sz w:val="18"/>
              </w:rPr>
            </w:pPr>
            <w:r>
              <w:rPr>
                <w:sz w:val="18"/>
              </w:rPr>
              <w:t>30</w:t>
            </w:r>
          </w:p>
        </w:tc>
        <w:tc>
          <w:tcPr>
            <w:tcW w:w="3139" w:type="dxa"/>
          </w:tcPr>
          <w:p>
            <w:pPr>
              <w:pStyle w:val="TableParagraph"/>
              <w:spacing w:line="216" w:lineRule="exact" w:before="17"/>
              <w:ind w:left="58"/>
              <w:rPr>
                <w:sz w:val="18"/>
              </w:rPr>
            </w:pPr>
            <w:r>
              <w:rPr>
                <w:sz w:val="18"/>
              </w:rPr>
              <w:t>系统性红斑狼疮</w:t>
            </w:r>
          </w:p>
        </w:tc>
      </w:tr>
    </w:tbl>
    <w:p>
      <w:pPr>
        <w:pStyle w:val="BodyText"/>
        <w:spacing w:before="12"/>
        <w:rPr>
          <w:sz w:val="18"/>
        </w:rPr>
      </w:pPr>
    </w:p>
    <w:p>
      <w:pPr>
        <w:spacing w:after="0"/>
        <w:rPr>
          <w:sz w:val="18"/>
        </w:rPr>
        <w:sectPr>
          <w:pgSz w:w="11910" w:h="16840"/>
          <w:pgMar w:header="568" w:footer="458" w:top="800" w:bottom="640" w:left="860" w:right="960"/>
        </w:sectPr>
      </w:pPr>
    </w:p>
    <w:p>
      <w:pPr>
        <w:pStyle w:val="Heading2"/>
        <w:numPr>
          <w:ilvl w:val="1"/>
          <w:numId w:val="1"/>
        </w:numPr>
        <w:tabs>
          <w:tab w:pos="1307" w:val="left" w:leader="none"/>
          <w:tab w:pos="1308" w:val="left" w:leader="none"/>
        </w:tabs>
        <w:spacing w:line="240" w:lineRule="auto" w:before="37" w:after="0"/>
        <w:ind w:left="1307" w:right="0" w:hanging="1147"/>
        <w:jc w:val="left"/>
        <w:rPr>
          <w:rFonts w:ascii="宋体" w:eastAsia="宋体" w:hint="eastAsia"/>
        </w:rPr>
      </w:pPr>
      <w:r>
        <w:rPr>
          <w:rFonts w:ascii="宋体" w:eastAsia="宋体" w:hint="eastAsia"/>
          <w:spacing w:val="15"/>
        </w:rPr>
        <w:t>重大疾病的定</w:t>
      </w:r>
    </w:p>
    <w:p>
      <w:pPr>
        <w:pStyle w:val="BodyText"/>
        <w:spacing w:before="9"/>
        <w:rPr>
          <w:b/>
          <w:sz w:val="14"/>
        </w:rPr>
      </w:pPr>
      <w:r>
        <w:rPr/>
        <w:br w:type="column"/>
      </w:r>
      <w:r>
        <w:rPr>
          <w:b/>
          <w:sz w:val="14"/>
        </w:rPr>
      </w:r>
    </w:p>
    <w:p>
      <w:pPr>
        <w:spacing w:before="0"/>
        <w:ind w:left="157" w:right="0" w:firstLine="0"/>
        <w:jc w:val="left"/>
        <w:rPr>
          <w:sz w:val="21"/>
        </w:rPr>
      </w:pPr>
      <w:r>
        <w:rPr/>
        <w:pict>
          <v:shape style="position:absolute;margin-left:48.5pt;margin-top:10.988672pt;width:493.05pt;height:393.55pt;mso-position-horizontal-relative:page;mso-position-vertical-relative:paragraph;z-index:109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4"/>
                    <w:gridCol w:w="1647"/>
                    <w:gridCol w:w="7221"/>
                  </w:tblGrid>
                  <w:tr>
                    <w:trPr>
                      <w:trHeight w:val="369" w:hRule="atLeast"/>
                    </w:trPr>
                    <w:tc>
                      <w:tcPr>
                        <w:tcW w:w="994" w:type="dxa"/>
                      </w:tcPr>
                      <w:p>
                        <w:pPr>
                          <w:pStyle w:val="TableParagraph"/>
                          <w:rPr>
                            <w:rFonts w:ascii="Times New Roman"/>
                            <w:sz w:val="20"/>
                          </w:rPr>
                        </w:pPr>
                      </w:p>
                    </w:tc>
                    <w:tc>
                      <w:tcPr>
                        <w:tcW w:w="1647" w:type="dxa"/>
                      </w:tcPr>
                      <w:p>
                        <w:pPr>
                          <w:pStyle w:val="TableParagraph"/>
                          <w:spacing w:line="211" w:lineRule="exact"/>
                          <w:ind w:left="203"/>
                          <w:rPr>
                            <w:b/>
                            <w:sz w:val="21"/>
                          </w:rPr>
                        </w:pPr>
                        <w:r>
                          <w:rPr>
                            <w:b/>
                            <w:w w:val="100"/>
                            <w:sz w:val="21"/>
                          </w:rPr>
                          <w:t>义</w:t>
                        </w:r>
                      </w:p>
                    </w:tc>
                    <w:tc>
                      <w:tcPr>
                        <w:tcW w:w="7221" w:type="dxa"/>
                      </w:tcPr>
                      <w:p>
                        <w:pPr>
                          <w:pStyle w:val="TableParagraph"/>
                          <w:rPr>
                            <w:rFonts w:ascii="Times New Roman"/>
                            <w:sz w:val="20"/>
                          </w:rPr>
                        </w:pPr>
                      </w:p>
                    </w:tc>
                  </w:tr>
                  <w:tr>
                    <w:trPr>
                      <w:trHeight w:val="822" w:hRule="atLeast"/>
                    </w:trPr>
                    <w:tc>
                      <w:tcPr>
                        <w:tcW w:w="994" w:type="dxa"/>
                      </w:tcPr>
                      <w:p>
                        <w:pPr>
                          <w:pStyle w:val="TableParagraph"/>
                          <w:spacing w:before="92"/>
                          <w:ind w:left="50"/>
                          <w:rPr>
                            <w:b/>
                            <w:i/>
                            <w:sz w:val="22"/>
                          </w:rPr>
                        </w:pPr>
                        <w:r>
                          <w:rPr>
                            <w:b/>
                            <w:i/>
                            <w:sz w:val="22"/>
                          </w:rPr>
                          <w:t>3.2.1</w:t>
                        </w:r>
                      </w:p>
                    </w:tc>
                    <w:tc>
                      <w:tcPr>
                        <w:tcW w:w="1647" w:type="dxa"/>
                      </w:tcPr>
                      <w:p>
                        <w:pPr>
                          <w:pStyle w:val="TableParagraph"/>
                          <w:spacing w:line="259" w:lineRule="auto" w:before="92"/>
                          <w:ind w:left="203" w:right="59"/>
                          <w:rPr>
                            <w:b/>
                            <w:i/>
                            <w:sz w:val="22"/>
                          </w:rPr>
                        </w:pPr>
                        <w:r>
                          <w:rPr>
                            <w:b/>
                            <w:i/>
                            <w:w w:val="95"/>
                            <w:sz w:val="22"/>
                          </w:rPr>
                          <w:t>25 种重大疾病定义</w:t>
                        </w:r>
                      </w:p>
                    </w:tc>
                    <w:tc>
                      <w:tcPr>
                        <w:tcW w:w="7221" w:type="dxa"/>
                      </w:tcPr>
                      <w:p>
                        <w:pPr>
                          <w:pStyle w:val="TableParagraph"/>
                          <w:spacing w:line="273" w:lineRule="auto" w:before="104"/>
                          <w:ind w:left="121" w:right="152"/>
                          <w:rPr>
                            <w:sz w:val="21"/>
                          </w:rPr>
                        </w:pPr>
                        <w:r>
                          <w:rPr>
                            <w:spacing w:val="-18"/>
                            <w:sz w:val="21"/>
                          </w:rPr>
                          <w:t>前 </w:t>
                        </w:r>
                        <w:r>
                          <w:rPr>
                            <w:sz w:val="21"/>
                          </w:rPr>
                          <w:t>25</w:t>
                        </w:r>
                        <w:r>
                          <w:rPr>
                            <w:spacing w:val="-12"/>
                            <w:sz w:val="21"/>
                          </w:rPr>
                          <w:t> 种重大疾病定义完全采用了中国保险行业协会发布的《重大疾病保险的</w:t>
                        </w:r>
                        <w:r>
                          <w:rPr>
                            <w:spacing w:val="-3"/>
                            <w:sz w:val="21"/>
                          </w:rPr>
                          <w:t>疾病定义使用规范》中的疾病定义：</w:t>
                        </w:r>
                      </w:p>
                    </w:tc>
                  </w:tr>
                  <w:tr>
                    <w:trPr>
                      <w:trHeight w:val="402" w:hRule="atLeast"/>
                    </w:trPr>
                    <w:tc>
                      <w:tcPr>
                        <w:tcW w:w="994" w:type="dxa"/>
                      </w:tcPr>
                      <w:p>
                        <w:pPr>
                          <w:pStyle w:val="TableParagraph"/>
                          <w:spacing w:before="64"/>
                          <w:ind w:left="50"/>
                          <w:rPr>
                            <w:i/>
                            <w:sz w:val="22"/>
                          </w:rPr>
                        </w:pPr>
                        <w:r>
                          <w:rPr>
                            <w:i/>
                            <w:sz w:val="22"/>
                          </w:rPr>
                          <w:t>3.2.1</w:t>
                        </w:r>
                        <w:r>
                          <w:rPr>
                            <w:b/>
                            <w:i/>
                            <w:sz w:val="22"/>
                          </w:rPr>
                          <w:t>.</w:t>
                        </w:r>
                        <w:r>
                          <w:rPr>
                            <w:i/>
                            <w:sz w:val="22"/>
                          </w:rPr>
                          <w:t>1</w:t>
                        </w:r>
                      </w:p>
                    </w:tc>
                    <w:tc>
                      <w:tcPr>
                        <w:tcW w:w="1647" w:type="dxa"/>
                      </w:tcPr>
                      <w:p>
                        <w:pPr>
                          <w:pStyle w:val="TableParagraph"/>
                          <w:spacing w:before="64"/>
                          <w:ind w:left="203"/>
                          <w:rPr>
                            <w:i/>
                            <w:sz w:val="22"/>
                          </w:rPr>
                        </w:pPr>
                        <w:r>
                          <w:rPr>
                            <w:i/>
                            <w:w w:val="95"/>
                            <w:sz w:val="22"/>
                          </w:rPr>
                          <w:t>恶性肿瘤</w:t>
                        </w:r>
                      </w:p>
                    </w:tc>
                    <w:tc>
                      <w:tcPr>
                        <w:tcW w:w="7221" w:type="dxa"/>
                      </w:tcPr>
                      <w:p>
                        <w:pPr>
                          <w:pStyle w:val="TableParagraph"/>
                          <w:spacing w:before="76"/>
                          <w:ind w:left="121"/>
                          <w:rPr>
                            <w:sz w:val="21"/>
                          </w:rPr>
                        </w:pPr>
                        <w:r>
                          <w:rPr>
                            <w:sz w:val="21"/>
                          </w:rPr>
                          <w:t>指恶性细胞不受控制的进行性增长和扩散，浸润和破坏周围正常组织，可以</w:t>
                        </w:r>
                      </w:p>
                    </w:tc>
                  </w:tr>
                  <w:tr>
                    <w:trPr>
                      <w:trHeight w:val="311" w:hRule="atLeast"/>
                    </w:trPr>
                    <w:tc>
                      <w:tcPr>
                        <w:tcW w:w="994" w:type="dxa"/>
                      </w:tcPr>
                      <w:p>
                        <w:pPr>
                          <w:pStyle w:val="TableParagraph"/>
                          <w:rPr>
                            <w:rFonts w:ascii="Times New Roman"/>
                            <w:sz w:val="20"/>
                          </w:rPr>
                        </w:pPr>
                      </w:p>
                    </w:tc>
                    <w:tc>
                      <w:tcPr>
                        <w:tcW w:w="1647" w:type="dxa"/>
                      </w:tcPr>
                      <w:p>
                        <w:pPr>
                          <w:pStyle w:val="TableParagraph"/>
                          <w:rPr>
                            <w:rFonts w:ascii="Times New Roman"/>
                            <w:sz w:val="20"/>
                          </w:rPr>
                        </w:pPr>
                      </w:p>
                    </w:tc>
                    <w:tc>
                      <w:tcPr>
                        <w:tcW w:w="7221" w:type="dxa"/>
                      </w:tcPr>
                      <w:p>
                        <w:pPr>
                          <w:pStyle w:val="TableParagraph"/>
                          <w:spacing w:line="261" w:lineRule="exact"/>
                          <w:ind w:left="121"/>
                          <w:rPr>
                            <w:sz w:val="21"/>
                          </w:rPr>
                        </w:pPr>
                        <w:r>
                          <w:rPr>
                            <w:sz w:val="21"/>
                          </w:rPr>
                          <w:t>经血管、淋巴管和体腔扩散转移到身体其它部位的疾病。经病理学检查结果</w:t>
                        </w:r>
                      </w:p>
                    </w:tc>
                  </w:tr>
                  <w:tr>
                    <w:trPr>
                      <w:trHeight w:val="312" w:hRule="atLeast"/>
                    </w:trPr>
                    <w:tc>
                      <w:tcPr>
                        <w:tcW w:w="994" w:type="dxa"/>
                      </w:tcPr>
                      <w:p>
                        <w:pPr>
                          <w:pStyle w:val="TableParagraph"/>
                          <w:rPr>
                            <w:rFonts w:ascii="Times New Roman"/>
                            <w:sz w:val="20"/>
                          </w:rPr>
                        </w:pPr>
                      </w:p>
                    </w:tc>
                    <w:tc>
                      <w:tcPr>
                        <w:tcW w:w="1647" w:type="dxa"/>
                      </w:tcPr>
                      <w:p>
                        <w:pPr>
                          <w:pStyle w:val="TableParagraph"/>
                          <w:rPr>
                            <w:rFonts w:ascii="Times New Roman"/>
                            <w:sz w:val="20"/>
                          </w:rPr>
                        </w:pPr>
                      </w:p>
                    </w:tc>
                    <w:tc>
                      <w:tcPr>
                        <w:tcW w:w="7221" w:type="dxa"/>
                      </w:tcPr>
                      <w:p>
                        <w:pPr>
                          <w:pStyle w:val="TableParagraph"/>
                          <w:spacing w:line="261" w:lineRule="exact"/>
                          <w:ind w:left="121"/>
                          <w:rPr>
                            <w:sz w:val="21"/>
                          </w:rPr>
                        </w:pPr>
                        <w:r>
                          <w:rPr>
                            <w:sz w:val="21"/>
                          </w:rPr>
                          <w:t>明确诊断，临床诊断属于世界卫生组织《 疾病和有关健康问题的国际统计分</w:t>
                        </w:r>
                      </w:p>
                    </w:tc>
                  </w:tr>
                  <w:tr>
                    <w:trPr>
                      <w:trHeight w:val="312" w:hRule="atLeast"/>
                    </w:trPr>
                    <w:tc>
                      <w:tcPr>
                        <w:tcW w:w="994" w:type="dxa"/>
                      </w:tcPr>
                      <w:p>
                        <w:pPr>
                          <w:pStyle w:val="TableParagraph"/>
                          <w:rPr>
                            <w:rFonts w:ascii="Times New Roman"/>
                            <w:sz w:val="20"/>
                          </w:rPr>
                        </w:pPr>
                      </w:p>
                    </w:tc>
                    <w:tc>
                      <w:tcPr>
                        <w:tcW w:w="1647" w:type="dxa"/>
                      </w:tcPr>
                      <w:p>
                        <w:pPr>
                          <w:pStyle w:val="TableParagraph"/>
                          <w:rPr>
                            <w:rFonts w:ascii="Times New Roman"/>
                            <w:sz w:val="20"/>
                          </w:rPr>
                        </w:pPr>
                      </w:p>
                    </w:tc>
                    <w:tc>
                      <w:tcPr>
                        <w:tcW w:w="7221" w:type="dxa"/>
                      </w:tcPr>
                      <w:p>
                        <w:pPr>
                          <w:pStyle w:val="TableParagraph"/>
                          <w:spacing w:line="261" w:lineRule="exact"/>
                          <w:ind w:left="121"/>
                          <w:rPr>
                            <w:sz w:val="21"/>
                          </w:rPr>
                        </w:pPr>
                        <w:r>
                          <w:rPr>
                            <w:spacing w:val="-54"/>
                            <w:sz w:val="21"/>
                          </w:rPr>
                          <w:t>类》</w:t>
                        </w:r>
                        <w:r>
                          <w:rPr>
                            <w:spacing w:val="-1"/>
                            <w:sz w:val="21"/>
                          </w:rPr>
                          <w:t>（ICD-10）</w:t>
                        </w:r>
                        <w:r>
                          <w:rPr>
                            <w:spacing w:val="-3"/>
                            <w:sz w:val="21"/>
                          </w:rPr>
                          <w:t>的恶性肿瘤范畴。</w:t>
                        </w:r>
                      </w:p>
                    </w:tc>
                  </w:tr>
                  <w:tr>
                    <w:trPr>
                      <w:trHeight w:val="312" w:hRule="atLeast"/>
                    </w:trPr>
                    <w:tc>
                      <w:tcPr>
                        <w:tcW w:w="994" w:type="dxa"/>
                      </w:tcPr>
                      <w:p>
                        <w:pPr>
                          <w:pStyle w:val="TableParagraph"/>
                          <w:rPr>
                            <w:rFonts w:ascii="Times New Roman"/>
                            <w:sz w:val="20"/>
                          </w:rPr>
                        </w:pPr>
                      </w:p>
                    </w:tc>
                    <w:tc>
                      <w:tcPr>
                        <w:tcW w:w="1647" w:type="dxa"/>
                      </w:tcPr>
                      <w:p>
                        <w:pPr>
                          <w:pStyle w:val="TableParagraph"/>
                          <w:rPr>
                            <w:rFonts w:ascii="Times New Roman"/>
                            <w:sz w:val="20"/>
                          </w:rPr>
                        </w:pPr>
                      </w:p>
                    </w:tc>
                    <w:tc>
                      <w:tcPr>
                        <w:tcW w:w="7221" w:type="dxa"/>
                      </w:tcPr>
                      <w:p>
                        <w:pPr>
                          <w:pStyle w:val="TableParagraph"/>
                          <w:spacing w:line="261" w:lineRule="exact"/>
                          <w:ind w:left="121"/>
                          <w:rPr>
                            <w:sz w:val="21"/>
                          </w:rPr>
                        </w:pPr>
                        <w:r>
                          <w:rPr>
                            <w:sz w:val="21"/>
                          </w:rPr>
                          <w:t>下列疾病不在保障范围内：</w:t>
                        </w:r>
                      </w:p>
                    </w:tc>
                  </w:tr>
                  <w:tr>
                    <w:trPr>
                      <w:trHeight w:val="311" w:hRule="atLeast"/>
                    </w:trPr>
                    <w:tc>
                      <w:tcPr>
                        <w:tcW w:w="994" w:type="dxa"/>
                      </w:tcPr>
                      <w:p>
                        <w:pPr>
                          <w:pStyle w:val="TableParagraph"/>
                          <w:rPr>
                            <w:rFonts w:ascii="Times New Roman"/>
                            <w:sz w:val="20"/>
                          </w:rPr>
                        </w:pPr>
                      </w:p>
                    </w:tc>
                    <w:tc>
                      <w:tcPr>
                        <w:tcW w:w="1647" w:type="dxa"/>
                      </w:tcPr>
                      <w:p>
                        <w:pPr>
                          <w:pStyle w:val="TableParagraph"/>
                          <w:rPr>
                            <w:rFonts w:ascii="Times New Roman"/>
                            <w:sz w:val="20"/>
                          </w:rPr>
                        </w:pPr>
                      </w:p>
                    </w:tc>
                    <w:tc>
                      <w:tcPr>
                        <w:tcW w:w="7221" w:type="dxa"/>
                      </w:tcPr>
                      <w:p>
                        <w:pPr>
                          <w:pStyle w:val="TableParagraph"/>
                          <w:spacing w:line="261" w:lineRule="exact"/>
                          <w:ind w:left="121"/>
                          <w:rPr>
                            <w:sz w:val="21"/>
                          </w:rPr>
                        </w:pPr>
                        <w:r>
                          <w:rPr>
                            <w:sz w:val="21"/>
                          </w:rPr>
                          <w:t>（1）原位癌；</w:t>
                        </w:r>
                      </w:p>
                    </w:tc>
                  </w:tr>
                  <w:tr>
                    <w:trPr>
                      <w:trHeight w:val="311" w:hRule="atLeast"/>
                    </w:trPr>
                    <w:tc>
                      <w:tcPr>
                        <w:tcW w:w="994" w:type="dxa"/>
                      </w:tcPr>
                      <w:p>
                        <w:pPr>
                          <w:pStyle w:val="TableParagraph"/>
                          <w:rPr>
                            <w:rFonts w:ascii="Times New Roman"/>
                            <w:sz w:val="20"/>
                          </w:rPr>
                        </w:pPr>
                      </w:p>
                    </w:tc>
                    <w:tc>
                      <w:tcPr>
                        <w:tcW w:w="1647" w:type="dxa"/>
                      </w:tcPr>
                      <w:p>
                        <w:pPr>
                          <w:pStyle w:val="TableParagraph"/>
                          <w:rPr>
                            <w:rFonts w:ascii="Times New Roman"/>
                            <w:sz w:val="20"/>
                          </w:rPr>
                        </w:pPr>
                      </w:p>
                    </w:tc>
                    <w:tc>
                      <w:tcPr>
                        <w:tcW w:w="7221" w:type="dxa"/>
                      </w:tcPr>
                      <w:p>
                        <w:pPr>
                          <w:pStyle w:val="TableParagraph"/>
                          <w:spacing w:line="261" w:lineRule="exact"/>
                          <w:ind w:left="121"/>
                          <w:rPr>
                            <w:sz w:val="21"/>
                          </w:rPr>
                        </w:pPr>
                        <w:r>
                          <w:rPr>
                            <w:sz w:val="21"/>
                          </w:rPr>
                          <w:t>（2）相当于 Binet 分期方案 A 期程度的慢性淋巴细胞白血病；</w:t>
                        </w:r>
                      </w:p>
                    </w:tc>
                  </w:tr>
                  <w:tr>
                    <w:trPr>
                      <w:trHeight w:val="312" w:hRule="atLeast"/>
                    </w:trPr>
                    <w:tc>
                      <w:tcPr>
                        <w:tcW w:w="994" w:type="dxa"/>
                      </w:tcPr>
                      <w:p>
                        <w:pPr>
                          <w:pStyle w:val="TableParagraph"/>
                          <w:rPr>
                            <w:rFonts w:ascii="Times New Roman"/>
                            <w:sz w:val="20"/>
                          </w:rPr>
                        </w:pPr>
                      </w:p>
                    </w:tc>
                    <w:tc>
                      <w:tcPr>
                        <w:tcW w:w="1647" w:type="dxa"/>
                      </w:tcPr>
                      <w:p>
                        <w:pPr>
                          <w:pStyle w:val="TableParagraph"/>
                          <w:rPr>
                            <w:rFonts w:ascii="Times New Roman"/>
                            <w:sz w:val="20"/>
                          </w:rPr>
                        </w:pPr>
                      </w:p>
                    </w:tc>
                    <w:tc>
                      <w:tcPr>
                        <w:tcW w:w="7221" w:type="dxa"/>
                      </w:tcPr>
                      <w:p>
                        <w:pPr>
                          <w:pStyle w:val="TableParagraph"/>
                          <w:spacing w:line="261" w:lineRule="exact"/>
                          <w:ind w:left="121"/>
                          <w:rPr>
                            <w:sz w:val="21"/>
                          </w:rPr>
                        </w:pPr>
                        <w:r>
                          <w:rPr>
                            <w:sz w:val="21"/>
                          </w:rPr>
                          <w:t>（3）相当于 Ann Arbor 分期方案 I 期程度的何杰金氏病；</w:t>
                        </w:r>
                      </w:p>
                    </w:tc>
                  </w:tr>
                  <w:tr>
                    <w:trPr>
                      <w:trHeight w:val="312" w:hRule="atLeast"/>
                    </w:trPr>
                    <w:tc>
                      <w:tcPr>
                        <w:tcW w:w="994" w:type="dxa"/>
                      </w:tcPr>
                      <w:p>
                        <w:pPr>
                          <w:pStyle w:val="TableParagraph"/>
                          <w:rPr>
                            <w:rFonts w:ascii="Times New Roman"/>
                            <w:sz w:val="20"/>
                          </w:rPr>
                        </w:pPr>
                      </w:p>
                    </w:tc>
                    <w:tc>
                      <w:tcPr>
                        <w:tcW w:w="1647" w:type="dxa"/>
                      </w:tcPr>
                      <w:p>
                        <w:pPr>
                          <w:pStyle w:val="TableParagraph"/>
                          <w:rPr>
                            <w:rFonts w:ascii="Times New Roman"/>
                            <w:sz w:val="20"/>
                          </w:rPr>
                        </w:pPr>
                      </w:p>
                    </w:tc>
                    <w:tc>
                      <w:tcPr>
                        <w:tcW w:w="7221" w:type="dxa"/>
                      </w:tcPr>
                      <w:p>
                        <w:pPr>
                          <w:pStyle w:val="TableParagraph"/>
                          <w:spacing w:line="261" w:lineRule="exact"/>
                          <w:ind w:left="121"/>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tc>
                  </w:tr>
                  <w:tr>
                    <w:trPr>
                      <w:trHeight w:val="311" w:hRule="atLeast"/>
                    </w:trPr>
                    <w:tc>
                      <w:tcPr>
                        <w:tcW w:w="994" w:type="dxa"/>
                      </w:tcPr>
                      <w:p>
                        <w:pPr>
                          <w:pStyle w:val="TableParagraph"/>
                          <w:rPr>
                            <w:rFonts w:ascii="Times New Roman"/>
                            <w:sz w:val="20"/>
                          </w:rPr>
                        </w:pPr>
                      </w:p>
                    </w:tc>
                    <w:tc>
                      <w:tcPr>
                        <w:tcW w:w="1647" w:type="dxa"/>
                      </w:tcPr>
                      <w:p>
                        <w:pPr>
                          <w:pStyle w:val="TableParagraph"/>
                          <w:rPr>
                            <w:rFonts w:ascii="Times New Roman"/>
                            <w:sz w:val="20"/>
                          </w:rPr>
                        </w:pPr>
                      </w:p>
                    </w:tc>
                    <w:tc>
                      <w:tcPr>
                        <w:tcW w:w="7221" w:type="dxa"/>
                      </w:tcPr>
                      <w:p>
                        <w:pPr>
                          <w:pStyle w:val="TableParagraph"/>
                          <w:spacing w:line="261" w:lineRule="exact"/>
                          <w:ind w:left="121"/>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tc>
                  </w:tr>
                  <w:tr>
                    <w:trPr>
                      <w:trHeight w:val="421" w:hRule="atLeast"/>
                    </w:trPr>
                    <w:tc>
                      <w:tcPr>
                        <w:tcW w:w="994" w:type="dxa"/>
                      </w:tcPr>
                      <w:p>
                        <w:pPr>
                          <w:pStyle w:val="TableParagraph"/>
                          <w:rPr>
                            <w:rFonts w:ascii="Times New Roman"/>
                            <w:sz w:val="20"/>
                          </w:rPr>
                        </w:pPr>
                      </w:p>
                    </w:tc>
                    <w:tc>
                      <w:tcPr>
                        <w:tcW w:w="1647" w:type="dxa"/>
                      </w:tcPr>
                      <w:p>
                        <w:pPr>
                          <w:pStyle w:val="TableParagraph"/>
                          <w:rPr>
                            <w:rFonts w:ascii="Times New Roman"/>
                            <w:sz w:val="20"/>
                          </w:rPr>
                        </w:pPr>
                      </w:p>
                    </w:tc>
                    <w:tc>
                      <w:tcPr>
                        <w:tcW w:w="7221" w:type="dxa"/>
                      </w:tcPr>
                      <w:p>
                        <w:pPr>
                          <w:pStyle w:val="TableParagraph"/>
                          <w:spacing w:line="261" w:lineRule="exact"/>
                          <w:ind w:left="121"/>
                          <w:rPr>
                            <w:sz w:val="21"/>
                          </w:rPr>
                        </w:pPr>
                        <w:r>
                          <w:rPr>
                            <w:sz w:val="21"/>
                          </w:rPr>
                          <w:t>（6）感染艾滋病病毒或患艾滋病期间所患恶性肿瘤。</w:t>
                        </w:r>
                      </w:p>
                    </w:tc>
                  </w:tr>
                  <w:tr>
                    <w:trPr>
                      <w:trHeight w:val="432" w:hRule="atLeast"/>
                    </w:trPr>
                    <w:tc>
                      <w:tcPr>
                        <w:tcW w:w="994" w:type="dxa"/>
                      </w:tcPr>
                      <w:p>
                        <w:pPr>
                          <w:pStyle w:val="TableParagraph"/>
                          <w:spacing w:before="94"/>
                          <w:ind w:left="50"/>
                          <w:rPr>
                            <w:i/>
                            <w:sz w:val="22"/>
                          </w:rPr>
                        </w:pPr>
                        <w:r>
                          <w:rPr>
                            <w:i/>
                            <w:sz w:val="22"/>
                          </w:rPr>
                          <w:t>3.2.1</w:t>
                        </w:r>
                        <w:r>
                          <w:rPr>
                            <w:b/>
                            <w:i/>
                            <w:sz w:val="22"/>
                          </w:rPr>
                          <w:t>.</w:t>
                        </w:r>
                        <w:r>
                          <w:rPr>
                            <w:i/>
                            <w:sz w:val="22"/>
                          </w:rPr>
                          <w:t>2</w:t>
                        </w:r>
                      </w:p>
                    </w:tc>
                    <w:tc>
                      <w:tcPr>
                        <w:tcW w:w="1647" w:type="dxa"/>
                      </w:tcPr>
                      <w:p>
                        <w:pPr>
                          <w:pStyle w:val="TableParagraph"/>
                          <w:spacing w:before="94"/>
                          <w:ind w:left="203"/>
                          <w:rPr>
                            <w:i/>
                            <w:sz w:val="22"/>
                          </w:rPr>
                        </w:pPr>
                        <w:r>
                          <w:rPr>
                            <w:i/>
                            <w:w w:val="95"/>
                            <w:sz w:val="22"/>
                          </w:rPr>
                          <w:t>急性心肌梗塞</w:t>
                        </w:r>
                      </w:p>
                    </w:tc>
                    <w:tc>
                      <w:tcPr>
                        <w:tcW w:w="7221" w:type="dxa"/>
                      </w:tcPr>
                      <w:p>
                        <w:pPr>
                          <w:pStyle w:val="TableParagraph"/>
                          <w:spacing w:before="105"/>
                          <w:ind w:left="121"/>
                          <w:rPr>
                            <w:sz w:val="21"/>
                          </w:rPr>
                        </w:pPr>
                        <w:r>
                          <w:rPr>
                            <w:sz w:val="21"/>
                          </w:rPr>
                          <w:t>指因冠状动脉阻塞导致的相应区域供血不足造成部分心肌坏死。须满足下列</w:t>
                        </w:r>
                      </w:p>
                    </w:tc>
                  </w:tr>
                  <w:tr>
                    <w:trPr>
                      <w:trHeight w:val="311" w:hRule="atLeast"/>
                    </w:trPr>
                    <w:tc>
                      <w:tcPr>
                        <w:tcW w:w="994" w:type="dxa"/>
                      </w:tcPr>
                      <w:p>
                        <w:pPr>
                          <w:pStyle w:val="TableParagraph"/>
                          <w:rPr>
                            <w:rFonts w:ascii="Times New Roman"/>
                            <w:sz w:val="20"/>
                          </w:rPr>
                        </w:pPr>
                      </w:p>
                    </w:tc>
                    <w:tc>
                      <w:tcPr>
                        <w:tcW w:w="1647" w:type="dxa"/>
                      </w:tcPr>
                      <w:p>
                        <w:pPr>
                          <w:pStyle w:val="TableParagraph"/>
                          <w:rPr>
                            <w:rFonts w:ascii="Times New Roman"/>
                            <w:sz w:val="20"/>
                          </w:rPr>
                        </w:pPr>
                      </w:p>
                    </w:tc>
                    <w:tc>
                      <w:tcPr>
                        <w:tcW w:w="7221" w:type="dxa"/>
                      </w:tcPr>
                      <w:p>
                        <w:pPr>
                          <w:pStyle w:val="TableParagraph"/>
                          <w:spacing w:line="261" w:lineRule="exact"/>
                          <w:ind w:left="121"/>
                          <w:rPr>
                            <w:sz w:val="21"/>
                          </w:rPr>
                        </w:pPr>
                        <w:r>
                          <w:rPr>
                            <w:sz w:val="21"/>
                          </w:rPr>
                          <w:t>至少三项条件：</w:t>
                        </w:r>
                      </w:p>
                    </w:tc>
                  </w:tr>
                  <w:tr>
                    <w:trPr>
                      <w:trHeight w:val="312" w:hRule="atLeast"/>
                    </w:trPr>
                    <w:tc>
                      <w:tcPr>
                        <w:tcW w:w="994" w:type="dxa"/>
                      </w:tcPr>
                      <w:p>
                        <w:pPr>
                          <w:pStyle w:val="TableParagraph"/>
                          <w:rPr>
                            <w:rFonts w:ascii="Times New Roman"/>
                            <w:sz w:val="20"/>
                          </w:rPr>
                        </w:pPr>
                      </w:p>
                    </w:tc>
                    <w:tc>
                      <w:tcPr>
                        <w:tcW w:w="1647" w:type="dxa"/>
                      </w:tcPr>
                      <w:p>
                        <w:pPr>
                          <w:pStyle w:val="TableParagraph"/>
                          <w:rPr>
                            <w:rFonts w:ascii="Times New Roman"/>
                            <w:sz w:val="20"/>
                          </w:rPr>
                        </w:pPr>
                      </w:p>
                    </w:tc>
                    <w:tc>
                      <w:tcPr>
                        <w:tcW w:w="7221" w:type="dxa"/>
                      </w:tcPr>
                      <w:p>
                        <w:pPr>
                          <w:pStyle w:val="TableParagraph"/>
                          <w:spacing w:line="261" w:lineRule="exact"/>
                          <w:ind w:left="121"/>
                          <w:rPr>
                            <w:sz w:val="21"/>
                          </w:rPr>
                        </w:pPr>
                        <w:r>
                          <w:rPr>
                            <w:sz w:val="21"/>
                          </w:rPr>
                          <w:t>（1）典型临床表现，例如急性胸痛等；</w:t>
                        </w:r>
                      </w:p>
                    </w:tc>
                  </w:tr>
                  <w:tr>
                    <w:trPr>
                      <w:trHeight w:val="311" w:hRule="atLeast"/>
                    </w:trPr>
                    <w:tc>
                      <w:tcPr>
                        <w:tcW w:w="994" w:type="dxa"/>
                      </w:tcPr>
                      <w:p>
                        <w:pPr>
                          <w:pStyle w:val="TableParagraph"/>
                          <w:rPr>
                            <w:rFonts w:ascii="Times New Roman"/>
                            <w:sz w:val="20"/>
                          </w:rPr>
                        </w:pPr>
                      </w:p>
                    </w:tc>
                    <w:tc>
                      <w:tcPr>
                        <w:tcW w:w="1647" w:type="dxa"/>
                      </w:tcPr>
                      <w:p>
                        <w:pPr>
                          <w:pStyle w:val="TableParagraph"/>
                          <w:rPr>
                            <w:rFonts w:ascii="Times New Roman"/>
                            <w:sz w:val="20"/>
                          </w:rPr>
                        </w:pPr>
                      </w:p>
                    </w:tc>
                    <w:tc>
                      <w:tcPr>
                        <w:tcW w:w="7221" w:type="dxa"/>
                      </w:tcPr>
                      <w:p>
                        <w:pPr>
                          <w:pStyle w:val="TableParagraph"/>
                          <w:spacing w:line="261" w:lineRule="exact"/>
                          <w:ind w:left="121"/>
                          <w:rPr>
                            <w:sz w:val="21"/>
                          </w:rPr>
                        </w:pPr>
                        <w:r>
                          <w:rPr>
                            <w:sz w:val="21"/>
                          </w:rPr>
                          <w:t>（2）新近的心电图改变提示急性心肌梗塞；</w:t>
                        </w:r>
                      </w:p>
                    </w:tc>
                  </w:tr>
                  <w:tr>
                    <w:trPr>
                      <w:trHeight w:val="312" w:hRule="atLeast"/>
                    </w:trPr>
                    <w:tc>
                      <w:tcPr>
                        <w:tcW w:w="994" w:type="dxa"/>
                      </w:tcPr>
                      <w:p>
                        <w:pPr>
                          <w:pStyle w:val="TableParagraph"/>
                          <w:rPr>
                            <w:rFonts w:ascii="Times New Roman"/>
                            <w:sz w:val="20"/>
                          </w:rPr>
                        </w:pPr>
                      </w:p>
                    </w:tc>
                    <w:tc>
                      <w:tcPr>
                        <w:tcW w:w="1647" w:type="dxa"/>
                      </w:tcPr>
                      <w:p>
                        <w:pPr>
                          <w:pStyle w:val="TableParagraph"/>
                          <w:rPr>
                            <w:rFonts w:ascii="Times New Roman"/>
                            <w:sz w:val="20"/>
                          </w:rPr>
                        </w:pPr>
                      </w:p>
                    </w:tc>
                    <w:tc>
                      <w:tcPr>
                        <w:tcW w:w="7221" w:type="dxa"/>
                      </w:tcPr>
                      <w:p>
                        <w:pPr>
                          <w:pStyle w:val="TableParagraph"/>
                          <w:spacing w:line="261" w:lineRule="exact"/>
                          <w:ind w:left="121"/>
                          <w:rPr>
                            <w:sz w:val="21"/>
                          </w:rPr>
                        </w:pPr>
                        <w:r>
                          <w:rPr>
                            <w:sz w:val="21"/>
                          </w:rPr>
                          <w:t>（3）心肌酶或肌钙蛋白有诊断意义的升高，或呈符合急性心肌梗塞的动态性</w:t>
                        </w:r>
                      </w:p>
                    </w:tc>
                  </w:tr>
                  <w:tr>
                    <w:trPr>
                      <w:trHeight w:val="311" w:hRule="atLeast"/>
                    </w:trPr>
                    <w:tc>
                      <w:tcPr>
                        <w:tcW w:w="994" w:type="dxa"/>
                      </w:tcPr>
                      <w:p>
                        <w:pPr>
                          <w:pStyle w:val="TableParagraph"/>
                          <w:rPr>
                            <w:rFonts w:ascii="Times New Roman"/>
                            <w:sz w:val="20"/>
                          </w:rPr>
                        </w:pPr>
                      </w:p>
                    </w:tc>
                    <w:tc>
                      <w:tcPr>
                        <w:tcW w:w="1647" w:type="dxa"/>
                      </w:tcPr>
                      <w:p>
                        <w:pPr>
                          <w:pStyle w:val="TableParagraph"/>
                          <w:rPr>
                            <w:rFonts w:ascii="Times New Roman"/>
                            <w:sz w:val="20"/>
                          </w:rPr>
                        </w:pPr>
                      </w:p>
                    </w:tc>
                    <w:tc>
                      <w:tcPr>
                        <w:tcW w:w="7221" w:type="dxa"/>
                      </w:tcPr>
                      <w:p>
                        <w:pPr>
                          <w:pStyle w:val="TableParagraph"/>
                          <w:spacing w:line="261" w:lineRule="exact"/>
                          <w:ind w:left="121"/>
                          <w:rPr>
                            <w:sz w:val="21"/>
                          </w:rPr>
                        </w:pPr>
                        <w:r>
                          <w:rPr>
                            <w:sz w:val="21"/>
                          </w:rPr>
                          <w:t>变化；</w:t>
                        </w:r>
                      </w:p>
                    </w:tc>
                  </w:tr>
                  <w:tr>
                    <w:trPr>
                      <w:trHeight w:val="392" w:hRule="atLeast"/>
                    </w:trPr>
                    <w:tc>
                      <w:tcPr>
                        <w:tcW w:w="994" w:type="dxa"/>
                      </w:tcPr>
                      <w:p>
                        <w:pPr>
                          <w:pStyle w:val="TableParagraph"/>
                          <w:rPr>
                            <w:rFonts w:ascii="Times New Roman"/>
                            <w:sz w:val="20"/>
                          </w:rPr>
                        </w:pPr>
                      </w:p>
                    </w:tc>
                    <w:tc>
                      <w:tcPr>
                        <w:tcW w:w="1647" w:type="dxa"/>
                      </w:tcPr>
                      <w:p>
                        <w:pPr>
                          <w:pStyle w:val="TableParagraph"/>
                          <w:rPr>
                            <w:rFonts w:ascii="Times New Roman"/>
                            <w:sz w:val="20"/>
                          </w:rPr>
                        </w:pPr>
                      </w:p>
                    </w:tc>
                    <w:tc>
                      <w:tcPr>
                        <w:tcW w:w="7221" w:type="dxa"/>
                      </w:tcPr>
                      <w:p>
                        <w:pPr>
                          <w:pStyle w:val="TableParagraph"/>
                          <w:spacing w:line="261" w:lineRule="exact"/>
                          <w:ind w:left="121"/>
                          <w:rPr>
                            <w:sz w:val="21"/>
                          </w:rPr>
                        </w:pPr>
                        <w:r>
                          <w:rPr>
                            <w:w w:val="100"/>
                            <w:sz w:val="21"/>
                          </w:rPr>
                          <w:t>（4</w:t>
                        </w:r>
                        <w:r>
                          <w:rPr>
                            <w:spacing w:val="-87"/>
                            <w:w w:val="100"/>
                            <w:sz w:val="21"/>
                          </w:rPr>
                          <w:t>）</w:t>
                        </w:r>
                        <w:r>
                          <w:rPr>
                            <w:spacing w:val="-2"/>
                            <w:w w:val="100"/>
                            <w:sz w:val="21"/>
                          </w:rPr>
                          <w:t>发病</w:t>
                        </w:r>
                        <w:r>
                          <w:rPr>
                            <w:spacing w:val="-53"/>
                            <w:sz w:val="21"/>
                          </w:rPr>
                          <w:t> </w:t>
                        </w:r>
                        <w:r>
                          <w:rPr>
                            <w:w w:val="100"/>
                            <w:sz w:val="21"/>
                          </w:rPr>
                          <w:t>90</w:t>
                        </w:r>
                        <w:r>
                          <w:rPr>
                            <w:spacing w:val="-55"/>
                            <w:sz w:val="21"/>
                          </w:rPr>
                          <w:t> </w:t>
                        </w:r>
                        <w:r>
                          <w:rPr>
                            <w:spacing w:val="-16"/>
                            <w:w w:val="100"/>
                            <w:sz w:val="21"/>
                          </w:rPr>
                          <w:t>天后，经检查证实左心室功能降低，如左心室射血分数低于</w:t>
                        </w:r>
                        <w:r>
                          <w:rPr>
                            <w:spacing w:val="-52"/>
                            <w:sz w:val="21"/>
                          </w:rPr>
                          <w:t> </w:t>
                        </w:r>
                        <w:r>
                          <w:rPr>
                            <w:spacing w:val="-3"/>
                            <w:w w:val="100"/>
                            <w:sz w:val="21"/>
                          </w:rPr>
                          <w:t>5</w:t>
                        </w:r>
                        <w:r>
                          <w:rPr>
                            <w:w w:val="100"/>
                            <w:sz w:val="21"/>
                          </w:rPr>
                          <w:t>0</w:t>
                        </w:r>
                        <w:r>
                          <w:rPr>
                            <w:spacing w:val="-2"/>
                            <w:w w:val="100"/>
                            <w:sz w:val="21"/>
                          </w:rPr>
                          <w:t>%。</w:t>
                        </w:r>
                      </w:p>
                    </w:tc>
                  </w:tr>
                  <w:tr>
                    <w:trPr>
                      <w:trHeight w:val="402" w:hRule="atLeast"/>
                    </w:trPr>
                    <w:tc>
                      <w:tcPr>
                        <w:tcW w:w="994" w:type="dxa"/>
                      </w:tcPr>
                      <w:p>
                        <w:pPr>
                          <w:pStyle w:val="TableParagraph"/>
                          <w:spacing w:before="65"/>
                          <w:ind w:left="50"/>
                          <w:rPr>
                            <w:i/>
                            <w:sz w:val="22"/>
                          </w:rPr>
                        </w:pPr>
                        <w:r>
                          <w:rPr>
                            <w:i/>
                            <w:sz w:val="22"/>
                          </w:rPr>
                          <w:t>3.2.1</w:t>
                        </w:r>
                        <w:r>
                          <w:rPr>
                            <w:b/>
                            <w:i/>
                            <w:sz w:val="22"/>
                          </w:rPr>
                          <w:t>.</w:t>
                        </w:r>
                        <w:r>
                          <w:rPr>
                            <w:i/>
                            <w:sz w:val="22"/>
                          </w:rPr>
                          <w:t>3</w:t>
                        </w:r>
                      </w:p>
                    </w:tc>
                    <w:tc>
                      <w:tcPr>
                        <w:tcW w:w="1647" w:type="dxa"/>
                      </w:tcPr>
                      <w:p>
                        <w:pPr>
                          <w:pStyle w:val="TableParagraph"/>
                          <w:spacing w:before="65"/>
                          <w:ind w:left="203"/>
                          <w:rPr>
                            <w:i/>
                            <w:sz w:val="22"/>
                          </w:rPr>
                        </w:pPr>
                        <w:r>
                          <w:rPr>
                            <w:i/>
                            <w:w w:val="95"/>
                            <w:sz w:val="22"/>
                          </w:rPr>
                          <w:t>脑中风后遗症</w:t>
                        </w:r>
                      </w:p>
                    </w:tc>
                    <w:tc>
                      <w:tcPr>
                        <w:tcW w:w="7221" w:type="dxa"/>
                      </w:tcPr>
                      <w:p>
                        <w:pPr>
                          <w:pStyle w:val="TableParagraph"/>
                          <w:spacing w:before="76"/>
                          <w:ind w:left="121"/>
                          <w:rPr>
                            <w:sz w:val="21"/>
                          </w:rPr>
                        </w:pPr>
                        <w:r>
                          <w:rPr>
                            <w:sz w:val="21"/>
                          </w:rPr>
                          <w:t>指因脑血管的突发病变引起脑血管出血、栓塞或梗塞，并导致神经系统永久</w:t>
                        </w:r>
                      </w:p>
                    </w:tc>
                  </w:tr>
                  <w:tr>
                    <w:trPr>
                      <w:trHeight w:val="260" w:hRule="atLeast"/>
                    </w:trPr>
                    <w:tc>
                      <w:tcPr>
                        <w:tcW w:w="994" w:type="dxa"/>
                      </w:tcPr>
                      <w:p>
                        <w:pPr>
                          <w:pStyle w:val="TableParagraph"/>
                          <w:rPr>
                            <w:rFonts w:ascii="Times New Roman"/>
                            <w:sz w:val="18"/>
                          </w:rPr>
                        </w:pPr>
                      </w:p>
                    </w:tc>
                    <w:tc>
                      <w:tcPr>
                        <w:tcW w:w="1647" w:type="dxa"/>
                      </w:tcPr>
                      <w:p>
                        <w:pPr>
                          <w:pStyle w:val="TableParagraph"/>
                          <w:rPr>
                            <w:rFonts w:ascii="Times New Roman"/>
                            <w:sz w:val="18"/>
                          </w:rPr>
                        </w:pPr>
                      </w:p>
                    </w:tc>
                    <w:tc>
                      <w:tcPr>
                        <w:tcW w:w="7221" w:type="dxa"/>
                      </w:tcPr>
                      <w:p>
                        <w:pPr>
                          <w:pStyle w:val="TableParagraph"/>
                          <w:spacing w:line="241" w:lineRule="exact"/>
                          <w:ind w:left="121"/>
                          <w:rPr>
                            <w:sz w:val="21"/>
                          </w:rPr>
                        </w:pPr>
                        <w:r>
                          <w:rPr>
                            <w:sz w:val="21"/>
                          </w:rPr>
                          <w:t>性的功能障碍。神经系统永久性的功能障碍，指疾病确诊 180 天后，仍遗留</w:t>
                        </w:r>
                      </w:p>
                    </w:tc>
                  </w:tr>
                </w:tbl>
                <w:p>
                  <w:pPr>
                    <w:pStyle w:val="BodyText"/>
                  </w:pPr>
                </w:p>
              </w:txbxContent>
            </v:textbox>
            <w10:wrap type="none"/>
          </v:shape>
        </w:pict>
      </w:r>
      <w:r>
        <w:rPr>
          <w:sz w:val="21"/>
        </w:rPr>
        <w:t>以上各种重大疾病须</w:t>
      </w:r>
      <w:r>
        <w:rPr>
          <w:b/>
          <w:sz w:val="21"/>
        </w:rPr>
        <w:t>我们认可的医院专科医生</w:t>
      </w:r>
      <w:r>
        <w:rPr>
          <w:sz w:val="21"/>
        </w:rPr>
        <w:t>明确诊断，符合以下定义：</w:t>
      </w:r>
    </w:p>
    <w:p>
      <w:pPr>
        <w:spacing w:after="0"/>
        <w:jc w:val="left"/>
        <w:rPr>
          <w:sz w:val="21"/>
        </w:rPr>
        <w:sectPr>
          <w:type w:val="continuous"/>
          <w:pgSz w:w="11910" w:h="16840"/>
          <w:pgMar w:top="1080" w:bottom="280" w:left="860" w:right="960"/>
          <w:cols w:num="2" w:equalWidth="0">
            <w:col w:w="2676" w:space="40"/>
            <w:col w:w="7374"/>
          </w:cols>
        </w:sectPr>
      </w:pPr>
    </w:p>
    <w:p>
      <w:pPr>
        <w:pStyle w:val="BodyText"/>
        <w:rPr>
          <w:rFonts w:ascii="Times New Roman"/>
          <w:sz w:val="20"/>
        </w:rPr>
      </w:pPr>
    </w:p>
    <w:p>
      <w:pPr>
        <w:pStyle w:val="BodyText"/>
        <w:spacing w:before="2" w:after="1"/>
        <w:rPr>
          <w:rFonts w:ascii="Times New Roman"/>
          <w:sz w:val="1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5"/>
        <w:gridCol w:w="1619"/>
        <w:gridCol w:w="7243"/>
      </w:tblGrid>
      <w:tr>
        <w:trPr>
          <w:trHeight w:val="1579" w:hRule="atLeast"/>
        </w:trPr>
        <w:tc>
          <w:tcPr>
            <w:tcW w:w="1195" w:type="dxa"/>
          </w:tcPr>
          <w:p>
            <w:pPr>
              <w:pStyle w:val="TableParagraph"/>
              <w:rPr>
                <w:rFonts w:ascii="Times New Roman"/>
                <w:sz w:val="20"/>
              </w:rPr>
            </w:pPr>
          </w:p>
        </w:tc>
        <w:tc>
          <w:tcPr>
            <w:tcW w:w="1619" w:type="dxa"/>
          </w:tcPr>
          <w:p>
            <w:pPr>
              <w:pStyle w:val="TableParagraph"/>
              <w:rPr>
                <w:rFonts w:ascii="Times New Roman"/>
                <w:sz w:val="20"/>
              </w:rPr>
            </w:pPr>
          </w:p>
        </w:tc>
        <w:tc>
          <w:tcPr>
            <w:tcW w:w="7243" w:type="dxa"/>
          </w:tcPr>
          <w:p>
            <w:pPr>
              <w:pStyle w:val="TableParagraph"/>
              <w:spacing w:line="211" w:lineRule="exact"/>
              <w:ind w:left="99"/>
              <w:rPr>
                <w:sz w:val="21"/>
              </w:rPr>
            </w:pPr>
            <w:r>
              <w:rPr>
                <w:sz w:val="21"/>
              </w:rPr>
              <w:t>下列一种或一种以上障碍：</w:t>
            </w:r>
          </w:p>
          <w:p>
            <w:pPr>
              <w:pStyle w:val="TableParagraph"/>
              <w:spacing w:before="37"/>
              <w:ind w:left="99"/>
              <w:rPr>
                <w:sz w:val="21"/>
              </w:rPr>
            </w:pPr>
            <w:r>
              <w:rPr>
                <w:sz w:val="21"/>
              </w:rPr>
              <w:t>（1）一肢或一肢以上</w:t>
            </w:r>
            <w:r>
              <w:rPr>
                <w:b/>
                <w:sz w:val="21"/>
              </w:rPr>
              <w:t>肢体机能完全丧失</w:t>
            </w:r>
            <w:r>
              <w:rPr>
                <w:sz w:val="21"/>
              </w:rPr>
              <w:t>；</w:t>
            </w:r>
          </w:p>
          <w:p>
            <w:pPr>
              <w:pStyle w:val="TableParagraph"/>
              <w:spacing w:before="37"/>
              <w:ind w:left="99"/>
              <w:rPr>
                <w:sz w:val="21"/>
              </w:rPr>
            </w:pPr>
            <w:r>
              <w:rPr>
                <w:sz w:val="21"/>
              </w:rPr>
              <w:t>（2）</w:t>
            </w:r>
            <w:r>
              <w:rPr>
                <w:b/>
                <w:sz w:val="21"/>
              </w:rPr>
              <w:t>语言能力或咀嚼吞咽能力完全丧失</w:t>
            </w:r>
            <w:r>
              <w:rPr>
                <w:sz w:val="21"/>
              </w:rPr>
              <w:t>；</w:t>
            </w:r>
          </w:p>
          <w:p>
            <w:pPr>
              <w:pStyle w:val="TableParagraph"/>
              <w:spacing w:line="273" w:lineRule="auto" w:before="36"/>
              <w:ind w:left="99" w:right="197"/>
              <w:rPr>
                <w:sz w:val="21"/>
              </w:rPr>
            </w:pPr>
            <w:r>
              <w:rPr>
                <w:spacing w:val="-18"/>
                <w:sz w:val="21"/>
              </w:rPr>
              <w:t>（3）</w:t>
            </w:r>
            <w:r>
              <w:rPr>
                <w:spacing w:val="-8"/>
                <w:sz w:val="21"/>
              </w:rPr>
              <w:t>自主生活能力完全丧失，无法独立完成</w:t>
            </w:r>
            <w:r>
              <w:rPr>
                <w:b/>
                <w:sz w:val="21"/>
              </w:rPr>
              <w:t>六项基本日常生活活动</w:t>
            </w:r>
            <w:r>
              <w:rPr>
                <w:spacing w:val="-2"/>
                <w:sz w:val="21"/>
              </w:rPr>
              <w:t>中的三项</w:t>
            </w:r>
            <w:r>
              <w:rPr>
                <w:spacing w:val="-3"/>
                <w:sz w:val="21"/>
              </w:rPr>
              <w:t>或三项以上。</w:t>
            </w:r>
          </w:p>
        </w:tc>
      </w:tr>
      <w:tr>
        <w:trPr>
          <w:trHeight w:val="1741" w:hRule="atLeast"/>
        </w:trPr>
        <w:tc>
          <w:tcPr>
            <w:tcW w:w="1195" w:type="dxa"/>
          </w:tcPr>
          <w:p>
            <w:pPr>
              <w:pStyle w:val="TableParagraph"/>
              <w:spacing w:before="76"/>
              <w:ind w:left="200"/>
              <w:rPr>
                <w:i/>
                <w:sz w:val="22"/>
              </w:rPr>
            </w:pPr>
            <w:r>
              <w:rPr>
                <w:i/>
                <w:sz w:val="22"/>
              </w:rPr>
              <w:t>3.2.1</w:t>
            </w:r>
            <w:r>
              <w:rPr>
                <w:b/>
                <w:i/>
                <w:sz w:val="22"/>
              </w:rPr>
              <w:t>.</w:t>
            </w:r>
            <w:r>
              <w:rPr>
                <w:i/>
                <w:sz w:val="22"/>
              </w:rPr>
              <w:t>4</w:t>
            </w:r>
          </w:p>
        </w:tc>
        <w:tc>
          <w:tcPr>
            <w:tcW w:w="1619" w:type="dxa"/>
          </w:tcPr>
          <w:p>
            <w:pPr>
              <w:pStyle w:val="TableParagraph"/>
              <w:spacing w:line="228" w:lineRule="auto" w:before="68"/>
              <w:ind w:left="152" w:right="96"/>
              <w:jc w:val="both"/>
              <w:rPr>
                <w:i/>
                <w:sz w:val="22"/>
              </w:rPr>
            </w:pPr>
            <w:r>
              <w:rPr>
                <w:i/>
                <w:w w:val="95"/>
                <w:sz w:val="22"/>
              </w:rPr>
              <w:t>重大器官移植术或造血干细胞移植术</w:t>
            </w:r>
          </w:p>
        </w:tc>
        <w:tc>
          <w:tcPr>
            <w:tcW w:w="7243" w:type="dxa"/>
          </w:tcPr>
          <w:p>
            <w:pPr>
              <w:pStyle w:val="TableParagraph"/>
              <w:spacing w:line="273" w:lineRule="auto" w:before="87"/>
              <w:ind w:left="99" w:right="197"/>
              <w:jc w:val="both"/>
              <w:rPr>
                <w:sz w:val="21"/>
              </w:rPr>
            </w:pPr>
            <w:r>
              <w:rPr>
                <w:sz w:val="21"/>
              </w:rPr>
              <w:t>重大器官移植术，指因相应器官功能衰竭，已经实施了肾脏、肝脏、心脏或肺脏的异体移植手术。</w:t>
            </w:r>
          </w:p>
          <w:p>
            <w:pPr>
              <w:pStyle w:val="TableParagraph"/>
              <w:spacing w:line="273" w:lineRule="auto" w:before="7"/>
              <w:ind w:left="99" w:right="197"/>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413" w:hRule="atLeast"/>
        </w:trPr>
        <w:tc>
          <w:tcPr>
            <w:tcW w:w="1195" w:type="dxa"/>
          </w:tcPr>
          <w:p>
            <w:pPr>
              <w:pStyle w:val="TableParagraph"/>
              <w:spacing w:before="65"/>
              <w:ind w:left="200"/>
              <w:rPr>
                <w:i/>
                <w:sz w:val="22"/>
              </w:rPr>
            </w:pPr>
            <w:r>
              <w:rPr>
                <w:i/>
                <w:sz w:val="22"/>
              </w:rPr>
              <w:t>3.2.1</w:t>
            </w:r>
            <w:r>
              <w:rPr>
                <w:b/>
                <w:i/>
                <w:sz w:val="22"/>
              </w:rPr>
              <w:t>.</w:t>
            </w:r>
            <w:r>
              <w:rPr>
                <w:i/>
                <w:sz w:val="22"/>
              </w:rPr>
              <w:t>5</w:t>
            </w:r>
          </w:p>
        </w:tc>
        <w:tc>
          <w:tcPr>
            <w:tcW w:w="1619" w:type="dxa"/>
          </w:tcPr>
          <w:p>
            <w:pPr>
              <w:pStyle w:val="TableParagraph"/>
              <w:spacing w:line="259" w:lineRule="auto" w:before="65"/>
              <w:ind w:left="152" w:right="96"/>
              <w:jc w:val="both"/>
              <w:rPr>
                <w:i/>
                <w:sz w:val="22"/>
              </w:rPr>
            </w:pPr>
            <w:r>
              <w:rPr>
                <w:i/>
                <w:w w:val="95"/>
                <w:sz w:val="22"/>
              </w:rPr>
              <w:t>冠状动脉搭桥术（或称冠状动脉旁路移植术）</w:t>
            </w:r>
          </w:p>
        </w:tc>
        <w:tc>
          <w:tcPr>
            <w:tcW w:w="7243" w:type="dxa"/>
          </w:tcPr>
          <w:p>
            <w:pPr>
              <w:pStyle w:val="TableParagraph"/>
              <w:spacing w:line="273" w:lineRule="auto" w:before="76"/>
              <w:ind w:left="99" w:right="197"/>
              <w:rPr>
                <w:sz w:val="21"/>
              </w:rPr>
            </w:pPr>
            <w:r>
              <w:rPr>
                <w:sz w:val="21"/>
              </w:rPr>
              <w:t>指为治疗严重的冠心病，实际实施了开胸进行的冠状动脉血管旁路移植的手术。</w:t>
            </w:r>
          </w:p>
          <w:p>
            <w:pPr>
              <w:pStyle w:val="TableParagraph"/>
              <w:spacing w:line="273" w:lineRule="auto" w:before="7"/>
              <w:ind w:left="99" w:right="197"/>
              <w:rPr>
                <w:sz w:val="21"/>
              </w:rPr>
            </w:pPr>
            <w:r>
              <w:rPr>
                <w:sz w:val="21"/>
              </w:rPr>
              <w:t>冠状动脉支架植入术、心导管球囊扩张术、激光射频技术及其它非开胸的介入手术、腔镜手术不在保障范围内。</w:t>
            </w:r>
          </w:p>
        </w:tc>
      </w:tr>
      <w:tr>
        <w:trPr>
          <w:trHeight w:val="1453" w:hRule="atLeast"/>
        </w:trPr>
        <w:tc>
          <w:tcPr>
            <w:tcW w:w="1195" w:type="dxa"/>
          </w:tcPr>
          <w:p>
            <w:pPr>
              <w:pStyle w:val="TableParagraph"/>
              <w:spacing w:before="70"/>
              <w:ind w:left="200"/>
              <w:rPr>
                <w:i/>
                <w:sz w:val="22"/>
              </w:rPr>
            </w:pPr>
            <w:r>
              <w:rPr>
                <w:i/>
                <w:sz w:val="22"/>
              </w:rPr>
              <w:t>3.2.1</w:t>
            </w:r>
            <w:r>
              <w:rPr>
                <w:b/>
                <w:i/>
                <w:sz w:val="22"/>
              </w:rPr>
              <w:t>.</w:t>
            </w:r>
            <w:r>
              <w:rPr>
                <w:i/>
                <w:sz w:val="22"/>
              </w:rPr>
              <w:t>6</w:t>
            </w:r>
          </w:p>
        </w:tc>
        <w:tc>
          <w:tcPr>
            <w:tcW w:w="1619" w:type="dxa"/>
          </w:tcPr>
          <w:p>
            <w:pPr>
              <w:pStyle w:val="TableParagraph"/>
              <w:spacing w:before="70"/>
              <w:ind w:left="152"/>
              <w:rPr>
                <w:i/>
                <w:sz w:val="22"/>
              </w:rPr>
            </w:pPr>
            <w:r>
              <w:rPr>
                <w:i/>
                <w:w w:val="95"/>
                <w:sz w:val="22"/>
              </w:rPr>
              <w:t>终末期肾病</w:t>
            </w:r>
          </w:p>
          <w:p>
            <w:pPr>
              <w:pStyle w:val="TableParagraph"/>
              <w:spacing w:line="259" w:lineRule="auto" w:before="24"/>
              <w:ind w:left="152" w:right="201"/>
              <w:jc w:val="both"/>
              <w:rPr>
                <w:i/>
                <w:sz w:val="22"/>
              </w:rPr>
            </w:pPr>
            <w:r>
              <w:rPr>
                <w:i/>
                <w:w w:val="95"/>
                <w:sz w:val="22"/>
              </w:rPr>
              <w:t>（或称慢性肾功能衰竭尿毒症期）</w:t>
            </w:r>
          </w:p>
        </w:tc>
        <w:tc>
          <w:tcPr>
            <w:tcW w:w="7243" w:type="dxa"/>
          </w:tcPr>
          <w:p>
            <w:pPr>
              <w:pStyle w:val="TableParagraph"/>
              <w:spacing w:line="237" w:lineRule="auto" w:before="63"/>
              <w:ind w:left="99" w:right="202"/>
              <w:rPr>
                <w:sz w:val="21"/>
              </w:rPr>
            </w:pPr>
            <w:r>
              <w:rPr>
                <w:spacing w:val="-7"/>
                <w:sz w:val="21"/>
              </w:rPr>
              <w:t>指双肾功能慢性不可逆性衰竭，达到尿毒症期，经诊断后已经进行了至少 </w:t>
            </w:r>
            <w:r>
              <w:rPr>
                <w:spacing w:val="-3"/>
                <w:sz w:val="21"/>
              </w:rPr>
              <w:t>90 天的规律性透析治疗或实施了肾脏移植手术。</w:t>
            </w:r>
          </w:p>
        </w:tc>
      </w:tr>
      <w:tr>
        <w:trPr>
          <w:trHeight w:val="849" w:hRule="atLeast"/>
        </w:trPr>
        <w:tc>
          <w:tcPr>
            <w:tcW w:w="1195" w:type="dxa"/>
          </w:tcPr>
          <w:p>
            <w:pPr>
              <w:pStyle w:val="TableParagraph"/>
              <w:spacing w:before="93"/>
              <w:ind w:left="200"/>
              <w:rPr>
                <w:i/>
                <w:sz w:val="22"/>
              </w:rPr>
            </w:pPr>
            <w:r>
              <w:rPr>
                <w:i/>
                <w:sz w:val="22"/>
              </w:rPr>
              <w:t>3.2.1</w:t>
            </w:r>
            <w:r>
              <w:rPr>
                <w:b/>
                <w:i/>
                <w:sz w:val="22"/>
              </w:rPr>
              <w:t>.</w:t>
            </w:r>
            <w:r>
              <w:rPr>
                <w:i/>
                <w:sz w:val="22"/>
              </w:rPr>
              <w:t>7</w:t>
            </w:r>
          </w:p>
        </w:tc>
        <w:tc>
          <w:tcPr>
            <w:tcW w:w="1619" w:type="dxa"/>
          </w:tcPr>
          <w:p>
            <w:pPr>
              <w:pStyle w:val="TableParagraph"/>
              <w:spacing w:before="93"/>
              <w:ind w:left="152"/>
              <w:rPr>
                <w:i/>
                <w:sz w:val="22"/>
              </w:rPr>
            </w:pPr>
            <w:r>
              <w:rPr>
                <w:i/>
                <w:w w:val="95"/>
                <w:sz w:val="22"/>
              </w:rPr>
              <w:t>多个肢体缺失</w:t>
            </w:r>
          </w:p>
        </w:tc>
        <w:tc>
          <w:tcPr>
            <w:tcW w:w="7243" w:type="dxa"/>
          </w:tcPr>
          <w:p>
            <w:pPr>
              <w:pStyle w:val="TableParagraph"/>
              <w:spacing w:line="273" w:lineRule="auto" w:before="104"/>
              <w:ind w:left="99" w:right="204"/>
              <w:rPr>
                <w:sz w:val="21"/>
              </w:rPr>
            </w:pPr>
            <w:r>
              <w:rPr>
                <w:sz w:val="21"/>
              </w:rPr>
              <w:t>指因疾病或意外伤害导致两个或两个以上肢体自腕关节或踝关节近端（靠近躯干端）以上完全性断离。</w:t>
            </w:r>
          </w:p>
        </w:tc>
      </w:tr>
      <w:tr>
        <w:trPr>
          <w:trHeight w:val="2099" w:hRule="atLeast"/>
        </w:trPr>
        <w:tc>
          <w:tcPr>
            <w:tcW w:w="1195" w:type="dxa"/>
          </w:tcPr>
          <w:p>
            <w:pPr>
              <w:pStyle w:val="TableParagraph"/>
              <w:spacing w:before="92"/>
              <w:ind w:left="200"/>
              <w:rPr>
                <w:i/>
                <w:sz w:val="22"/>
              </w:rPr>
            </w:pPr>
            <w:r>
              <w:rPr>
                <w:i/>
                <w:sz w:val="22"/>
              </w:rPr>
              <w:t>3.2.1</w:t>
            </w:r>
            <w:r>
              <w:rPr>
                <w:b/>
                <w:i/>
                <w:sz w:val="22"/>
              </w:rPr>
              <w:t>.</w:t>
            </w:r>
            <w:r>
              <w:rPr>
                <w:i/>
                <w:sz w:val="22"/>
              </w:rPr>
              <w:t>8</w:t>
            </w:r>
          </w:p>
        </w:tc>
        <w:tc>
          <w:tcPr>
            <w:tcW w:w="1619" w:type="dxa"/>
          </w:tcPr>
          <w:p>
            <w:pPr>
              <w:pStyle w:val="TableParagraph"/>
              <w:spacing w:line="259" w:lineRule="auto" w:before="92"/>
              <w:ind w:left="152" w:right="96"/>
              <w:rPr>
                <w:i/>
                <w:sz w:val="22"/>
              </w:rPr>
            </w:pPr>
            <w:r>
              <w:rPr>
                <w:i/>
                <w:w w:val="95"/>
                <w:sz w:val="22"/>
              </w:rPr>
              <w:t>急性或亚急性重症肝炎</w:t>
            </w:r>
          </w:p>
        </w:tc>
        <w:tc>
          <w:tcPr>
            <w:tcW w:w="7243" w:type="dxa"/>
          </w:tcPr>
          <w:p>
            <w:pPr>
              <w:pStyle w:val="TableParagraph"/>
              <w:spacing w:line="273" w:lineRule="auto" w:before="104"/>
              <w:ind w:left="99" w:right="197"/>
              <w:rPr>
                <w:sz w:val="21"/>
              </w:rPr>
            </w:pPr>
            <w:r>
              <w:rPr>
                <w:sz w:val="21"/>
              </w:rPr>
              <w:t>指因肝炎病毒感染引起肝脏组织弥漫性坏死，导致急性肝功能衰竭，且经血清学或病毒学检查证实，并须满足下列全部条件：</w:t>
            </w:r>
          </w:p>
          <w:p>
            <w:pPr>
              <w:pStyle w:val="TableParagraph"/>
              <w:spacing w:before="7"/>
              <w:ind w:left="99"/>
              <w:rPr>
                <w:sz w:val="21"/>
              </w:rPr>
            </w:pPr>
            <w:r>
              <w:rPr>
                <w:sz w:val="21"/>
              </w:rPr>
              <w:t>（1）重度黄疸或黄疸迅速加重；</w:t>
            </w:r>
          </w:p>
          <w:p>
            <w:pPr>
              <w:pStyle w:val="TableParagraph"/>
              <w:spacing w:before="37"/>
              <w:ind w:left="99"/>
              <w:rPr>
                <w:sz w:val="21"/>
              </w:rPr>
            </w:pPr>
            <w:r>
              <w:rPr>
                <w:sz w:val="21"/>
              </w:rPr>
              <w:t>（2）肝性脑病；</w:t>
            </w:r>
          </w:p>
          <w:p>
            <w:pPr>
              <w:pStyle w:val="TableParagraph"/>
              <w:spacing w:before="37"/>
              <w:ind w:left="99"/>
              <w:rPr>
                <w:sz w:val="21"/>
              </w:rPr>
            </w:pPr>
            <w:r>
              <w:rPr>
                <w:sz w:val="21"/>
              </w:rPr>
              <w:t>（3）B 超或其它影像学检查显示肝脏体积急速萎缩；</w:t>
            </w:r>
          </w:p>
          <w:p>
            <w:pPr>
              <w:pStyle w:val="TableParagraph"/>
              <w:spacing w:before="37"/>
              <w:ind w:left="99"/>
              <w:rPr>
                <w:sz w:val="21"/>
              </w:rPr>
            </w:pPr>
            <w:r>
              <w:rPr>
                <w:sz w:val="21"/>
              </w:rPr>
              <w:t>（4）肝功能指标进行性恶化。</w:t>
            </w:r>
          </w:p>
        </w:tc>
      </w:tr>
      <w:tr>
        <w:trPr>
          <w:trHeight w:val="2411" w:hRule="atLeast"/>
        </w:trPr>
        <w:tc>
          <w:tcPr>
            <w:tcW w:w="1195" w:type="dxa"/>
          </w:tcPr>
          <w:p>
            <w:pPr>
              <w:pStyle w:val="TableParagraph"/>
              <w:spacing w:before="94"/>
              <w:ind w:left="200"/>
              <w:rPr>
                <w:i/>
                <w:sz w:val="22"/>
              </w:rPr>
            </w:pPr>
            <w:r>
              <w:rPr>
                <w:i/>
                <w:sz w:val="22"/>
              </w:rPr>
              <w:t>3.2.1</w:t>
            </w:r>
            <w:r>
              <w:rPr>
                <w:b/>
                <w:i/>
                <w:sz w:val="22"/>
              </w:rPr>
              <w:t>.</w:t>
            </w:r>
            <w:r>
              <w:rPr>
                <w:i/>
                <w:sz w:val="22"/>
              </w:rPr>
              <w:t>9</w:t>
            </w:r>
          </w:p>
        </w:tc>
        <w:tc>
          <w:tcPr>
            <w:tcW w:w="1619" w:type="dxa"/>
          </w:tcPr>
          <w:p>
            <w:pPr>
              <w:pStyle w:val="TableParagraph"/>
              <w:spacing w:before="94"/>
              <w:ind w:left="152"/>
              <w:rPr>
                <w:i/>
                <w:sz w:val="22"/>
              </w:rPr>
            </w:pPr>
            <w:r>
              <w:rPr>
                <w:i/>
                <w:w w:val="95"/>
                <w:sz w:val="22"/>
              </w:rPr>
              <w:t>良性脑肿瘤</w:t>
            </w:r>
          </w:p>
        </w:tc>
        <w:tc>
          <w:tcPr>
            <w:tcW w:w="7243" w:type="dxa"/>
          </w:tcPr>
          <w:p>
            <w:pPr>
              <w:pStyle w:val="TableParagraph"/>
              <w:spacing w:line="273" w:lineRule="auto" w:before="105"/>
              <w:ind w:left="99" w:right="197"/>
              <w:jc w:val="both"/>
              <w:rPr>
                <w:sz w:val="21"/>
              </w:rPr>
            </w:pPr>
            <w:r>
              <w:rPr>
                <w:spacing w:val="-3"/>
                <w:sz w:val="21"/>
              </w:rPr>
              <w:t>指脑的良性肿瘤，已经引起颅内压增高，临床表现为视神经乳头水肿、精神</w:t>
            </w:r>
            <w:r>
              <w:rPr>
                <w:spacing w:val="-10"/>
                <w:w w:val="100"/>
                <w:sz w:val="21"/>
              </w:rPr>
              <w:t>症状、癫痫及运动感觉障碍等，并危及生命。须由头颅断层扫描</w:t>
            </w:r>
            <w:r>
              <w:rPr>
                <w:spacing w:val="-3"/>
                <w:w w:val="100"/>
                <w:sz w:val="21"/>
              </w:rPr>
              <w:t>（</w:t>
            </w:r>
            <w:r>
              <w:rPr>
                <w:w w:val="100"/>
                <w:sz w:val="21"/>
              </w:rPr>
              <w:t>CT</w:t>
            </w:r>
            <w:r>
              <w:rPr>
                <w:spacing w:val="-108"/>
                <w:w w:val="100"/>
                <w:sz w:val="21"/>
              </w:rPr>
              <w:t>）</w:t>
            </w:r>
            <w:r>
              <w:rPr>
                <w:spacing w:val="-8"/>
                <w:w w:val="100"/>
                <w:sz w:val="21"/>
              </w:rPr>
              <w:t>、核磁</w:t>
            </w:r>
            <w:r>
              <w:rPr>
                <w:spacing w:val="-7"/>
                <w:sz w:val="21"/>
              </w:rPr>
              <w:t>共振检查</w:t>
            </w:r>
            <w:r>
              <w:rPr>
                <w:sz w:val="21"/>
              </w:rPr>
              <w:t>（MRI）</w:t>
            </w:r>
            <w:r>
              <w:rPr>
                <w:spacing w:val="-3"/>
                <w:sz w:val="21"/>
              </w:rPr>
              <w:t>或正电子发射断层扫描</w:t>
            </w:r>
            <w:r>
              <w:rPr>
                <w:sz w:val="21"/>
              </w:rPr>
              <w:t>（PET）</w:t>
            </w:r>
            <w:r>
              <w:rPr>
                <w:spacing w:val="-3"/>
                <w:sz w:val="21"/>
              </w:rPr>
              <w:t>等影像学检查证实，并须满足下列至少一项条件：</w:t>
            </w:r>
          </w:p>
          <w:p>
            <w:pPr>
              <w:pStyle w:val="TableParagraph"/>
              <w:spacing w:before="7"/>
              <w:ind w:left="99"/>
              <w:jc w:val="both"/>
              <w:rPr>
                <w:sz w:val="21"/>
              </w:rPr>
            </w:pPr>
            <w:r>
              <w:rPr>
                <w:sz w:val="21"/>
              </w:rPr>
              <w:t>（1）实际实施了开颅进行的脑肿瘤完全切除或部分切除的手术；</w:t>
            </w:r>
          </w:p>
          <w:p>
            <w:pPr>
              <w:pStyle w:val="TableParagraph"/>
              <w:spacing w:before="37"/>
              <w:ind w:left="99"/>
              <w:jc w:val="both"/>
              <w:rPr>
                <w:sz w:val="21"/>
              </w:rPr>
            </w:pPr>
            <w:r>
              <w:rPr>
                <w:sz w:val="21"/>
              </w:rPr>
              <w:t>（2）实际实施了对脑肿瘤进行的放射治疗。</w:t>
            </w:r>
          </w:p>
          <w:p>
            <w:pPr>
              <w:pStyle w:val="TableParagraph"/>
              <w:spacing w:before="37"/>
              <w:ind w:left="99"/>
              <w:jc w:val="both"/>
              <w:rPr>
                <w:sz w:val="21"/>
              </w:rPr>
            </w:pPr>
            <w:r>
              <w:rPr>
                <w:sz w:val="21"/>
              </w:rPr>
              <w:t>脑垂体瘤、脑囊肿、脑血管性疾病不在保障范围内。</w:t>
            </w:r>
          </w:p>
        </w:tc>
      </w:tr>
      <w:tr>
        <w:trPr>
          <w:trHeight w:val="2099" w:hRule="atLeast"/>
        </w:trPr>
        <w:tc>
          <w:tcPr>
            <w:tcW w:w="1195" w:type="dxa"/>
          </w:tcPr>
          <w:p>
            <w:pPr>
              <w:pStyle w:val="TableParagraph"/>
              <w:spacing w:before="93"/>
              <w:ind w:left="200"/>
              <w:rPr>
                <w:i/>
                <w:sz w:val="22"/>
              </w:rPr>
            </w:pPr>
            <w:r>
              <w:rPr>
                <w:i/>
                <w:sz w:val="22"/>
              </w:rPr>
              <w:t>3.2.1</w:t>
            </w:r>
            <w:r>
              <w:rPr>
                <w:b/>
                <w:i/>
                <w:sz w:val="22"/>
              </w:rPr>
              <w:t>.</w:t>
            </w:r>
            <w:r>
              <w:rPr>
                <w:i/>
                <w:sz w:val="22"/>
              </w:rPr>
              <w:t>10</w:t>
            </w:r>
          </w:p>
        </w:tc>
        <w:tc>
          <w:tcPr>
            <w:tcW w:w="1619" w:type="dxa"/>
          </w:tcPr>
          <w:p>
            <w:pPr>
              <w:pStyle w:val="TableParagraph"/>
              <w:spacing w:line="259" w:lineRule="auto" w:before="93"/>
              <w:ind w:left="152" w:right="96"/>
              <w:rPr>
                <w:i/>
                <w:sz w:val="22"/>
              </w:rPr>
            </w:pPr>
            <w:r>
              <w:rPr>
                <w:i/>
                <w:w w:val="95"/>
                <w:sz w:val="22"/>
              </w:rPr>
              <w:t>慢性肝功能衰竭失代偿期</w:t>
            </w:r>
          </w:p>
        </w:tc>
        <w:tc>
          <w:tcPr>
            <w:tcW w:w="7243" w:type="dxa"/>
          </w:tcPr>
          <w:p>
            <w:pPr>
              <w:pStyle w:val="TableParagraph"/>
              <w:spacing w:before="104"/>
              <w:ind w:left="99"/>
              <w:rPr>
                <w:sz w:val="21"/>
              </w:rPr>
            </w:pPr>
            <w:r>
              <w:rPr>
                <w:sz w:val="21"/>
              </w:rPr>
              <w:t>指因慢性肝脏疾病导致肝功能衰竭,须满足下列全部条件：</w:t>
            </w:r>
          </w:p>
          <w:p>
            <w:pPr>
              <w:pStyle w:val="TableParagraph"/>
              <w:spacing w:before="36"/>
              <w:ind w:left="99"/>
              <w:rPr>
                <w:sz w:val="21"/>
              </w:rPr>
            </w:pPr>
            <w:r>
              <w:rPr>
                <w:sz w:val="21"/>
              </w:rPr>
              <w:t>（1）持续性黄疸；</w:t>
            </w:r>
          </w:p>
          <w:p>
            <w:pPr>
              <w:pStyle w:val="TableParagraph"/>
              <w:spacing w:before="36"/>
              <w:ind w:left="99"/>
              <w:rPr>
                <w:sz w:val="21"/>
              </w:rPr>
            </w:pPr>
            <w:r>
              <w:rPr>
                <w:sz w:val="21"/>
              </w:rPr>
              <w:t>（2）腹水；</w:t>
            </w:r>
          </w:p>
          <w:p>
            <w:pPr>
              <w:pStyle w:val="TableParagraph"/>
              <w:spacing w:before="36"/>
              <w:ind w:left="99"/>
              <w:rPr>
                <w:sz w:val="21"/>
              </w:rPr>
            </w:pPr>
            <w:r>
              <w:rPr>
                <w:sz w:val="21"/>
              </w:rPr>
              <w:t>（3）肝性脑病；</w:t>
            </w:r>
          </w:p>
          <w:p>
            <w:pPr>
              <w:pStyle w:val="TableParagraph"/>
              <w:spacing w:line="273" w:lineRule="auto" w:before="36"/>
              <w:ind w:left="99" w:right="1993"/>
              <w:rPr>
                <w:sz w:val="21"/>
              </w:rPr>
            </w:pPr>
            <w:r>
              <w:rPr>
                <w:sz w:val="21"/>
              </w:rPr>
              <w:t>（4）充血性脾肿大伴脾功能亢进或食管胃底静脉曲张。因酗酒或药物滥用导致的肝功能衰竭不在保障范围内。</w:t>
            </w:r>
          </w:p>
        </w:tc>
      </w:tr>
      <w:tr>
        <w:trPr>
          <w:trHeight w:val="694" w:hRule="atLeast"/>
        </w:trPr>
        <w:tc>
          <w:tcPr>
            <w:tcW w:w="1195" w:type="dxa"/>
          </w:tcPr>
          <w:p>
            <w:pPr>
              <w:pStyle w:val="TableParagraph"/>
              <w:spacing w:before="94"/>
              <w:ind w:left="200"/>
              <w:rPr>
                <w:i/>
                <w:sz w:val="22"/>
              </w:rPr>
            </w:pPr>
            <w:r>
              <w:rPr>
                <w:i/>
                <w:sz w:val="22"/>
              </w:rPr>
              <w:t>3.2.1</w:t>
            </w:r>
            <w:r>
              <w:rPr>
                <w:b/>
                <w:i/>
                <w:sz w:val="22"/>
              </w:rPr>
              <w:t>.</w:t>
            </w:r>
            <w:r>
              <w:rPr>
                <w:i/>
                <w:sz w:val="22"/>
              </w:rPr>
              <w:t>11</w:t>
            </w:r>
          </w:p>
        </w:tc>
        <w:tc>
          <w:tcPr>
            <w:tcW w:w="1619" w:type="dxa"/>
          </w:tcPr>
          <w:p>
            <w:pPr>
              <w:pStyle w:val="TableParagraph"/>
              <w:spacing w:line="310" w:lineRule="atLeast" w:before="71"/>
              <w:ind w:left="152" w:right="96"/>
              <w:rPr>
                <w:i/>
                <w:sz w:val="22"/>
              </w:rPr>
            </w:pPr>
            <w:r>
              <w:rPr>
                <w:i/>
                <w:w w:val="95"/>
                <w:sz w:val="22"/>
              </w:rPr>
              <w:t>脑炎后遗症或脑膜炎后遗症</w:t>
            </w:r>
          </w:p>
        </w:tc>
        <w:tc>
          <w:tcPr>
            <w:tcW w:w="7243" w:type="dxa"/>
          </w:tcPr>
          <w:p>
            <w:pPr>
              <w:pStyle w:val="TableParagraph"/>
              <w:spacing w:line="310" w:lineRule="atLeast" w:before="70"/>
              <w:ind w:left="99" w:right="197"/>
              <w:rPr>
                <w:sz w:val="21"/>
              </w:rPr>
            </w:pPr>
            <w:r>
              <w:rPr>
                <w:sz w:val="21"/>
              </w:rPr>
              <w:t>指因患脑炎或脑膜炎导致的神经系统永久性的功能障碍。神经系统永久性的功能障碍，指疾病确诊 180 天后，仍遗留下列一种或一种以上障碍：</w:t>
            </w:r>
          </w:p>
        </w:tc>
      </w:tr>
    </w:tbl>
    <w:p>
      <w:pPr>
        <w:spacing w:after="0" w:line="310" w:lineRule="atLeast"/>
        <w:rPr>
          <w:sz w:val="21"/>
        </w:rPr>
        <w:sectPr>
          <w:pgSz w:w="11910" w:h="16840"/>
          <w:pgMar w:header="568" w:footer="458" w:top="800" w:bottom="640" w:left="720" w:right="920"/>
        </w:sectPr>
      </w:pPr>
    </w:p>
    <w:p>
      <w:pPr>
        <w:pStyle w:val="BodyText"/>
        <w:rPr>
          <w:rFonts w:ascii="Times New Roman"/>
          <w:sz w:val="20"/>
        </w:rPr>
      </w:pPr>
    </w:p>
    <w:p>
      <w:pPr>
        <w:pStyle w:val="BodyText"/>
        <w:spacing w:before="2" w:after="1"/>
        <w:rPr>
          <w:rFonts w:ascii="Times New Roman"/>
          <w:sz w:val="1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5"/>
        <w:gridCol w:w="1566"/>
        <w:gridCol w:w="7399"/>
      </w:tblGrid>
      <w:tr>
        <w:trPr>
          <w:trHeight w:val="1307" w:hRule="atLeast"/>
        </w:trPr>
        <w:tc>
          <w:tcPr>
            <w:tcW w:w="1195" w:type="dxa"/>
          </w:tcPr>
          <w:p>
            <w:pPr>
              <w:pStyle w:val="TableParagraph"/>
              <w:rPr>
                <w:rFonts w:ascii="Times New Roman"/>
                <w:sz w:val="20"/>
              </w:rPr>
            </w:pPr>
          </w:p>
        </w:tc>
        <w:tc>
          <w:tcPr>
            <w:tcW w:w="1566" w:type="dxa"/>
          </w:tcPr>
          <w:p>
            <w:pPr>
              <w:pStyle w:val="TableParagraph"/>
              <w:rPr>
                <w:rFonts w:ascii="Times New Roman"/>
                <w:sz w:val="20"/>
              </w:rPr>
            </w:pPr>
          </w:p>
        </w:tc>
        <w:tc>
          <w:tcPr>
            <w:tcW w:w="7399" w:type="dxa"/>
          </w:tcPr>
          <w:p>
            <w:pPr>
              <w:pStyle w:val="TableParagraph"/>
              <w:spacing w:line="211" w:lineRule="exact"/>
              <w:ind w:left="151"/>
              <w:rPr>
                <w:sz w:val="21"/>
              </w:rPr>
            </w:pPr>
            <w:r>
              <w:rPr>
                <w:sz w:val="21"/>
              </w:rPr>
              <w:t>（1）一肢或一肢以上</w:t>
            </w:r>
            <w:r>
              <w:rPr>
                <w:b/>
                <w:sz w:val="21"/>
              </w:rPr>
              <w:t>肢体机能完全丧失</w:t>
            </w:r>
            <w:r>
              <w:rPr>
                <w:sz w:val="21"/>
              </w:rPr>
              <w:t>；</w:t>
            </w:r>
          </w:p>
          <w:p>
            <w:pPr>
              <w:pStyle w:val="TableParagraph"/>
              <w:spacing w:before="37"/>
              <w:ind w:left="151"/>
              <w:rPr>
                <w:sz w:val="21"/>
              </w:rPr>
            </w:pPr>
            <w:r>
              <w:rPr>
                <w:sz w:val="21"/>
              </w:rPr>
              <w:t>（2）</w:t>
            </w:r>
            <w:r>
              <w:rPr>
                <w:b/>
                <w:sz w:val="21"/>
              </w:rPr>
              <w:t>语言能力或咀嚼吞咽能力完全丧失</w:t>
            </w:r>
            <w:r>
              <w:rPr>
                <w:sz w:val="21"/>
              </w:rPr>
              <w:t>；</w:t>
            </w:r>
          </w:p>
          <w:p>
            <w:pPr>
              <w:pStyle w:val="TableParagraph"/>
              <w:spacing w:line="273" w:lineRule="auto" w:before="37"/>
              <w:ind w:left="151" w:right="300"/>
              <w:rPr>
                <w:sz w:val="21"/>
              </w:rPr>
            </w:pPr>
            <w:r>
              <w:rPr>
                <w:spacing w:val="-18"/>
                <w:sz w:val="21"/>
              </w:rPr>
              <w:t>（3）</w:t>
            </w:r>
            <w:r>
              <w:rPr>
                <w:spacing w:val="-8"/>
                <w:sz w:val="21"/>
              </w:rPr>
              <w:t>自主生活能力完全丧失，无法独立完成</w:t>
            </w:r>
            <w:r>
              <w:rPr>
                <w:b/>
                <w:sz w:val="21"/>
              </w:rPr>
              <w:t>六项基本日常生活活动</w:t>
            </w:r>
            <w:r>
              <w:rPr>
                <w:spacing w:val="-2"/>
                <w:sz w:val="21"/>
              </w:rPr>
              <w:t>中的三项</w:t>
            </w:r>
            <w:r>
              <w:rPr>
                <w:spacing w:val="-3"/>
                <w:sz w:val="21"/>
              </w:rPr>
              <w:t>或三项以上。</w:t>
            </w:r>
          </w:p>
        </w:tc>
      </w:tr>
      <w:tr>
        <w:trPr>
          <w:trHeight w:val="1475" w:hRule="atLeast"/>
        </w:trPr>
        <w:tc>
          <w:tcPr>
            <w:tcW w:w="1195" w:type="dxa"/>
          </w:tcPr>
          <w:p>
            <w:pPr>
              <w:pStyle w:val="TableParagraph"/>
              <w:spacing w:before="94"/>
              <w:ind w:right="150"/>
              <w:jc w:val="right"/>
              <w:rPr>
                <w:i/>
                <w:sz w:val="22"/>
              </w:rPr>
            </w:pPr>
            <w:r>
              <w:rPr>
                <w:i/>
                <w:w w:val="95"/>
                <w:sz w:val="22"/>
              </w:rPr>
              <w:t>3.2.1</w:t>
            </w:r>
            <w:r>
              <w:rPr>
                <w:b/>
                <w:i/>
                <w:w w:val="95"/>
                <w:sz w:val="22"/>
              </w:rPr>
              <w:t>.</w:t>
            </w:r>
            <w:r>
              <w:rPr>
                <w:i/>
                <w:w w:val="95"/>
                <w:sz w:val="22"/>
              </w:rPr>
              <w:t>12</w:t>
            </w:r>
          </w:p>
        </w:tc>
        <w:tc>
          <w:tcPr>
            <w:tcW w:w="1566" w:type="dxa"/>
          </w:tcPr>
          <w:p>
            <w:pPr>
              <w:pStyle w:val="TableParagraph"/>
              <w:spacing w:before="94"/>
              <w:ind w:left="152"/>
              <w:rPr>
                <w:i/>
                <w:sz w:val="22"/>
              </w:rPr>
            </w:pPr>
            <w:r>
              <w:rPr>
                <w:i/>
                <w:w w:val="95"/>
                <w:sz w:val="22"/>
              </w:rPr>
              <w:t>深度昏迷</w:t>
            </w:r>
          </w:p>
        </w:tc>
        <w:tc>
          <w:tcPr>
            <w:tcW w:w="7399" w:type="dxa"/>
          </w:tcPr>
          <w:p>
            <w:pPr>
              <w:pStyle w:val="TableParagraph"/>
              <w:spacing w:line="273" w:lineRule="auto" w:before="105"/>
              <w:ind w:left="151" w:right="307"/>
              <w:jc w:val="both"/>
              <w:rPr>
                <w:sz w:val="21"/>
              </w:rPr>
            </w:pPr>
            <w:r>
              <w:rPr>
                <w:spacing w:val="-3"/>
                <w:sz w:val="21"/>
              </w:rPr>
              <w:t>指因疾病或意外伤害导致意识丧失,对外界刺激和体内需求均无反应,昏迷程度按照格拉斯哥昏迷分级</w:t>
            </w:r>
            <w:r>
              <w:rPr>
                <w:sz w:val="21"/>
              </w:rPr>
              <w:t>（Glasgow coma scale）</w:t>
            </w:r>
            <w:r>
              <w:rPr>
                <w:spacing w:val="-14"/>
                <w:sz w:val="21"/>
              </w:rPr>
              <w:t>结果为 </w:t>
            </w:r>
            <w:r>
              <w:rPr>
                <w:sz w:val="21"/>
              </w:rPr>
              <w:t>5</w:t>
            </w:r>
            <w:r>
              <w:rPr>
                <w:spacing w:val="-26"/>
                <w:sz w:val="21"/>
              </w:rPr>
              <w:t> 分或 </w:t>
            </w:r>
            <w:r>
              <w:rPr>
                <w:sz w:val="21"/>
              </w:rPr>
              <w:t>5</w:t>
            </w:r>
            <w:r>
              <w:rPr>
                <w:spacing w:val="-12"/>
                <w:sz w:val="21"/>
              </w:rPr>
              <w:t> 分以下， </w:t>
            </w:r>
            <w:r>
              <w:rPr>
                <w:spacing w:val="-8"/>
                <w:sz w:val="21"/>
              </w:rPr>
              <w:t>且已经持续使用呼吸机及其它生命维持系统 </w:t>
            </w:r>
            <w:r>
              <w:rPr>
                <w:sz w:val="21"/>
              </w:rPr>
              <w:t>96 小时以上。</w:t>
            </w:r>
          </w:p>
          <w:p>
            <w:pPr>
              <w:pStyle w:val="TableParagraph"/>
              <w:spacing w:before="7"/>
              <w:ind w:left="151"/>
              <w:jc w:val="both"/>
              <w:rPr>
                <w:sz w:val="21"/>
              </w:rPr>
            </w:pPr>
            <w:r>
              <w:rPr>
                <w:sz w:val="21"/>
              </w:rPr>
              <w:t>因酗酒或药物滥用导致的深度昏迷不在保障范围内。</w:t>
            </w:r>
          </w:p>
        </w:tc>
      </w:tr>
      <w:tr>
        <w:trPr>
          <w:trHeight w:val="1787" w:hRule="atLeast"/>
        </w:trPr>
        <w:tc>
          <w:tcPr>
            <w:tcW w:w="1195" w:type="dxa"/>
          </w:tcPr>
          <w:p>
            <w:pPr>
              <w:pStyle w:val="TableParagraph"/>
              <w:spacing w:before="94"/>
              <w:ind w:right="150"/>
              <w:jc w:val="right"/>
              <w:rPr>
                <w:i/>
                <w:sz w:val="22"/>
              </w:rPr>
            </w:pPr>
            <w:r>
              <w:rPr>
                <w:i/>
                <w:w w:val="95"/>
                <w:sz w:val="22"/>
              </w:rPr>
              <w:t>3.2.1</w:t>
            </w:r>
            <w:r>
              <w:rPr>
                <w:b/>
                <w:i/>
                <w:w w:val="95"/>
                <w:sz w:val="22"/>
              </w:rPr>
              <w:t>.</w:t>
            </w:r>
            <w:r>
              <w:rPr>
                <w:i/>
                <w:w w:val="95"/>
                <w:sz w:val="22"/>
              </w:rPr>
              <w:t>13</w:t>
            </w:r>
          </w:p>
        </w:tc>
        <w:tc>
          <w:tcPr>
            <w:tcW w:w="1566" w:type="dxa"/>
          </w:tcPr>
          <w:p>
            <w:pPr>
              <w:pStyle w:val="TableParagraph"/>
              <w:spacing w:before="94"/>
              <w:ind w:left="152"/>
              <w:rPr>
                <w:i/>
                <w:sz w:val="22"/>
              </w:rPr>
            </w:pPr>
            <w:r>
              <w:rPr>
                <w:i/>
                <w:w w:val="95"/>
                <w:sz w:val="22"/>
              </w:rPr>
              <w:t>双耳失聪</w:t>
            </w:r>
          </w:p>
        </w:tc>
        <w:tc>
          <w:tcPr>
            <w:tcW w:w="7399" w:type="dxa"/>
          </w:tcPr>
          <w:p>
            <w:pPr>
              <w:pStyle w:val="TableParagraph"/>
              <w:spacing w:line="273" w:lineRule="auto" w:before="105"/>
              <w:ind w:left="151" w:right="300"/>
              <w:jc w:val="both"/>
              <w:rPr>
                <w:sz w:val="21"/>
              </w:rPr>
            </w:pPr>
            <w:r>
              <w:rPr>
                <w:spacing w:val="-3"/>
                <w:sz w:val="21"/>
              </w:rPr>
              <w:t>指因疾病或意外伤害导致双耳听力</w:t>
            </w:r>
            <w:r>
              <w:rPr>
                <w:b/>
                <w:sz w:val="21"/>
              </w:rPr>
              <w:t>永久不可逆</w:t>
            </w:r>
            <w:r>
              <w:rPr>
                <w:spacing w:val="-14"/>
                <w:sz w:val="21"/>
              </w:rPr>
              <w:t>性丧失，在 </w:t>
            </w:r>
            <w:r>
              <w:rPr>
                <w:sz w:val="21"/>
              </w:rPr>
              <w:t>500</w:t>
            </w:r>
            <w:r>
              <w:rPr>
                <w:spacing w:val="-19"/>
                <w:sz w:val="21"/>
              </w:rPr>
              <w:t> 赫兹、</w:t>
            </w:r>
            <w:r>
              <w:rPr>
                <w:sz w:val="21"/>
              </w:rPr>
              <w:t>1000</w:t>
            </w:r>
            <w:r>
              <w:rPr>
                <w:spacing w:val="-22"/>
                <w:sz w:val="21"/>
              </w:rPr>
              <w:t> 赫</w:t>
            </w:r>
            <w:r>
              <w:rPr>
                <w:spacing w:val="-30"/>
                <w:sz w:val="21"/>
              </w:rPr>
              <w:t>兹和 </w:t>
            </w:r>
            <w:r>
              <w:rPr>
                <w:sz w:val="21"/>
              </w:rPr>
              <w:t>2000</w:t>
            </w:r>
            <w:r>
              <w:rPr>
                <w:spacing w:val="-11"/>
                <w:sz w:val="21"/>
              </w:rPr>
              <w:t> 赫兹语音频率下，平均听阈大于 </w:t>
            </w:r>
            <w:r>
              <w:rPr>
                <w:sz w:val="21"/>
              </w:rPr>
              <w:t>90</w:t>
            </w:r>
            <w:r>
              <w:rPr>
                <w:spacing w:val="-8"/>
                <w:sz w:val="21"/>
              </w:rPr>
              <w:t> 分贝，且经纯音听力测试、声</w:t>
            </w:r>
            <w:r>
              <w:rPr>
                <w:spacing w:val="-5"/>
                <w:sz w:val="21"/>
              </w:rPr>
              <w:t>导抗检测或听觉诱发电位检测等证实。</w:t>
            </w:r>
          </w:p>
          <w:p>
            <w:pPr>
              <w:pStyle w:val="TableParagraph"/>
              <w:spacing w:line="273" w:lineRule="auto" w:before="7"/>
              <w:ind w:left="151" w:right="307"/>
              <w:jc w:val="both"/>
              <w:rPr>
                <w:sz w:val="21"/>
              </w:rPr>
            </w:pPr>
            <w:r>
              <w:rPr>
                <w:sz w:val="21"/>
              </w:rPr>
              <w:t>被保险人申请理赔时年龄必须在三周岁以上，并且提供理赔当时的听力丧失诊断及检查证据。</w:t>
            </w:r>
          </w:p>
        </w:tc>
      </w:tr>
      <w:tr>
        <w:trPr>
          <w:trHeight w:val="2723" w:hRule="atLeast"/>
        </w:trPr>
        <w:tc>
          <w:tcPr>
            <w:tcW w:w="1195" w:type="dxa"/>
          </w:tcPr>
          <w:p>
            <w:pPr>
              <w:pStyle w:val="TableParagraph"/>
              <w:spacing w:before="93"/>
              <w:ind w:right="150"/>
              <w:jc w:val="right"/>
              <w:rPr>
                <w:i/>
                <w:sz w:val="22"/>
              </w:rPr>
            </w:pPr>
            <w:r>
              <w:rPr>
                <w:i/>
                <w:w w:val="95"/>
                <w:sz w:val="22"/>
              </w:rPr>
              <w:t>3.2.1</w:t>
            </w:r>
            <w:r>
              <w:rPr>
                <w:b/>
                <w:i/>
                <w:w w:val="95"/>
                <w:sz w:val="22"/>
              </w:rPr>
              <w:t>.</w:t>
            </w:r>
            <w:r>
              <w:rPr>
                <w:i/>
                <w:w w:val="95"/>
                <w:sz w:val="22"/>
              </w:rPr>
              <w:t>14</w:t>
            </w:r>
          </w:p>
        </w:tc>
        <w:tc>
          <w:tcPr>
            <w:tcW w:w="1566" w:type="dxa"/>
          </w:tcPr>
          <w:p>
            <w:pPr>
              <w:pStyle w:val="TableParagraph"/>
              <w:spacing w:before="93"/>
              <w:ind w:left="152"/>
              <w:rPr>
                <w:i/>
                <w:sz w:val="22"/>
              </w:rPr>
            </w:pPr>
            <w:r>
              <w:rPr>
                <w:i/>
                <w:w w:val="95"/>
                <w:sz w:val="22"/>
              </w:rPr>
              <w:t>双目失明</w:t>
            </w:r>
          </w:p>
        </w:tc>
        <w:tc>
          <w:tcPr>
            <w:tcW w:w="7399" w:type="dxa"/>
          </w:tcPr>
          <w:p>
            <w:pPr>
              <w:pStyle w:val="TableParagraph"/>
              <w:spacing w:line="273" w:lineRule="auto" w:before="104"/>
              <w:ind w:left="151" w:right="305"/>
              <w:rPr>
                <w:sz w:val="21"/>
              </w:rPr>
            </w:pPr>
            <w:r>
              <w:rPr>
                <w:sz w:val="21"/>
              </w:rPr>
              <w:t>指因疾病或意外伤害导致双眼视力</w:t>
            </w:r>
            <w:r>
              <w:rPr>
                <w:b/>
                <w:sz w:val="21"/>
              </w:rPr>
              <w:t>永久不可逆</w:t>
            </w:r>
            <w:r>
              <w:rPr>
                <w:sz w:val="21"/>
              </w:rPr>
              <w:t>性丧失，双眼中较好眼须满足下列至少一项条件：</w:t>
            </w:r>
          </w:p>
          <w:p>
            <w:pPr>
              <w:pStyle w:val="TableParagraph"/>
              <w:spacing w:before="7"/>
              <w:ind w:left="151"/>
              <w:rPr>
                <w:sz w:val="21"/>
              </w:rPr>
            </w:pPr>
            <w:r>
              <w:rPr>
                <w:sz w:val="21"/>
              </w:rPr>
              <w:t>（1）眼球缺失或摘除；</w:t>
            </w:r>
          </w:p>
          <w:p>
            <w:pPr>
              <w:pStyle w:val="TableParagraph"/>
              <w:spacing w:line="273" w:lineRule="auto" w:before="37"/>
              <w:ind w:left="151" w:right="360"/>
              <w:rPr>
                <w:sz w:val="21"/>
              </w:rPr>
            </w:pPr>
            <w:r>
              <w:rPr>
                <w:sz w:val="21"/>
              </w:rPr>
              <w:t>（2）</w:t>
            </w:r>
            <w:r>
              <w:rPr>
                <w:spacing w:val="-7"/>
                <w:sz w:val="21"/>
              </w:rPr>
              <w:t>矫正视力低于 </w:t>
            </w:r>
            <w:r>
              <w:rPr>
                <w:sz w:val="21"/>
              </w:rPr>
              <w:t>0.02（</w:t>
            </w:r>
            <w:r>
              <w:rPr>
                <w:spacing w:val="-3"/>
                <w:sz w:val="21"/>
              </w:rPr>
              <w:t>采用国际标准视力表，如果使用其它视力表应进</w:t>
            </w:r>
            <w:r>
              <w:rPr>
                <w:spacing w:val="-3"/>
                <w:w w:val="100"/>
                <w:sz w:val="21"/>
              </w:rPr>
              <w:t>行换算</w:t>
            </w:r>
            <w:r>
              <w:rPr>
                <w:spacing w:val="-106"/>
                <w:w w:val="100"/>
                <w:sz w:val="21"/>
              </w:rPr>
              <w:t>）</w:t>
            </w:r>
            <w:r>
              <w:rPr>
                <w:w w:val="100"/>
                <w:sz w:val="21"/>
              </w:rPr>
              <w:t>；</w:t>
            </w:r>
          </w:p>
          <w:p>
            <w:pPr>
              <w:pStyle w:val="TableParagraph"/>
              <w:spacing w:before="7"/>
              <w:ind w:left="151"/>
              <w:rPr>
                <w:sz w:val="21"/>
              </w:rPr>
            </w:pPr>
            <w:r>
              <w:rPr>
                <w:sz w:val="21"/>
              </w:rPr>
              <w:t>（3）视野半径小于 5 度。</w:t>
            </w:r>
          </w:p>
          <w:p>
            <w:pPr>
              <w:pStyle w:val="TableParagraph"/>
              <w:spacing w:line="273" w:lineRule="auto" w:before="36"/>
              <w:ind w:left="151" w:right="307"/>
              <w:rPr>
                <w:sz w:val="21"/>
              </w:rPr>
            </w:pPr>
            <w:r>
              <w:rPr>
                <w:sz w:val="21"/>
              </w:rPr>
              <w:t>被保险人申请理赔时年龄必须在三周岁以上，并且提供理赔当时的视力丧失诊断及检查证据。</w:t>
            </w:r>
          </w:p>
        </w:tc>
      </w:tr>
      <w:tr>
        <w:trPr>
          <w:trHeight w:val="1163" w:hRule="atLeast"/>
        </w:trPr>
        <w:tc>
          <w:tcPr>
            <w:tcW w:w="1195" w:type="dxa"/>
          </w:tcPr>
          <w:p>
            <w:pPr>
              <w:pStyle w:val="TableParagraph"/>
              <w:spacing w:before="94"/>
              <w:ind w:right="150"/>
              <w:jc w:val="right"/>
              <w:rPr>
                <w:i/>
                <w:sz w:val="22"/>
              </w:rPr>
            </w:pPr>
            <w:r>
              <w:rPr>
                <w:i/>
                <w:w w:val="95"/>
                <w:sz w:val="22"/>
              </w:rPr>
              <w:t>3.2.1</w:t>
            </w:r>
            <w:r>
              <w:rPr>
                <w:b/>
                <w:i/>
                <w:w w:val="95"/>
                <w:sz w:val="22"/>
              </w:rPr>
              <w:t>.</w:t>
            </w:r>
            <w:r>
              <w:rPr>
                <w:i/>
                <w:w w:val="95"/>
                <w:sz w:val="22"/>
              </w:rPr>
              <w:t>15</w:t>
            </w:r>
          </w:p>
        </w:tc>
        <w:tc>
          <w:tcPr>
            <w:tcW w:w="1566" w:type="dxa"/>
          </w:tcPr>
          <w:p>
            <w:pPr>
              <w:pStyle w:val="TableParagraph"/>
              <w:spacing w:before="94"/>
              <w:ind w:left="152"/>
              <w:rPr>
                <w:i/>
                <w:sz w:val="22"/>
              </w:rPr>
            </w:pPr>
            <w:r>
              <w:rPr>
                <w:i/>
                <w:w w:val="95"/>
                <w:sz w:val="22"/>
              </w:rPr>
              <w:t>瘫痪</w:t>
            </w:r>
          </w:p>
        </w:tc>
        <w:tc>
          <w:tcPr>
            <w:tcW w:w="7399" w:type="dxa"/>
          </w:tcPr>
          <w:p>
            <w:pPr>
              <w:pStyle w:val="TableParagraph"/>
              <w:spacing w:line="273" w:lineRule="auto" w:before="105"/>
              <w:ind w:left="151" w:right="300"/>
              <w:jc w:val="both"/>
              <w:rPr>
                <w:sz w:val="21"/>
              </w:rPr>
            </w:pPr>
            <w:r>
              <w:rPr>
                <w:spacing w:val="-3"/>
                <w:sz w:val="21"/>
              </w:rPr>
              <w:t>指因疾病或意外伤害导致两肢或两肢以上肢体机能永久完全丧失。肢体机能</w:t>
            </w:r>
            <w:r>
              <w:rPr>
                <w:spacing w:val="-7"/>
                <w:sz w:val="21"/>
              </w:rPr>
              <w:t>永久完全丧失，指疾病确诊 </w:t>
            </w:r>
            <w:r>
              <w:rPr>
                <w:sz w:val="21"/>
              </w:rPr>
              <w:t>180</w:t>
            </w:r>
            <w:r>
              <w:rPr>
                <w:spacing w:val="-13"/>
                <w:sz w:val="21"/>
              </w:rPr>
              <w:t> 天后或意外伤害发生 </w:t>
            </w:r>
            <w:r>
              <w:rPr>
                <w:sz w:val="21"/>
              </w:rPr>
              <w:t>180</w:t>
            </w:r>
            <w:r>
              <w:rPr>
                <w:spacing w:val="-8"/>
                <w:sz w:val="21"/>
              </w:rPr>
              <w:t> 天后，每肢三大关</w:t>
            </w:r>
            <w:r>
              <w:rPr>
                <w:spacing w:val="-5"/>
                <w:sz w:val="21"/>
              </w:rPr>
              <w:t>节中的两大关节仍然完全僵硬，或不能随意识活动。</w:t>
            </w:r>
          </w:p>
        </w:tc>
      </w:tr>
      <w:tr>
        <w:trPr>
          <w:trHeight w:val="539" w:hRule="atLeast"/>
        </w:trPr>
        <w:tc>
          <w:tcPr>
            <w:tcW w:w="1195" w:type="dxa"/>
          </w:tcPr>
          <w:p>
            <w:pPr>
              <w:pStyle w:val="TableParagraph"/>
              <w:spacing w:before="92"/>
              <w:ind w:right="150"/>
              <w:jc w:val="right"/>
              <w:rPr>
                <w:i/>
                <w:sz w:val="22"/>
              </w:rPr>
            </w:pPr>
            <w:r>
              <w:rPr>
                <w:i/>
                <w:w w:val="95"/>
                <w:sz w:val="22"/>
              </w:rPr>
              <w:t>3.2.1</w:t>
            </w:r>
            <w:r>
              <w:rPr>
                <w:b/>
                <w:i/>
                <w:w w:val="95"/>
                <w:sz w:val="22"/>
              </w:rPr>
              <w:t>.</w:t>
            </w:r>
            <w:r>
              <w:rPr>
                <w:i/>
                <w:w w:val="95"/>
                <w:sz w:val="22"/>
              </w:rPr>
              <w:t>16</w:t>
            </w:r>
          </w:p>
        </w:tc>
        <w:tc>
          <w:tcPr>
            <w:tcW w:w="1566" w:type="dxa"/>
          </w:tcPr>
          <w:p>
            <w:pPr>
              <w:pStyle w:val="TableParagraph"/>
              <w:spacing w:before="92"/>
              <w:ind w:left="152"/>
              <w:rPr>
                <w:i/>
                <w:sz w:val="22"/>
              </w:rPr>
            </w:pPr>
            <w:r>
              <w:rPr>
                <w:i/>
                <w:w w:val="95"/>
                <w:sz w:val="22"/>
              </w:rPr>
              <w:t>心脏瓣膜手术</w:t>
            </w:r>
          </w:p>
        </w:tc>
        <w:tc>
          <w:tcPr>
            <w:tcW w:w="7399" w:type="dxa"/>
          </w:tcPr>
          <w:p>
            <w:pPr>
              <w:pStyle w:val="TableParagraph"/>
              <w:spacing w:before="104"/>
              <w:ind w:left="87" w:right="132"/>
              <w:jc w:val="center"/>
              <w:rPr>
                <w:sz w:val="21"/>
              </w:rPr>
            </w:pPr>
            <w:r>
              <w:rPr>
                <w:sz w:val="21"/>
              </w:rPr>
              <w:t>指为治疗心脏瓣膜疾病，实际实施了开胸进行的心脏瓣膜置换或修复的手术。</w:t>
            </w:r>
          </w:p>
        </w:tc>
      </w:tr>
      <w:tr>
        <w:trPr>
          <w:trHeight w:val="2099" w:hRule="atLeast"/>
        </w:trPr>
        <w:tc>
          <w:tcPr>
            <w:tcW w:w="1195" w:type="dxa"/>
          </w:tcPr>
          <w:p>
            <w:pPr>
              <w:pStyle w:val="TableParagraph"/>
              <w:spacing w:before="93"/>
              <w:ind w:right="150"/>
              <w:jc w:val="right"/>
              <w:rPr>
                <w:i/>
                <w:sz w:val="22"/>
              </w:rPr>
            </w:pPr>
            <w:r>
              <w:rPr>
                <w:i/>
                <w:w w:val="95"/>
                <w:sz w:val="22"/>
              </w:rPr>
              <w:t>3.2.1</w:t>
            </w:r>
            <w:r>
              <w:rPr>
                <w:b/>
                <w:i/>
                <w:w w:val="95"/>
                <w:sz w:val="22"/>
              </w:rPr>
              <w:t>.</w:t>
            </w:r>
            <w:r>
              <w:rPr>
                <w:i/>
                <w:w w:val="95"/>
                <w:sz w:val="22"/>
              </w:rPr>
              <w:t>17</w:t>
            </w:r>
          </w:p>
        </w:tc>
        <w:tc>
          <w:tcPr>
            <w:tcW w:w="1566" w:type="dxa"/>
          </w:tcPr>
          <w:p>
            <w:pPr>
              <w:pStyle w:val="TableParagraph"/>
              <w:spacing w:line="259" w:lineRule="auto" w:before="93"/>
              <w:ind w:left="152" w:right="148"/>
              <w:rPr>
                <w:i/>
                <w:sz w:val="22"/>
              </w:rPr>
            </w:pPr>
            <w:r>
              <w:rPr>
                <w:i/>
                <w:w w:val="95"/>
                <w:sz w:val="22"/>
              </w:rPr>
              <w:t>严重阿尔茨海默病</w:t>
            </w:r>
          </w:p>
        </w:tc>
        <w:tc>
          <w:tcPr>
            <w:tcW w:w="7399" w:type="dxa"/>
          </w:tcPr>
          <w:p>
            <w:pPr>
              <w:pStyle w:val="TableParagraph"/>
              <w:spacing w:line="273" w:lineRule="auto" w:before="104"/>
              <w:ind w:left="151" w:right="300"/>
              <w:jc w:val="both"/>
              <w:rPr>
                <w:sz w:val="21"/>
              </w:rPr>
            </w:pPr>
            <w:r>
              <w:rPr>
                <w:spacing w:val="-3"/>
                <w:sz w:val="21"/>
              </w:rPr>
              <w:t>指因大脑进行性、不可逆性改变导致智能严重衰退或丧失，临床表现为明显的认知能力障碍、行为异常和社交能力减退，其日常生活必须持续受到他人</w:t>
            </w:r>
            <w:r>
              <w:rPr>
                <w:spacing w:val="-3"/>
                <w:w w:val="100"/>
                <w:sz w:val="21"/>
              </w:rPr>
              <w:t>监护。须由头颅断层扫描</w:t>
            </w:r>
            <w:r>
              <w:rPr>
                <w:w w:val="100"/>
                <w:sz w:val="21"/>
              </w:rPr>
              <w:t>（CT</w:t>
            </w:r>
            <w:r>
              <w:rPr>
                <w:spacing w:val="-106"/>
                <w:w w:val="100"/>
                <w:sz w:val="21"/>
              </w:rPr>
              <w:t>）</w:t>
            </w:r>
            <w:r>
              <w:rPr>
                <w:spacing w:val="-3"/>
                <w:w w:val="100"/>
                <w:sz w:val="21"/>
              </w:rPr>
              <w:t>、核磁共振检查</w:t>
            </w:r>
            <w:r>
              <w:rPr>
                <w:w w:val="100"/>
                <w:sz w:val="21"/>
              </w:rPr>
              <w:t>（M</w:t>
            </w:r>
            <w:r>
              <w:rPr>
                <w:spacing w:val="-3"/>
                <w:w w:val="100"/>
                <w:sz w:val="21"/>
              </w:rPr>
              <w:t>R</w:t>
            </w:r>
            <w:r>
              <w:rPr>
                <w:w w:val="100"/>
                <w:sz w:val="21"/>
              </w:rPr>
              <w:t>I)</w:t>
            </w:r>
            <w:r>
              <w:rPr>
                <w:sz w:val="21"/>
              </w:rPr>
              <w:t> </w:t>
            </w:r>
            <w:r>
              <w:rPr>
                <w:spacing w:val="-3"/>
                <w:w w:val="100"/>
                <w:sz w:val="21"/>
              </w:rPr>
              <w:t>或正电子发射断层扫</w:t>
            </w:r>
            <w:r>
              <w:rPr>
                <w:spacing w:val="-24"/>
                <w:sz w:val="21"/>
              </w:rPr>
              <w:t>描</w:t>
            </w:r>
            <w:r>
              <w:rPr>
                <w:spacing w:val="-7"/>
                <w:sz w:val="21"/>
              </w:rPr>
              <w:t>（PET）等影像学检查证实，且自主生活能力完全丧失，无法独立完成</w:t>
            </w:r>
            <w:r>
              <w:rPr>
                <w:b/>
                <w:sz w:val="21"/>
              </w:rPr>
              <w:t>六项基本日常生活活动</w:t>
            </w:r>
            <w:r>
              <w:rPr>
                <w:spacing w:val="-3"/>
                <w:sz w:val="21"/>
              </w:rPr>
              <w:t>中的三项或三项以上。</w:t>
            </w:r>
          </w:p>
          <w:p>
            <w:pPr>
              <w:pStyle w:val="TableParagraph"/>
              <w:spacing w:before="7"/>
              <w:ind w:left="151"/>
              <w:jc w:val="both"/>
              <w:rPr>
                <w:sz w:val="21"/>
              </w:rPr>
            </w:pPr>
            <w:r>
              <w:rPr>
                <w:sz w:val="21"/>
              </w:rPr>
              <w:t>神经官能症和精神疾病不在保障范围内。</w:t>
            </w:r>
          </w:p>
        </w:tc>
      </w:tr>
      <w:tr>
        <w:trPr>
          <w:trHeight w:val="2723" w:hRule="atLeast"/>
        </w:trPr>
        <w:tc>
          <w:tcPr>
            <w:tcW w:w="1195" w:type="dxa"/>
          </w:tcPr>
          <w:p>
            <w:pPr>
              <w:pStyle w:val="TableParagraph"/>
              <w:spacing w:before="94"/>
              <w:ind w:right="150"/>
              <w:jc w:val="right"/>
              <w:rPr>
                <w:i/>
                <w:sz w:val="22"/>
              </w:rPr>
            </w:pPr>
            <w:r>
              <w:rPr>
                <w:i/>
                <w:w w:val="95"/>
                <w:sz w:val="22"/>
              </w:rPr>
              <w:t>3.2.1</w:t>
            </w:r>
            <w:r>
              <w:rPr>
                <w:b/>
                <w:i/>
                <w:w w:val="95"/>
                <w:sz w:val="22"/>
              </w:rPr>
              <w:t>.</w:t>
            </w:r>
            <w:r>
              <w:rPr>
                <w:i/>
                <w:w w:val="95"/>
                <w:sz w:val="22"/>
              </w:rPr>
              <w:t>18</w:t>
            </w:r>
          </w:p>
        </w:tc>
        <w:tc>
          <w:tcPr>
            <w:tcW w:w="1566" w:type="dxa"/>
          </w:tcPr>
          <w:p>
            <w:pPr>
              <w:pStyle w:val="TableParagraph"/>
              <w:spacing w:before="94"/>
              <w:ind w:left="152"/>
              <w:rPr>
                <w:i/>
                <w:sz w:val="22"/>
              </w:rPr>
            </w:pPr>
            <w:r>
              <w:rPr>
                <w:i/>
                <w:w w:val="95"/>
                <w:sz w:val="22"/>
              </w:rPr>
              <w:t>严重脑损伤</w:t>
            </w:r>
          </w:p>
        </w:tc>
        <w:tc>
          <w:tcPr>
            <w:tcW w:w="7399" w:type="dxa"/>
          </w:tcPr>
          <w:p>
            <w:pPr>
              <w:pStyle w:val="TableParagraph"/>
              <w:spacing w:line="273" w:lineRule="auto" w:before="105"/>
              <w:ind w:left="151" w:right="302"/>
              <w:jc w:val="both"/>
              <w:rPr>
                <w:sz w:val="21"/>
              </w:rPr>
            </w:pPr>
            <w:r>
              <w:rPr>
                <w:spacing w:val="-3"/>
                <w:sz w:val="21"/>
              </w:rPr>
              <w:t>指因头部遭受机械性外力，引起脑重要部位损伤，导致神经系统永久性的功</w:t>
            </w:r>
            <w:r>
              <w:rPr>
                <w:spacing w:val="-3"/>
                <w:w w:val="100"/>
                <w:sz w:val="21"/>
              </w:rPr>
              <w:t>能障碍。须由头颅断层扫描</w:t>
            </w:r>
            <w:r>
              <w:rPr>
                <w:w w:val="100"/>
                <w:sz w:val="21"/>
              </w:rPr>
              <w:t>（C</w:t>
            </w:r>
            <w:r>
              <w:rPr>
                <w:spacing w:val="-3"/>
                <w:w w:val="100"/>
                <w:sz w:val="21"/>
              </w:rPr>
              <w:t>T</w:t>
            </w:r>
            <w:r>
              <w:rPr>
                <w:spacing w:val="-106"/>
                <w:w w:val="100"/>
                <w:sz w:val="21"/>
              </w:rPr>
              <w:t>）</w:t>
            </w:r>
            <w:r>
              <w:rPr>
                <w:spacing w:val="-3"/>
                <w:w w:val="100"/>
                <w:sz w:val="21"/>
              </w:rPr>
              <w:t>、核磁共振检查（</w:t>
            </w:r>
            <w:r>
              <w:rPr>
                <w:w w:val="100"/>
                <w:sz w:val="21"/>
              </w:rPr>
              <w:t>MRI)</w:t>
            </w:r>
            <w:r>
              <w:rPr>
                <w:sz w:val="21"/>
              </w:rPr>
              <w:t> </w:t>
            </w:r>
            <w:r>
              <w:rPr>
                <w:spacing w:val="-3"/>
                <w:w w:val="100"/>
                <w:sz w:val="21"/>
              </w:rPr>
              <w:t>或正电子发射断层</w:t>
            </w:r>
            <w:r>
              <w:rPr>
                <w:spacing w:val="-8"/>
                <w:sz w:val="21"/>
              </w:rPr>
              <w:t>扫描</w:t>
            </w:r>
            <w:r>
              <w:rPr>
                <w:spacing w:val="-4"/>
                <w:sz w:val="21"/>
              </w:rPr>
              <w:t>（PET）</w:t>
            </w:r>
            <w:r>
              <w:rPr>
                <w:spacing w:val="-7"/>
                <w:sz w:val="21"/>
              </w:rPr>
              <w:t>等影像学检查证实。神经系统永久性的功能障碍，指脑损伤 </w:t>
            </w:r>
            <w:r>
              <w:rPr>
                <w:sz w:val="21"/>
              </w:rPr>
              <w:t>180 </w:t>
            </w:r>
            <w:r>
              <w:rPr>
                <w:spacing w:val="-3"/>
                <w:sz w:val="21"/>
              </w:rPr>
              <w:t>天后，仍遗留下列一种或一种以上障碍：</w:t>
            </w:r>
          </w:p>
          <w:p>
            <w:pPr>
              <w:pStyle w:val="TableParagraph"/>
              <w:spacing w:before="7"/>
              <w:ind w:left="151"/>
              <w:rPr>
                <w:sz w:val="21"/>
              </w:rPr>
            </w:pPr>
            <w:r>
              <w:rPr>
                <w:sz w:val="21"/>
              </w:rPr>
              <w:t>（1）一肢或一肢以上</w:t>
            </w:r>
            <w:r>
              <w:rPr>
                <w:b/>
                <w:sz w:val="21"/>
              </w:rPr>
              <w:t>肢体机能完全丧失</w:t>
            </w:r>
            <w:r>
              <w:rPr>
                <w:sz w:val="21"/>
              </w:rPr>
              <w:t>；</w:t>
            </w:r>
          </w:p>
          <w:p>
            <w:pPr>
              <w:pStyle w:val="TableParagraph"/>
              <w:spacing w:before="37"/>
              <w:ind w:left="151"/>
              <w:rPr>
                <w:sz w:val="21"/>
              </w:rPr>
            </w:pPr>
            <w:r>
              <w:rPr>
                <w:sz w:val="21"/>
              </w:rPr>
              <w:t>（2）</w:t>
            </w:r>
            <w:r>
              <w:rPr>
                <w:b/>
                <w:sz w:val="21"/>
              </w:rPr>
              <w:t>语言能力或咀嚼吞咽能力完全丧失</w:t>
            </w:r>
            <w:r>
              <w:rPr>
                <w:sz w:val="21"/>
              </w:rPr>
              <w:t>；</w:t>
            </w:r>
          </w:p>
          <w:p>
            <w:pPr>
              <w:pStyle w:val="TableParagraph"/>
              <w:spacing w:line="273" w:lineRule="auto" w:before="37"/>
              <w:ind w:left="151" w:right="300"/>
              <w:rPr>
                <w:sz w:val="21"/>
              </w:rPr>
            </w:pPr>
            <w:r>
              <w:rPr>
                <w:spacing w:val="-18"/>
                <w:sz w:val="21"/>
              </w:rPr>
              <w:t>（3）</w:t>
            </w:r>
            <w:r>
              <w:rPr>
                <w:spacing w:val="-8"/>
                <w:sz w:val="21"/>
              </w:rPr>
              <w:t>自主生活能力完全丧失，无法独立完成</w:t>
            </w:r>
            <w:r>
              <w:rPr>
                <w:b/>
                <w:sz w:val="21"/>
              </w:rPr>
              <w:t>六项基本日常生活活动</w:t>
            </w:r>
            <w:r>
              <w:rPr>
                <w:spacing w:val="-2"/>
                <w:sz w:val="21"/>
              </w:rPr>
              <w:t>中的三项</w:t>
            </w:r>
            <w:r>
              <w:rPr>
                <w:spacing w:val="-3"/>
                <w:sz w:val="21"/>
              </w:rPr>
              <w:t>或三项以上。</w:t>
            </w:r>
          </w:p>
        </w:tc>
      </w:tr>
      <w:tr>
        <w:trPr>
          <w:trHeight w:val="380" w:hRule="atLeast"/>
        </w:trPr>
        <w:tc>
          <w:tcPr>
            <w:tcW w:w="1195" w:type="dxa"/>
          </w:tcPr>
          <w:p>
            <w:pPr>
              <w:pStyle w:val="TableParagraph"/>
              <w:spacing w:line="268" w:lineRule="exact" w:before="92"/>
              <w:ind w:right="152"/>
              <w:jc w:val="right"/>
              <w:rPr>
                <w:i/>
                <w:sz w:val="22"/>
              </w:rPr>
            </w:pPr>
            <w:r>
              <w:rPr>
                <w:i/>
                <w:w w:val="95"/>
                <w:sz w:val="22"/>
              </w:rPr>
              <w:t>3.2.1</w:t>
            </w:r>
            <w:r>
              <w:rPr>
                <w:b/>
                <w:i/>
                <w:w w:val="95"/>
                <w:sz w:val="22"/>
              </w:rPr>
              <w:t>.</w:t>
            </w:r>
            <w:r>
              <w:rPr>
                <w:i/>
                <w:w w:val="95"/>
                <w:sz w:val="22"/>
              </w:rPr>
              <w:t>19</w:t>
            </w:r>
          </w:p>
        </w:tc>
        <w:tc>
          <w:tcPr>
            <w:tcW w:w="1566" w:type="dxa"/>
          </w:tcPr>
          <w:p>
            <w:pPr>
              <w:pStyle w:val="TableParagraph"/>
              <w:spacing w:line="268" w:lineRule="exact" w:before="92"/>
              <w:ind w:left="152"/>
              <w:rPr>
                <w:i/>
                <w:sz w:val="22"/>
              </w:rPr>
            </w:pPr>
            <w:r>
              <w:rPr>
                <w:i/>
                <w:w w:val="95"/>
                <w:sz w:val="22"/>
              </w:rPr>
              <w:t>严重帕金森病</w:t>
            </w:r>
          </w:p>
        </w:tc>
        <w:tc>
          <w:tcPr>
            <w:tcW w:w="7399" w:type="dxa"/>
          </w:tcPr>
          <w:p>
            <w:pPr>
              <w:pStyle w:val="TableParagraph"/>
              <w:spacing w:line="257" w:lineRule="exact" w:before="104"/>
              <w:ind w:left="87" w:right="242"/>
              <w:jc w:val="center"/>
              <w:rPr>
                <w:sz w:val="21"/>
              </w:rPr>
            </w:pPr>
            <w:r>
              <w:rPr>
                <w:sz w:val="21"/>
              </w:rPr>
              <w:t>是一种中枢神经系统的退行性疾病，临床表现为震颤麻痹、共济失调等。须</w:t>
            </w:r>
          </w:p>
        </w:tc>
      </w:tr>
    </w:tbl>
    <w:p>
      <w:pPr>
        <w:spacing w:after="0" w:line="257" w:lineRule="exact"/>
        <w:jc w:val="center"/>
        <w:rPr>
          <w:sz w:val="21"/>
        </w:rPr>
        <w:sectPr>
          <w:pgSz w:w="11910" w:h="16840"/>
          <w:pgMar w:header="568" w:footer="458" w:top="800" w:bottom="640" w:left="720" w:right="820"/>
        </w:sectPr>
      </w:pPr>
    </w:p>
    <w:p>
      <w:pPr>
        <w:pStyle w:val="BodyText"/>
        <w:rPr>
          <w:rFonts w:ascii="Times New Roman"/>
          <w:sz w:val="20"/>
        </w:rPr>
      </w:pPr>
    </w:p>
    <w:p>
      <w:pPr>
        <w:pStyle w:val="BodyText"/>
        <w:spacing w:before="2" w:after="1"/>
        <w:rPr>
          <w:rFonts w:ascii="Times New Roman"/>
          <w:sz w:val="1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5"/>
        <w:gridCol w:w="1619"/>
        <w:gridCol w:w="7348"/>
      </w:tblGrid>
      <w:tr>
        <w:trPr>
          <w:trHeight w:val="1619" w:hRule="atLeast"/>
        </w:trPr>
        <w:tc>
          <w:tcPr>
            <w:tcW w:w="1195" w:type="dxa"/>
          </w:tcPr>
          <w:p>
            <w:pPr>
              <w:pStyle w:val="TableParagraph"/>
              <w:rPr>
                <w:rFonts w:ascii="Times New Roman"/>
                <w:sz w:val="20"/>
              </w:rPr>
            </w:pPr>
          </w:p>
        </w:tc>
        <w:tc>
          <w:tcPr>
            <w:tcW w:w="1619" w:type="dxa"/>
          </w:tcPr>
          <w:p>
            <w:pPr>
              <w:pStyle w:val="TableParagraph"/>
              <w:rPr>
                <w:rFonts w:ascii="Times New Roman"/>
                <w:sz w:val="20"/>
              </w:rPr>
            </w:pPr>
          </w:p>
        </w:tc>
        <w:tc>
          <w:tcPr>
            <w:tcW w:w="7348" w:type="dxa"/>
          </w:tcPr>
          <w:p>
            <w:pPr>
              <w:pStyle w:val="TableParagraph"/>
              <w:spacing w:line="211" w:lineRule="exact"/>
              <w:ind w:left="99"/>
              <w:rPr>
                <w:sz w:val="21"/>
              </w:rPr>
            </w:pPr>
            <w:r>
              <w:rPr>
                <w:sz w:val="21"/>
              </w:rPr>
              <w:t>满足下列全部条件：</w:t>
            </w:r>
          </w:p>
          <w:p>
            <w:pPr>
              <w:pStyle w:val="TableParagraph"/>
              <w:spacing w:before="37"/>
              <w:ind w:left="99"/>
              <w:rPr>
                <w:sz w:val="21"/>
              </w:rPr>
            </w:pPr>
            <w:r>
              <w:rPr>
                <w:sz w:val="21"/>
              </w:rPr>
              <w:t>（1）药物治疗无法控制病情；</w:t>
            </w:r>
          </w:p>
          <w:p>
            <w:pPr>
              <w:pStyle w:val="TableParagraph"/>
              <w:spacing w:line="273" w:lineRule="auto" w:before="37"/>
              <w:ind w:left="99" w:right="302"/>
              <w:rPr>
                <w:sz w:val="21"/>
              </w:rPr>
            </w:pPr>
            <w:r>
              <w:rPr>
                <w:spacing w:val="-18"/>
                <w:sz w:val="21"/>
              </w:rPr>
              <w:t>（2）</w:t>
            </w:r>
            <w:r>
              <w:rPr>
                <w:spacing w:val="-8"/>
                <w:sz w:val="21"/>
              </w:rPr>
              <w:t>自主生活能力完全丧失，无法独立完成</w:t>
            </w:r>
            <w:r>
              <w:rPr>
                <w:b/>
                <w:sz w:val="21"/>
              </w:rPr>
              <w:t>六项基本日常生活活动</w:t>
            </w:r>
            <w:r>
              <w:rPr>
                <w:spacing w:val="-2"/>
                <w:sz w:val="21"/>
              </w:rPr>
              <w:t>中的三项</w:t>
            </w:r>
            <w:r>
              <w:rPr>
                <w:spacing w:val="-3"/>
                <w:sz w:val="21"/>
              </w:rPr>
              <w:t>或三项以上。</w:t>
            </w:r>
          </w:p>
          <w:p>
            <w:pPr>
              <w:pStyle w:val="TableParagraph"/>
              <w:spacing w:before="7"/>
              <w:ind w:left="99"/>
              <w:rPr>
                <w:sz w:val="21"/>
              </w:rPr>
            </w:pPr>
            <w:r>
              <w:rPr>
                <w:sz w:val="21"/>
              </w:rPr>
              <w:t>继发性帕金森综合征不在保障范围内。</w:t>
            </w:r>
          </w:p>
        </w:tc>
      </w:tr>
      <w:tr>
        <w:trPr>
          <w:trHeight w:val="851" w:hRule="atLeast"/>
        </w:trPr>
        <w:tc>
          <w:tcPr>
            <w:tcW w:w="1195" w:type="dxa"/>
          </w:tcPr>
          <w:p>
            <w:pPr>
              <w:pStyle w:val="TableParagraph"/>
              <w:spacing w:before="94"/>
              <w:ind w:left="200"/>
              <w:rPr>
                <w:i/>
                <w:sz w:val="22"/>
              </w:rPr>
            </w:pPr>
            <w:r>
              <w:rPr>
                <w:i/>
                <w:sz w:val="22"/>
              </w:rPr>
              <w:t>3.2.1</w:t>
            </w:r>
            <w:r>
              <w:rPr>
                <w:b/>
                <w:i/>
                <w:sz w:val="22"/>
              </w:rPr>
              <w:t>.</w:t>
            </w:r>
            <w:r>
              <w:rPr>
                <w:i/>
                <w:sz w:val="22"/>
              </w:rPr>
              <w:t>20</w:t>
            </w:r>
          </w:p>
        </w:tc>
        <w:tc>
          <w:tcPr>
            <w:tcW w:w="1619" w:type="dxa"/>
          </w:tcPr>
          <w:p>
            <w:pPr>
              <w:pStyle w:val="TableParagraph"/>
              <w:spacing w:before="94"/>
              <w:ind w:left="152"/>
              <w:rPr>
                <w:i/>
                <w:sz w:val="22"/>
              </w:rPr>
            </w:pPr>
            <w:r>
              <w:rPr>
                <w:i/>
                <w:w w:val="95"/>
                <w:sz w:val="22"/>
              </w:rPr>
              <w:t>严重Ⅲ度烧伤</w:t>
            </w:r>
          </w:p>
        </w:tc>
        <w:tc>
          <w:tcPr>
            <w:tcW w:w="7348" w:type="dxa"/>
          </w:tcPr>
          <w:p>
            <w:pPr>
              <w:pStyle w:val="TableParagraph"/>
              <w:spacing w:line="273" w:lineRule="auto" w:before="105"/>
              <w:ind w:left="99" w:right="206"/>
              <w:rPr>
                <w:sz w:val="21"/>
              </w:rPr>
            </w:pPr>
            <w:r>
              <w:rPr>
                <w:spacing w:val="-5"/>
                <w:sz w:val="21"/>
              </w:rPr>
              <w:t>指烧伤程度为Ⅲ度，且Ⅲ度烧伤面积达到全身体表面积的 </w:t>
            </w:r>
            <w:r>
              <w:rPr>
                <w:sz w:val="21"/>
              </w:rPr>
              <w:t>20</w:t>
            </w:r>
            <w:r>
              <w:rPr>
                <w:spacing w:val="-14"/>
                <w:sz w:val="21"/>
              </w:rPr>
              <w:t>％或 </w:t>
            </w:r>
            <w:r>
              <w:rPr>
                <w:sz w:val="21"/>
              </w:rPr>
              <w:t>20</w:t>
            </w:r>
            <w:r>
              <w:rPr>
                <w:spacing w:val="-1"/>
                <w:sz w:val="21"/>
              </w:rPr>
              <w:t>％以上。</w:t>
            </w:r>
            <w:r>
              <w:rPr>
                <w:spacing w:val="-3"/>
                <w:sz w:val="21"/>
              </w:rPr>
              <w:t>体表面积根据 《中国新九分法》计算。</w:t>
            </w:r>
          </w:p>
        </w:tc>
      </w:tr>
      <w:tr>
        <w:trPr>
          <w:trHeight w:val="1162" w:hRule="atLeast"/>
        </w:trPr>
        <w:tc>
          <w:tcPr>
            <w:tcW w:w="1195" w:type="dxa"/>
          </w:tcPr>
          <w:p>
            <w:pPr>
              <w:pStyle w:val="TableParagraph"/>
              <w:spacing w:before="94"/>
              <w:ind w:left="200"/>
              <w:rPr>
                <w:i/>
                <w:sz w:val="22"/>
              </w:rPr>
            </w:pPr>
            <w:r>
              <w:rPr>
                <w:i/>
                <w:sz w:val="22"/>
              </w:rPr>
              <w:t>3.2.1</w:t>
            </w:r>
            <w:r>
              <w:rPr>
                <w:b/>
                <w:i/>
                <w:sz w:val="22"/>
              </w:rPr>
              <w:t>.</w:t>
            </w:r>
            <w:r>
              <w:rPr>
                <w:i/>
                <w:sz w:val="22"/>
              </w:rPr>
              <w:t>21</w:t>
            </w:r>
          </w:p>
        </w:tc>
        <w:tc>
          <w:tcPr>
            <w:tcW w:w="1619" w:type="dxa"/>
          </w:tcPr>
          <w:p>
            <w:pPr>
              <w:pStyle w:val="TableParagraph"/>
              <w:spacing w:line="259" w:lineRule="auto" w:before="94"/>
              <w:ind w:left="152" w:right="96"/>
              <w:rPr>
                <w:i/>
                <w:sz w:val="22"/>
              </w:rPr>
            </w:pPr>
            <w:r>
              <w:rPr>
                <w:i/>
                <w:w w:val="95"/>
                <w:sz w:val="22"/>
              </w:rPr>
              <w:t>严重原发性肺动脉高压</w:t>
            </w:r>
          </w:p>
        </w:tc>
        <w:tc>
          <w:tcPr>
            <w:tcW w:w="7348" w:type="dxa"/>
          </w:tcPr>
          <w:p>
            <w:pPr>
              <w:pStyle w:val="TableParagraph"/>
              <w:spacing w:line="273" w:lineRule="auto" w:before="105"/>
              <w:ind w:left="99" w:right="307"/>
              <w:jc w:val="both"/>
              <w:rPr>
                <w:sz w:val="21"/>
              </w:rPr>
            </w:pPr>
            <w:r>
              <w:rPr>
                <w:sz w:val="21"/>
              </w:rPr>
              <w:t>指不明原因的肺动脉压力持续性增高，进行性发展而导致的慢性疾病，已经造成</w:t>
            </w:r>
            <w:r>
              <w:rPr>
                <w:b/>
                <w:sz w:val="21"/>
              </w:rPr>
              <w:t>永久不可逆</w:t>
            </w:r>
            <w:r>
              <w:rPr>
                <w:sz w:val="21"/>
              </w:rPr>
              <w:t>性的体力活动能力受限，达到美国纽约心脏病学会心功能状态分级 IV 级，且静息状态下肺动脉平均压超过 3OmmHg 。</w:t>
            </w:r>
          </w:p>
        </w:tc>
      </w:tr>
      <w:tr>
        <w:trPr>
          <w:trHeight w:val="1475" w:hRule="atLeast"/>
        </w:trPr>
        <w:tc>
          <w:tcPr>
            <w:tcW w:w="1195" w:type="dxa"/>
          </w:tcPr>
          <w:p>
            <w:pPr>
              <w:pStyle w:val="TableParagraph"/>
              <w:spacing w:before="92"/>
              <w:ind w:left="200"/>
              <w:rPr>
                <w:i/>
                <w:sz w:val="22"/>
              </w:rPr>
            </w:pPr>
            <w:r>
              <w:rPr>
                <w:i/>
                <w:sz w:val="22"/>
              </w:rPr>
              <w:t>3.2.1</w:t>
            </w:r>
            <w:r>
              <w:rPr>
                <w:b/>
                <w:i/>
                <w:sz w:val="22"/>
              </w:rPr>
              <w:t>.</w:t>
            </w:r>
            <w:r>
              <w:rPr>
                <w:i/>
                <w:sz w:val="22"/>
              </w:rPr>
              <w:t>22</w:t>
            </w:r>
          </w:p>
        </w:tc>
        <w:tc>
          <w:tcPr>
            <w:tcW w:w="1619" w:type="dxa"/>
          </w:tcPr>
          <w:p>
            <w:pPr>
              <w:pStyle w:val="TableParagraph"/>
              <w:spacing w:line="259" w:lineRule="auto" w:before="92"/>
              <w:ind w:left="152" w:right="96"/>
              <w:rPr>
                <w:i/>
                <w:sz w:val="22"/>
              </w:rPr>
            </w:pPr>
            <w:r>
              <w:rPr>
                <w:i/>
                <w:w w:val="95"/>
                <w:sz w:val="22"/>
              </w:rPr>
              <w:t>严重运动神经元病</w:t>
            </w:r>
          </w:p>
        </w:tc>
        <w:tc>
          <w:tcPr>
            <w:tcW w:w="7348" w:type="dxa"/>
          </w:tcPr>
          <w:p>
            <w:pPr>
              <w:pStyle w:val="TableParagraph"/>
              <w:spacing w:line="273" w:lineRule="auto" w:before="104"/>
              <w:ind w:left="99" w:right="197"/>
              <w:rPr>
                <w:sz w:val="21"/>
              </w:rPr>
            </w:pPr>
            <w:r>
              <w:rPr>
                <w:spacing w:val="-8"/>
                <w:sz w:val="21"/>
              </w:rPr>
              <w:t>是一组中枢神经系统运动神经元的进行性变性疾病，包括进行性脊肌萎缩症、</w:t>
            </w:r>
            <w:r>
              <w:rPr>
                <w:spacing w:val="-5"/>
                <w:sz w:val="21"/>
              </w:rPr>
              <w:t>进行性延髓麻痹症、原发性侧索硬化症、肌萎缩性侧索硬化症。须满足自主</w:t>
            </w:r>
            <w:r>
              <w:rPr>
                <w:spacing w:val="-4"/>
                <w:sz w:val="21"/>
              </w:rPr>
              <w:t>生活能力完全丧失，无法独立完成</w:t>
            </w:r>
            <w:r>
              <w:rPr>
                <w:b/>
                <w:spacing w:val="-1"/>
                <w:sz w:val="21"/>
              </w:rPr>
              <w:t>六项基本日常生活活动</w:t>
            </w:r>
            <w:r>
              <w:rPr>
                <w:spacing w:val="-3"/>
                <w:sz w:val="21"/>
              </w:rPr>
              <w:t>中的三项或三项以上的条件。</w:t>
            </w:r>
          </w:p>
        </w:tc>
      </w:tr>
      <w:tr>
        <w:trPr>
          <w:trHeight w:val="1786" w:hRule="atLeast"/>
        </w:trPr>
        <w:tc>
          <w:tcPr>
            <w:tcW w:w="1195" w:type="dxa"/>
          </w:tcPr>
          <w:p>
            <w:pPr>
              <w:pStyle w:val="TableParagraph"/>
              <w:spacing w:before="94"/>
              <w:ind w:left="200"/>
              <w:rPr>
                <w:i/>
                <w:sz w:val="22"/>
              </w:rPr>
            </w:pPr>
            <w:r>
              <w:rPr>
                <w:i/>
                <w:sz w:val="22"/>
              </w:rPr>
              <w:t>3.2.1</w:t>
            </w:r>
            <w:r>
              <w:rPr>
                <w:b/>
                <w:i/>
                <w:sz w:val="22"/>
              </w:rPr>
              <w:t>.</w:t>
            </w:r>
            <w:r>
              <w:rPr>
                <w:i/>
                <w:sz w:val="22"/>
              </w:rPr>
              <w:t>23</w:t>
            </w:r>
          </w:p>
        </w:tc>
        <w:tc>
          <w:tcPr>
            <w:tcW w:w="1619" w:type="dxa"/>
          </w:tcPr>
          <w:p>
            <w:pPr>
              <w:pStyle w:val="TableParagraph"/>
              <w:spacing w:before="94"/>
              <w:ind w:left="152"/>
              <w:rPr>
                <w:i/>
                <w:sz w:val="22"/>
              </w:rPr>
            </w:pPr>
            <w:r>
              <w:rPr>
                <w:i/>
                <w:w w:val="95"/>
                <w:sz w:val="22"/>
              </w:rPr>
              <w:t>语言能力丧失</w:t>
            </w:r>
          </w:p>
        </w:tc>
        <w:tc>
          <w:tcPr>
            <w:tcW w:w="7348" w:type="dxa"/>
          </w:tcPr>
          <w:p>
            <w:pPr>
              <w:pStyle w:val="TableParagraph"/>
              <w:spacing w:line="273" w:lineRule="auto" w:before="105"/>
              <w:ind w:left="99" w:right="302"/>
              <w:rPr>
                <w:sz w:val="21"/>
              </w:rPr>
            </w:pPr>
            <w:r>
              <w:rPr>
                <w:spacing w:val="-9"/>
                <w:sz w:val="21"/>
              </w:rPr>
              <w:t>指因疾病或意外伤害导致完全丧失语言能力，经过积极治疗至少 </w:t>
            </w:r>
            <w:r>
              <w:rPr>
                <w:sz w:val="21"/>
              </w:rPr>
              <w:t>12</w:t>
            </w:r>
            <w:r>
              <w:rPr>
                <w:spacing w:val="-19"/>
                <w:sz w:val="21"/>
              </w:rPr>
              <w:t> 个月</w:t>
            </w:r>
            <w:r>
              <w:rPr>
                <w:sz w:val="21"/>
              </w:rPr>
              <w:t>（声</w:t>
            </w:r>
            <w:r>
              <w:rPr>
                <w:spacing w:val="-3"/>
                <w:w w:val="100"/>
                <w:sz w:val="21"/>
              </w:rPr>
              <w:t>带完全切除不受此时间限制</w:t>
            </w:r>
            <w:r>
              <w:rPr>
                <w:spacing w:val="-106"/>
                <w:w w:val="100"/>
                <w:sz w:val="21"/>
              </w:rPr>
              <w:t>）</w:t>
            </w:r>
            <w:r>
              <w:rPr>
                <w:spacing w:val="-3"/>
                <w:w w:val="100"/>
                <w:sz w:val="21"/>
              </w:rPr>
              <w:t>，仍无法通过现有医疗手段恢复。</w:t>
            </w:r>
          </w:p>
          <w:p>
            <w:pPr>
              <w:pStyle w:val="TableParagraph"/>
              <w:spacing w:before="7"/>
              <w:ind w:left="99"/>
              <w:rPr>
                <w:sz w:val="21"/>
              </w:rPr>
            </w:pPr>
            <w:r>
              <w:rPr>
                <w:sz w:val="21"/>
              </w:rPr>
              <w:t>精神心理因素所致的语言能力丧失不在保障范围内。</w:t>
            </w:r>
          </w:p>
          <w:p>
            <w:pPr>
              <w:pStyle w:val="TableParagraph"/>
              <w:spacing w:line="273" w:lineRule="auto" w:before="37"/>
              <w:ind w:left="99" w:right="309"/>
              <w:rPr>
                <w:sz w:val="21"/>
              </w:rPr>
            </w:pPr>
            <w:r>
              <w:rPr>
                <w:sz w:val="21"/>
              </w:rPr>
              <w:t>被保险人申请理赔时年龄必须在三周岁以上，并且提供理赔当时的语言能力丧失诊断及检查证据。</w:t>
            </w:r>
          </w:p>
        </w:tc>
      </w:tr>
      <w:tr>
        <w:trPr>
          <w:trHeight w:val="2411" w:hRule="atLeast"/>
        </w:trPr>
        <w:tc>
          <w:tcPr>
            <w:tcW w:w="1195" w:type="dxa"/>
          </w:tcPr>
          <w:p>
            <w:pPr>
              <w:pStyle w:val="TableParagraph"/>
              <w:spacing w:before="92"/>
              <w:ind w:left="200"/>
              <w:rPr>
                <w:i/>
                <w:sz w:val="22"/>
              </w:rPr>
            </w:pPr>
            <w:r>
              <w:rPr>
                <w:i/>
                <w:sz w:val="22"/>
              </w:rPr>
              <w:t>3.2.1</w:t>
            </w:r>
            <w:r>
              <w:rPr>
                <w:b/>
                <w:i/>
                <w:sz w:val="22"/>
              </w:rPr>
              <w:t>.</w:t>
            </w:r>
            <w:r>
              <w:rPr>
                <w:i/>
                <w:sz w:val="22"/>
              </w:rPr>
              <w:t>24</w:t>
            </w:r>
          </w:p>
        </w:tc>
        <w:tc>
          <w:tcPr>
            <w:tcW w:w="1619" w:type="dxa"/>
          </w:tcPr>
          <w:p>
            <w:pPr>
              <w:pStyle w:val="TableParagraph"/>
              <w:spacing w:line="259" w:lineRule="auto" w:before="92"/>
              <w:ind w:left="152" w:right="96"/>
              <w:rPr>
                <w:i/>
                <w:sz w:val="22"/>
              </w:rPr>
            </w:pPr>
            <w:r>
              <w:rPr>
                <w:i/>
                <w:w w:val="95"/>
                <w:sz w:val="22"/>
              </w:rPr>
              <w:t>重型再生障碍性贫血</w:t>
            </w:r>
          </w:p>
        </w:tc>
        <w:tc>
          <w:tcPr>
            <w:tcW w:w="7348" w:type="dxa"/>
          </w:tcPr>
          <w:p>
            <w:pPr>
              <w:pStyle w:val="TableParagraph"/>
              <w:spacing w:line="273" w:lineRule="auto" w:before="104"/>
              <w:ind w:left="99" w:right="302"/>
              <w:rPr>
                <w:sz w:val="21"/>
              </w:rPr>
            </w:pPr>
            <w:r>
              <w:rPr>
                <w:sz w:val="21"/>
              </w:rPr>
              <w:t>指因骨髓造血功能慢性持续性衰竭导致的贫血、中性粒细胞减少及血小板减少。须满足下列全部条件：</w:t>
            </w:r>
          </w:p>
          <w:p>
            <w:pPr>
              <w:pStyle w:val="TableParagraph"/>
              <w:spacing w:before="7"/>
              <w:ind w:left="99"/>
              <w:rPr>
                <w:sz w:val="21"/>
              </w:rPr>
            </w:pPr>
            <w:r>
              <w:rPr>
                <w:sz w:val="21"/>
              </w:rPr>
              <w:t>（1）骨髓穿刺检查或骨髓活检结果支持诊断；</w:t>
            </w:r>
          </w:p>
          <w:p>
            <w:pPr>
              <w:pStyle w:val="TableParagraph"/>
              <w:spacing w:before="37"/>
              <w:ind w:left="99"/>
              <w:rPr>
                <w:sz w:val="21"/>
              </w:rPr>
            </w:pPr>
            <w:r>
              <w:rPr>
                <w:sz w:val="21"/>
              </w:rPr>
              <w:t>（2）外周血象须具备所有三项条件：</w:t>
            </w:r>
          </w:p>
          <w:p>
            <w:pPr>
              <w:pStyle w:val="TableParagraph"/>
              <w:spacing w:before="37"/>
              <w:ind w:left="519"/>
              <w:rPr>
                <w:sz w:val="21"/>
              </w:rPr>
            </w:pPr>
            <w:r>
              <w:rPr>
                <w:sz w:val="21"/>
              </w:rPr>
              <w:t>① 中性粒细胞绝对值≤0.5×10</w:t>
            </w:r>
            <w:r>
              <w:rPr>
                <w:b/>
                <w:position w:val="11"/>
                <w:sz w:val="11"/>
              </w:rPr>
              <w:t>9</w:t>
            </w:r>
            <w:r>
              <w:rPr>
                <w:sz w:val="21"/>
              </w:rPr>
              <w:t>/L ；</w:t>
            </w:r>
          </w:p>
          <w:p>
            <w:pPr>
              <w:pStyle w:val="TableParagraph"/>
              <w:spacing w:before="37"/>
              <w:ind w:left="519"/>
              <w:rPr>
                <w:sz w:val="21"/>
              </w:rPr>
            </w:pPr>
            <w:r>
              <w:rPr>
                <w:sz w:val="21"/>
              </w:rPr>
              <w:t>② 网织红细胞＜1%；</w:t>
            </w:r>
          </w:p>
          <w:p>
            <w:pPr>
              <w:pStyle w:val="TableParagraph"/>
              <w:spacing w:before="37"/>
              <w:ind w:left="519"/>
              <w:rPr>
                <w:sz w:val="21"/>
              </w:rPr>
            </w:pPr>
            <w:r>
              <w:rPr>
                <w:sz w:val="21"/>
              </w:rPr>
              <w:t>③ 血小板绝对值≤20×10</w:t>
            </w:r>
            <w:r>
              <w:rPr>
                <w:b/>
                <w:position w:val="11"/>
                <w:sz w:val="11"/>
              </w:rPr>
              <w:t>9</w:t>
            </w:r>
            <w:r>
              <w:rPr>
                <w:sz w:val="21"/>
              </w:rPr>
              <w:t>/L。</w:t>
            </w:r>
          </w:p>
        </w:tc>
      </w:tr>
      <w:tr>
        <w:trPr>
          <w:trHeight w:val="1447" w:hRule="atLeast"/>
        </w:trPr>
        <w:tc>
          <w:tcPr>
            <w:tcW w:w="1195" w:type="dxa"/>
          </w:tcPr>
          <w:p>
            <w:pPr>
              <w:pStyle w:val="TableParagraph"/>
              <w:spacing w:before="94"/>
              <w:ind w:left="200"/>
              <w:rPr>
                <w:i/>
                <w:sz w:val="22"/>
              </w:rPr>
            </w:pPr>
            <w:r>
              <w:rPr>
                <w:i/>
                <w:sz w:val="22"/>
              </w:rPr>
              <w:t>3.2.1</w:t>
            </w:r>
            <w:r>
              <w:rPr>
                <w:b/>
                <w:i/>
                <w:sz w:val="22"/>
              </w:rPr>
              <w:t>.</w:t>
            </w:r>
            <w:r>
              <w:rPr>
                <w:i/>
                <w:sz w:val="22"/>
              </w:rPr>
              <w:t>25</w:t>
            </w:r>
          </w:p>
        </w:tc>
        <w:tc>
          <w:tcPr>
            <w:tcW w:w="1619" w:type="dxa"/>
          </w:tcPr>
          <w:p>
            <w:pPr>
              <w:pStyle w:val="TableParagraph"/>
              <w:spacing w:before="94"/>
              <w:ind w:left="152"/>
              <w:rPr>
                <w:i/>
                <w:sz w:val="22"/>
              </w:rPr>
            </w:pPr>
            <w:r>
              <w:rPr>
                <w:i/>
                <w:w w:val="95"/>
                <w:sz w:val="22"/>
              </w:rPr>
              <w:t>主动脉手术</w:t>
            </w:r>
          </w:p>
        </w:tc>
        <w:tc>
          <w:tcPr>
            <w:tcW w:w="7348" w:type="dxa"/>
          </w:tcPr>
          <w:p>
            <w:pPr>
              <w:pStyle w:val="TableParagraph"/>
              <w:spacing w:line="273" w:lineRule="auto" w:before="105"/>
              <w:ind w:left="99" w:right="302"/>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7"/>
              <w:ind w:left="99"/>
              <w:jc w:val="both"/>
              <w:rPr>
                <w:sz w:val="21"/>
              </w:rPr>
            </w:pPr>
            <w:r>
              <w:rPr>
                <w:sz w:val="21"/>
              </w:rPr>
              <w:t>动脉内血管成形术不在保障范围内。</w:t>
            </w:r>
          </w:p>
        </w:tc>
      </w:tr>
      <w:tr>
        <w:trPr>
          <w:trHeight w:val="480" w:hRule="atLeast"/>
        </w:trPr>
        <w:tc>
          <w:tcPr>
            <w:tcW w:w="1195" w:type="dxa"/>
          </w:tcPr>
          <w:p>
            <w:pPr>
              <w:pStyle w:val="TableParagraph"/>
              <w:spacing w:before="65"/>
              <w:ind w:left="200"/>
              <w:rPr>
                <w:b/>
                <w:i/>
                <w:sz w:val="22"/>
              </w:rPr>
            </w:pPr>
            <w:r>
              <w:rPr>
                <w:b/>
                <w:i/>
                <w:sz w:val="22"/>
              </w:rPr>
              <w:t>3.2.2</w:t>
            </w:r>
          </w:p>
        </w:tc>
        <w:tc>
          <w:tcPr>
            <w:tcW w:w="1619" w:type="dxa"/>
            <w:vMerge w:val="restart"/>
          </w:tcPr>
          <w:p>
            <w:pPr>
              <w:pStyle w:val="TableParagraph"/>
              <w:spacing w:before="65"/>
              <w:ind w:left="152"/>
              <w:rPr>
                <w:b/>
                <w:i/>
                <w:sz w:val="22"/>
              </w:rPr>
            </w:pPr>
            <w:r>
              <w:rPr>
                <w:b/>
                <w:i/>
                <w:w w:val="95"/>
                <w:sz w:val="22"/>
              </w:rPr>
              <w:t>被保险人年满</w:t>
            </w:r>
          </w:p>
          <w:p>
            <w:pPr>
              <w:pStyle w:val="TableParagraph"/>
              <w:spacing w:line="259" w:lineRule="auto" w:before="24"/>
              <w:ind w:left="152" w:right="112"/>
              <w:jc w:val="both"/>
              <w:rPr>
                <w:b/>
                <w:i/>
                <w:sz w:val="22"/>
              </w:rPr>
            </w:pPr>
            <w:r>
              <w:rPr>
                <w:b/>
                <w:i/>
                <w:sz w:val="22"/>
              </w:rPr>
              <w:t>18</w:t>
            </w:r>
            <w:r>
              <w:rPr>
                <w:b/>
                <w:i/>
                <w:spacing w:val="-16"/>
                <w:sz w:val="22"/>
              </w:rPr>
              <w:t> 周岁后的 </w:t>
            </w:r>
            <w:r>
              <w:rPr>
                <w:b/>
                <w:i/>
                <w:sz w:val="22"/>
              </w:rPr>
              <w:t>5 </w:t>
            </w:r>
            <w:r>
              <w:rPr>
                <w:b/>
                <w:i/>
                <w:spacing w:val="11"/>
                <w:w w:val="95"/>
                <w:sz w:val="22"/>
              </w:rPr>
              <w:t>种重大疾病定</w:t>
            </w:r>
            <w:r>
              <w:rPr>
                <w:b/>
                <w:i/>
                <w:spacing w:val="11"/>
                <w:sz w:val="22"/>
              </w:rPr>
              <w:t>义</w:t>
            </w:r>
          </w:p>
        </w:tc>
        <w:tc>
          <w:tcPr>
            <w:tcW w:w="7348" w:type="dxa"/>
          </w:tcPr>
          <w:p>
            <w:pPr>
              <w:pStyle w:val="TableParagraph"/>
              <w:rPr>
                <w:rFonts w:ascii="Times New Roman"/>
                <w:sz w:val="20"/>
              </w:rPr>
            </w:pPr>
          </w:p>
        </w:tc>
      </w:tr>
      <w:tr>
        <w:trPr>
          <w:trHeight w:val="938" w:hRule="atLeast"/>
        </w:trPr>
        <w:tc>
          <w:tcPr>
            <w:tcW w:w="1195" w:type="dxa"/>
          </w:tcPr>
          <w:p>
            <w:pPr>
              <w:pStyle w:val="TableParagraph"/>
              <w:rPr>
                <w:rFonts w:ascii="Times New Roman"/>
                <w:sz w:val="20"/>
              </w:rPr>
            </w:pPr>
          </w:p>
        </w:tc>
        <w:tc>
          <w:tcPr>
            <w:tcW w:w="1619" w:type="dxa"/>
            <w:vMerge/>
            <w:tcBorders>
              <w:top w:val="nil"/>
            </w:tcBorders>
          </w:tcPr>
          <w:p>
            <w:pPr>
              <w:rPr>
                <w:sz w:val="2"/>
                <w:szCs w:val="2"/>
              </w:rPr>
            </w:pPr>
          </w:p>
        </w:tc>
        <w:tc>
          <w:tcPr>
            <w:tcW w:w="7348" w:type="dxa"/>
          </w:tcPr>
          <w:p>
            <w:pPr>
              <w:pStyle w:val="TableParagraph"/>
              <w:spacing w:before="64"/>
              <w:ind w:left="99"/>
              <w:rPr>
                <w:sz w:val="21"/>
              </w:rPr>
            </w:pPr>
            <w:r>
              <w:rPr>
                <w:sz w:val="21"/>
              </w:rPr>
              <w:t>被保险人年满 18 周岁后，我们提供特别保障的 5 种重大疾病定义如下：</w:t>
            </w:r>
          </w:p>
        </w:tc>
      </w:tr>
      <w:tr>
        <w:trPr>
          <w:trHeight w:val="1925" w:hRule="atLeast"/>
        </w:trPr>
        <w:tc>
          <w:tcPr>
            <w:tcW w:w="1195" w:type="dxa"/>
          </w:tcPr>
          <w:p>
            <w:pPr>
              <w:pStyle w:val="TableParagraph"/>
              <w:spacing w:before="64"/>
              <w:ind w:left="200"/>
              <w:rPr>
                <w:i/>
                <w:sz w:val="22"/>
              </w:rPr>
            </w:pPr>
            <w:r>
              <w:rPr>
                <w:i/>
                <w:sz w:val="22"/>
              </w:rPr>
              <w:t>3.2.2.1</w:t>
            </w:r>
          </w:p>
        </w:tc>
        <w:tc>
          <w:tcPr>
            <w:tcW w:w="1619" w:type="dxa"/>
          </w:tcPr>
          <w:p>
            <w:pPr>
              <w:pStyle w:val="TableParagraph"/>
              <w:spacing w:before="64"/>
              <w:ind w:left="152"/>
              <w:rPr>
                <w:i/>
                <w:sz w:val="22"/>
              </w:rPr>
            </w:pPr>
            <w:r>
              <w:rPr>
                <w:i/>
                <w:w w:val="95"/>
                <w:sz w:val="22"/>
              </w:rPr>
              <w:t>多发性硬化</w:t>
            </w:r>
          </w:p>
        </w:tc>
        <w:tc>
          <w:tcPr>
            <w:tcW w:w="7348" w:type="dxa"/>
          </w:tcPr>
          <w:p>
            <w:pPr>
              <w:pStyle w:val="TableParagraph"/>
              <w:spacing w:line="312" w:lineRule="exact" w:before="71"/>
              <w:ind w:left="99" w:right="197"/>
              <w:rPr>
                <w:sz w:val="21"/>
              </w:rPr>
            </w:pPr>
            <w:r>
              <w:rPr>
                <w:spacing w:val="-8"/>
                <w:sz w:val="21"/>
              </w:rPr>
              <w:t>多发性硬化是一种中枢神经系统脱髓鞘性疾病，表现为反复缓解、复发的脑、</w:t>
            </w:r>
            <w:r>
              <w:rPr>
                <w:spacing w:val="-6"/>
                <w:sz w:val="21"/>
              </w:rPr>
              <w:t>脊髓和视神经损害。该病必须经医院的神经科专科医生确诊，并有 </w:t>
            </w:r>
            <w:r>
              <w:rPr>
                <w:rFonts w:ascii="Arial" w:eastAsia="Arial"/>
                <w:sz w:val="21"/>
              </w:rPr>
              <w:t>CT </w:t>
            </w:r>
            <w:r>
              <w:rPr>
                <w:spacing w:val="-3"/>
                <w:sz w:val="21"/>
              </w:rPr>
              <w:t>或磁共振检查结果诊断报告。本合同仅对多发性硬化造成神经系统功能的永久性损害予以理赔。所谓神经系统功能的永久性损害是指诊断为多发性硬化后有神经系统一次以上的发作，而出现累及视神经、脑干、脊髓永久性损害，出</w:t>
            </w:r>
            <w:r>
              <w:rPr>
                <w:spacing w:val="-6"/>
                <w:sz w:val="21"/>
              </w:rPr>
              <w:t>现有共济失调或感觉障碍并持续 </w:t>
            </w:r>
            <w:r>
              <w:rPr>
                <w:rFonts w:ascii="Arial" w:eastAsia="Arial"/>
                <w:sz w:val="21"/>
              </w:rPr>
              <w:t>180 </w:t>
            </w:r>
            <w:r>
              <w:rPr>
                <w:spacing w:val="-3"/>
                <w:sz w:val="21"/>
              </w:rPr>
              <w:t>天以上。</w:t>
            </w:r>
          </w:p>
        </w:tc>
      </w:tr>
    </w:tbl>
    <w:p>
      <w:pPr>
        <w:spacing w:after="0" w:line="312" w:lineRule="exact"/>
        <w:rPr>
          <w:sz w:val="21"/>
        </w:rPr>
        <w:sectPr>
          <w:pgSz w:w="11910" w:h="16840"/>
          <w:pgMar w:header="568" w:footer="458" w:top="800" w:bottom="640" w:left="720" w:right="820"/>
        </w:sectPr>
      </w:pPr>
    </w:p>
    <w:p>
      <w:pPr>
        <w:pStyle w:val="BodyText"/>
        <w:rPr>
          <w:rFonts w:ascii="Times New Roman"/>
          <w:sz w:val="20"/>
        </w:rPr>
      </w:pPr>
    </w:p>
    <w:p>
      <w:pPr>
        <w:pStyle w:val="BodyText"/>
        <w:spacing w:before="4"/>
        <w:rPr>
          <w:rFonts w:ascii="Times New Roman"/>
          <w:sz w:val="12"/>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2"/>
        <w:gridCol w:w="1671"/>
        <w:gridCol w:w="7348"/>
      </w:tblGrid>
      <w:tr>
        <w:trPr>
          <w:trHeight w:val="3820" w:hRule="atLeast"/>
        </w:trPr>
        <w:tc>
          <w:tcPr>
            <w:tcW w:w="1142" w:type="dxa"/>
          </w:tcPr>
          <w:p>
            <w:pPr>
              <w:pStyle w:val="TableParagraph"/>
              <w:spacing w:line="222" w:lineRule="exact"/>
              <w:ind w:left="200"/>
              <w:rPr>
                <w:i/>
                <w:sz w:val="22"/>
              </w:rPr>
            </w:pPr>
            <w:r>
              <w:rPr>
                <w:i/>
                <w:sz w:val="22"/>
              </w:rPr>
              <w:t>3.2.2.2</w:t>
            </w:r>
          </w:p>
        </w:tc>
        <w:tc>
          <w:tcPr>
            <w:tcW w:w="1671" w:type="dxa"/>
          </w:tcPr>
          <w:p>
            <w:pPr>
              <w:pStyle w:val="TableParagraph"/>
              <w:spacing w:line="222" w:lineRule="exact"/>
              <w:ind w:left="205"/>
              <w:rPr>
                <w:i/>
                <w:sz w:val="22"/>
              </w:rPr>
            </w:pPr>
            <w:r>
              <w:rPr>
                <w:i/>
                <w:w w:val="95"/>
                <w:sz w:val="22"/>
              </w:rPr>
              <w:t>经输血导致的</w:t>
            </w:r>
          </w:p>
          <w:p>
            <w:pPr>
              <w:pStyle w:val="TableParagraph"/>
              <w:spacing w:line="261" w:lineRule="auto" w:before="24"/>
              <w:ind w:left="205" w:right="95"/>
              <w:rPr>
                <w:i/>
                <w:sz w:val="22"/>
              </w:rPr>
            </w:pPr>
            <w:r>
              <w:rPr>
                <w:i/>
                <w:w w:val="95"/>
                <w:sz w:val="22"/>
              </w:rPr>
              <w:t>人类免疫缺陷病毒感染</w:t>
            </w:r>
          </w:p>
        </w:tc>
        <w:tc>
          <w:tcPr>
            <w:tcW w:w="7348" w:type="dxa"/>
          </w:tcPr>
          <w:p>
            <w:pPr>
              <w:pStyle w:val="TableParagraph"/>
              <w:spacing w:line="237" w:lineRule="exact"/>
              <w:ind w:left="100"/>
              <w:rPr>
                <w:sz w:val="21"/>
              </w:rPr>
            </w:pPr>
            <w:r>
              <w:rPr>
                <w:sz w:val="21"/>
              </w:rPr>
              <w:t>被保险人因输血而感染上人类免疫缺陷病毒</w:t>
            </w:r>
            <w:r>
              <w:rPr>
                <w:rFonts w:ascii="Times New Roman" w:eastAsia="Times New Roman"/>
                <w:sz w:val="21"/>
              </w:rPr>
              <w:t>( HIV )</w:t>
            </w:r>
            <w:r>
              <w:rPr>
                <w:sz w:val="21"/>
              </w:rPr>
              <w:t>或罹患获得性免疫缺陷综</w:t>
            </w:r>
          </w:p>
          <w:p>
            <w:pPr>
              <w:pStyle w:val="TableParagraph"/>
              <w:spacing w:before="21"/>
              <w:ind w:left="100"/>
              <w:rPr>
                <w:sz w:val="21"/>
              </w:rPr>
            </w:pPr>
            <w:r>
              <w:rPr>
                <w:sz w:val="21"/>
              </w:rPr>
              <w:t>合征</w:t>
            </w:r>
            <w:r>
              <w:rPr>
                <w:rFonts w:ascii="Times New Roman" w:eastAsia="Times New Roman"/>
                <w:sz w:val="21"/>
              </w:rPr>
              <w:t>(AIDS ),</w:t>
            </w:r>
            <w:r>
              <w:rPr>
                <w:sz w:val="21"/>
              </w:rPr>
              <w:t>并且符合下列所有条件：</w:t>
            </w:r>
          </w:p>
          <w:p>
            <w:pPr>
              <w:pStyle w:val="TableParagraph"/>
              <w:spacing w:before="21"/>
              <w:ind w:left="100"/>
              <w:rPr>
                <w:sz w:val="21"/>
              </w:rPr>
            </w:pPr>
            <w:r>
              <w:rPr>
                <w:sz w:val="21"/>
              </w:rPr>
              <w:t>（</w:t>
            </w:r>
            <w:r>
              <w:rPr>
                <w:rFonts w:ascii="Times New Roman" w:eastAsia="Times New Roman"/>
                <w:sz w:val="21"/>
              </w:rPr>
              <w:t>1</w:t>
            </w:r>
            <w:r>
              <w:rPr>
                <w:sz w:val="21"/>
              </w:rPr>
              <w:t>）造成感染的输血事件发生在本合同生效日之后或复效日之后，血清出现</w:t>
            </w:r>
          </w:p>
          <w:p>
            <w:pPr>
              <w:pStyle w:val="TableParagraph"/>
              <w:spacing w:before="21"/>
              <w:ind w:left="100"/>
              <w:rPr>
                <w:sz w:val="21"/>
              </w:rPr>
            </w:pPr>
            <w:r>
              <w:rPr>
                <w:rFonts w:ascii="Times New Roman" w:eastAsia="Times New Roman"/>
                <w:sz w:val="21"/>
              </w:rPr>
              <w:t>HIV</w:t>
            </w:r>
            <w:r>
              <w:rPr>
                <w:sz w:val="21"/>
              </w:rPr>
              <w:t>感染必须发生在接受输血后</w:t>
            </w:r>
            <w:r>
              <w:rPr>
                <w:rFonts w:ascii="Times New Roman" w:eastAsia="Times New Roman"/>
                <w:sz w:val="21"/>
              </w:rPr>
              <w:t>180</w:t>
            </w:r>
            <w:r>
              <w:rPr>
                <w:sz w:val="21"/>
              </w:rPr>
              <w:t>天内；</w:t>
            </w:r>
          </w:p>
          <w:p>
            <w:pPr>
              <w:pStyle w:val="TableParagraph"/>
              <w:spacing w:line="256" w:lineRule="auto" w:before="21"/>
              <w:ind w:left="100" w:right="301"/>
              <w:rPr>
                <w:sz w:val="21"/>
              </w:rPr>
            </w:pPr>
            <w:r>
              <w:rPr>
                <w:w w:val="100"/>
                <w:sz w:val="21"/>
              </w:rPr>
              <w:t>（</w:t>
            </w:r>
            <w:r>
              <w:rPr>
                <w:rFonts w:ascii="Times New Roman" w:eastAsia="Times New Roman"/>
                <w:w w:val="100"/>
                <w:sz w:val="21"/>
              </w:rPr>
              <w:t>2</w:t>
            </w:r>
            <w:r>
              <w:rPr>
                <w:spacing w:val="-99"/>
                <w:w w:val="100"/>
                <w:sz w:val="21"/>
              </w:rPr>
              <w:t>）</w:t>
            </w:r>
            <w:r>
              <w:rPr>
                <w:spacing w:val="-3"/>
                <w:w w:val="100"/>
                <w:sz w:val="21"/>
              </w:rPr>
              <w:t>我们认可的提供输血治疗的正规输血中心或医院出具该项输血感染属医</w:t>
            </w:r>
            <w:r>
              <w:rPr>
                <w:spacing w:val="-3"/>
                <w:sz w:val="21"/>
              </w:rPr>
              <w:t>疗责任事故的报告，或者法院终审裁定为医疗责任；</w:t>
            </w:r>
          </w:p>
          <w:p>
            <w:pPr>
              <w:pStyle w:val="TableParagraph"/>
              <w:spacing w:before="22"/>
              <w:ind w:left="100"/>
              <w:rPr>
                <w:sz w:val="21"/>
              </w:rPr>
            </w:pPr>
            <w:r>
              <w:rPr>
                <w:sz w:val="21"/>
              </w:rPr>
              <w:t>（</w:t>
            </w:r>
            <w:r>
              <w:rPr>
                <w:rFonts w:ascii="Times New Roman" w:eastAsia="Times New Roman"/>
                <w:sz w:val="21"/>
              </w:rPr>
              <w:t>3</w:t>
            </w:r>
            <w:r>
              <w:rPr>
                <w:sz w:val="21"/>
              </w:rPr>
              <w:t>）受感染的被保险人不是血友病患者；</w:t>
            </w:r>
          </w:p>
          <w:p>
            <w:pPr>
              <w:pStyle w:val="TableParagraph"/>
              <w:spacing w:line="256" w:lineRule="auto" w:before="21"/>
              <w:ind w:left="100" w:right="301"/>
              <w:rPr>
                <w:sz w:val="21"/>
              </w:rPr>
            </w:pPr>
            <w:r>
              <w:rPr>
                <w:w w:val="100"/>
                <w:sz w:val="21"/>
              </w:rPr>
              <w:t>（</w:t>
            </w:r>
            <w:r>
              <w:rPr>
                <w:rFonts w:ascii="Times New Roman" w:eastAsia="Times New Roman"/>
                <w:w w:val="100"/>
                <w:sz w:val="21"/>
              </w:rPr>
              <w:t>4</w:t>
            </w:r>
            <w:r>
              <w:rPr>
                <w:spacing w:val="-99"/>
                <w:w w:val="100"/>
                <w:sz w:val="21"/>
              </w:rPr>
              <w:t>）</w:t>
            </w:r>
            <w:r>
              <w:rPr>
                <w:spacing w:val="-3"/>
                <w:w w:val="100"/>
                <w:sz w:val="21"/>
              </w:rPr>
              <w:t>病情须对生命造成威胁并且在索赔当时的医疗技术条件下尚无已知的治</w:t>
            </w:r>
            <w:r>
              <w:rPr>
                <w:spacing w:val="-3"/>
                <w:sz w:val="21"/>
              </w:rPr>
              <w:t>愈方法。</w:t>
            </w:r>
          </w:p>
          <w:p>
            <w:pPr>
              <w:pStyle w:val="TableParagraph"/>
              <w:spacing w:line="256" w:lineRule="auto" w:before="22"/>
              <w:ind w:left="100" w:right="302"/>
              <w:rPr>
                <w:sz w:val="21"/>
              </w:rPr>
            </w:pPr>
            <w:r>
              <w:rPr>
                <w:sz w:val="21"/>
              </w:rPr>
              <w:t>任何因其他传播方式（包括：性传播或静脉注射毒品）导致的</w:t>
            </w:r>
            <w:r>
              <w:rPr>
                <w:rFonts w:ascii="Times New Roman" w:eastAsia="Times New Roman"/>
                <w:sz w:val="21"/>
              </w:rPr>
              <w:t>HIV</w:t>
            </w:r>
            <w:r>
              <w:rPr>
                <w:sz w:val="21"/>
              </w:rPr>
              <w:t>感染不在保障范围内。</w:t>
            </w:r>
          </w:p>
          <w:p>
            <w:pPr>
              <w:pStyle w:val="TableParagraph"/>
              <w:spacing w:before="22"/>
              <w:ind w:left="100"/>
              <w:rPr>
                <w:sz w:val="21"/>
              </w:rPr>
            </w:pPr>
            <w:r>
              <w:rPr>
                <w:sz w:val="21"/>
              </w:rPr>
              <w:t>本附加合同条款责任免除中的</w:t>
            </w:r>
            <w:r>
              <w:rPr>
                <w:rFonts w:ascii="Times New Roman" w:eastAsia="Times New Roman"/>
                <w:sz w:val="21"/>
              </w:rPr>
              <w:t>HIV</w:t>
            </w:r>
            <w:r>
              <w:rPr>
                <w:sz w:val="21"/>
              </w:rPr>
              <w:t>规定，不适用于本重大疾病。</w:t>
            </w:r>
          </w:p>
        </w:tc>
      </w:tr>
      <w:tr>
        <w:trPr>
          <w:trHeight w:val="2100" w:hRule="atLeast"/>
        </w:trPr>
        <w:tc>
          <w:tcPr>
            <w:tcW w:w="1142" w:type="dxa"/>
          </w:tcPr>
          <w:p>
            <w:pPr>
              <w:pStyle w:val="TableParagraph"/>
              <w:spacing w:before="86"/>
              <w:ind w:left="200"/>
              <w:rPr>
                <w:i/>
                <w:sz w:val="22"/>
              </w:rPr>
            </w:pPr>
            <w:r>
              <w:rPr>
                <w:i/>
                <w:sz w:val="22"/>
              </w:rPr>
              <w:t>3.2.2.3</w:t>
            </w:r>
          </w:p>
        </w:tc>
        <w:tc>
          <w:tcPr>
            <w:tcW w:w="1671" w:type="dxa"/>
          </w:tcPr>
          <w:p>
            <w:pPr>
              <w:pStyle w:val="TableParagraph"/>
              <w:spacing w:before="86"/>
              <w:ind w:left="205"/>
              <w:rPr>
                <w:i/>
                <w:sz w:val="22"/>
              </w:rPr>
            </w:pPr>
            <w:r>
              <w:rPr>
                <w:i/>
                <w:w w:val="95"/>
                <w:sz w:val="22"/>
              </w:rPr>
              <w:t>终末期肺病</w:t>
            </w:r>
          </w:p>
        </w:tc>
        <w:tc>
          <w:tcPr>
            <w:tcW w:w="7348" w:type="dxa"/>
          </w:tcPr>
          <w:p>
            <w:pPr>
              <w:pStyle w:val="TableParagraph"/>
              <w:spacing w:line="273" w:lineRule="auto" w:before="97"/>
              <w:ind w:left="100" w:right="301"/>
              <w:rPr>
                <w:sz w:val="21"/>
              </w:rPr>
            </w:pPr>
            <w:r>
              <w:rPr>
                <w:sz w:val="21"/>
              </w:rPr>
              <w:t>被保险人患有终末期肺病而出现的慢性呼吸衰竭。该病必须由医院的呼吸科专科医生确诊并符合以下各项：</w:t>
            </w:r>
          </w:p>
          <w:p>
            <w:pPr>
              <w:pStyle w:val="TableParagraph"/>
              <w:spacing w:before="7"/>
              <w:ind w:left="100"/>
              <w:rPr>
                <w:sz w:val="21"/>
              </w:rPr>
            </w:pPr>
            <w:r>
              <w:rPr>
                <w:sz w:val="21"/>
              </w:rPr>
              <w:t>（</w:t>
            </w:r>
            <w:r>
              <w:rPr>
                <w:rFonts w:ascii="Times New Roman" w:eastAsia="Times New Roman"/>
                <w:sz w:val="21"/>
              </w:rPr>
              <w:t>1</w:t>
            </w:r>
            <w:r>
              <w:rPr>
                <w:sz w:val="21"/>
              </w:rPr>
              <w:t>）肺功能测试其</w:t>
            </w:r>
            <w:r>
              <w:rPr>
                <w:rFonts w:ascii="Times New Roman" w:eastAsia="Times New Roman"/>
                <w:sz w:val="21"/>
              </w:rPr>
              <w:t>FEV1</w:t>
            </w:r>
            <w:r>
              <w:rPr>
                <w:sz w:val="21"/>
              </w:rPr>
              <w:t>持续低于</w:t>
            </w:r>
            <w:r>
              <w:rPr>
                <w:rFonts w:ascii="Times New Roman" w:eastAsia="Times New Roman"/>
                <w:sz w:val="21"/>
              </w:rPr>
              <w:t>1</w:t>
            </w:r>
            <w:r>
              <w:rPr>
                <w:sz w:val="21"/>
              </w:rPr>
              <w:t>升；</w:t>
            </w:r>
          </w:p>
          <w:p>
            <w:pPr>
              <w:pStyle w:val="TableParagraph"/>
              <w:spacing w:before="21"/>
              <w:ind w:left="100"/>
              <w:rPr>
                <w:sz w:val="21"/>
              </w:rPr>
            </w:pPr>
            <w:r>
              <w:rPr>
                <w:sz w:val="21"/>
              </w:rPr>
              <w:t>（</w:t>
            </w:r>
            <w:r>
              <w:rPr>
                <w:rFonts w:ascii="Times New Roman" w:eastAsia="Times New Roman"/>
                <w:sz w:val="21"/>
              </w:rPr>
              <w:t>2</w:t>
            </w:r>
            <w:r>
              <w:rPr>
                <w:sz w:val="21"/>
              </w:rPr>
              <w:t>）动脉血气分析氧分压（</w:t>
            </w:r>
            <w:r>
              <w:rPr>
                <w:rFonts w:ascii="Times New Roman" w:eastAsia="Times New Roman"/>
                <w:sz w:val="21"/>
              </w:rPr>
              <w:t>PaO2</w:t>
            </w:r>
            <w:r>
              <w:rPr>
                <w:sz w:val="21"/>
              </w:rPr>
              <w:t>）</w:t>
            </w:r>
            <w:r>
              <w:rPr>
                <w:rFonts w:ascii="Times New Roman" w:eastAsia="Times New Roman"/>
                <w:sz w:val="21"/>
              </w:rPr>
              <w:t>&lt; 55mmHg</w:t>
            </w:r>
            <w:r>
              <w:rPr>
                <w:sz w:val="21"/>
              </w:rPr>
              <w:t>；</w:t>
            </w:r>
          </w:p>
          <w:p>
            <w:pPr>
              <w:pStyle w:val="TableParagraph"/>
              <w:spacing w:before="21"/>
              <w:ind w:left="100"/>
              <w:rPr>
                <w:sz w:val="21"/>
              </w:rPr>
            </w:pPr>
            <w:r>
              <w:rPr>
                <w:sz w:val="21"/>
              </w:rPr>
              <w:t>（</w:t>
            </w:r>
            <w:r>
              <w:rPr>
                <w:rFonts w:ascii="Times New Roman" w:eastAsia="Times New Roman"/>
                <w:sz w:val="21"/>
              </w:rPr>
              <w:t>3</w:t>
            </w:r>
            <w:r>
              <w:rPr>
                <w:sz w:val="21"/>
              </w:rPr>
              <w:t>）休息时出现呼吸困难；</w:t>
            </w:r>
          </w:p>
          <w:p>
            <w:pPr>
              <w:pStyle w:val="TableParagraph"/>
              <w:spacing w:before="21"/>
              <w:ind w:left="100"/>
              <w:rPr>
                <w:sz w:val="21"/>
              </w:rPr>
            </w:pPr>
            <w:r>
              <w:rPr>
                <w:sz w:val="21"/>
              </w:rPr>
              <w:t>（</w:t>
            </w:r>
            <w:r>
              <w:rPr>
                <w:rFonts w:ascii="Times New Roman" w:eastAsia="Times New Roman"/>
                <w:sz w:val="21"/>
              </w:rPr>
              <w:t>4</w:t>
            </w:r>
            <w:r>
              <w:rPr>
                <w:sz w:val="21"/>
              </w:rPr>
              <w:t>）必须接受持续的输氧治疗。</w:t>
            </w:r>
          </w:p>
        </w:tc>
      </w:tr>
      <w:tr>
        <w:trPr>
          <w:trHeight w:val="1466" w:hRule="atLeast"/>
        </w:trPr>
        <w:tc>
          <w:tcPr>
            <w:tcW w:w="1142" w:type="dxa"/>
          </w:tcPr>
          <w:p>
            <w:pPr>
              <w:pStyle w:val="TableParagraph"/>
              <w:spacing w:before="86"/>
              <w:ind w:left="200"/>
              <w:rPr>
                <w:i/>
                <w:sz w:val="22"/>
              </w:rPr>
            </w:pPr>
            <w:r>
              <w:rPr>
                <w:i/>
                <w:sz w:val="22"/>
              </w:rPr>
              <w:t>3.2.2.4</w:t>
            </w:r>
          </w:p>
        </w:tc>
        <w:tc>
          <w:tcPr>
            <w:tcW w:w="1671" w:type="dxa"/>
          </w:tcPr>
          <w:p>
            <w:pPr>
              <w:pStyle w:val="TableParagraph"/>
              <w:spacing w:line="259" w:lineRule="auto" w:before="86"/>
              <w:ind w:left="205" w:right="95"/>
              <w:rPr>
                <w:i/>
                <w:sz w:val="22"/>
              </w:rPr>
            </w:pPr>
            <w:r>
              <w:rPr>
                <w:i/>
                <w:w w:val="95"/>
                <w:sz w:val="22"/>
              </w:rPr>
              <w:t>严重类风湿性关节炎</w:t>
            </w:r>
          </w:p>
        </w:tc>
        <w:tc>
          <w:tcPr>
            <w:tcW w:w="7348" w:type="dxa"/>
          </w:tcPr>
          <w:p>
            <w:pPr>
              <w:pStyle w:val="TableParagraph"/>
              <w:spacing w:line="273" w:lineRule="auto" w:before="97"/>
              <w:ind w:left="100" w:right="205"/>
              <w:rPr>
                <w:sz w:val="21"/>
              </w:rPr>
            </w:pPr>
            <w:r>
              <w:rPr>
                <w:spacing w:val="-3"/>
                <w:sz w:val="21"/>
              </w:rPr>
              <w:t>广泛的关节损坏，临床上存在三个或三个以上下列关节的畸形:手、腕、肘、颈椎、膝、踝、或足部跖趾关节。并且由本公司认可医院的专科医生确认被保险人在无他人协助下无法独立完成</w:t>
            </w:r>
            <w:r>
              <w:rPr>
                <w:b/>
                <w:spacing w:val="-1"/>
                <w:sz w:val="21"/>
              </w:rPr>
              <w:t>六项基本日常生活活动</w:t>
            </w:r>
            <w:r>
              <w:rPr>
                <w:spacing w:val="-3"/>
                <w:sz w:val="21"/>
              </w:rPr>
              <w:t>中的三项或三项</w:t>
            </w:r>
            <w:r>
              <w:rPr>
                <w:spacing w:val="-5"/>
                <w:sz w:val="21"/>
              </w:rPr>
              <w:t>以上。上述畸形及功能异常须持续至少达 </w:t>
            </w:r>
            <w:r>
              <w:rPr>
                <w:sz w:val="21"/>
              </w:rPr>
              <w:t>180</w:t>
            </w:r>
            <w:r>
              <w:rPr>
                <w:spacing w:val="-14"/>
                <w:sz w:val="21"/>
              </w:rPr>
              <w:t> 天。</w:t>
            </w:r>
          </w:p>
        </w:tc>
      </w:tr>
      <w:tr>
        <w:trPr>
          <w:trHeight w:val="3979" w:hRule="atLeast"/>
        </w:trPr>
        <w:tc>
          <w:tcPr>
            <w:tcW w:w="1142" w:type="dxa"/>
          </w:tcPr>
          <w:p>
            <w:pPr>
              <w:pStyle w:val="TableParagraph"/>
              <w:spacing w:before="92"/>
              <w:ind w:left="200"/>
              <w:rPr>
                <w:i/>
                <w:sz w:val="22"/>
              </w:rPr>
            </w:pPr>
            <w:r>
              <w:rPr>
                <w:i/>
                <w:sz w:val="22"/>
              </w:rPr>
              <w:t>3.2.2.5</w:t>
            </w:r>
          </w:p>
        </w:tc>
        <w:tc>
          <w:tcPr>
            <w:tcW w:w="1671" w:type="dxa"/>
          </w:tcPr>
          <w:p>
            <w:pPr>
              <w:pStyle w:val="TableParagraph"/>
              <w:spacing w:line="259" w:lineRule="auto" w:before="92"/>
              <w:ind w:left="205" w:right="95"/>
              <w:rPr>
                <w:i/>
                <w:sz w:val="22"/>
              </w:rPr>
            </w:pPr>
            <w:r>
              <w:rPr>
                <w:i/>
                <w:w w:val="95"/>
                <w:sz w:val="22"/>
              </w:rPr>
              <w:t>系统性红斑狼</w:t>
            </w:r>
            <w:r>
              <w:rPr>
                <w:i/>
                <w:sz w:val="22"/>
              </w:rPr>
              <w:t>疮</w:t>
            </w:r>
          </w:p>
        </w:tc>
        <w:tc>
          <w:tcPr>
            <w:tcW w:w="7348" w:type="dxa"/>
          </w:tcPr>
          <w:p>
            <w:pPr>
              <w:pStyle w:val="TableParagraph"/>
              <w:spacing w:line="266" w:lineRule="auto" w:before="104"/>
              <w:ind w:left="100" w:right="301"/>
              <w:jc w:val="both"/>
              <w:rPr>
                <w:sz w:val="21"/>
              </w:rPr>
            </w:pPr>
            <w:r>
              <w:rPr>
                <w:spacing w:val="-3"/>
                <w:sz w:val="21"/>
              </w:rPr>
              <w:t>系统性红斑狼疮是一种累及多脏器的自身免疫性的炎症性结缔组织病，多发于青年女性。该病必须由医院的风湿科专科医生确诊。本合同所指的系统性</w:t>
            </w:r>
            <w:r>
              <w:rPr>
                <w:spacing w:val="-8"/>
                <w:sz w:val="21"/>
              </w:rPr>
              <w:t>红斑狼疮仅限于累及肾脏的情况，即经肾脏活检确认的，符合</w:t>
            </w:r>
            <w:r>
              <w:rPr>
                <w:rFonts w:ascii="Times New Roman" w:eastAsia="Times New Roman"/>
                <w:sz w:val="21"/>
              </w:rPr>
              <w:t>WHO</w:t>
            </w:r>
            <w:r>
              <w:rPr>
                <w:spacing w:val="-3"/>
                <w:sz w:val="21"/>
              </w:rPr>
              <w:t>诊断标准定义</w:t>
            </w:r>
            <w:r>
              <w:rPr>
                <w:rFonts w:ascii="Times New Roman" w:eastAsia="Times New Roman"/>
                <w:spacing w:val="-2"/>
                <w:sz w:val="21"/>
              </w:rPr>
              <w:t>III</w:t>
            </w:r>
            <w:r>
              <w:rPr>
                <w:sz w:val="21"/>
              </w:rPr>
              <w:t>型至</w:t>
            </w:r>
            <w:r>
              <w:rPr>
                <w:rFonts w:ascii="Times New Roman" w:eastAsia="Times New Roman"/>
                <w:sz w:val="21"/>
              </w:rPr>
              <w:t>V</w:t>
            </w:r>
            <w:r>
              <w:rPr>
                <w:sz w:val="21"/>
              </w:rPr>
              <w:t>型狼疮性肾炎的诊断标准，并伴有持续性蛋白尿（尿蛋白</w:t>
            </w:r>
            <w:r>
              <w:rPr>
                <w:rFonts w:ascii="Times New Roman" w:eastAsia="Times New Roman"/>
                <w:sz w:val="21"/>
              </w:rPr>
              <w:t>++</w:t>
            </w:r>
            <w:r>
              <w:rPr>
                <w:sz w:val="21"/>
              </w:rPr>
              <w:t>以上）</w:t>
            </w:r>
            <w:r>
              <w:rPr>
                <w:spacing w:val="-3"/>
                <w:sz w:val="21"/>
              </w:rPr>
              <w:t>的系统性红斑狼疮。其他类型的红斑性狼疮，如盘状狼疮、仅累及血液及关节的狼疮不在保障范围内。</w:t>
            </w:r>
          </w:p>
          <w:p>
            <w:pPr>
              <w:pStyle w:val="TableParagraph"/>
              <w:spacing w:before="13"/>
              <w:ind w:left="100"/>
              <w:jc w:val="both"/>
              <w:rPr>
                <w:sz w:val="21"/>
              </w:rPr>
            </w:pPr>
            <w:r>
              <w:rPr>
                <w:sz w:val="21"/>
              </w:rPr>
              <w:t>世界卫生组织（</w:t>
            </w:r>
            <w:r>
              <w:rPr>
                <w:rFonts w:ascii="Times New Roman" w:eastAsia="Times New Roman"/>
                <w:sz w:val="21"/>
              </w:rPr>
              <w:t>WHO</w:t>
            </w:r>
            <w:r>
              <w:rPr>
                <w:sz w:val="21"/>
              </w:rPr>
              <w:t>）狼疮性肾炎分型：</w:t>
            </w:r>
          </w:p>
          <w:p>
            <w:pPr>
              <w:pStyle w:val="TableParagraph"/>
              <w:spacing w:before="20"/>
              <w:ind w:left="100"/>
              <w:jc w:val="both"/>
              <w:rPr>
                <w:sz w:val="21"/>
              </w:rPr>
            </w:pPr>
            <w:r>
              <w:rPr>
                <w:rFonts w:ascii="Times New Roman" w:eastAsia="Times New Roman"/>
                <w:sz w:val="21"/>
              </w:rPr>
              <w:t>I</w:t>
            </w:r>
            <w:r>
              <w:rPr>
                <w:sz w:val="21"/>
              </w:rPr>
              <w:t>型（微小病变型）</w:t>
            </w:r>
          </w:p>
          <w:p>
            <w:pPr>
              <w:pStyle w:val="TableParagraph"/>
              <w:spacing w:before="20"/>
              <w:ind w:left="100"/>
              <w:jc w:val="both"/>
              <w:rPr>
                <w:sz w:val="21"/>
              </w:rPr>
            </w:pPr>
            <w:r>
              <w:rPr>
                <w:rFonts w:ascii="Times New Roman" w:eastAsia="Times New Roman"/>
                <w:sz w:val="21"/>
              </w:rPr>
              <w:t>II</w:t>
            </w:r>
            <w:r>
              <w:rPr>
                <w:sz w:val="21"/>
              </w:rPr>
              <w:t>型（系膜病变型）</w:t>
            </w:r>
          </w:p>
          <w:p>
            <w:pPr>
              <w:pStyle w:val="TableParagraph"/>
              <w:spacing w:before="20"/>
              <w:ind w:left="100"/>
              <w:jc w:val="both"/>
              <w:rPr>
                <w:sz w:val="21"/>
              </w:rPr>
            </w:pPr>
            <w:r>
              <w:rPr>
                <w:rFonts w:ascii="Times New Roman" w:eastAsia="Times New Roman"/>
                <w:sz w:val="21"/>
              </w:rPr>
              <w:t>III</w:t>
            </w:r>
            <w:r>
              <w:rPr>
                <w:sz w:val="21"/>
              </w:rPr>
              <w:t>型（局灶及节段增生型）</w:t>
            </w:r>
          </w:p>
          <w:p>
            <w:pPr>
              <w:pStyle w:val="TableParagraph"/>
              <w:spacing w:before="20"/>
              <w:ind w:left="100"/>
              <w:jc w:val="both"/>
              <w:rPr>
                <w:sz w:val="21"/>
              </w:rPr>
            </w:pPr>
            <w:r>
              <w:rPr>
                <w:rFonts w:ascii="Times New Roman" w:eastAsia="Times New Roman"/>
                <w:sz w:val="21"/>
              </w:rPr>
              <w:t>IV</w:t>
            </w:r>
            <w:r>
              <w:rPr>
                <w:sz w:val="21"/>
              </w:rPr>
              <w:t>型（弥漫增生型）</w:t>
            </w:r>
          </w:p>
          <w:p>
            <w:pPr>
              <w:pStyle w:val="TableParagraph"/>
              <w:spacing w:before="20"/>
              <w:ind w:left="100"/>
              <w:jc w:val="both"/>
              <w:rPr>
                <w:sz w:val="21"/>
              </w:rPr>
            </w:pPr>
            <w:r>
              <w:rPr>
                <w:rFonts w:ascii="Times New Roman" w:eastAsia="Times New Roman"/>
                <w:sz w:val="21"/>
              </w:rPr>
              <w:t>V </w:t>
            </w:r>
            <w:r>
              <w:rPr>
                <w:sz w:val="21"/>
              </w:rPr>
              <w:t>型（膜型）</w:t>
            </w:r>
          </w:p>
        </w:tc>
      </w:tr>
      <w:tr>
        <w:trPr>
          <w:trHeight w:val="502" w:hRule="atLeast"/>
        </w:trPr>
        <w:tc>
          <w:tcPr>
            <w:tcW w:w="1142" w:type="dxa"/>
          </w:tcPr>
          <w:p>
            <w:pPr>
              <w:pStyle w:val="TableParagraph"/>
              <w:spacing w:before="86"/>
              <w:ind w:left="200"/>
              <w:rPr>
                <w:b/>
                <w:i/>
                <w:sz w:val="22"/>
              </w:rPr>
            </w:pPr>
            <w:r>
              <w:rPr>
                <w:b/>
                <w:i/>
                <w:sz w:val="22"/>
              </w:rPr>
              <w:t>3.2.3</w:t>
            </w:r>
          </w:p>
        </w:tc>
        <w:tc>
          <w:tcPr>
            <w:tcW w:w="1671" w:type="dxa"/>
            <w:vMerge w:val="restart"/>
          </w:tcPr>
          <w:p>
            <w:pPr>
              <w:pStyle w:val="TableParagraph"/>
              <w:spacing w:before="86"/>
              <w:ind w:left="205"/>
              <w:rPr>
                <w:b/>
                <w:i/>
                <w:sz w:val="22"/>
              </w:rPr>
            </w:pPr>
            <w:r>
              <w:rPr>
                <w:b/>
                <w:i/>
                <w:w w:val="95"/>
                <w:sz w:val="22"/>
              </w:rPr>
              <w:t>被保险人年满</w:t>
            </w:r>
          </w:p>
          <w:p>
            <w:pPr>
              <w:pStyle w:val="TableParagraph"/>
              <w:spacing w:line="259" w:lineRule="auto" w:before="25"/>
              <w:ind w:left="205" w:right="111"/>
              <w:jc w:val="both"/>
              <w:rPr>
                <w:b/>
                <w:i/>
                <w:sz w:val="22"/>
              </w:rPr>
            </w:pPr>
            <w:r>
              <w:rPr>
                <w:b/>
                <w:i/>
                <w:sz w:val="22"/>
              </w:rPr>
              <w:t>18</w:t>
            </w:r>
            <w:r>
              <w:rPr>
                <w:b/>
                <w:i/>
                <w:spacing w:val="-16"/>
                <w:sz w:val="22"/>
              </w:rPr>
              <w:t> 周岁前的 </w:t>
            </w:r>
            <w:r>
              <w:rPr>
                <w:b/>
                <w:i/>
                <w:sz w:val="22"/>
              </w:rPr>
              <w:t>5 </w:t>
            </w:r>
            <w:r>
              <w:rPr>
                <w:b/>
                <w:i/>
                <w:spacing w:val="11"/>
                <w:w w:val="95"/>
                <w:sz w:val="22"/>
              </w:rPr>
              <w:t>种重大疾病定</w:t>
            </w:r>
            <w:r>
              <w:rPr>
                <w:b/>
                <w:i/>
                <w:spacing w:val="11"/>
                <w:sz w:val="22"/>
              </w:rPr>
              <w:t>义</w:t>
            </w:r>
          </w:p>
        </w:tc>
        <w:tc>
          <w:tcPr>
            <w:tcW w:w="7348" w:type="dxa"/>
          </w:tcPr>
          <w:p>
            <w:pPr>
              <w:pStyle w:val="TableParagraph"/>
              <w:rPr>
                <w:rFonts w:ascii="Times New Roman"/>
                <w:sz w:val="20"/>
              </w:rPr>
            </w:pPr>
          </w:p>
        </w:tc>
      </w:tr>
      <w:tr>
        <w:trPr>
          <w:trHeight w:val="966" w:hRule="atLeast"/>
        </w:trPr>
        <w:tc>
          <w:tcPr>
            <w:tcW w:w="1142" w:type="dxa"/>
          </w:tcPr>
          <w:p>
            <w:pPr>
              <w:pStyle w:val="TableParagraph"/>
              <w:rPr>
                <w:rFonts w:ascii="Times New Roman"/>
                <w:sz w:val="20"/>
              </w:rPr>
            </w:pPr>
          </w:p>
        </w:tc>
        <w:tc>
          <w:tcPr>
            <w:tcW w:w="1671" w:type="dxa"/>
            <w:vMerge/>
            <w:tcBorders>
              <w:top w:val="nil"/>
            </w:tcBorders>
          </w:tcPr>
          <w:p>
            <w:pPr>
              <w:rPr>
                <w:sz w:val="2"/>
                <w:szCs w:val="2"/>
              </w:rPr>
            </w:pPr>
          </w:p>
        </w:tc>
        <w:tc>
          <w:tcPr>
            <w:tcW w:w="7348" w:type="dxa"/>
          </w:tcPr>
          <w:p>
            <w:pPr>
              <w:pStyle w:val="TableParagraph"/>
              <w:spacing w:before="64"/>
              <w:ind w:left="100"/>
              <w:rPr>
                <w:sz w:val="21"/>
              </w:rPr>
            </w:pPr>
            <w:r>
              <w:rPr>
                <w:sz w:val="21"/>
              </w:rPr>
              <w:t>被保险人年满 18 周岁前，我们提供特别保障的 5 种重大疾病定义如下：</w:t>
            </w:r>
          </w:p>
        </w:tc>
      </w:tr>
      <w:tr>
        <w:trPr>
          <w:trHeight w:val="1314" w:hRule="atLeast"/>
        </w:trPr>
        <w:tc>
          <w:tcPr>
            <w:tcW w:w="1142" w:type="dxa"/>
          </w:tcPr>
          <w:p>
            <w:pPr>
              <w:pStyle w:val="TableParagraph"/>
              <w:spacing w:before="92"/>
              <w:ind w:left="200"/>
              <w:rPr>
                <w:i/>
                <w:sz w:val="22"/>
              </w:rPr>
            </w:pPr>
            <w:r>
              <w:rPr>
                <w:i/>
                <w:sz w:val="22"/>
              </w:rPr>
              <w:t>3.2.3.1</w:t>
            </w:r>
          </w:p>
        </w:tc>
        <w:tc>
          <w:tcPr>
            <w:tcW w:w="1671" w:type="dxa"/>
          </w:tcPr>
          <w:p>
            <w:pPr>
              <w:pStyle w:val="TableParagraph"/>
              <w:spacing w:line="259" w:lineRule="auto" w:before="92"/>
              <w:ind w:left="205" w:right="95"/>
              <w:rPr>
                <w:i/>
                <w:sz w:val="22"/>
              </w:rPr>
            </w:pPr>
            <w:r>
              <w:rPr>
                <w:i/>
                <w:w w:val="95"/>
                <w:sz w:val="22"/>
              </w:rPr>
              <w:t>胰岛素依赖型糖尿病</w:t>
            </w:r>
          </w:p>
        </w:tc>
        <w:tc>
          <w:tcPr>
            <w:tcW w:w="7348" w:type="dxa"/>
          </w:tcPr>
          <w:p>
            <w:pPr>
              <w:pStyle w:val="TableParagraph"/>
              <w:spacing w:line="312" w:lineRule="exact" w:before="99"/>
              <w:ind w:left="100" w:right="196"/>
              <w:rPr>
                <w:sz w:val="21"/>
              </w:rPr>
            </w:pPr>
            <w:r>
              <w:rPr>
                <w:spacing w:val="-3"/>
                <w:sz w:val="21"/>
              </w:rPr>
              <w:t>胰岛素依赖型糖尿病是由于胰岛</w:t>
            </w:r>
            <w:r>
              <w:rPr>
                <w:rFonts w:ascii="Arial" w:hAnsi="Arial" w:eastAsia="Arial"/>
                <w:sz w:val="21"/>
              </w:rPr>
              <w:t>β </w:t>
            </w:r>
            <w:r>
              <w:rPr>
                <w:spacing w:val="-3"/>
                <w:sz w:val="21"/>
              </w:rPr>
              <w:t>细胞毁坏而导致的胰岛素分泌的绝对缺乏</w:t>
            </w:r>
            <w:r>
              <w:rPr>
                <w:spacing w:val="-5"/>
                <w:sz w:val="21"/>
              </w:rPr>
              <w:t>引起的慢性血糖升高，并需要持续性地依赖外源性胰岛素维持 </w:t>
            </w:r>
            <w:r>
              <w:rPr>
                <w:rFonts w:ascii="Times New Roman" w:hAnsi="Times New Roman" w:eastAsia="Times New Roman"/>
                <w:sz w:val="21"/>
              </w:rPr>
              <w:t>180 </w:t>
            </w:r>
            <w:r>
              <w:rPr>
                <w:spacing w:val="-3"/>
                <w:sz w:val="21"/>
              </w:rPr>
              <w:t>天以上。</w:t>
            </w:r>
            <w:r>
              <w:rPr>
                <w:spacing w:val="-8"/>
                <w:sz w:val="21"/>
              </w:rPr>
              <w:t>该病必须由医院的内分泌科专科医生确诊，可以用其他方法</w:t>
            </w:r>
            <w:r>
              <w:rPr>
                <w:spacing w:val="-3"/>
                <w:sz w:val="21"/>
              </w:rPr>
              <w:t>（非胰岛素注射</w:t>
            </w:r>
            <w:r>
              <w:rPr>
                <w:sz w:val="21"/>
              </w:rPr>
              <w:t>） </w:t>
            </w:r>
            <w:r>
              <w:rPr>
                <w:spacing w:val="-3"/>
                <w:sz w:val="21"/>
              </w:rPr>
              <w:t>治疗的糖尿病不在本合同保障范围内。</w:t>
            </w:r>
          </w:p>
        </w:tc>
      </w:tr>
    </w:tbl>
    <w:p>
      <w:pPr>
        <w:spacing w:after="0" w:line="312" w:lineRule="exact"/>
        <w:rPr>
          <w:sz w:val="21"/>
        </w:rPr>
        <w:sectPr>
          <w:pgSz w:w="11910" w:h="16840"/>
          <w:pgMar w:header="568" w:footer="458" w:top="800" w:bottom="640" w:left="720" w:right="820"/>
        </w:sectPr>
      </w:pPr>
    </w:p>
    <w:p>
      <w:pPr>
        <w:pStyle w:val="BodyText"/>
        <w:rPr>
          <w:rFonts w:ascii="Times New Roman"/>
          <w:sz w:val="20"/>
        </w:rPr>
      </w:pPr>
    </w:p>
    <w:p>
      <w:pPr>
        <w:pStyle w:val="BodyText"/>
        <w:spacing w:before="4"/>
        <w:rPr>
          <w:rFonts w:ascii="Times New Roman"/>
          <w:sz w:val="12"/>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0"/>
        <w:gridCol w:w="1671"/>
        <w:gridCol w:w="7146"/>
      </w:tblGrid>
      <w:tr>
        <w:trPr>
          <w:trHeight w:val="1940" w:hRule="atLeast"/>
        </w:trPr>
        <w:tc>
          <w:tcPr>
            <w:tcW w:w="1050" w:type="dxa"/>
          </w:tcPr>
          <w:p>
            <w:pPr>
              <w:pStyle w:val="TableParagraph"/>
              <w:spacing w:line="222" w:lineRule="exact"/>
              <w:ind w:left="107"/>
              <w:rPr>
                <w:i/>
                <w:sz w:val="22"/>
              </w:rPr>
            </w:pPr>
            <w:r>
              <w:rPr>
                <w:i/>
                <w:sz w:val="22"/>
              </w:rPr>
              <w:t>3.2.3.2</w:t>
            </w:r>
          </w:p>
        </w:tc>
        <w:tc>
          <w:tcPr>
            <w:tcW w:w="1671" w:type="dxa"/>
          </w:tcPr>
          <w:p>
            <w:pPr>
              <w:pStyle w:val="TableParagraph"/>
              <w:spacing w:line="222" w:lineRule="exact"/>
              <w:ind w:left="205"/>
              <w:rPr>
                <w:i/>
                <w:sz w:val="22"/>
              </w:rPr>
            </w:pPr>
            <w:r>
              <w:rPr>
                <w:i/>
                <w:w w:val="95"/>
                <w:sz w:val="22"/>
              </w:rPr>
              <w:t>脊髓灰质炎</w:t>
            </w:r>
          </w:p>
        </w:tc>
        <w:tc>
          <w:tcPr>
            <w:tcW w:w="7146" w:type="dxa"/>
          </w:tcPr>
          <w:p>
            <w:pPr>
              <w:pStyle w:val="TableParagraph"/>
              <w:spacing w:line="221" w:lineRule="exact"/>
              <w:ind w:left="100"/>
              <w:rPr>
                <w:sz w:val="21"/>
              </w:rPr>
            </w:pPr>
            <w:r>
              <w:rPr>
                <w:sz w:val="21"/>
              </w:rPr>
              <w:t>脊髓灰质炎是由脊髓灰质炎病毒感染所致的瘫痪性疾病，临床表现为运动功</w:t>
            </w:r>
          </w:p>
          <w:p>
            <w:pPr>
              <w:pStyle w:val="TableParagraph"/>
              <w:spacing w:line="273" w:lineRule="auto" w:before="37"/>
              <w:ind w:left="100" w:right="3"/>
              <w:rPr>
                <w:sz w:val="21"/>
              </w:rPr>
            </w:pPr>
            <w:r>
              <w:rPr>
                <w:spacing w:val="-3"/>
                <w:sz w:val="21"/>
              </w:rPr>
              <w:t>能损害或呼吸无力。该病必须由医院的专科医生确诊并提供相关的脊髓灰质炎病毒感染的证据（例如：粪便检查、脑脊液检查或血清学抗体检查报告</w:t>
            </w:r>
            <w:r>
              <w:rPr>
                <w:spacing w:val="-108"/>
                <w:sz w:val="21"/>
              </w:rPr>
              <w:t>）</w:t>
            </w:r>
            <w:r>
              <w:rPr>
                <w:sz w:val="21"/>
              </w:rPr>
              <w:t>。</w:t>
            </w:r>
            <w:r>
              <w:rPr>
                <w:spacing w:val="-3"/>
                <w:sz w:val="21"/>
              </w:rPr>
              <w:t>本合同仅对脊髓灰质炎造成的神经系统功能损害已导致被保险人永久性的肢体瘫痪的情况予以理赔。其他原因导致的瘫痪则不在本合同保障范围内。所</w:t>
            </w:r>
            <w:r>
              <w:rPr>
                <w:spacing w:val="-5"/>
                <w:sz w:val="21"/>
              </w:rPr>
              <w:t>谓永久性的肢体瘫痪是指诊断为脊髓灰质炎后肢体瘫痪需持续 </w:t>
            </w:r>
            <w:r>
              <w:rPr>
                <w:sz w:val="21"/>
              </w:rPr>
              <w:t>180</w:t>
            </w:r>
            <w:r>
              <w:rPr>
                <w:spacing w:val="-8"/>
                <w:sz w:val="21"/>
              </w:rPr>
              <w:t> 天以上。</w:t>
            </w:r>
          </w:p>
        </w:tc>
      </w:tr>
      <w:tr>
        <w:trPr>
          <w:trHeight w:val="1786" w:hRule="atLeast"/>
        </w:trPr>
        <w:tc>
          <w:tcPr>
            <w:tcW w:w="1050" w:type="dxa"/>
          </w:tcPr>
          <w:p>
            <w:pPr>
              <w:pStyle w:val="TableParagraph"/>
              <w:spacing w:before="94"/>
              <w:ind w:left="107"/>
              <w:rPr>
                <w:i/>
                <w:sz w:val="22"/>
              </w:rPr>
            </w:pPr>
            <w:r>
              <w:rPr>
                <w:i/>
                <w:sz w:val="22"/>
              </w:rPr>
              <w:t>3.2.3.3</w:t>
            </w:r>
          </w:p>
        </w:tc>
        <w:tc>
          <w:tcPr>
            <w:tcW w:w="1671" w:type="dxa"/>
          </w:tcPr>
          <w:p>
            <w:pPr>
              <w:pStyle w:val="TableParagraph"/>
              <w:spacing w:before="94"/>
              <w:ind w:left="205"/>
              <w:rPr>
                <w:i/>
                <w:sz w:val="22"/>
              </w:rPr>
            </w:pPr>
            <w:r>
              <w:rPr>
                <w:i/>
                <w:w w:val="95"/>
                <w:sz w:val="22"/>
              </w:rPr>
              <w:t>严重川崎病</w:t>
            </w:r>
          </w:p>
        </w:tc>
        <w:tc>
          <w:tcPr>
            <w:tcW w:w="7146" w:type="dxa"/>
          </w:tcPr>
          <w:p>
            <w:pPr>
              <w:pStyle w:val="TableParagraph"/>
              <w:spacing w:line="266" w:lineRule="auto" w:before="105"/>
              <w:ind w:left="100" w:right="98"/>
              <w:jc w:val="both"/>
              <w:rPr>
                <w:sz w:val="21"/>
              </w:rPr>
            </w:pPr>
            <w:r>
              <w:rPr>
                <w:spacing w:val="-3"/>
                <w:sz w:val="21"/>
              </w:rPr>
              <w:t>严重川崎病是一种以皮肤粘膜出疹、淋巴结肿大和多发性动脉炎为特点的急</w:t>
            </w:r>
            <w:r>
              <w:rPr>
                <w:spacing w:val="2"/>
                <w:sz w:val="21"/>
              </w:rPr>
              <w:t>性发热性疾病。本合同仅对因川崎病合并的冠状动脉炎导致的冠状动脉瘤</w:t>
            </w:r>
            <w:r>
              <w:rPr>
                <w:rFonts w:ascii="Times New Roman" w:eastAsia="Times New Roman"/>
                <w:sz w:val="21"/>
              </w:rPr>
              <w:t>(Nakano </w:t>
            </w:r>
            <w:r>
              <w:rPr>
                <w:rFonts w:ascii="Times New Roman" w:eastAsia="Times New Roman"/>
                <w:spacing w:val="-4"/>
                <w:sz w:val="21"/>
              </w:rPr>
              <w:t>II</w:t>
            </w:r>
            <w:r>
              <w:rPr>
                <w:sz w:val="21"/>
              </w:rPr>
              <w:t>级</w:t>
            </w:r>
            <w:r>
              <w:rPr>
                <w:rFonts w:ascii="Times New Roman" w:eastAsia="Times New Roman"/>
                <w:sz w:val="21"/>
              </w:rPr>
              <w:t>)</w:t>
            </w:r>
            <w:r>
              <w:rPr>
                <w:spacing w:val="-4"/>
                <w:sz w:val="21"/>
              </w:rPr>
              <w:t>予以理赔。理赔时冠状动脉瘤必须存在</w:t>
            </w:r>
            <w:r>
              <w:rPr>
                <w:rFonts w:ascii="Times New Roman" w:eastAsia="Times New Roman"/>
                <w:sz w:val="21"/>
              </w:rPr>
              <w:t>180</w:t>
            </w:r>
            <w:r>
              <w:rPr>
                <w:spacing w:val="-5"/>
                <w:sz w:val="21"/>
              </w:rPr>
              <w:t>天以上，且必须提供</w:t>
            </w:r>
            <w:r>
              <w:rPr>
                <w:spacing w:val="-3"/>
                <w:sz w:val="21"/>
              </w:rPr>
              <w:t>冠状动脉瘤的超声心动图或血管造影的检查结果诊断报告。</w:t>
            </w:r>
          </w:p>
          <w:p>
            <w:pPr>
              <w:pStyle w:val="TableParagraph"/>
              <w:spacing w:before="13"/>
              <w:ind w:left="100"/>
              <w:jc w:val="both"/>
              <w:rPr>
                <w:sz w:val="21"/>
              </w:rPr>
            </w:pPr>
            <w:r>
              <w:rPr>
                <w:rFonts w:ascii="Times New Roman" w:eastAsia="Times New Roman"/>
                <w:sz w:val="21"/>
              </w:rPr>
              <w:t>NakanoII </w:t>
            </w:r>
            <w:r>
              <w:rPr>
                <w:sz w:val="21"/>
              </w:rPr>
              <w:t>级：可为单发、多发或广泛性，最大内径为 </w:t>
            </w:r>
            <w:r>
              <w:rPr>
                <w:rFonts w:ascii="Times New Roman" w:eastAsia="Times New Roman"/>
                <w:sz w:val="21"/>
              </w:rPr>
              <w:t>4-8mm</w:t>
            </w:r>
            <w:r>
              <w:rPr>
                <w:sz w:val="21"/>
              </w:rPr>
              <w:t>。</w:t>
            </w:r>
          </w:p>
        </w:tc>
      </w:tr>
      <w:tr>
        <w:trPr>
          <w:trHeight w:val="1106" w:hRule="atLeast"/>
        </w:trPr>
        <w:tc>
          <w:tcPr>
            <w:tcW w:w="1050" w:type="dxa"/>
          </w:tcPr>
          <w:p>
            <w:pPr>
              <w:pStyle w:val="TableParagraph"/>
              <w:spacing w:before="95"/>
              <w:ind w:left="107"/>
              <w:rPr>
                <w:i/>
                <w:sz w:val="22"/>
              </w:rPr>
            </w:pPr>
            <w:r>
              <w:rPr>
                <w:i/>
                <w:sz w:val="22"/>
              </w:rPr>
              <w:t>3.2.3.4</w:t>
            </w:r>
          </w:p>
        </w:tc>
        <w:tc>
          <w:tcPr>
            <w:tcW w:w="1671" w:type="dxa"/>
          </w:tcPr>
          <w:p>
            <w:pPr>
              <w:pStyle w:val="TableParagraph"/>
              <w:spacing w:line="259" w:lineRule="auto" w:before="95"/>
              <w:ind w:left="205" w:right="200"/>
              <w:rPr>
                <w:i/>
                <w:sz w:val="22"/>
              </w:rPr>
            </w:pPr>
            <w:r>
              <w:rPr>
                <w:i/>
                <w:w w:val="95"/>
                <w:sz w:val="22"/>
              </w:rPr>
              <w:t>严重幼年型类风湿关节炎</w:t>
            </w:r>
          </w:p>
        </w:tc>
        <w:tc>
          <w:tcPr>
            <w:tcW w:w="7146" w:type="dxa"/>
          </w:tcPr>
          <w:p>
            <w:pPr>
              <w:pStyle w:val="TableParagraph"/>
              <w:spacing w:line="223" w:lineRule="auto" w:before="105"/>
              <w:ind w:left="100" w:right="99"/>
              <w:rPr>
                <w:sz w:val="21"/>
              </w:rPr>
            </w:pPr>
            <w:r>
              <w:rPr>
                <w:spacing w:val="-8"/>
                <w:sz w:val="21"/>
              </w:rPr>
              <w:t>需要由类风湿专科医生确诊，有广泛的关节损坏，临床及 </w:t>
            </w:r>
            <w:r>
              <w:rPr>
                <w:rFonts w:ascii="Times New Roman" w:eastAsia="Times New Roman"/>
                <w:sz w:val="21"/>
              </w:rPr>
              <w:t>X </w:t>
            </w:r>
            <w:r>
              <w:rPr>
                <w:spacing w:val="-3"/>
                <w:sz w:val="21"/>
              </w:rPr>
              <w:t>线检查发现明显</w:t>
            </w:r>
            <w:r>
              <w:rPr>
                <w:spacing w:val="-7"/>
                <w:sz w:val="21"/>
              </w:rPr>
              <w:t>的畸形。至少下列 </w:t>
            </w:r>
            <w:r>
              <w:rPr>
                <w:rFonts w:ascii="Times New Roman" w:eastAsia="Times New Roman"/>
                <w:sz w:val="21"/>
              </w:rPr>
              <w:t>3 </w:t>
            </w:r>
            <w:r>
              <w:rPr>
                <w:spacing w:val="-3"/>
                <w:sz w:val="21"/>
              </w:rPr>
              <w:t>个关节受累：手关节、腕关节、肘关节、膝关节、髋关</w:t>
            </w:r>
          </w:p>
          <w:p>
            <w:pPr>
              <w:pStyle w:val="TableParagraph"/>
              <w:spacing w:line="274" w:lineRule="exact"/>
              <w:ind w:left="100"/>
              <w:rPr>
                <w:sz w:val="21"/>
              </w:rPr>
            </w:pPr>
            <w:r>
              <w:rPr>
                <w:sz w:val="21"/>
              </w:rPr>
              <w:t>节、踝关节、脊椎关节或跖趾关节。关节炎的症状须持续 </w:t>
            </w:r>
            <w:r>
              <w:rPr>
                <w:rFonts w:ascii="Times New Roman" w:eastAsia="Times New Roman"/>
                <w:sz w:val="21"/>
              </w:rPr>
              <w:t>1 </w:t>
            </w:r>
            <w:r>
              <w:rPr>
                <w:sz w:val="21"/>
              </w:rPr>
              <w:t>年以上。</w:t>
            </w:r>
          </w:p>
        </w:tc>
      </w:tr>
      <w:tr>
        <w:trPr>
          <w:trHeight w:val="2927" w:hRule="atLeast"/>
        </w:trPr>
        <w:tc>
          <w:tcPr>
            <w:tcW w:w="1050" w:type="dxa"/>
          </w:tcPr>
          <w:p>
            <w:pPr>
              <w:pStyle w:val="TableParagraph"/>
              <w:spacing w:before="119"/>
              <w:ind w:left="107"/>
              <w:rPr>
                <w:i/>
                <w:sz w:val="22"/>
              </w:rPr>
            </w:pPr>
            <w:r>
              <w:rPr>
                <w:i/>
                <w:sz w:val="22"/>
              </w:rPr>
              <w:t>3.2.3.5</w:t>
            </w:r>
          </w:p>
        </w:tc>
        <w:tc>
          <w:tcPr>
            <w:tcW w:w="1671" w:type="dxa"/>
          </w:tcPr>
          <w:p>
            <w:pPr>
              <w:pStyle w:val="TableParagraph"/>
              <w:spacing w:line="259" w:lineRule="auto" w:before="119"/>
              <w:ind w:left="205" w:right="95"/>
              <w:rPr>
                <w:i/>
                <w:sz w:val="22"/>
              </w:rPr>
            </w:pPr>
            <w:r>
              <w:rPr>
                <w:i/>
                <w:w w:val="95"/>
                <w:sz w:val="22"/>
              </w:rPr>
              <w:t>严重的原发性心肌病</w:t>
            </w:r>
          </w:p>
        </w:tc>
        <w:tc>
          <w:tcPr>
            <w:tcW w:w="7146" w:type="dxa"/>
          </w:tcPr>
          <w:p>
            <w:pPr>
              <w:pStyle w:val="TableParagraph"/>
              <w:spacing w:line="264" w:lineRule="auto" w:before="131"/>
              <w:ind w:left="100" w:right="99"/>
              <w:jc w:val="both"/>
              <w:rPr>
                <w:sz w:val="21"/>
              </w:rPr>
            </w:pPr>
            <w:r>
              <w:rPr>
                <w:spacing w:val="-3"/>
                <w:sz w:val="21"/>
              </w:rPr>
              <w:t>原发性心肌病是指因各种病因而出现的心室功能障碍。本病必须由医院的心</w:t>
            </w:r>
            <w:r>
              <w:rPr>
                <w:spacing w:val="-10"/>
                <w:sz w:val="21"/>
              </w:rPr>
              <w:t>内科专科医生确诊，并出现明显的心力衰竭</w:t>
            </w:r>
            <w:r>
              <w:rPr>
                <w:rFonts w:ascii="Times New Roman" w:eastAsia="Times New Roman"/>
                <w:sz w:val="21"/>
              </w:rPr>
              <w:t>(</w:t>
            </w:r>
            <w:r>
              <w:rPr>
                <w:spacing w:val="-3"/>
                <w:sz w:val="21"/>
              </w:rPr>
              <w:t>纽约心脏病协会分类标准心功能达</w:t>
            </w:r>
            <w:r>
              <w:rPr>
                <w:rFonts w:ascii="Times New Roman" w:eastAsia="Times New Roman"/>
                <w:spacing w:val="-3"/>
                <w:sz w:val="21"/>
              </w:rPr>
              <w:t>IV</w:t>
            </w:r>
            <w:r>
              <w:rPr>
                <w:spacing w:val="-3"/>
                <w:sz w:val="21"/>
              </w:rPr>
              <w:t>级</w:t>
            </w:r>
            <w:r>
              <w:rPr>
                <w:rFonts w:ascii="Times New Roman" w:eastAsia="Times New Roman"/>
                <w:spacing w:val="-3"/>
                <w:sz w:val="21"/>
              </w:rPr>
              <w:t>*)</w:t>
            </w:r>
            <w:r>
              <w:rPr>
                <w:spacing w:val="-3"/>
                <w:sz w:val="21"/>
              </w:rPr>
              <w:t>持续至少</w:t>
            </w:r>
            <w:r>
              <w:rPr>
                <w:rFonts w:ascii="Times New Roman" w:eastAsia="Times New Roman"/>
                <w:spacing w:val="-3"/>
                <w:sz w:val="21"/>
              </w:rPr>
              <w:t>90</w:t>
            </w:r>
            <w:r>
              <w:rPr>
                <w:spacing w:val="-3"/>
                <w:sz w:val="21"/>
              </w:rPr>
              <w:t>天。本保障范围内的心肌病包括扩张型心肌病、肥厚型心肌病和限制型心肌病。其他类型的原发性心肌病及所有继发性心肌病不在此保障范围之内。</w:t>
            </w:r>
          </w:p>
          <w:p>
            <w:pPr>
              <w:pStyle w:val="TableParagraph"/>
              <w:spacing w:line="264" w:lineRule="auto" w:before="16"/>
              <w:ind w:left="100" w:right="99"/>
              <w:jc w:val="both"/>
              <w:rPr>
                <w:sz w:val="21"/>
              </w:rPr>
            </w:pPr>
            <w:r>
              <w:rPr>
                <w:rFonts w:ascii="Times New Roman" w:eastAsia="Times New Roman"/>
                <w:spacing w:val="-5"/>
                <w:sz w:val="21"/>
              </w:rPr>
              <w:t>*</w:t>
            </w:r>
            <w:r>
              <w:rPr>
                <w:spacing w:val="-6"/>
                <w:sz w:val="21"/>
              </w:rPr>
              <w:t>纽约心脏病协会分类标准心功能 </w:t>
            </w:r>
            <w:r>
              <w:rPr>
                <w:rFonts w:ascii="Times New Roman" w:eastAsia="Times New Roman"/>
                <w:sz w:val="21"/>
              </w:rPr>
              <w:t>IV </w:t>
            </w:r>
            <w:r>
              <w:rPr>
                <w:spacing w:val="-3"/>
                <w:sz w:val="21"/>
              </w:rPr>
              <w:t>级是指有医院的医疗记录显示病人不能进行任何活动，休息时仍有心悸、呼吸困难等心力衰竭表现，并且体检及实验室检查显示有心功能异常的证据。</w:t>
            </w:r>
          </w:p>
        </w:tc>
      </w:tr>
      <w:tr>
        <w:trPr>
          <w:trHeight w:val="789" w:hRule="atLeast"/>
        </w:trPr>
        <w:tc>
          <w:tcPr>
            <w:tcW w:w="1050" w:type="dxa"/>
            <w:tcBorders>
              <w:bottom w:val="double" w:sz="1" w:space="0" w:color="000000"/>
            </w:tcBorders>
          </w:tcPr>
          <w:p>
            <w:pPr>
              <w:pStyle w:val="TableParagraph"/>
              <w:spacing w:before="251"/>
              <w:ind w:left="107"/>
              <w:rPr>
                <w:b/>
                <w:sz w:val="28"/>
              </w:rPr>
            </w:pPr>
            <w:r>
              <w:rPr>
                <w:b/>
                <w:w w:val="99"/>
                <w:sz w:val="28"/>
              </w:rPr>
              <w:t>4</w:t>
            </w:r>
          </w:p>
        </w:tc>
        <w:tc>
          <w:tcPr>
            <w:tcW w:w="8817" w:type="dxa"/>
            <w:gridSpan w:val="2"/>
            <w:tcBorders>
              <w:bottom w:val="double" w:sz="1" w:space="0" w:color="000000"/>
            </w:tcBorders>
          </w:tcPr>
          <w:p>
            <w:pPr>
              <w:pStyle w:val="TableParagraph"/>
              <w:spacing w:before="251"/>
              <w:ind w:left="205"/>
              <w:rPr>
                <w:b/>
                <w:sz w:val="28"/>
              </w:rPr>
            </w:pPr>
            <w:r>
              <w:rPr>
                <w:b/>
                <w:w w:val="95"/>
                <w:sz w:val="28"/>
              </w:rPr>
              <w:t>豁免保险费申请</w:t>
            </w:r>
          </w:p>
        </w:tc>
      </w:tr>
      <w:tr>
        <w:trPr>
          <w:trHeight w:val="936" w:hRule="atLeast"/>
        </w:trPr>
        <w:tc>
          <w:tcPr>
            <w:tcW w:w="1050" w:type="dxa"/>
            <w:tcBorders>
              <w:top w:val="double" w:sz="1" w:space="0" w:color="000000"/>
            </w:tcBorders>
          </w:tcPr>
          <w:p>
            <w:pPr>
              <w:pStyle w:val="TableParagraph"/>
              <w:spacing w:before="2"/>
              <w:rPr>
                <w:rFonts w:ascii="Times New Roman"/>
                <w:sz w:val="16"/>
              </w:rPr>
            </w:pPr>
          </w:p>
          <w:p>
            <w:pPr>
              <w:pStyle w:val="TableParagraph"/>
              <w:ind w:left="107"/>
              <w:rPr>
                <w:b/>
                <w:sz w:val="21"/>
              </w:rPr>
            </w:pPr>
            <w:r>
              <w:rPr>
                <w:b/>
                <w:sz w:val="21"/>
              </w:rPr>
              <w:t>4.1</w:t>
            </w:r>
          </w:p>
        </w:tc>
        <w:tc>
          <w:tcPr>
            <w:tcW w:w="1671" w:type="dxa"/>
            <w:tcBorders>
              <w:top w:val="double" w:sz="1" w:space="0" w:color="000000"/>
            </w:tcBorders>
          </w:tcPr>
          <w:p>
            <w:pPr>
              <w:pStyle w:val="TableParagraph"/>
              <w:spacing w:before="2"/>
              <w:rPr>
                <w:rFonts w:ascii="Times New Roman"/>
                <w:sz w:val="16"/>
              </w:rPr>
            </w:pPr>
          </w:p>
          <w:p>
            <w:pPr>
              <w:pStyle w:val="TableParagraph"/>
              <w:spacing w:line="273" w:lineRule="auto"/>
              <w:ind w:left="205" w:right="111"/>
              <w:rPr>
                <w:b/>
                <w:sz w:val="21"/>
              </w:rPr>
            </w:pPr>
            <w:r>
              <w:rPr>
                <w:b/>
                <w:sz w:val="21"/>
              </w:rPr>
              <w:t>豁免保险费申请</w:t>
            </w:r>
          </w:p>
        </w:tc>
        <w:tc>
          <w:tcPr>
            <w:tcW w:w="7146" w:type="dxa"/>
            <w:tcBorders>
              <w:top w:val="double" w:sz="1" w:space="0" w:color="000000"/>
            </w:tcBorders>
          </w:tcPr>
          <w:p>
            <w:pPr>
              <w:pStyle w:val="TableParagraph"/>
              <w:spacing w:before="2"/>
              <w:rPr>
                <w:rFonts w:ascii="Times New Roman"/>
                <w:sz w:val="16"/>
              </w:rPr>
            </w:pPr>
          </w:p>
          <w:p>
            <w:pPr>
              <w:pStyle w:val="TableParagraph"/>
              <w:ind w:left="100"/>
              <w:rPr>
                <w:sz w:val="21"/>
              </w:rPr>
            </w:pPr>
            <w:r>
              <w:rPr>
                <w:sz w:val="21"/>
              </w:rPr>
              <w:t>在申请豁免保险费时，请按照下列方式办理：</w:t>
            </w:r>
          </w:p>
        </w:tc>
      </w:tr>
      <w:tr>
        <w:trPr>
          <w:trHeight w:val="3035" w:hRule="atLeast"/>
        </w:trPr>
        <w:tc>
          <w:tcPr>
            <w:tcW w:w="1050" w:type="dxa"/>
          </w:tcPr>
          <w:p>
            <w:pPr>
              <w:pStyle w:val="TableParagraph"/>
              <w:rPr>
                <w:rFonts w:ascii="Times New Roman"/>
                <w:sz w:val="20"/>
              </w:rPr>
            </w:pPr>
          </w:p>
        </w:tc>
        <w:tc>
          <w:tcPr>
            <w:tcW w:w="1671" w:type="dxa"/>
          </w:tcPr>
          <w:p>
            <w:pPr>
              <w:pStyle w:val="TableParagraph"/>
              <w:rPr>
                <w:rFonts w:ascii="Times New Roman"/>
                <w:sz w:val="20"/>
              </w:rPr>
            </w:pPr>
          </w:p>
        </w:tc>
        <w:tc>
          <w:tcPr>
            <w:tcW w:w="7146" w:type="dxa"/>
          </w:tcPr>
          <w:p>
            <w:pPr>
              <w:pStyle w:val="TableParagraph"/>
              <w:spacing w:line="273" w:lineRule="auto" w:before="99"/>
              <w:ind w:left="100" w:right="99"/>
              <w:rPr>
                <w:sz w:val="21"/>
              </w:rPr>
            </w:pPr>
            <w:r>
              <w:rPr>
                <w:sz w:val="21"/>
              </w:rPr>
              <w:t>由您、被保险人或主合同受益人填写豁免保险费申请书，并须提供下列证明和资料：</w:t>
            </w:r>
          </w:p>
          <w:p>
            <w:pPr>
              <w:pStyle w:val="TableParagraph"/>
              <w:spacing w:before="7"/>
              <w:ind w:left="100"/>
              <w:rPr>
                <w:sz w:val="21"/>
              </w:rPr>
            </w:pPr>
            <w:r>
              <w:rPr>
                <w:sz w:val="21"/>
              </w:rPr>
              <w:t>（ 1 ）保险合同；</w:t>
            </w:r>
          </w:p>
          <w:p>
            <w:pPr>
              <w:pStyle w:val="TableParagraph"/>
              <w:spacing w:before="37"/>
              <w:ind w:left="100"/>
              <w:rPr>
                <w:sz w:val="21"/>
              </w:rPr>
            </w:pPr>
            <w:r>
              <w:rPr>
                <w:sz w:val="21"/>
              </w:rPr>
              <w:t>（ 2 ）申请人的法定有效身份证明；</w:t>
            </w:r>
          </w:p>
          <w:p>
            <w:pPr>
              <w:pStyle w:val="TableParagraph"/>
              <w:spacing w:line="273" w:lineRule="auto" w:before="37"/>
              <w:ind w:left="100" w:right="99"/>
              <w:rPr>
                <w:sz w:val="21"/>
              </w:rPr>
            </w:pPr>
            <w:r>
              <w:rPr>
                <w:sz w:val="21"/>
              </w:rPr>
              <w:t>（ 3 </w:t>
            </w:r>
            <w:r>
              <w:rPr>
                <w:spacing w:val="-53"/>
                <w:sz w:val="21"/>
              </w:rPr>
              <w:t>）</w:t>
            </w:r>
            <w:r>
              <w:rPr>
                <w:b/>
                <w:sz w:val="21"/>
              </w:rPr>
              <w:t>我们认可的医院</w:t>
            </w:r>
            <w:r>
              <w:rPr>
                <w:spacing w:val="-7"/>
                <w:sz w:val="21"/>
              </w:rPr>
              <w:t>出具的附有病理显微镜检查、血液检验及其他科学方</w:t>
            </w:r>
            <w:r>
              <w:rPr>
                <w:spacing w:val="-5"/>
                <w:sz w:val="21"/>
              </w:rPr>
              <w:t>法检验报告的疾病诊断证明书；</w:t>
            </w:r>
          </w:p>
          <w:p>
            <w:pPr>
              <w:pStyle w:val="TableParagraph"/>
              <w:spacing w:line="273" w:lineRule="auto" w:before="7"/>
              <w:ind w:left="100" w:right="6"/>
              <w:rPr>
                <w:sz w:val="21"/>
              </w:rPr>
            </w:pPr>
            <w:r>
              <w:rPr>
                <w:sz w:val="21"/>
              </w:rPr>
              <w:t>（ 4 ）</w:t>
            </w:r>
            <w:r>
              <w:rPr>
                <w:spacing w:val="-3"/>
                <w:sz w:val="21"/>
              </w:rPr>
              <w:t>所能提供的与确认保险事故的性质、原因等有关的其他证明和资料。以上证明和资料不完整的，我们将及时一次性通知申请人补充提供有关的证明和资料。</w:t>
            </w:r>
          </w:p>
        </w:tc>
      </w:tr>
      <w:tr>
        <w:trPr>
          <w:trHeight w:val="1623" w:hRule="atLeast"/>
        </w:trPr>
        <w:tc>
          <w:tcPr>
            <w:tcW w:w="1050" w:type="dxa"/>
          </w:tcPr>
          <w:p>
            <w:pPr>
              <w:pStyle w:val="TableParagraph"/>
              <w:spacing w:before="100"/>
              <w:ind w:left="107"/>
              <w:rPr>
                <w:b/>
                <w:sz w:val="21"/>
              </w:rPr>
            </w:pPr>
            <w:r>
              <w:rPr>
                <w:b/>
                <w:sz w:val="21"/>
              </w:rPr>
              <w:t>4.2</w:t>
            </w:r>
          </w:p>
        </w:tc>
        <w:tc>
          <w:tcPr>
            <w:tcW w:w="1671" w:type="dxa"/>
          </w:tcPr>
          <w:p>
            <w:pPr>
              <w:pStyle w:val="TableParagraph"/>
              <w:spacing w:before="100"/>
              <w:ind w:left="205"/>
              <w:rPr>
                <w:b/>
                <w:sz w:val="21"/>
              </w:rPr>
            </w:pPr>
            <w:r>
              <w:rPr>
                <w:b/>
                <w:sz w:val="21"/>
              </w:rPr>
              <w:t>保险费的豁免</w:t>
            </w:r>
          </w:p>
        </w:tc>
        <w:tc>
          <w:tcPr>
            <w:tcW w:w="7146" w:type="dxa"/>
          </w:tcPr>
          <w:p>
            <w:pPr>
              <w:pStyle w:val="TableParagraph"/>
              <w:spacing w:before="100"/>
              <w:ind w:left="100"/>
              <w:rPr>
                <w:sz w:val="21"/>
              </w:rPr>
            </w:pPr>
            <w:r>
              <w:rPr>
                <w:sz w:val="21"/>
              </w:rPr>
              <w:t>我们在收到申请人的豁免保险费申请书及合同约定的证明和资料后，将在 5</w:t>
            </w:r>
          </w:p>
          <w:p>
            <w:pPr>
              <w:pStyle w:val="TableParagraph"/>
              <w:spacing w:before="36"/>
              <w:ind w:left="100"/>
              <w:rPr>
                <w:sz w:val="21"/>
              </w:rPr>
            </w:pPr>
            <w:r>
              <w:rPr>
                <w:spacing w:val="-10"/>
                <w:sz w:val="21"/>
              </w:rPr>
              <w:t>日内作出核定；情形复杂的，在 </w:t>
            </w:r>
            <w:r>
              <w:rPr>
                <w:sz w:val="21"/>
              </w:rPr>
              <w:t>30</w:t>
            </w:r>
            <w:r>
              <w:rPr>
                <w:spacing w:val="-11"/>
                <w:sz w:val="21"/>
              </w:rPr>
              <w:t> 日内作出核定。对属于保险责任的，我们</w:t>
            </w:r>
          </w:p>
          <w:p>
            <w:pPr>
              <w:pStyle w:val="TableParagraph"/>
              <w:spacing w:before="36"/>
              <w:ind w:left="100"/>
              <w:rPr>
                <w:sz w:val="21"/>
              </w:rPr>
            </w:pPr>
            <w:r>
              <w:rPr>
                <w:sz w:val="21"/>
              </w:rPr>
              <w:t>在与申请人达成有关豁免保险费的协议后 10 日内，履行豁免保险费责任。</w:t>
            </w:r>
          </w:p>
          <w:p>
            <w:pPr>
              <w:pStyle w:val="TableParagraph"/>
              <w:spacing w:line="310" w:lineRule="atLeast" w:before="1"/>
              <w:ind w:left="100" w:right="99"/>
              <w:rPr>
                <w:sz w:val="21"/>
              </w:rPr>
            </w:pPr>
            <w:r>
              <w:rPr>
                <w:spacing w:val="-5"/>
                <w:sz w:val="21"/>
              </w:rPr>
              <w:t>对不属于保险责任的，我们自作出核定之日起 </w:t>
            </w:r>
            <w:r>
              <w:rPr>
                <w:sz w:val="21"/>
              </w:rPr>
              <w:t>3</w:t>
            </w:r>
            <w:r>
              <w:rPr>
                <w:spacing w:val="-7"/>
                <w:sz w:val="21"/>
              </w:rPr>
              <w:t> 日内向申请人发出拒绝豁免</w:t>
            </w:r>
            <w:r>
              <w:rPr>
                <w:spacing w:val="-5"/>
                <w:sz w:val="21"/>
              </w:rPr>
              <w:t>保险费通知书并说明理由。</w:t>
            </w:r>
          </w:p>
        </w:tc>
      </w:tr>
    </w:tbl>
    <w:p>
      <w:pPr>
        <w:spacing w:after="0" w:line="310" w:lineRule="atLeast"/>
        <w:rPr>
          <w:sz w:val="21"/>
        </w:rPr>
        <w:sectPr>
          <w:pgSz w:w="11910" w:h="16840"/>
          <w:pgMar w:header="568" w:footer="458" w:top="800" w:bottom="640" w:left="800" w:right="1020"/>
        </w:sectPr>
      </w:pPr>
    </w:p>
    <w:p>
      <w:pPr>
        <w:pStyle w:val="BodyText"/>
        <w:rPr>
          <w:rFonts w:ascii="Times New Roman"/>
          <w:sz w:val="20"/>
        </w:rPr>
      </w:pPr>
    </w:p>
    <w:p>
      <w:pPr>
        <w:pStyle w:val="BodyText"/>
        <w:spacing w:before="2" w:after="1"/>
        <w:rPr>
          <w:rFonts w:ascii="Times New Roman"/>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0"/>
        <w:gridCol w:w="1881"/>
        <w:gridCol w:w="7146"/>
      </w:tblGrid>
      <w:tr>
        <w:trPr>
          <w:trHeight w:val="861" w:hRule="atLeast"/>
        </w:trPr>
        <w:tc>
          <w:tcPr>
            <w:tcW w:w="840" w:type="dxa"/>
          </w:tcPr>
          <w:p>
            <w:pPr>
              <w:pStyle w:val="TableParagraph"/>
              <w:spacing w:line="211" w:lineRule="exact"/>
              <w:ind w:left="107"/>
              <w:rPr>
                <w:b/>
                <w:sz w:val="21"/>
              </w:rPr>
            </w:pPr>
            <w:r>
              <w:rPr>
                <w:b/>
                <w:sz w:val="21"/>
              </w:rPr>
              <w:t>4.3</w:t>
            </w:r>
          </w:p>
        </w:tc>
        <w:tc>
          <w:tcPr>
            <w:tcW w:w="1881" w:type="dxa"/>
          </w:tcPr>
          <w:p>
            <w:pPr>
              <w:pStyle w:val="TableParagraph"/>
              <w:spacing w:line="211" w:lineRule="exact"/>
              <w:ind w:left="415"/>
              <w:rPr>
                <w:b/>
                <w:sz w:val="21"/>
              </w:rPr>
            </w:pPr>
            <w:r>
              <w:rPr>
                <w:b/>
                <w:sz w:val="21"/>
              </w:rPr>
              <w:t>诉讼时效</w:t>
            </w:r>
          </w:p>
        </w:tc>
        <w:tc>
          <w:tcPr>
            <w:tcW w:w="7146" w:type="dxa"/>
          </w:tcPr>
          <w:p>
            <w:pPr>
              <w:pStyle w:val="TableParagraph"/>
              <w:spacing w:line="211" w:lineRule="exact"/>
              <w:ind w:left="100"/>
              <w:rPr>
                <w:sz w:val="21"/>
              </w:rPr>
            </w:pPr>
            <w:r>
              <w:rPr>
                <w:sz w:val="21"/>
              </w:rPr>
              <w:t>申请人向我们申请豁免保险费的诉讼时效期间为 2 年，自其知道或者应当知</w:t>
            </w:r>
          </w:p>
          <w:p>
            <w:pPr>
              <w:pStyle w:val="TableParagraph"/>
              <w:spacing w:before="37"/>
              <w:ind w:left="100"/>
              <w:rPr>
                <w:sz w:val="21"/>
              </w:rPr>
            </w:pPr>
            <w:r>
              <w:rPr>
                <w:sz w:val="21"/>
              </w:rPr>
              <w:t>道保险事故发生之日起计算。</w:t>
            </w:r>
          </w:p>
        </w:tc>
      </w:tr>
      <w:tr>
        <w:trPr>
          <w:trHeight w:val="790" w:hRule="atLeast"/>
        </w:trPr>
        <w:tc>
          <w:tcPr>
            <w:tcW w:w="840" w:type="dxa"/>
            <w:tcBorders>
              <w:bottom w:val="double" w:sz="1" w:space="0" w:color="000000"/>
            </w:tcBorders>
          </w:tcPr>
          <w:p>
            <w:pPr>
              <w:pStyle w:val="TableParagraph"/>
              <w:spacing w:before="11"/>
              <w:rPr>
                <w:rFonts w:ascii="Times New Roman"/>
                <w:sz w:val="21"/>
              </w:rPr>
            </w:pPr>
          </w:p>
          <w:p>
            <w:pPr>
              <w:pStyle w:val="TableParagraph"/>
              <w:ind w:left="107"/>
              <w:rPr>
                <w:b/>
                <w:sz w:val="28"/>
              </w:rPr>
            </w:pPr>
            <w:r>
              <w:rPr>
                <w:b/>
                <w:w w:val="99"/>
                <w:sz w:val="28"/>
              </w:rPr>
              <w:t>5</w:t>
            </w:r>
          </w:p>
        </w:tc>
        <w:tc>
          <w:tcPr>
            <w:tcW w:w="9027" w:type="dxa"/>
            <w:gridSpan w:val="2"/>
            <w:tcBorders>
              <w:bottom w:val="double" w:sz="1" w:space="0" w:color="000000"/>
            </w:tcBorders>
          </w:tcPr>
          <w:p>
            <w:pPr>
              <w:pStyle w:val="TableParagraph"/>
              <w:spacing w:before="11"/>
              <w:rPr>
                <w:rFonts w:ascii="Times New Roman"/>
                <w:sz w:val="21"/>
              </w:rPr>
            </w:pPr>
          </w:p>
          <w:p>
            <w:pPr>
              <w:pStyle w:val="TableParagraph"/>
              <w:ind w:left="415"/>
              <w:rPr>
                <w:b/>
                <w:sz w:val="28"/>
              </w:rPr>
            </w:pPr>
            <w:r>
              <w:rPr>
                <w:b/>
                <w:sz w:val="28"/>
              </w:rPr>
              <w:t>保险费的交纳</w:t>
            </w:r>
          </w:p>
        </w:tc>
      </w:tr>
      <w:tr>
        <w:trPr>
          <w:trHeight w:val="1842" w:hRule="atLeast"/>
        </w:trPr>
        <w:tc>
          <w:tcPr>
            <w:tcW w:w="840" w:type="dxa"/>
            <w:tcBorders>
              <w:top w:val="double" w:sz="1" w:space="0" w:color="000000"/>
            </w:tcBorders>
          </w:tcPr>
          <w:p>
            <w:pPr>
              <w:pStyle w:val="TableParagraph"/>
              <w:spacing w:before="11"/>
              <w:rPr>
                <w:rFonts w:ascii="Times New Roman"/>
                <w:sz w:val="15"/>
              </w:rPr>
            </w:pPr>
          </w:p>
          <w:p>
            <w:pPr>
              <w:pStyle w:val="TableParagraph"/>
              <w:ind w:left="107"/>
              <w:rPr>
                <w:b/>
                <w:sz w:val="21"/>
              </w:rPr>
            </w:pPr>
            <w:r>
              <w:rPr>
                <w:b/>
                <w:sz w:val="21"/>
              </w:rPr>
              <w:t>5.1</w:t>
            </w:r>
          </w:p>
        </w:tc>
        <w:tc>
          <w:tcPr>
            <w:tcW w:w="1881" w:type="dxa"/>
            <w:tcBorders>
              <w:top w:val="double" w:sz="1" w:space="0" w:color="000000"/>
            </w:tcBorders>
          </w:tcPr>
          <w:p>
            <w:pPr>
              <w:pStyle w:val="TableParagraph"/>
              <w:spacing w:before="11"/>
              <w:rPr>
                <w:rFonts w:ascii="Times New Roman"/>
                <w:sz w:val="15"/>
              </w:rPr>
            </w:pPr>
          </w:p>
          <w:p>
            <w:pPr>
              <w:pStyle w:val="TableParagraph"/>
              <w:ind w:left="415"/>
              <w:rPr>
                <w:b/>
                <w:sz w:val="21"/>
              </w:rPr>
            </w:pPr>
            <w:r>
              <w:rPr>
                <w:b/>
                <w:sz w:val="21"/>
              </w:rPr>
              <w:t>保险费的交纳</w:t>
            </w:r>
          </w:p>
        </w:tc>
        <w:tc>
          <w:tcPr>
            <w:tcW w:w="7146" w:type="dxa"/>
            <w:tcBorders>
              <w:top w:val="double" w:sz="1" w:space="0" w:color="000000"/>
            </w:tcBorders>
          </w:tcPr>
          <w:p>
            <w:pPr>
              <w:pStyle w:val="TableParagraph"/>
              <w:spacing w:before="11"/>
              <w:rPr>
                <w:rFonts w:ascii="Times New Roman"/>
                <w:sz w:val="15"/>
              </w:rPr>
            </w:pPr>
          </w:p>
          <w:p>
            <w:pPr>
              <w:pStyle w:val="TableParagraph"/>
              <w:spacing w:line="273" w:lineRule="auto"/>
              <w:ind w:left="100" w:right="99"/>
              <w:jc w:val="both"/>
              <w:rPr>
                <w:sz w:val="21"/>
              </w:rPr>
            </w:pPr>
            <w:r>
              <w:rPr>
                <w:sz w:val="21"/>
              </w:rPr>
              <w:t>您应当按照本附加合同约定向我们交纳保险费。分期支付保险费的，在交纳首期保险费后，您应当按照约定，在每个保险费约定交纳日交纳其余各期的保险费。</w:t>
            </w:r>
          </w:p>
          <w:p>
            <w:pPr>
              <w:pStyle w:val="TableParagraph"/>
              <w:spacing w:line="273" w:lineRule="auto" w:before="7"/>
              <w:ind w:left="100" w:right="738"/>
              <w:rPr>
                <w:sz w:val="21"/>
              </w:rPr>
            </w:pPr>
            <w:r>
              <w:rPr>
                <w:sz w:val="21"/>
              </w:rPr>
              <w:t>本附加合同的保险费必须随主合同保险费一同支付，不能单独交纳。本附加合同的交费期间与保险期间一致。</w:t>
            </w:r>
          </w:p>
        </w:tc>
      </w:tr>
      <w:tr>
        <w:trPr>
          <w:trHeight w:val="1419" w:hRule="atLeast"/>
        </w:trPr>
        <w:tc>
          <w:tcPr>
            <w:tcW w:w="840" w:type="dxa"/>
          </w:tcPr>
          <w:p>
            <w:pPr>
              <w:pStyle w:val="TableParagraph"/>
              <w:spacing w:before="72"/>
              <w:ind w:left="107"/>
              <w:rPr>
                <w:b/>
                <w:sz w:val="21"/>
              </w:rPr>
            </w:pPr>
            <w:r>
              <w:rPr>
                <w:b/>
                <w:sz w:val="21"/>
              </w:rPr>
              <w:t>5.2</w:t>
            </w:r>
          </w:p>
        </w:tc>
        <w:tc>
          <w:tcPr>
            <w:tcW w:w="1881" w:type="dxa"/>
          </w:tcPr>
          <w:p>
            <w:pPr>
              <w:pStyle w:val="TableParagraph"/>
              <w:spacing w:before="72"/>
              <w:ind w:left="415"/>
              <w:rPr>
                <w:b/>
                <w:sz w:val="21"/>
              </w:rPr>
            </w:pPr>
            <w:r>
              <w:rPr>
                <w:b/>
                <w:sz w:val="21"/>
              </w:rPr>
              <w:t>宽限期</w:t>
            </w:r>
          </w:p>
        </w:tc>
        <w:tc>
          <w:tcPr>
            <w:tcW w:w="7146" w:type="dxa"/>
          </w:tcPr>
          <w:p>
            <w:pPr>
              <w:pStyle w:val="TableParagraph"/>
              <w:spacing w:line="273" w:lineRule="auto" w:before="72"/>
              <w:ind w:left="100" w:right="99"/>
              <w:rPr>
                <w:sz w:val="21"/>
              </w:rPr>
            </w:pPr>
            <w:r>
              <w:rPr>
                <w:spacing w:val="-9"/>
                <w:sz w:val="21"/>
              </w:rPr>
              <w:t>如果您到期未交纳保险费，自保险费约定交纳日的次日起 </w:t>
            </w:r>
            <w:r>
              <w:rPr>
                <w:sz w:val="21"/>
              </w:rPr>
              <w:t>60</w:t>
            </w:r>
            <w:r>
              <w:rPr>
                <w:spacing w:val="-14"/>
                <w:sz w:val="21"/>
              </w:rPr>
              <w:t> 日为宽限期。宽</w:t>
            </w:r>
            <w:r>
              <w:rPr>
                <w:spacing w:val="-3"/>
                <w:sz w:val="21"/>
              </w:rPr>
              <w:t>限期内发生的保险事故，我们仍会承担保险责任。</w:t>
            </w:r>
          </w:p>
          <w:p>
            <w:pPr>
              <w:pStyle w:val="TableParagraph"/>
              <w:spacing w:line="273" w:lineRule="auto" w:before="8"/>
              <w:ind w:left="100" w:right="99"/>
              <w:rPr>
                <w:sz w:val="21"/>
              </w:rPr>
            </w:pPr>
            <w:r>
              <w:rPr>
                <w:sz w:val="21"/>
              </w:rPr>
              <w:t>如果您宽限期结束之后仍未交纳保险费，则本附加合同自宽限期满的次日零时起效力中止，但另有约定的除外。</w:t>
            </w:r>
          </w:p>
        </w:tc>
      </w:tr>
      <w:tr>
        <w:trPr>
          <w:trHeight w:val="2215" w:hRule="atLeast"/>
        </w:trPr>
        <w:tc>
          <w:tcPr>
            <w:tcW w:w="840" w:type="dxa"/>
          </w:tcPr>
          <w:p>
            <w:pPr>
              <w:pStyle w:val="TableParagraph"/>
              <w:spacing w:before="72"/>
              <w:ind w:left="107"/>
              <w:rPr>
                <w:b/>
                <w:sz w:val="21"/>
              </w:rPr>
            </w:pPr>
            <w:r>
              <w:rPr>
                <w:b/>
                <w:sz w:val="21"/>
              </w:rPr>
              <w:t>5.3</w:t>
            </w:r>
          </w:p>
        </w:tc>
        <w:tc>
          <w:tcPr>
            <w:tcW w:w="1881" w:type="dxa"/>
          </w:tcPr>
          <w:p>
            <w:pPr>
              <w:pStyle w:val="TableParagraph"/>
              <w:spacing w:before="72"/>
              <w:ind w:left="415"/>
              <w:rPr>
                <w:b/>
                <w:sz w:val="21"/>
              </w:rPr>
            </w:pPr>
            <w:r>
              <w:rPr>
                <w:b/>
                <w:sz w:val="21"/>
              </w:rPr>
              <w:t>保险费率调整</w:t>
            </w:r>
          </w:p>
        </w:tc>
        <w:tc>
          <w:tcPr>
            <w:tcW w:w="7146" w:type="dxa"/>
          </w:tcPr>
          <w:p>
            <w:pPr>
              <w:pStyle w:val="TableParagraph"/>
              <w:spacing w:before="72"/>
              <w:ind w:left="100"/>
              <w:rPr>
                <w:sz w:val="21"/>
              </w:rPr>
            </w:pPr>
            <w:r>
              <w:rPr>
                <w:sz w:val="21"/>
              </w:rPr>
              <w:t>我们保留提高或降低保险费率的权利。</w:t>
            </w:r>
          </w:p>
          <w:p>
            <w:pPr>
              <w:pStyle w:val="TableParagraph"/>
              <w:spacing w:line="273" w:lineRule="auto" w:before="37"/>
              <w:ind w:left="100" w:right="99"/>
              <w:jc w:val="both"/>
              <w:rPr>
                <w:sz w:val="21"/>
              </w:rPr>
            </w:pPr>
            <w:r>
              <w:rPr>
                <w:sz w:val="21"/>
              </w:rPr>
              <w:t>我们将根据本附加合同计算费率所用的重大疾病发生率与实际情况的偏差程度，决定保险费率是否调整。本保险的费率调整针对所有被保险人或同一投保年龄的所有被保险人。</w:t>
            </w:r>
          </w:p>
          <w:p>
            <w:pPr>
              <w:pStyle w:val="TableParagraph"/>
              <w:spacing w:line="273" w:lineRule="auto" w:before="7"/>
              <w:ind w:left="100" w:right="99"/>
              <w:jc w:val="both"/>
              <w:rPr>
                <w:sz w:val="21"/>
              </w:rPr>
            </w:pPr>
            <w:r>
              <w:rPr>
                <w:sz w:val="21"/>
              </w:rPr>
              <w:t>我们进行保险费率调整并向保险监管机关备案后，您须按调整后的保险费率交纳续期保险费。</w:t>
            </w:r>
          </w:p>
        </w:tc>
      </w:tr>
      <w:tr>
        <w:trPr>
          <w:trHeight w:val="760" w:hRule="atLeast"/>
        </w:trPr>
        <w:tc>
          <w:tcPr>
            <w:tcW w:w="840" w:type="dxa"/>
            <w:tcBorders>
              <w:bottom w:val="double" w:sz="1" w:space="0" w:color="000000"/>
            </w:tcBorders>
          </w:tcPr>
          <w:p>
            <w:pPr>
              <w:pStyle w:val="TableParagraph"/>
              <w:spacing w:before="222"/>
              <w:ind w:left="107"/>
              <w:rPr>
                <w:b/>
                <w:sz w:val="28"/>
              </w:rPr>
            </w:pPr>
            <w:r>
              <w:rPr>
                <w:b/>
                <w:w w:val="99"/>
                <w:sz w:val="28"/>
              </w:rPr>
              <w:t>6</w:t>
            </w:r>
          </w:p>
        </w:tc>
        <w:tc>
          <w:tcPr>
            <w:tcW w:w="9027" w:type="dxa"/>
            <w:gridSpan w:val="2"/>
            <w:tcBorders>
              <w:bottom w:val="double" w:sz="1" w:space="0" w:color="000000"/>
            </w:tcBorders>
          </w:tcPr>
          <w:p>
            <w:pPr>
              <w:pStyle w:val="TableParagraph"/>
              <w:spacing w:before="222"/>
              <w:ind w:left="415"/>
              <w:rPr>
                <w:b/>
                <w:sz w:val="28"/>
              </w:rPr>
            </w:pPr>
            <w:r>
              <w:rPr>
                <w:b/>
                <w:w w:val="95"/>
                <w:sz w:val="28"/>
              </w:rPr>
              <w:t>合同效力的中止与恢复</w:t>
            </w:r>
          </w:p>
        </w:tc>
      </w:tr>
      <w:tr>
        <w:trPr>
          <w:trHeight w:val="894" w:hRule="atLeast"/>
        </w:trPr>
        <w:tc>
          <w:tcPr>
            <w:tcW w:w="840" w:type="dxa"/>
            <w:tcBorders>
              <w:top w:val="double" w:sz="1" w:space="0" w:color="000000"/>
            </w:tcBorders>
          </w:tcPr>
          <w:p>
            <w:pPr>
              <w:pStyle w:val="TableParagraph"/>
              <w:spacing w:before="2"/>
              <w:rPr>
                <w:rFonts w:ascii="Times New Roman"/>
                <w:sz w:val="16"/>
              </w:rPr>
            </w:pPr>
          </w:p>
          <w:p>
            <w:pPr>
              <w:pStyle w:val="TableParagraph"/>
              <w:ind w:left="107"/>
              <w:rPr>
                <w:b/>
                <w:sz w:val="21"/>
              </w:rPr>
            </w:pPr>
            <w:r>
              <w:rPr>
                <w:b/>
                <w:sz w:val="21"/>
              </w:rPr>
              <w:t>6.1</w:t>
            </w:r>
          </w:p>
        </w:tc>
        <w:tc>
          <w:tcPr>
            <w:tcW w:w="1881" w:type="dxa"/>
            <w:tcBorders>
              <w:top w:val="double" w:sz="1" w:space="0" w:color="000000"/>
            </w:tcBorders>
          </w:tcPr>
          <w:p>
            <w:pPr>
              <w:pStyle w:val="TableParagraph"/>
              <w:spacing w:before="2"/>
              <w:rPr>
                <w:rFonts w:ascii="Times New Roman"/>
                <w:sz w:val="16"/>
              </w:rPr>
            </w:pPr>
          </w:p>
          <w:p>
            <w:pPr>
              <w:pStyle w:val="TableParagraph"/>
              <w:ind w:left="415"/>
              <w:rPr>
                <w:b/>
                <w:sz w:val="21"/>
              </w:rPr>
            </w:pPr>
            <w:r>
              <w:rPr>
                <w:b/>
                <w:sz w:val="21"/>
              </w:rPr>
              <w:t>合同效力中止</w:t>
            </w:r>
          </w:p>
        </w:tc>
        <w:tc>
          <w:tcPr>
            <w:tcW w:w="7146" w:type="dxa"/>
            <w:tcBorders>
              <w:top w:val="double" w:sz="1" w:space="0" w:color="000000"/>
            </w:tcBorders>
          </w:tcPr>
          <w:p>
            <w:pPr>
              <w:pStyle w:val="TableParagraph"/>
              <w:spacing w:before="165"/>
              <w:ind w:left="100"/>
              <w:rPr>
                <w:sz w:val="21"/>
              </w:rPr>
            </w:pPr>
            <w:r>
              <w:rPr>
                <w:sz w:val="21"/>
              </w:rPr>
              <w:t>主合同效力中止的同时，本附加合同效力中止。</w:t>
            </w:r>
          </w:p>
          <w:p>
            <w:pPr>
              <w:pStyle w:val="TableParagraph"/>
              <w:spacing w:before="18"/>
              <w:ind w:left="100"/>
              <w:rPr>
                <w:sz w:val="21"/>
              </w:rPr>
            </w:pPr>
            <w:r>
              <w:rPr>
                <w:sz w:val="21"/>
              </w:rPr>
              <w:t>在本附加合同效力中止期间，我们不承担保险责任。</w:t>
            </w:r>
          </w:p>
        </w:tc>
      </w:tr>
      <w:tr>
        <w:trPr>
          <w:trHeight w:val="2872" w:hRule="atLeast"/>
        </w:trPr>
        <w:tc>
          <w:tcPr>
            <w:tcW w:w="840" w:type="dxa"/>
          </w:tcPr>
          <w:p>
            <w:pPr>
              <w:pStyle w:val="TableParagraph"/>
              <w:spacing w:before="105"/>
              <w:ind w:left="107"/>
              <w:rPr>
                <w:b/>
                <w:sz w:val="21"/>
              </w:rPr>
            </w:pPr>
            <w:r>
              <w:rPr>
                <w:b/>
                <w:sz w:val="21"/>
              </w:rPr>
              <w:t>6.2</w:t>
            </w:r>
          </w:p>
        </w:tc>
        <w:tc>
          <w:tcPr>
            <w:tcW w:w="1881" w:type="dxa"/>
          </w:tcPr>
          <w:p>
            <w:pPr>
              <w:pStyle w:val="TableParagraph"/>
              <w:spacing w:before="105"/>
              <w:ind w:left="415"/>
              <w:rPr>
                <w:b/>
                <w:sz w:val="21"/>
              </w:rPr>
            </w:pPr>
            <w:r>
              <w:rPr>
                <w:b/>
                <w:sz w:val="21"/>
              </w:rPr>
              <w:t>合同效力恢复</w:t>
            </w:r>
          </w:p>
          <w:p>
            <w:pPr>
              <w:pStyle w:val="TableParagraph"/>
              <w:spacing w:before="37"/>
              <w:ind w:left="415"/>
              <w:rPr>
                <w:b/>
                <w:sz w:val="21"/>
              </w:rPr>
            </w:pPr>
            <w:r>
              <w:rPr>
                <w:b/>
                <w:sz w:val="21"/>
              </w:rPr>
              <w:t>（复效）</w:t>
            </w:r>
          </w:p>
        </w:tc>
        <w:tc>
          <w:tcPr>
            <w:tcW w:w="7146" w:type="dxa"/>
          </w:tcPr>
          <w:p>
            <w:pPr>
              <w:pStyle w:val="TableParagraph"/>
              <w:spacing w:line="268" w:lineRule="auto" w:before="105"/>
              <w:ind w:left="100" w:right="99"/>
              <w:rPr>
                <w:sz w:val="21"/>
              </w:rPr>
            </w:pPr>
            <w:r>
              <w:rPr>
                <w:spacing w:val="-6"/>
                <w:sz w:val="21"/>
              </w:rPr>
              <w:t>本附加合同效力中止后 </w:t>
            </w:r>
            <w:r>
              <w:rPr>
                <w:rFonts w:ascii="Times New Roman" w:eastAsia="Times New Roman"/>
                <w:sz w:val="21"/>
              </w:rPr>
              <w:t>2 </w:t>
            </w:r>
            <w:r>
              <w:rPr>
                <w:spacing w:val="-9"/>
                <w:sz w:val="21"/>
              </w:rPr>
              <w:t>年内，您可以申请恢复合同效力</w:t>
            </w:r>
            <w:r>
              <w:rPr>
                <w:spacing w:val="-3"/>
                <w:sz w:val="21"/>
              </w:rPr>
              <w:t>（简称复效</w:t>
            </w:r>
            <w:r>
              <w:rPr>
                <w:spacing w:val="-106"/>
                <w:sz w:val="21"/>
              </w:rPr>
              <w:t>）</w:t>
            </w:r>
            <w:r>
              <w:rPr>
                <w:spacing w:val="-12"/>
                <w:sz w:val="21"/>
              </w:rPr>
              <w:t>。您应</w:t>
            </w:r>
            <w:r>
              <w:rPr>
                <w:spacing w:val="-6"/>
                <w:sz w:val="21"/>
              </w:rPr>
              <w:t>填写复效申请书，我们会要求您提供被保险人的健康声明书、体检报告书及</w:t>
            </w:r>
            <w:r>
              <w:rPr>
                <w:spacing w:val="-4"/>
                <w:sz w:val="21"/>
              </w:rPr>
              <w:t>其他相关证明文件，我们会对材料进行审核，做出是否同意复效的决定。 </w:t>
            </w:r>
            <w:r>
              <w:rPr>
                <w:spacing w:val="-3"/>
                <w:sz w:val="21"/>
              </w:rPr>
              <w:t>经双方达成复效协议，自您补交保险费、利息及其他未还款项之日起，本附加合同效力恢复。</w:t>
            </w:r>
          </w:p>
          <w:p>
            <w:pPr>
              <w:pStyle w:val="TableParagraph"/>
              <w:spacing w:line="273" w:lineRule="auto" w:before="12"/>
              <w:ind w:left="100" w:right="99"/>
              <w:rPr>
                <w:sz w:val="21"/>
              </w:rPr>
            </w:pPr>
            <w:r>
              <w:rPr>
                <w:spacing w:val="-5"/>
                <w:sz w:val="21"/>
              </w:rPr>
              <w:t>自本附加合同效力中止之日起满 </w:t>
            </w:r>
            <w:r>
              <w:rPr>
                <w:sz w:val="21"/>
              </w:rPr>
              <w:t>2</w:t>
            </w:r>
            <w:r>
              <w:rPr>
                <w:spacing w:val="-8"/>
                <w:sz w:val="21"/>
              </w:rPr>
              <w:t> 年您和我们未达成协议的，本附加合同终</w:t>
            </w:r>
            <w:r>
              <w:rPr>
                <w:spacing w:val="-5"/>
                <w:sz w:val="21"/>
              </w:rPr>
              <w:t>止，我们向您退还本附加合同效力中止时的现金价值。</w:t>
            </w:r>
          </w:p>
          <w:p>
            <w:pPr>
              <w:pStyle w:val="TableParagraph"/>
              <w:spacing w:before="8"/>
              <w:ind w:left="100"/>
              <w:rPr>
                <w:sz w:val="21"/>
              </w:rPr>
            </w:pPr>
            <w:r>
              <w:rPr>
                <w:sz w:val="21"/>
              </w:rPr>
              <w:t>主合同效力中止期间，本附加合同不得单独申请复效。</w:t>
            </w:r>
          </w:p>
        </w:tc>
      </w:tr>
      <w:tr>
        <w:trPr>
          <w:trHeight w:val="760" w:hRule="atLeast"/>
        </w:trPr>
        <w:tc>
          <w:tcPr>
            <w:tcW w:w="840" w:type="dxa"/>
            <w:tcBorders>
              <w:bottom w:val="double" w:sz="1" w:space="0" w:color="000000"/>
            </w:tcBorders>
          </w:tcPr>
          <w:p>
            <w:pPr>
              <w:pStyle w:val="TableParagraph"/>
              <w:spacing w:before="223"/>
              <w:ind w:left="107"/>
              <w:rPr>
                <w:b/>
                <w:sz w:val="28"/>
              </w:rPr>
            </w:pPr>
            <w:r>
              <w:rPr>
                <w:b/>
                <w:w w:val="99"/>
                <w:sz w:val="28"/>
              </w:rPr>
              <w:t>7</w:t>
            </w:r>
          </w:p>
        </w:tc>
        <w:tc>
          <w:tcPr>
            <w:tcW w:w="1881" w:type="dxa"/>
            <w:tcBorders>
              <w:bottom w:val="double" w:sz="1" w:space="0" w:color="000000"/>
            </w:tcBorders>
          </w:tcPr>
          <w:p>
            <w:pPr>
              <w:pStyle w:val="TableParagraph"/>
              <w:spacing w:before="223"/>
              <w:ind w:left="415"/>
              <w:rPr>
                <w:b/>
                <w:sz w:val="28"/>
              </w:rPr>
            </w:pPr>
            <w:r>
              <w:rPr>
                <w:b/>
                <w:sz w:val="28"/>
              </w:rPr>
              <w:t>合同解除</w:t>
            </w:r>
          </w:p>
        </w:tc>
        <w:tc>
          <w:tcPr>
            <w:tcW w:w="7146" w:type="dxa"/>
            <w:tcBorders>
              <w:bottom w:val="double" w:sz="1" w:space="0" w:color="000000"/>
            </w:tcBorders>
          </w:tcPr>
          <w:p>
            <w:pPr>
              <w:pStyle w:val="TableParagraph"/>
              <w:rPr>
                <w:rFonts w:ascii="Times New Roman"/>
                <w:sz w:val="20"/>
              </w:rPr>
            </w:pPr>
          </w:p>
        </w:tc>
      </w:tr>
      <w:tr>
        <w:trPr>
          <w:trHeight w:val="1709" w:hRule="atLeast"/>
        </w:trPr>
        <w:tc>
          <w:tcPr>
            <w:tcW w:w="840" w:type="dxa"/>
            <w:tcBorders>
              <w:top w:val="double" w:sz="1" w:space="0" w:color="000000"/>
            </w:tcBorders>
          </w:tcPr>
          <w:p>
            <w:pPr>
              <w:pStyle w:val="TableParagraph"/>
              <w:spacing w:before="2"/>
              <w:rPr>
                <w:rFonts w:ascii="Times New Roman"/>
                <w:sz w:val="16"/>
              </w:rPr>
            </w:pPr>
          </w:p>
          <w:p>
            <w:pPr>
              <w:pStyle w:val="TableParagraph"/>
              <w:ind w:left="107"/>
              <w:rPr>
                <w:b/>
                <w:sz w:val="21"/>
              </w:rPr>
            </w:pPr>
            <w:r>
              <w:rPr>
                <w:b/>
                <w:sz w:val="21"/>
              </w:rPr>
              <w:t>7.1</w:t>
            </w:r>
          </w:p>
        </w:tc>
        <w:tc>
          <w:tcPr>
            <w:tcW w:w="1881" w:type="dxa"/>
            <w:tcBorders>
              <w:top w:val="double" w:sz="1" w:space="0" w:color="000000"/>
            </w:tcBorders>
          </w:tcPr>
          <w:p>
            <w:pPr>
              <w:pStyle w:val="TableParagraph"/>
              <w:spacing w:before="2"/>
              <w:rPr>
                <w:rFonts w:ascii="Times New Roman"/>
                <w:sz w:val="16"/>
              </w:rPr>
            </w:pPr>
          </w:p>
          <w:p>
            <w:pPr>
              <w:pStyle w:val="TableParagraph"/>
              <w:spacing w:line="273" w:lineRule="auto"/>
              <w:ind w:left="415" w:right="95"/>
              <w:jc w:val="both"/>
              <w:rPr>
                <w:b/>
                <w:sz w:val="21"/>
              </w:rPr>
            </w:pPr>
            <w:r>
              <w:rPr>
                <w:b/>
                <w:sz w:val="21"/>
              </w:rPr>
              <w:t>犹豫期后解除合同（退保） 的手续及风险</w:t>
            </w:r>
          </w:p>
        </w:tc>
        <w:tc>
          <w:tcPr>
            <w:tcW w:w="7146" w:type="dxa"/>
            <w:tcBorders>
              <w:top w:val="double" w:sz="1" w:space="0" w:color="000000"/>
            </w:tcBorders>
          </w:tcPr>
          <w:p>
            <w:pPr>
              <w:pStyle w:val="TableParagraph"/>
              <w:spacing w:before="2"/>
              <w:rPr>
                <w:rFonts w:ascii="Times New Roman"/>
                <w:sz w:val="16"/>
              </w:rPr>
            </w:pPr>
          </w:p>
          <w:p>
            <w:pPr>
              <w:pStyle w:val="TableParagraph"/>
              <w:spacing w:line="273" w:lineRule="auto"/>
              <w:ind w:left="100" w:right="99"/>
              <w:rPr>
                <w:sz w:val="21"/>
              </w:rPr>
            </w:pPr>
            <w:r>
              <w:rPr>
                <w:spacing w:val="-6"/>
                <w:sz w:val="21"/>
              </w:rPr>
              <w:t>如您在犹豫期后申请解除本附加合同</w:t>
            </w:r>
            <w:r>
              <w:rPr>
                <w:sz w:val="21"/>
              </w:rPr>
              <w:t>（</w:t>
            </w:r>
            <w:r>
              <w:rPr>
                <w:spacing w:val="-3"/>
                <w:sz w:val="21"/>
              </w:rPr>
              <w:t>简称退保</w:t>
            </w:r>
            <w:r>
              <w:rPr>
                <w:spacing w:val="-80"/>
                <w:sz w:val="21"/>
              </w:rPr>
              <w:t>）</w:t>
            </w:r>
            <w:r>
              <w:rPr>
                <w:spacing w:val="-10"/>
                <w:sz w:val="21"/>
              </w:rPr>
              <w:t>，请填写解除合同申请书并</w:t>
            </w:r>
            <w:r>
              <w:rPr>
                <w:spacing w:val="-5"/>
                <w:sz w:val="21"/>
              </w:rPr>
              <w:t>向我们提供下列资料：</w:t>
            </w:r>
          </w:p>
          <w:p>
            <w:pPr>
              <w:pStyle w:val="TableParagraph"/>
              <w:spacing w:before="7"/>
              <w:ind w:left="100"/>
              <w:rPr>
                <w:sz w:val="21"/>
              </w:rPr>
            </w:pPr>
            <w:r>
              <w:rPr>
                <w:sz w:val="21"/>
              </w:rPr>
              <w:t>（1）保险合同；</w:t>
            </w:r>
          </w:p>
          <w:p>
            <w:pPr>
              <w:pStyle w:val="TableParagraph"/>
              <w:spacing w:before="36"/>
              <w:ind w:left="100"/>
              <w:rPr>
                <w:sz w:val="21"/>
              </w:rPr>
            </w:pPr>
            <w:r>
              <w:rPr>
                <w:sz w:val="21"/>
              </w:rPr>
              <w:t>（2）您的法定有效身份证明。</w:t>
            </w:r>
          </w:p>
          <w:p>
            <w:pPr>
              <w:pStyle w:val="TableParagraph"/>
              <w:spacing w:line="255" w:lineRule="exact" w:before="36"/>
              <w:ind w:left="100"/>
              <w:rPr>
                <w:sz w:val="21"/>
              </w:rPr>
            </w:pPr>
            <w:r>
              <w:rPr>
                <w:sz w:val="21"/>
              </w:rPr>
              <w:t>自我们收到解除合同申请书时起，本附加合同终止。我们自收到解除合同申</w:t>
            </w:r>
          </w:p>
        </w:tc>
      </w:tr>
    </w:tbl>
    <w:p>
      <w:pPr>
        <w:spacing w:after="0" w:line="255" w:lineRule="exact"/>
        <w:rPr>
          <w:sz w:val="21"/>
        </w:rPr>
        <w:sectPr>
          <w:pgSz w:w="11910" w:h="16840"/>
          <w:pgMar w:header="568" w:footer="458" w:top="800" w:bottom="640" w:left="800" w:right="1020"/>
        </w:sectPr>
      </w:pPr>
    </w:p>
    <w:p>
      <w:pPr>
        <w:pStyle w:val="BodyText"/>
        <w:rPr>
          <w:rFonts w:ascii="Times New Roman"/>
          <w:sz w:val="20"/>
        </w:rPr>
      </w:pPr>
    </w:p>
    <w:p>
      <w:pPr>
        <w:pStyle w:val="BodyText"/>
        <w:spacing w:before="2" w:after="1"/>
        <w:rPr>
          <w:rFonts w:ascii="Times New Roman"/>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0"/>
        <w:gridCol w:w="1881"/>
        <w:gridCol w:w="7146"/>
      </w:tblGrid>
      <w:tr>
        <w:trPr>
          <w:trHeight w:val="945" w:hRule="atLeast"/>
        </w:trPr>
        <w:tc>
          <w:tcPr>
            <w:tcW w:w="840" w:type="dxa"/>
          </w:tcPr>
          <w:p>
            <w:pPr>
              <w:pStyle w:val="TableParagraph"/>
              <w:rPr>
                <w:rFonts w:ascii="Times New Roman"/>
                <w:sz w:val="20"/>
              </w:rPr>
            </w:pPr>
          </w:p>
        </w:tc>
        <w:tc>
          <w:tcPr>
            <w:tcW w:w="1881" w:type="dxa"/>
          </w:tcPr>
          <w:p>
            <w:pPr>
              <w:pStyle w:val="TableParagraph"/>
              <w:rPr>
                <w:rFonts w:ascii="Times New Roman"/>
                <w:sz w:val="20"/>
              </w:rPr>
            </w:pPr>
          </w:p>
        </w:tc>
        <w:tc>
          <w:tcPr>
            <w:tcW w:w="7146" w:type="dxa"/>
          </w:tcPr>
          <w:p>
            <w:pPr>
              <w:pStyle w:val="TableParagraph"/>
              <w:spacing w:line="211" w:lineRule="exact"/>
              <w:ind w:left="100"/>
              <w:rPr>
                <w:sz w:val="21"/>
              </w:rPr>
            </w:pPr>
            <w:r>
              <w:rPr>
                <w:sz w:val="21"/>
              </w:rPr>
              <w:t>请书之日起 30 日内向您退还本附加合同当时的现金价值。</w:t>
            </w:r>
          </w:p>
          <w:p>
            <w:pPr>
              <w:pStyle w:val="TableParagraph"/>
              <w:spacing w:before="37"/>
              <w:ind w:left="100"/>
              <w:rPr>
                <w:sz w:val="21"/>
              </w:rPr>
            </w:pPr>
            <w:r>
              <w:rPr>
                <w:sz w:val="21"/>
              </w:rPr>
              <w:t>您犹豫期后解除合同会遭受一定损失。</w:t>
            </w:r>
          </w:p>
        </w:tc>
      </w:tr>
      <w:tr>
        <w:trPr>
          <w:trHeight w:val="874" w:hRule="atLeast"/>
        </w:trPr>
        <w:tc>
          <w:tcPr>
            <w:tcW w:w="840" w:type="dxa"/>
            <w:tcBorders>
              <w:bottom w:val="double" w:sz="1" w:space="0" w:color="000000"/>
            </w:tcBorders>
          </w:tcPr>
          <w:p>
            <w:pPr>
              <w:pStyle w:val="TableParagraph"/>
              <w:spacing w:before="3"/>
              <w:rPr>
                <w:rFonts w:ascii="Times New Roman"/>
                <w:sz w:val="29"/>
              </w:rPr>
            </w:pPr>
          </w:p>
          <w:p>
            <w:pPr>
              <w:pStyle w:val="TableParagraph"/>
              <w:ind w:left="107"/>
              <w:rPr>
                <w:b/>
                <w:sz w:val="28"/>
              </w:rPr>
            </w:pPr>
            <w:r>
              <w:rPr>
                <w:b/>
                <w:w w:val="99"/>
                <w:sz w:val="28"/>
              </w:rPr>
              <w:t>8</w:t>
            </w:r>
          </w:p>
        </w:tc>
        <w:tc>
          <w:tcPr>
            <w:tcW w:w="1881" w:type="dxa"/>
            <w:tcBorders>
              <w:bottom w:val="double" w:sz="1" w:space="0" w:color="000000"/>
            </w:tcBorders>
          </w:tcPr>
          <w:p>
            <w:pPr>
              <w:pStyle w:val="TableParagraph"/>
              <w:spacing w:before="3"/>
              <w:rPr>
                <w:rFonts w:ascii="Times New Roman"/>
                <w:sz w:val="29"/>
              </w:rPr>
            </w:pPr>
          </w:p>
          <w:p>
            <w:pPr>
              <w:pStyle w:val="TableParagraph"/>
              <w:ind w:left="415"/>
              <w:rPr>
                <w:b/>
                <w:sz w:val="28"/>
              </w:rPr>
            </w:pPr>
            <w:r>
              <w:rPr>
                <w:b/>
                <w:sz w:val="28"/>
              </w:rPr>
              <w:t>如实告知</w:t>
            </w:r>
          </w:p>
        </w:tc>
        <w:tc>
          <w:tcPr>
            <w:tcW w:w="7146" w:type="dxa"/>
            <w:tcBorders>
              <w:bottom w:val="double" w:sz="1" w:space="0" w:color="000000"/>
            </w:tcBorders>
          </w:tcPr>
          <w:p>
            <w:pPr>
              <w:pStyle w:val="TableParagraph"/>
              <w:rPr>
                <w:rFonts w:ascii="Times New Roman"/>
                <w:sz w:val="20"/>
              </w:rPr>
            </w:pPr>
          </w:p>
        </w:tc>
      </w:tr>
      <w:tr>
        <w:trPr>
          <w:trHeight w:val="4931" w:hRule="atLeast"/>
        </w:trPr>
        <w:tc>
          <w:tcPr>
            <w:tcW w:w="840" w:type="dxa"/>
            <w:tcBorders>
              <w:top w:val="double" w:sz="1" w:space="0" w:color="000000"/>
            </w:tcBorders>
          </w:tcPr>
          <w:p>
            <w:pPr>
              <w:pStyle w:val="TableParagraph"/>
              <w:spacing w:before="145"/>
              <w:ind w:left="107"/>
              <w:rPr>
                <w:b/>
                <w:sz w:val="21"/>
              </w:rPr>
            </w:pPr>
            <w:r>
              <w:rPr>
                <w:b/>
                <w:sz w:val="21"/>
              </w:rPr>
              <w:t>8.1</w:t>
            </w:r>
          </w:p>
        </w:tc>
        <w:tc>
          <w:tcPr>
            <w:tcW w:w="1881" w:type="dxa"/>
            <w:tcBorders>
              <w:top w:val="double" w:sz="1" w:space="0" w:color="000000"/>
            </w:tcBorders>
          </w:tcPr>
          <w:p>
            <w:pPr>
              <w:pStyle w:val="TableParagraph"/>
              <w:spacing w:line="273" w:lineRule="auto" w:before="145"/>
              <w:ind w:left="415" w:right="111"/>
              <w:rPr>
                <w:b/>
                <w:sz w:val="21"/>
              </w:rPr>
            </w:pPr>
            <w:r>
              <w:rPr>
                <w:b/>
                <w:sz w:val="21"/>
              </w:rPr>
              <w:t>明确说明与如实告知</w:t>
            </w:r>
          </w:p>
        </w:tc>
        <w:tc>
          <w:tcPr>
            <w:tcW w:w="7146" w:type="dxa"/>
            <w:tcBorders>
              <w:top w:val="double" w:sz="1" w:space="0" w:color="000000"/>
            </w:tcBorders>
          </w:tcPr>
          <w:p>
            <w:pPr>
              <w:pStyle w:val="TableParagraph"/>
              <w:spacing w:before="145"/>
              <w:ind w:left="100"/>
              <w:rPr>
                <w:sz w:val="21"/>
              </w:rPr>
            </w:pPr>
            <w:r>
              <w:rPr>
                <w:sz w:val="21"/>
              </w:rPr>
              <w:t>订立本附加合同时，我们会向您说明本附加合同的内容。</w:t>
            </w:r>
          </w:p>
          <w:p>
            <w:pPr>
              <w:pStyle w:val="TableParagraph"/>
              <w:spacing w:line="273" w:lineRule="auto" w:before="37"/>
              <w:ind w:left="100" w:right="106"/>
              <w:jc w:val="both"/>
              <w:rPr>
                <w:sz w:val="21"/>
              </w:rPr>
            </w:pPr>
            <w:r>
              <w:rPr>
                <w:sz w:val="21"/>
              </w:rPr>
              <w:t>对保险条款中免除本公司责任的条款，我们在订立合同时会在投保单、保险单或者其他保险凭证上作出足以引起您注意的提示，并对该条款的内容以书面或者口头形式向您作出明确说明，未作提示或者明确说明的，该条款不产生效力。</w:t>
            </w:r>
          </w:p>
          <w:p>
            <w:pPr>
              <w:pStyle w:val="TableParagraph"/>
              <w:spacing w:before="8"/>
              <w:ind w:left="100"/>
              <w:rPr>
                <w:sz w:val="21"/>
              </w:rPr>
            </w:pPr>
            <w:r>
              <w:rPr>
                <w:sz w:val="21"/>
              </w:rPr>
              <w:t>我们就您和被保险人的有关情况提出询问，您应当如实告知。</w:t>
            </w:r>
          </w:p>
          <w:p>
            <w:pPr>
              <w:pStyle w:val="TableParagraph"/>
              <w:spacing w:line="273" w:lineRule="auto" w:before="37"/>
              <w:ind w:left="100" w:right="106"/>
              <w:jc w:val="both"/>
              <w:rPr>
                <w:sz w:val="21"/>
              </w:rPr>
            </w:pPr>
            <w:r>
              <w:rPr>
                <w:sz w:val="21"/>
              </w:rPr>
              <w:t>如果您故意或者因重大过失未履行前款规定的如实告知义务，足以影响我们决定是否同意承保或者提高保险费率的，我们有权解除本附加合同。</w:t>
            </w:r>
          </w:p>
          <w:p>
            <w:pPr>
              <w:pStyle w:val="TableParagraph"/>
              <w:spacing w:line="273" w:lineRule="auto" w:before="7"/>
              <w:ind w:left="100" w:right="106"/>
              <w:jc w:val="both"/>
              <w:rPr>
                <w:sz w:val="21"/>
              </w:rPr>
            </w:pPr>
            <w:r>
              <w:rPr>
                <w:sz w:val="21"/>
              </w:rPr>
              <w:t>如果您故意不履行如实告知义务，对于本附加合同解除前发生的保险事故， 我们不承担豁免保险费的责任，并不退还保险费。</w:t>
            </w:r>
          </w:p>
          <w:p>
            <w:pPr>
              <w:pStyle w:val="TableParagraph"/>
              <w:spacing w:line="273" w:lineRule="auto" w:before="7"/>
              <w:ind w:left="100" w:right="106"/>
              <w:jc w:val="both"/>
              <w:rPr>
                <w:sz w:val="21"/>
              </w:rPr>
            </w:pPr>
            <w:r>
              <w:rPr>
                <w:sz w:val="21"/>
              </w:rPr>
              <w:t>如果您因重大过失未履行如实告知义务，对保险事故的发生有严重影响的， 对于本附加合同解除前发生的保险事故，我们不承担豁免保险费的责任，但应当退还保险费。</w:t>
            </w:r>
          </w:p>
          <w:p>
            <w:pPr>
              <w:pStyle w:val="TableParagraph"/>
              <w:spacing w:line="273" w:lineRule="auto" w:before="7"/>
              <w:ind w:left="100" w:right="99"/>
              <w:jc w:val="both"/>
              <w:rPr>
                <w:sz w:val="21"/>
              </w:rPr>
            </w:pPr>
            <w:r>
              <w:rPr>
                <w:sz w:val="21"/>
              </w:rPr>
              <w:t>我们在合同订立时已经知道您未如实告知的情况的，我们不得解除合同；发生保险事故的，我们承担豁免保险费的责任。</w:t>
            </w:r>
          </w:p>
        </w:tc>
      </w:tr>
      <w:tr>
        <w:trPr>
          <w:trHeight w:val="1316" w:hRule="atLeast"/>
        </w:trPr>
        <w:tc>
          <w:tcPr>
            <w:tcW w:w="840" w:type="dxa"/>
          </w:tcPr>
          <w:p>
            <w:pPr>
              <w:pStyle w:val="TableParagraph"/>
              <w:spacing w:before="79"/>
              <w:ind w:left="107"/>
              <w:rPr>
                <w:b/>
                <w:sz w:val="21"/>
              </w:rPr>
            </w:pPr>
            <w:r>
              <w:rPr>
                <w:b/>
                <w:sz w:val="21"/>
              </w:rPr>
              <w:t>8.2</w:t>
            </w:r>
          </w:p>
        </w:tc>
        <w:tc>
          <w:tcPr>
            <w:tcW w:w="1881" w:type="dxa"/>
          </w:tcPr>
          <w:p>
            <w:pPr>
              <w:pStyle w:val="TableParagraph"/>
              <w:spacing w:line="273" w:lineRule="auto" w:before="79"/>
              <w:ind w:left="415" w:right="95"/>
              <w:rPr>
                <w:b/>
                <w:sz w:val="21"/>
              </w:rPr>
            </w:pPr>
            <w:r>
              <w:rPr>
                <w:b/>
                <w:sz w:val="21"/>
              </w:rPr>
              <w:t>本公司合同解除权的限制</w:t>
            </w:r>
          </w:p>
        </w:tc>
        <w:tc>
          <w:tcPr>
            <w:tcW w:w="7146" w:type="dxa"/>
          </w:tcPr>
          <w:p>
            <w:pPr>
              <w:pStyle w:val="TableParagraph"/>
              <w:spacing w:before="79"/>
              <w:ind w:left="100"/>
              <w:rPr>
                <w:sz w:val="21"/>
              </w:rPr>
            </w:pPr>
            <w:r>
              <w:rPr>
                <w:spacing w:val="-11"/>
                <w:sz w:val="21"/>
              </w:rPr>
              <w:t>前条规定的合同解除权，自我们知道有解除事由之日起，超过 </w:t>
            </w:r>
            <w:r>
              <w:rPr>
                <w:sz w:val="21"/>
              </w:rPr>
              <w:t>30</w:t>
            </w:r>
            <w:r>
              <w:rPr>
                <w:spacing w:val="-8"/>
                <w:sz w:val="21"/>
              </w:rPr>
              <w:t> 日不行使而</w:t>
            </w:r>
          </w:p>
          <w:p>
            <w:pPr>
              <w:pStyle w:val="TableParagraph"/>
              <w:spacing w:line="273" w:lineRule="auto" w:before="37"/>
              <w:ind w:left="100" w:right="99"/>
              <w:rPr>
                <w:sz w:val="21"/>
              </w:rPr>
            </w:pPr>
            <w:r>
              <w:rPr>
                <w:spacing w:val="-5"/>
                <w:sz w:val="21"/>
              </w:rPr>
              <w:t>消灭。自本附加合同成立之日起超过 </w:t>
            </w:r>
            <w:r>
              <w:rPr>
                <w:sz w:val="21"/>
              </w:rPr>
              <w:t>2</w:t>
            </w:r>
            <w:r>
              <w:rPr>
                <w:spacing w:val="-7"/>
                <w:sz w:val="21"/>
              </w:rPr>
              <w:t> 年的，我们不得解除合同；发生保险</w:t>
            </w:r>
            <w:r>
              <w:rPr>
                <w:spacing w:val="-3"/>
                <w:sz w:val="21"/>
              </w:rPr>
              <w:t>事故的，我们承担豁免保险费的责任。</w:t>
            </w:r>
          </w:p>
        </w:tc>
      </w:tr>
      <w:tr>
        <w:trPr>
          <w:trHeight w:val="790" w:hRule="atLeast"/>
        </w:trPr>
        <w:tc>
          <w:tcPr>
            <w:tcW w:w="840" w:type="dxa"/>
            <w:tcBorders>
              <w:bottom w:val="double" w:sz="1" w:space="0" w:color="000000"/>
            </w:tcBorders>
          </w:tcPr>
          <w:p>
            <w:pPr>
              <w:pStyle w:val="TableParagraph"/>
              <w:spacing w:before="11"/>
              <w:rPr>
                <w:rFonts w:ascii="Times New Roman"/>
                <w:sz w:val="21"/>
              </w:rPr>
            </w:pPr>
          </w:p>
          <w:p>
            <w:pPr>
              <w:pStyle w:val="TableParagraph"/>
              <w:ind w:left="107"/>
              <w:rPr>
                <w:b/>
                <w:sz w:val="28"/>
              </w:rPr>
            </w:pPr>
            <w:r>
              <w:rPr>
                <w:b/>
                <w:w w:val="99"/>
                <w:sz w:val="28"/>
              </w:rPr>
              <w:t>9</w:t>
            </w:r>
          </w:p>
        </w:tc>
        <w:tc>
          <w:tcPr>
            <w:tcW w:w="9027" w:type="dxa"/>
            <w:gridSpan w:val="2"/>
            <w:tcBorders>
              <w:bottom w:val="double" w:sz="1" w:space="0" w:color="000000"/>
            </w:tcBorders>
          </w:tcPr>
          <w:p>
            <w:pPr>
              <w:pStyle w:val="TableParagraph"/>
              <w:spacing w:before="11"/>
              <w:rPr>
                <w:rFonts w:ascii="Times New Roman"/>
                <w:sz w:val="21"/>
              </w:rPr>
            </w:pPr>
          </w:p>
          <w:p>
            <w:pPr>
              <w:pStyle w:val="TableParagraph"/>
              <w:ind w:left="415"/>
              <w:rPr>
                <w:b/>
                <w:sz w:val="28"/>
              </w:rPr>
            </w:pPr>
            <w:r>
              <w:rPr>
                <w:b/>
                <w:w w:val="95"/>
                <w:sz w:val="28"/>
              </w:rPr>
              <w:t>其他需要关注的事项</w:t>
            </w:r>
          </w:p>
        </w:tc>
      </w:tr>
      <w:tr>
        <w:trPr>
          <w:trHeight w:val="4055" w:hRule="atLeast"/>
        </w:trPr>
        <w:tc>
          <w:tcPr>
            <w:tcW w:w="840" w:type="dxa"/>
            <w:tcBorders>
              <w:top w:val="double" w:sz="1" w:space="0" w:color="000000"/>
            </w:tcBorders>
          </w:tcPr>
          <w:p>
            <w:pPr>
              <w:pStyle w:val="TableParagraph"/>
              <w:spacing w:before="11"/>
              <w:rPr>
                <w:rFonts w:ascii="Times New Roman"/>
                <w:sz w:val="15"/>
              </w:rPr>
            </w:pPr>
          </w:p>
          <w:p>
            <w:pPr>
              <w:pStyle w:val="TableParagraph"/>
              <w:ind w:left="107"/>
              <w:rPr>
                <w:b/>
                <w:sz w:val="21"/>
              </w:rPr>
            </w:pPr>
            <w:r>
              <w:rPr>
                <w:b/>
                <w:sz w:val="21"/>
              </w:rPr>
              <w:t>9.1</w:t>
            </w:r>
          </w:p>
        </w:tc>
        <w:tc>
          <w:tcPr>
            <w:tcW w:w="1881" w:type="dxa"/>
            <w:tcBorders>
              <w:top w:val="double" w:sz="1" w:space="0" w:color="000000"/>
            </w:tcBorders>
          </w:tcPr>
          <w:p>
            <w:pPr>
              <w:pStyle w:val="TableParagraph"/>
              <w:spacing w:before="11"/>
              <w:rPr>
                <w:rFonts w:ascii="Times New Roman"/>
                <w:sz w:val="15"/>
              </w:rPr>
            </w:pPr>
          </w:p>
          <w:p>
            <w:pPr>
              <w:pStyle w:val="TableParagraph"/>
              <w:spacing w:line="273" w:lineRule="auto"/>
              <w:ind w:left="415" w:right="95"/>
              <w:rPr>
                <w:b/>
                <w:sz w:val="21"/>
              </w:rPr>
            </w:pPr>
            <w:r>
              <w:rPr>
                <w:b/>
                <w:sz w:val="21"/>
              </w:rPr>
              <w:t>年龄性别错误处理</w:t>
            </w:r>
          </w:p>
        </w:tc>
        <w:tc>
          <w:tcPr>
            <w:tcW w:w="7146" w:type="dxa"/>
            <w:tcBorders>
              <w:top w:val="double" w:sz="1" w:space="0" w:color="000000"/>
            </w:tcBorders>
          </w:tcPr>
          <w:p>
            <w:pPr>
              <w:pStyle w:val="TableParagraph"/>
              <w:spacing w:before="11"/>
              <w:rPr>
                <w:rFonts w:ascii="Times New Roman"/>
                <w:sz w:val="15"/>
              </w:rPr>
            </w:pPr>
          </w:p>
          <w:p>
            <w:pPr>
              <w:pStyle w:val="TableParagraph"/>
              <w:spacing w:line="273" w:lineRule="auto"/>
              <w:ind w:left="100" w:right="99" w:firstLine="2"/>
              <w:jc w:val="both"/>
              <w:rPr>
                <w:sz w:val="21"/>
              </w:rPr>
            </w:pPr>
            <w:r>
              <w:rPr>
                <w:sz w:val="21"/>
              </w:rPr>
              <w:t>被保险人的年龄以周岁计算，您在申请投保时，应将与法定有效身份证件相符的被保险人的出生日期、年龄及真实性别在投保单上填明，如果发生错误按照下列方式办理：</w:t>
            </w:r>
          </w:p>
          <w:p>
            <w:pPr>
              <w:pStyle w:val="TableParagraph"/>
              <w:spacing w:line="268" w:lineRule="auto" w:before="7"/>
              <w:ind w:left="604" w:right="77" w:hanging="504"/>
              <w:jc w:val="both"/>
              <w:rPr>
                <w:sz w:val="21"/>
              </w:rPr>
            </w:pPr>
            <w:r>
              <w:rPr>
                <w:spacing w:val="-17"/>
                <w:sz w:val="21"/>
              </w:rPr>
              <w:t>（1）</w:t>
            </w:r>
            <w:r>
              <w:rPr>
                <w:spacing w:val="-7"/>
                <w:sz w:val="21"/>
              </w:rPr>
              <w:t>您申报的被保险人年龄不真实，并且其真实年龄不符合本附加合同约定</w:t>
            </w:r>
            <w:r>
              <w:rPr>
                <w:spacing w:val="-11"/>
                <w:sz w:val="21"/>
              </w:rPr>
              <w:t>投保年龄限制的，我们有权解除合同，并向您退还本附加合同当时的现</w:t>
            </w:r>
            <w:r>
              <w:rPr>
                <w:spacing w:val="-8"/>
                <w:sz w:val="21"/>
              </w:rPr>
              <w:t>金价值。本公司行使合同解除权适用 </w:t>
            </w:r>
            <w:r>
              <w:rPr>
                <w:i/>
                <w:sz w:val="22"/>
              </w:rPr>
              <w:t>8.2</w:t>
            </w:r>
            <w:r>
              <w:rPr>
                <w:spacing w:val="-3"/>
                <w:sz w:val="21"/>
              </w:rPr>
              <w:t>“本公司合同解除权的限制” 的规定。</w:t>
            </w:r>
          </w:p>
          <w:p>
            <w:pPr>
              <w:pStyle w:val="TableParagraph"/>
              <w:spacing w:line="273" w:lineRule="auto" w:before="11"/>
              <w:ind w:left="628" w:right="99" w:hanging="526"/>
              <w:jc w:val="both"/>
              <w:rPr>
                <w:sz w:val="21"/>
              </w:rPr>
            </w:pPr>
            <w:r>
              <w:rPr>
                <w:spacing w:val="-17"/>
                <w:sz w:val="21"/>
              </w:rPr>
              <w:t>（2）</w:t>
            </w:r>
            <w:r>
              <w:rPr>
                <w:spacing w:val="-6"/>
                <w:sz w:val="21"/>
              </w:rPr>
              <w:t>您申报的被保险人年龄或性别不真实，致使您实交保险费少于应交保险</w:t>
            </w:r>
            <w:r>
              <w:rPr>
                <w:spacing w:val="-11"/>
                <w:sz w:val="21"/>
              </w:rPr>
              <w:t>费的，我们有权更正并要求您补交保险费。若已发生保险事故，我们将</w:t>
            </w:r>
            <w:r>
              <w:rPr>
                <w:spacing w:val="-6"/>
                <w:sz w:val="21"/>
              </w:rPr>
              <w:t>按实缴保险费和应缴保险费的比例折算应豁免的保险费。</w:t>
            </w:r>
          </w:p>
          <w:p>
            <w:pPr>
              <w:pStyle w:val="TableParagraph"/>
              <w:spacing w:line="273" w:lineRule="auto" w:before="7"/>
              <w:ind w:left="604" w:right="99" w:hanging="504"/>
              <w:jc w:val="both"/>
              <w:rPr>
                <w:sz w:val="21"/>
              </w:rPr>
            </w:pPr>
            <w:r>
              <w:rPr>
                <w:spacing w:val="-17"/>
                <w:sz w:val="21"/>
              </w:rPr>
              <w:t>（3）</w:t>
            </w:r>
            <w:r>
              <w:rPr>
                <w:spacing w:val="-6"/>
                <w:sz w:val="21"/>
              </w:rPr>
              <w:t>您申报的被保险人年龄或性别不真实，致使您实交保险费多于应交保险</w:t>
            </w:r>
            <w:r>
              <w:rPr>
                <w:spacing w:val="-4"/>
                <w:sz w:val="21"/>
              </w:rPr>
              <w:t>费的，我们会将多收的保险费无息退还给您。</w:t>
            </w:r>
          </w:p>
        </w:tc>
      </w:tr>
      <w:tr>
        <w:trPr>
          <w:trHeight w:val="850" w:hRule="atLeast"/>
        </w:trPr>
        <w:tc>
          <w:tcPr>
            <w:tcW w:w="840" w:type="dxa"/>
          </w:tcPr>
          <w:p>
            <w:pPr>
              <w:pStyle w:val="TableParagraph"/>
              <w:spacing w:before="100"/>
              <w:ind w:left="107"/>
              <w:rPr>
                <w:b/>
                <w:sz w:val="21"/>
              </w:rPr>
            </w:pPr>
            <w:r>
              <w:rPr>
                <w:b/>
                <w:sz w:val="21"/>
              </w:rPr>
              <w:t>9.2</w:t>
            </w:r>
          </w:p>
        </w:tc>
        <w:tc>
          <w:tcPr>
            <w:tcW w:w="1881" w:type="dxa"/>
          </w:tcPr>
          <w:p>
            <w:pPr>
              <w:pStyle w:val="TableParagraph"/>
              <w:spacing w:before="100"/>
              <w:ind w:left="415"/>
              <w:rPr>
                <w:b/>
                <w:sz w:val="21"/>
              </w:rPr>
            </w:pPr>
            <w:r>
              <w:rPr>
                <w:b/>
                <w:sz w:val="21"/>
              </w:rPr>
              <w:t>未还款项</w:t>
            </w:r>
          </w:p>
        </w:tc>
        <w:tc>
          <w:tcPr>
            <w:tcW w:w="7146" w:type="dxa"/>
          </w:tcPr>
          <w:p>
            <w:pPr>
              <w:pStyle w:val="TableParagraph"/>
              <w:spacing w:line="273" w:lineRule="auto" w:before="100"/>
              <w:ind w:left="100" w:right="99"/>
              <w:rPr>
                <w:sz w:val="21"/>
              </w:rPr>
            </w:pPr>
            <w:r>
              <w:rPr>
                <w:sz w:val="21"/>
              </w:rPr>
              <w:t>我们在豁免保险费时，如果您有欠交保险合同的保险费或其他未还清款项， 您应先补交上述欠款及利息。</w:t>
            </w:r>
          </w:p>
        </w:tc>
      </w:tr>
      <w:tr>
        <w:trPr>
          <w:trHeight w:val="374" w:hRule="atLeast"/>
        </w:trPr>
        <w:tc>
          <w:tcPr>
            <w:tcW w:w="840" w:type="dxa"/>
          </w:tcPr>
          <w:p>
            <w:pPr>
              <w:pStyle w:val="TableParagraph"/>
              <w:spacing w:line="255" w:lineRule="exact" w:before="99"/>
              <w:ind w:left="107"/>
              <w:rPr>
                <w:b/>
                <w:sz w:val="21"/>
              </w:rPr>
            </w:pPr>
            <w:r>
              <w:rPr>
                <w:b/>
                <w:sz w:val="21"/>
              </w:rPr>
              <w:t>9.3</w:t>
            </w:r>
          </w:p>
        </w:tc>
        <w:tc>
          <w:tcPr>
            <w:tcW w:w="1881" w:type="dxa"/>
          </w:tcPr>
          <w:p>
            <w:pPr>
              <w:pStyle w:val="TableParagraph"/>
              <w:spacing w:line="255" w:lineRule="exact" w:before="99"/>
              <w:ind w:left="415"/>
              <w:rPr>
                <w:b/>
                <w:sz w:val="21"/>
              </w:rPr>
            </w:pPr>
            <w:r>
              <w:rPr>
                <w:b/>
                <w:sz w:val="21"/>
              </w:rPr>
              <w:t>合同效力终止</w:t>
            </w:r>
          </w:p>
        </w:tc>
        <w:tc>
          <w:tcPr>
            <w:tcW w:w="7146" w:type="dxa"/>
          </w:tcPr>
          <w:p>
            <w:pPr>
              <w:pStyle w:val="TableParagraph"/>
              <w:spacing w:line="255" w:lineRule="exact" w:before="99"/>
              <w:ind w:left="100"/>
              <w:rPr>
                <w:sz w:val="21"/>
              </w:rPr>
            </w:pPr>
            <w:r>
              <w:rPr>
                <w:sz w:val="21"/>
              </w:rPr>
              <w:t>当发生下列情形之一时，本附加合同效力终止：</w:t>
            </w:r>
          </w:p>
        </w:tc>
      </w:tr>
    </w:tbl>
    <w:p>
      <w:pPr>
        <w:spacing w:after="0" w:line="255" w:lineRule="exact"/>
        <w:rPr>
          <w:sz w:val="21"/>
        </w:rPr>
        <w:sectPr>
          <w:pgSz w:w="11910" w:h="16840"/>
          <w:pgMar w:header="568" w:footer="458" w:top="800" w:bottom="640" w:left="800" w:right="1020"/>
        </w:sectPr>
      </w:pPr>
    </w:p>
    <w:p>
      <w:pPr>
        <w:pStyle w:val="BodyText"/>
        <w:rPr>
          <w:rFonts w:ascii="Times New Roman"/>
          <w:sz w:val="20"/>
        </w:rPr>
      </w:pPr>
    </w:p>
    <w:p>
      <w:pPr>
        <w:pStyle w:val="BodyText"/>
        <w:spacing w:before="7"/>
        <w:rPr>
          <w:rFonts w:ascii="Times New Roman"/>
          <w:sz w:val="12"/>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3"/>
        <w:gridCol w:w="1825"/>
        <w:gridCol w:w="7150"/>
      </w:tblGrid>
      <w:tr>
        <w:trPr>
          <w:trHeight w:val="1296" w:hRule="atLeast"/>
        </w:trPr>
        <w:tc>
          <w:tcPr>
            <w:tcW w:w="893" w:type="dxa"/>
          </w:tcPr>
          <w:p>
            <w:pPr>
              <w:pStyle w:val="TableParagraph"/>
              <w:rPr>
                <w:rFonts w:ascii="Times New Roman"/>
                <w:sz w:val="20"/>
              </w:rPr>
            </w:pPr>
          </w:p>
        </w:tc>
        <w:tc>
          <w:tcPr>
            <w:tcW w:w="1825" w:type="dxa"/>
          </w:tcPr>
          <w:p>
            <w:pPr>
              <w:pStyle w:val="TableParagraph"/>
              <w:rPr>
                <w:rFonts w:ascii="Times New Roman"/>
                <w:sz w:val="20"/>
              </w:rPr>
            </w:pPr>
          </w:p>
        </w:tc>
        <w:tc>
          <w:tcPr>
            <w:tcW w:w="7150" w:type="dxa"/>
          </w:tcPr>
          <w:p>
            <w:pPr>
              <w:pStyle w:val="TableParagraph"/>
              <w:spacing w:line="234" w:lineRule="exact"/>
              <w:ind w:left="103"/>
              <w:rPr>
                <w:sz w:val="21"/>
              </w:rPr>
            </w:pPr>
            <w:r>
              <w:rPr>
                <w:sz w:val="21"/>
              </w:rPr>
              <w:t>（</w:t>
            </w:r>
            <w:r>
              <w:rPr>
                <w:rFonts w:ascii="Times New Roman" w:eastAsia="Times New Roman"/>
                <w:sz w:val="21"/>
              </w:rPr>
              <w:t>1</w:t>
            </w:r>
            <w:r>
              <w:rPr>
                <w:sz w:val="21"/>
              </w:rPr>
              <w:t>）主合同效力终止；</w:t>
            </w:r>
          </w:p>
          <w:p>
            <w:pPr>
              <w:pStyle w:val="TableParagraph"/>
              <w:spacing w:before="21"/>
              <w:ind w:left="103"/>
              <w:rPr>
                <w:sz w:val="21"/>
              </w:rPr>
            </w:pPr>
            <w:r>
              <w:rPr>
                <w:sz w:val="21"/>
              </w:rPr>
              <w:t>（</w:t>
            </w:r>
            <w:r>
              <w:rPr>
                <w:rFonts w:ascii="Times New Roman" w:eastAsia="Times New Roman"/>
                <w:sz w:val="21"/>
              </w:rPr>
              <w:t>2</w:t>
            </w:r>
            <w:r>
              <w:rPr>
                <w:sz w:val="21"/>
              </w:rPr>
              <w:t>）主合同办理减额交清；</w:t>
            </w:r>
          </w:p>
          <w:p>
            <w:pPr>
              <w:pStyle w:val="TableParagraph"/>
              <w:spacing w:line="291" w:lineRule="exact" w:before="21"/>
              <w:ind w:left="103"/>
              <w:rPr>
                <w:sz w:val="21"/>
              </w:rPr>
            </w:pPr>
            <w:r>
              <w:rPr>
                <w:sz w:val="21"/>
              </w:rPr>
              <w:t>（</w:t>
            </w:r>
            <w:r>
              <w:rPr>
                <w:rFonts w:ascii="Times New Roman" w:eastAsia="Times New Roman"/>
                <w:sz w:val="21"/>
              </w:rPr>
              <w:t>3</w:t>
            </w:r>
            <w:r>
              <w:rPr>
                <w:sz w:val="21"/>
              </w:rPr>
              <w:t>）您申请解除本附加险合同；</w:t>
            </w:r>
          </w:p>
          <w:p>
            <w:pPr>
              <w:pStyle w:val="TableParagraph"/>
              <w:ind w:left="103"/>
              <w:rPr>
                <w:sz w:val="21"/>
              </w:rPr>
            </w:pPr>
            <w:r>
              <w:rPr>
                <w:sz w:val="21"/>
              </w:rPr>
              <w:t>（</w:t>
            </w:r>
            <w:r>
              <w:rPr>
                <w:rFonts w:ascii="Times New Roman" w:eastAsia="Times New Roman"/>
                <w:sz w:val="21"/>
              </w:rPr>
              <w:t>4</w:t>
            </w:r>
            <w:r>
              <w:rPr>
                <w:sz w:val="21"/>
              </w:rPr>
              <w:t>）因本附加合同其他条款所列情况而效力终止。</w:t>
            </w:r>
          </w:p>
        </w:tc>
      </w:tr>
      <w:tr>
        <w:trPr>
          <w:trHeight w:val="1923" w:hRule="atLeast"/>
        </w:trPr>
        <w:tc>
          <w:tcPr>
            <w:tcW w:w="893" w:type="dxa"/>
          </w:tcPr>
          <w:p>
            <w:pPr>
              <w:pStyle w:val="TableParagraph"/>
              <w:spacing w:before="84"/>
              <w:ind w:left="107"/>
              <w:rPr>
                <w:b/>
                <w:sz w:val="21"/>
              </w:rPr>
            </w:pPr>
            <w:r>
              <w:rPr>
                <w:b/>
                <w:sz w:val="21"/>
              </w:rPr>
              <w:t>9.4</w:t>
            </w:r>
          </w:p>
        </w:tc>
        <w:tc>
          <w:tcPr>
            <w:tcW w:w="1825" w:type="dxa"/>
          </w:tcPr>
          <w:p>
            <w:pPr>
              <w:pStyle w:val="TableParagraph"/>
              <w:spacing w:line="273" w:lineRule="auto" w:before="84"/>
              <w:ind w:left="362" w:right="92"/>
              <w:rPr>
                <w:b/>
                <w:sz w:val="21"/>
              </w:rPr>
            </w:pPr>
            <w:r>
              <w:rPr>
                <w:b/>
                <w:sz w:val="21"/>
              </w:rPr>
              <w:t>适用主合同条款</w:t>
            </w:r>
          </w:p>
        </w:tc>
        <w:tc>
          <w:tcPr>
            <w:tcW w:w="7150" w:type="dxa"/>
          </w:tcPr>
          <w:p>
            <w:pPr>
              <w:pStyle w:val="TableParagraph"/>
              <w:spacing w:before="84"/>
              <w:ind w:left="103"/>
              <w:rPr>
                <w:sz w:val="21"/>
              </w:rPr>
            </w:pPr>
            <w:r>
              <w:rPr>
                <w:sz w:val="21"/>
              </w:rPr>
              <w:t>下列各项条款，适用主合同条款：</w:t>
            </w:r>
          </w:p>
          <w:p>
            <w:pPr>
              <w:pStyle w:val="TableParagraph"/>
              <w:spacing w:before="37"/>
              <w:ind w:left="103"/>
              <w:rPr>
                <w:sz w:val="21"/>
              </w:rPr>
            </w:pPr>
            <w:r>
              <w:rPr>
                <w:sz w:val="21"/>
              </w:rPr>
              <w:t>（</w:t>
            </w:r>
            <w:r>
              <w:rPr>
                <w:rFonts w:ascii="Times New Roman" w:eastAsia="Times New Roman"/>
                <w:sz w:val="21"/>
              </w:rPr>
              <w:t>1</w:t>
            </w:r>
            <w:r>
              <w:rPr>
                <w:sz w:val="21"/>
              </w:rPr>
              <w:t>）保险事故通知；</w:t>
            </w:r>
          </w:p>
          <w:p>
            <w:pPr>
              <w:pStyle w:val="TableParagraph"/>
              <w:spacing w:before="21"/>
              <w:ind w:left="103"/>
              <w:rPr>
                <w:sz w:val="21"/>
              </w:rPr>
            </w:pPr>
            <w:r>
              <w:rPr>
                <w:sz w:val="21"/>
              </w:rPr>
              <w:t>（</w:t>
            </w:r>
            <w:r>
              <w:rPr>
                <w:rFonts w:ascii="Times New Roman" w:eastAsia="Times New Roman"/>
                <w:sz w:val="21"/>
              </w:rPr>
              <w:t>2</w:t>
            </w:r>
            <w:r>
              <w:rPr>
                <w:sz w:val="21"/>
              </w:rPr>
              <w:t>）合同内容变更；</w:t>
            </w:r>
          </w:p>
          <w:p>
            <w:pPr>
              <w:pStyle w:val="TableParagraph"/>
              <w:spacing w:before="21"/>
              <w:ind w:left="103"/>
              <w:rPr>
                <w:sz w:val="21"/>
              </w:rPr>
            </w:pPr>
            <w:r>
              <w:rPr>
                <w:sz w:val="21"/>
              </w:rPr>
              <w:t>（</w:t>
            </w:r>
            <w:r>
              <w:rPr>
                <w:rFonts w:ascii="Times New Roman" w:eastAsia="Times New Roman"/>
                <w:sz w:val="21"/>
              </w:rPr>
              <w:t>3</w:t>
            </w:r>
            <w:r>
              <w:rPr>
                <w:sz w:val="21"/>
              </w:rPr>
              <w:t>）联系方式变更；</w:t>
            </w:r>
          </w:p>
          <w:p>
            <w:pPr>
              <w:pStyle w:val="TableParagraph"/>
              <w:spacing w:before="21"/>
              <w:ind w:left="103"/>
              <w:rPr>
                <w:sz w:val="21"/>
              </w:rPr>
            </w:pPr>
            <w:r>
              <w:rPr>
                <w:sz w:val="21"/>
              </w:rPr>
              <w:t>（</w:t>
            </w:r>
            <w:r>
              <w:rPr>
                <w:rFonts w:ascii="Times New Roman" w:eastAsia="Times New Roman"/>
                <w:sz w:val="21"/>
              </w:rPr>
              <w:t>4</w:t>
            </w:r>
            <w:r>
              <w:rPr>
                <w:sz w:val="21"/>
              </w:rPr>
              <w:t>）争议处理。</w:t>
            </w:r>
          </w:p>
        </w:tc>
      </w:tr>
      <w:tr>
        <w:trPr>
          <w:trHeight w:val="752" w:hRule="atLeast"/>
        </w:trPr>
        <w:tc>
          <w:tcPr>
            <w:tcW w:w="893" w:type="dxa"/>
            <w:tcBorders>
              <w:bottom w:val="double" w:sz="1" w:space="0" w:color="000000"/>
            </w:tcBorders>
          </w:tcPr>
          <w:p>
            <w:pPr>
              <w:pStyle w:val="TableParagraph"/>
              <w:spacing w:before="214"/>
              <w:ind w:left="107"/>
              <w:rPr>
                <w:b/>
                <w:sz w:val="28"/>
              </w:rPr>
            </w:pPr>
            <w:r>
              <w:rPr>
                <w:b/>
                <w:sz w:val="28"/>
              </w:rPr>
              <w:t>10</w:t>
            </w:r>
          </w:p>
        </w:tc>
        <w:tc>
          <w:tcPr>
            <w:tcW w:w="1825" w:type="dxa"/>
            <w:tcBorders>
              <w:bottom w:val="double" w:sz="1" w:space="0" w:color="000000"/>
            </w:tcBorders>
          </w:tcPr>
          <w:p>
            <w:pPr>
              <w:pStyle w:val="TableParagraph"/>
              <w:spacing w:before="214"/>
              <w:ind w:left="362"/>
              <w:rPr>
                <w:b/>
                <w:sz w:val="28"/>
              </w:rPr>
            </w:pPr>
            <w:r>
              <w:rPr>
                <w:b/>
                <w:w w:val="95"/>
                <w:sz w:val="28"/>
              </w:rPr>
              <w:t>释义</w:t>
            </w:r>
          </w:p>
        </w:tc>
        <w:tc>
          <w:tcPr>
            <w:tcW w:w="7150" w:type="dxa"/>
            <w:tcBorders>
              <w:bottom w:val="double" w:sz="1" w:space="0" w:color="000000"/>
            </w:tcBorders>
          </w:tcPr>
          <w:p>
            <w:pPr>
              <w:pStyle w:val="TableParagraph"/>
              <w:rPr>
                <w:rFonts w:ascii="Times New Roman"/>
                <w:sz w:val="20"/>
              </w:rPr>
            </w:pPr>
          </w:p>
        </w:tc>
      </w:tr>
      <w:tr>
        <w:trPr>
          <w:trHeight w:val="585" w:hRule="atLeast"/>
        </w:trPr>
        <w:tc>
          <w:tcPr>
            <w:tcW w:w="9868" w:type="dxa"/>
            <w:gridSpan w:val="3"/>
            <w:tcBorders>
              <w:top w:val="double" w:sz="1" w:space="0" w:color="000000"/>
            </w:tcBorders>
          </w:tcPr>
          <w:p>
            <w:pPr>
              <w:pStyle w:val="TableParagraph"/>
              <w:spacing w:before="2"/>
              <w:rPr>
                <w:rFonts w:ascii="Times New Roman"/>
                <w:sz w:val="16"/>
              </w:rPr>
            </w:pPr>
          </w:p>
          <w:p>
            <w:pPr>
              <w:pStyle w:val="TableParagraph"/>
              <w:ind w:left="107"/>
              <w:rPr>
                <w:sz w:val="21"/>
              </w:rPr>
            </w:pPr>
            <w:r>
              <w:rPr>
                <w:sz w:val="21"/>
              </w:rPr>
              <w:t>本附加合同中具有特定含义的名词，除非本附加合同另有释义，适用主合同的释义。</w:t>
            </w:r>
          </w:p>
        </w:tc>
      </w:tr>
      <w:tr>
        <w:trPr>
          <w:trHeight w:val="734" w:hRule="atLeast"/>
        </w:trPr>
        <w:tc>
          <w:tcPr>
            <w:tcW w:w="893" w:type="dxa"/>
          </w:tcPr>
          <w:p>
            <w:pPr>
              <w:pStyle w:val="TableParagraph"/>
              <w:spacing w:before="81"/>
              <w:ind w:left="107"/>
              <w:rPr>
                <w:b/>
                <w:sz w:val="21"/>
              </w:rPr>
            </w:pPr>
            <w:r>
              <w:rPr>
                <w:b/>
                <w:sz w:val="21"/>
              </w:rPr>
              <w:t>10.1</w:t>
            </w:r>
          </w:p>
        </w:tc>
        <w:tc>
          <w:tcPr>
            <w:tcW w:w="1825" w:type="dxa"/>
          </w:tcPr>
          <w:p>
            <w:pPr>
              <w:pStyle w:val="TableParagraph"/>
              <w:spacing w:before="81"/>
              <w:ind w:left="362"/>
              <w:rPr>
                <w:b/>
                <w:sz w:val="21"/>
              </w:rPr>
            </w:pPr>
            <w:r>
              <w:rPr>
                <w:b/>
                <w:sz w:val="21"/>
              </w:rPr>
              <w:t>意外伤害</w:t>
            </w:r>
          </w:p>
        </w:tc>
        <w:tc>
          <w:tcPr>
            <w:tcW w:w="7150" w:type="dxa"/>
          </w:tcPr>
          <w:p>
            <w:pPr>
              <w:pStyle w:val="TableParagraph"/>
              <w:spacing w:before="60"/>
              <w:ind w:left="95" w:right="101"/>
              <w:rPr>
                <w:sz w:val="21"/>
              </w:rPr>
            </w:pPr>
            <w:r>
              <w:rPr>
                <w:sz w:val="21"/>
              </w:rPr>
              <w:t>指遭受外来的、突发的、非本意的、非疾病的客观事件直接致使身体受到的伤害。</w:t>
            </w:r>
          </w:p>
        </w:tc>
      </w:tr>
      <w:tr>
        <w:trPr>
          <w:trHeight w:val="1720" w:hRule="atLeast"/>
        </w:trPr>
        <w:tc>
          <w:tcPr>
            <w:tcW w:w="893" w:type="dxa"/>
          </w:tcPr>
          <w:p>
            <w:pPr>
              <w:pStyle w:val="TableParagraph"/>
              <w:spacing w:before="62"/>
              <w:ind w:left="107"/>
              <w:rPr>
                <w:b/>
                <w:sz w:val="21"/>
              </w:rPr>
            </w:pPr>
            <w:r>
              <w:rPr>
                <w:b/>
                <w:sz w:val="21"/>
              </w:rPr>
              <w:t>10.2</w:t>
            </w:r>
          </w:p>
        </w:tc>
        <w:tc>
          <w:tcPr>
            <w:tcW w:w="1825" w:type="dxa"/>
          </w:tcPr>
          <w:p>
            <w:pPr>
              <w:pStyle w:val="TableParagraph"/>
              <w:spacing w:line="273" w:lineRule="auto" w:before="62"/>
              <w:ind w:left="362" w:right="193"/>
              <w:rPr>
                <w:b/>
                <w:sz w:val="21"/>
              </w:rPr>
            </w:pPr>
            <w:r>
              <w:rPr>
                <w:b/>
                <w:sz w:val="21"/>
              </w:rPr>
              <w:t>我们认可的医院</w:t>
            </w:r>
          </w:p>
        </w:tc>
        <w:tc>
          <w:tcPr>
            <w:tcW w:w="7150" w:type="dxa"/>
          </w:tcPr>
          <w:p>
            <w:pPr>
              <w:pStyle w:val="TableParagraph"/>
              <w:spacing w:line="273" w:lineRule="auto" w:before="62"/>
              <w:ind w:left="95" w:right="100"/>
              <w:jc w:val="both"/>
              <w:rPr>
                <w:sz w:val="21"/>
              </w:rPr>
            </w:pPr>
            <w:r>
              <w:rPr>
                <w:sz w:val="21"/>
              </w:rPr>
              <w:t>指经中华人民共和国卫生部门评审确定的二级或二级以上的公立医院，但不包括精神病院及专供康复、休养、戒毒、戒酒、护理、养老等非以直接诊治病人为目的的医疗机构。该医院必须具有符合国家有关医院管理规则设置标准的医疗设备，且全天二十四小时有合格医师及护士驻医院提供医疗及护理服务。</w:t>
            </w:r>
          </w:p>
        </w:tc>
      </w:tr>
      <w:tr>
        <w:trPr>
          <w:trHeight w:val="1730" w:hRule="atLeast"/>
        </w:trPr>
        <w:tc>
          <w:tcPr>
            <w:tcW w:w="893" w:type="dxa"/>
          </w:tcPr>
          <w:p>
            <w:pPr>
              <w:pStyle w:val="TableParagraph"/>
              <w:spacing w:before="72"/>
              <w:ind w:left="107"/>
              <w:rPr>
                <w:b/>
                <w:sz w:val="21"/>
              </w:rPr>
            </w:pPr>
            <w:r>
              <w:rPr>
                <w:b/>
                <w:sz w:val="21"/>
              </w:rPr>
              <w:t>10.3</w:t>
            </w:r>
          </w:p>
        </w:tc>
        <w:tc>
          <w:tcPr>
            <w:tcW w:w="1825" w:type="dxa"/>
          </w:tcPr>
          <w:p>
            <w:pPr>
              <w:pStyle w:val="TableParagraph"/>
              <w:spacing w:before="72"/>
              <w:ind w:left="362"/>
              <w:rPr>
                <w:b/>
                <w:sz w:val="21"/>
              </w:rPr>
            </w:pPr>
            <w:r>
              <w:rPr>
                <w:b/>
                <w:sz w:val="21"/>
              </w:rPr>
              <w:t>专科医生</w:t>
            </w:r>
          </w:p>
        </w:tc>
        <w:tc>
          <w:tcPr>
            <w:tcW w:w="7150" w:type="dxa"/>
          </w:tcPr>
          <w:p>
            <w:pPr>
              <w:pStyle w:val="TableParagraph"/>
              <w:spacing w:before="72"/>
              <w:ind w:left="95"/>
              <w:rPr>
                <w:sz w:val="21"/>
              </w:rPr>
            </w:pPr>
            <w:r>
              <w:rPr>
                <w:spacing w:val="-9"/>
                <w:w w:val="100"/>
                <w:sz w:val="21"/>
              </w:rPr>
              <w:t>专科医生应当同时满足以下四项资格条件：</w:t>
            </w:r>
            <w:r>
              <w:rPr>
                <w:w w:val="100"/>
                <w:sz w:val="21"/>
              </w:rPr>
              <w:t>（</w:t>
            </w:r>
            <w:r>
              <w:rPr>
                <w:spacing w:val="-3"/>
                <w:w w:val="100"/>
                <w:sz w:val="21"/>
              </w:rPr>
              <w:t>1</w:t>
            </w:r>
            <w:r>
              <w:rPr>
                <w:w w:val="100"/>
                <w:sz w:val="21"/>
              </w:rPr>
              <w:t>）</w:t>
            </w:r>
            <w:r>
              <w:rPr>
                <w:spacing w:val="-3"/>
                <w:w w:val="100"/>
                <w:sz w:val="21"/>
              </w:rPr>
              <w:t>具有有效的中华人民共和国</w:t>
            </w:r>
          </w:p>
          <w:p>
            <w:pPr>
              <w:pStyle w:val="TableParagraph"/>
              <w:spacing w:line="273" w:lineRule="auto" w:before="37"/>
              <w:ind w:left="95" w:right="100"/>
              <w:jc w:val="both"/>
              <w:rPr>
                <w:sz w:val="21"/>
              </w:rPr>
            </w:pPr>
            <w:r>
              <w:rPr>
                <w:w w:val="100"/>
                <w:sz w:val="21"/>
              </w:rPr>
              <w:t>《</w:t>
            </w:r>
            <w:r>
              <w:rPr>
                <w:sz w:val="21"/>
              </w:rPr>
              <w:t> </w:t>
            </w:r>
            <w:r>
              <w:rPr>
                <w:spacing w:val="-28"/>
                <w:w w:val="100"/>
                <w:sz w:val="21"/>
              </w:rPr>
              <w:t>医师资格证书》；</w:t>
            </w:r>
            <w:r>
              <w:rPr>
                <w:w w:val="100"/>
                <w:sz w:val="21"/>
              </w:rPr>
              <w:t>（</w:t>
            </w:r>
            <w:r>
              <w:rPr>
                <w:spacing w:val="-3"/>
                <w:w w:val="100"/>
                <w:sz w:val="21"/>
              </w:rPr>
              <w:t>2）具有有效的中华人民共和国《</w:t>
            </w:r>
            <w:r>
              <w:rPr>
                <w:spacing w:val="-3"/>
                <w:sz w:val="21"/>
              </w:rPr>
              <w:t> </w:t>
            </w:r>
            <w:r>
              <w:rPr>
                <w:spacing w:val="-15"/>
                <w:w w:val="100"/>
                <w:sz w:val="21"/>
              </w:rPr>
              <w:t>医师执业证书》，并</w:t>
            </w:r>
            <w:r>
              <w:rPr>
                <w:spacing w:val="-18"/>
                <w:w w:val="100"/>
                <w:sz w:val="21"/>
              </w:rPr>
              <w:t>按期到相关部门登记注册；</w:t>
            </w:r>
            <w:r>
              <w:rPr>
                <w:w w:val="100"/>
                <w:sz w:val="21"/>
              </w:rPr>
              <w:t>（3）</w:t>
            </w:r>
            <w:r>
              <w:rPr>
                <w:spacing w:val="-3"/>
                <w:w w:val="100"/>
                <w:sz w:val="21"/>
              </w:rPr>
              <w:t>具有有效的中华人民共和国主治医师或主治医师以上职称的《</w:t>
            </w:r>
            <w:r>
              <w:rPr>
                <w:spacing w:val="-3"/>
                <w:sz w:val="21"/>
              </w:rPr>
              <w:t> </w:t>
            </w:r>
            <w:r>
              <w:rPr>
                <w:spacing w:val="-28"/>
                <w:w w:val="100"/>
                <w:sz w:val="21"/>
              </w:rPr>
              <w:t>医师职称证书》；</w:t>
            </w:r>
            <w:r>
              <w:rPr>
                <w:spacing w:val="-1"/>
                <w:w w:val="100"/>
                <w:sz w:val="21"/>
              </w:rPr>
              <w:t>（</w:t>
            </w:r>
            <w:r>
              <w:rPr>
                <w:spacing w:val="-3"/>
                <w:w w:val="100"/>
                <w:sz w:val="21"/>
              </w:rPr>
              <w:t>4</w:t>
            </w:r>
            <w:r>
              <w:rPr>
                <w:w w:val="100"/>
                <w:sz w:val="21"/>
              </w:rPr>
              <w:t>）</w:t>
            </w:r>
            <w:r>
              <w:rPr>
                <w:spacing w:val="-3"/>
                <w:w w:val="100"/>
                <w:sz w:val="21"/>
              </w:rPr>
              <w:t>在二级或二级以上医院的相应科室</w:t>
            </w:r>
            <w:r>
              <w:rPr>
                <w:spacing w:val="-3"/>
                <w:sz w:val="21"/>
              </w:rPr>
              <w:t>从事临床工作三年以上。</w:t>
            </w:r>
          </w:p>
        </w:tc>
      </w:tr>
      <w:tr>
        <w:trPr>
          <w:trHeight w:val="1446" w:hRule="atLeast"/>
        </w:trPr>
        <w:tc>
          <w:tcPr>
            <w:tcW w:w="893" w:type="dxa"/>
          </w:tcPr>
          <w:p>
            <w:pPr>
              <w:pStyle w:val="TableParagraph"/>
              <w:spacing w:before="72"/>
              <w:ind w:left="107"/>
              <w:rPr>
                <w:b/>
                <w:sz w:val="21"/>
              </w:rPr>
            </w:pPr>
            <w:r>
              <w:rPr>
                <w:b/>
                <w:sz w:val="21"/>
              </w:rPr>
              <w:t>10.4</w:t>
            </w:r>
          </w:p>
        </w:tc>
        <w:tc>
          <w:tcPr>
            <w:tcW w:w="1825" w:type="dxa"/>
          </w:tcPr>
          <w:p>
            <w:pPr>
              <w:pStyle w:val="TableParagraph"/>
              <w:spacing w:before="72"/>
              <w:ind w:left="362"/>
              <w:rPr>
                <w:b/>
                <w:sz w:val="21"/>
              </w:rPr>
            </w:pPr>
            <w:r>
              <w:rPr>
                <w:b/>
                <w:sz w:val="21"/>
              </w:rPr>
              <w:t>毒品</w:t>
            </w:r>
          </w:p>
        </w:tc>
        <w:tc>
          <w:tcPr>
            <w:tcW w:w="7150" w:type="dxa"/>
          </w:tcPr>
          <w:p>
            <w:pPr>
              <w:pStyle w:val="TableParagraph"/>
              <w:spacing w:line="273" w:lineRule="auto" w:before="72"/>
              <w:ind w:left="95" w:right="100"/>
              <w:jc w:val="both"/>
              <w:rPr>
                <w:sz w:val="21"/>
              </w:rPr>
            </w:pPr>
            <w:r>
              <w:rPr>
                <w:spacing w:val="-6"/>
                <w:sz w:val="21"/>
              </w:rPr>
              <w:t>指中华人民共和国刑法规定的鸦片、海洛因、甲基苯丙胺</w:t>
            </w:r>
            <w:r>
              <w:rPr>
                <w:spacing w:val="-3"/>
                <w:sz w:val="21"/>
              </w:rPr>
              <w:t>（</w:t>
            </w:r>
            <w:r>
              <w:rPr>
                <w:spacing w:val="-2"/>
                <w:sz w:val="21"/>
              </w:rPr>
              <w:t>冰毒</w:t>
            </w:r>
            <w:r>
              <w:rPr>
                <w:spacing w:val="-106"/>
                <w:sz w:val="21"/>
              </w:rPr>
              <w:t>）</w:t>
            </w:r>
            <w:r>
              <w:rPr>
                <w:spacing w:val="-9"/>
                <w:sz w:val="21"/>
              </w:rPr>
              <w:t>、吗啡、大</w:t>
            </w:r>
            <w:r>
              <w:rPr>
                <w:spacing w:val="-6"/>
                <w:sz w:val="21"/>
              </w:rPr>
              <w:t>麻、可卡因以及国家规定管制的其他能够使人形成瘾癖的麻醉药品和精神药</w:t>
            </w:r>
            <w:r>
              <w:rPr>
                <w:spacing w:val="-5"/>
                <w:sz w:val="21"/>
              </w:rPr>
              <w:t>品，但不包括由医生开具并遵医嘱使用的用于治疗疾病但含有毒品成分的处</w:t>
            </w:r>
            <w:r>
              <w:rPr>
                <w:spacing w:val="-4"/>
                <w:sz w:val="21"/>
              </w:rPr>
              <w:t>方药品。</w:t>
            </w:r>
          </w:p>
        </w:tc>
      </w:tr>
      <w:tr>
        <w:trPr>
          <w:trHeight w:val="1787" w:hRule="atLeast"/>
        </w:trPr>
        <w:tc>
          <w:tcPr>
            <w:tcW w:w="893" w:type="dxa"/>
          </w:tcPr>
          <w:p>
            <w:pPr>
              <w:pStyle w:val="TableParagraph"/>
              <w:spacing w:before="99"/>
              <w:ind w:left="107"/>
              <w:rPr>
                <w:b/>
                <w:sz w:val="21"/>
              </w:rPr>
            </w:pPr>
            <w:r>
              <w:rPr>
                <w:b/>
                <w:sz w:val="21"/>
              </w:rPr>
              <w:t>10.5</w:t>
            </w:r>
          </w:p>
        </w:tc>
        <w:tc>
          <w:tcPr>
            <w:tcW w:w="1825" w:type="dxa"/>
          </w:tcPr>
          <w:p>
            <w:pPr>
              <w:pStyle w:val="TableParagraph"/>
              <w:spacing w:line="273" w:lineRule="auto" w:before="99"/>
              <w:ind w:left="362" w:right="118"/>
              <w:rPr>
                <w:b/>
                <w:sz w:val="21"/>
              </w:rPr>
            </w:pPr>
            <w:r>
              <w:rPr>
                <w:b/>
                <w:sz w:val="21"/>
              </w:rPr>
              <w:t>患艾滋病或感染艾滋病病毒</w:t>
            </w:r>
          </w:p>
        </w:tc>
        <w:tc>
          <w:tcPr>
            <w:tcW w:w="7150" w:type="dxa"/>
          </w:tcPr>
          <w:p>
            <w:pPr>
              <w:pStyle w:val="TableParagraph"/>
              <w:spacing w:line="273" w:lineRule="auto" w:before="99"/>
              <w:ind w:left="95" w:right="100"/>
              <w:rPr>
                <w:sz w:val="21"/>
              </w:rPr>
            </w:pPr>
            <w:r>
              <w:rPr>
                <w:sz w:val="21"/>
              </w:rPr>
              <w:t>艾滋病病毒指人类免疫缺陷病毒，英文缩写为 HIV。艾滋病指人类免疫缺陷病毒引起的获得性免疫缺陷综合征，英文缩写为 AIDS。</w:t>
            </w:r>
          </w:p>
          <w:p>
            <w:pPr>
              <w:pStyle w:val="TableParagraph"/>
              <w:spacing w:line="273" w:lineRule="auto" w:before="7"/>
              <w:ind w:left="95" w:right="-15"/>
              <w:rPr>
                <w:sz w:val="21"/>
              </w:rPr>
            </w:pPr>
            <w:r>
              <w:rPr>
                <w:spacing w:val="-3"/>
                <w:sz w:val="21"/>
              </w:rPr>
              <w:t>在人体血液或其他样本中检测到艾滋病病毒或其抗体呈阳性，没有出现临床</w:t>
            </w:r>
            <w:r>
              <w:rPr>
                <w:spacing w:val="-11"/>
                <w:sz w:val="21"/>
              </w:rPr>
              <w:t>症状或体征的，为感染艾滋病病毒；如果同时出现了明显临床症状或体征的， </w:t>
            </w:r>
            <w:r>
              <w:rPr>
                <w:spacing w:val="-6"/>
                <w:sz w:val="21"/>
              </w:rPr>
              <w:t>为患艾滋病。</w:t>
            </w:r>
          </w:p>
        </w:tc>
      </w:tr>
      <w:tr>
        <w:trPr>
          <w:trHeight w:val="901" w:hRule="atLeast"/>
        </w:trPr>
        <w:tc>
          <w:tcPr>
            <w:tcW w:w="893" w:type="dxa"/>
          </w:tcPr>
          <w:p>
            <w:pPr>
              <w:pStyle w:val="TableParagraph"/>
              <w:spacing w:before="101"/>
              <w:ind w:left="107"/>
              <w:rPr>
                <w:b/>
                <w:sz w:val="21"/>
              </w:rPr>
            </w:pPr>
            <w:r>
              <w:rPr>
                <w:b/>
                <w:sz w:val="21"/>
              </w:rPr>
              <w:t>10.6</w:t>
            </w:r>
          </w:p>
        </w:tc>
        <w:tc>
          <w:tcPr>
            <w:tcW w:w="1825" w:type="dxa"/>
          </w:tcPr>
          <w:p>
            <w:pPr>
              <w:pStyle w:val="TableParagraph"/>
              <w:spacing w:before="177"/>
              <w:ind w:left="362"/>
              <w:rPr>
                <w:b/>
                <w:sz w:val="21"/>
              </w:rPr>
            </w:pPr>
            <w:r>
              <w:rPr>
                <w:b/>
                <w:sz w:val="21"/>
              </w:rPr>
              <w:t>遗传性疾病</w:t>
            </w:r>
          </w:p>
        </w:tc>
        <w:tc>
          <w:tcPr>
            <w:tcW w:w="7150" w:type="dxa"/>
          </w:tcPr>
          <w:p>
            <w:pPr>
              <w:pStyle w:val="TableParagraph"/>
              <w:spacing w:line="273" w:lineRule="auto" w:before="101"/>
              <w:ind w:left="95" w:right="101"/>
              <w:rPr>
                <w:sz w:val="21"/>
              </w:rPr>
            </w:pPr>
            <w:r>
              <w:rPr>
                <w:sz w:val="21"/>
              </w:rPr>
              <w:t>指生殖细胞或受精卵的遗传物质（染色体和基因）发生突变或畸变所引起的疾病，通常具有由亲代传至后代的垂直传递的特征。</w:t>
            </w:r>
          </w:p>
        </w:tc>
      </w:tr>
      <w:tr>
        <w:trPr>
          <w:trHeight w:val="1064" w:hRule="atLeast"/>
        </w:trPr>
        <w:tc>
          <w:tcPr>
            <w:tcW w:w="893" w:type="dxa"/>
          </w:tcPr>
          <w:p>
            <w:pPr>
              <w:pStyle w:val="TableParagraph"/>
              <w:spacing w:before="150"/>
              <w:ind w:left="107"/>
              <w:rPr>
                <w:b/>
                <w:sz w:val="21"/>
              </w:rPr>
            </w:pPr>
            <w:r>
              <w:rPr>
                <w:b/>
                <w:sz w:val="21"/>
              </w:rPr>
              <w:t>10.7</w:t>
            </w:r>
          </w:p>
        </w:tc>
        <w:tc>
          <w:tcPr>
            <w:tcW w:w="1825" w:type="dxa"/>
          </w:tcPr>
          <w:p>
            <w:pPr>
              <w:pStyle w:val="TableParagraph"/>
              <w:spacing w:line="310" w:lineRule="atLeast" w:before="114"/>
              <w:ind w:left="362" w:right="193"/>
              <w:jc w:val="both"/>
              <w:rPr>
                <w:b/>
                <w:sz w:val="21"/>
              </w:rPr>
            </w:pPr>
            <w:r>
              <w:rPr>
                <w:b/>
                <w:sz w:val="21"/>
              </w:rPr>
              <w:t>先天性畸形、变形或染色体异常</w:t>
            </w:r>
          </w:p>
        </w:tc>
        <w:tc>
          <w:tcPr>
            <w:tcW w:w="7150" w:type="dxa"/>
          </w:tcPr>
          <w:p>
            <w:pPr>
              <w:pStyle w:val="TableParagraph"/>
              <w:spacing w:line="273" w:lineRule="auto" w:before="150"/>
              <w:ind w:left="95"/>
              <w:rPr>
                <w:sz w:val="21"/>
              </w:rPr>
            </w:pPr>
            <w:r>
              <w:rPr>
                <w:sz w:val="21"/>
              </w:rPr>
              <w:t>指被保险人出生时就具有的畸形、变形或染色体异常。先天性畸形、变形和染色体异常依照世界卫生组织《疾病和有关健康问题的国际统计分类》</w:t>
            </w:r>
          </w:p>
          <w:p>
            <w:pPr>
              <w:pStyle w:val="TableParagraph"/>
              <w:spacing w:line="271" w:lineRule="exact" w:before="8"/>
              <w:ind w:left="95"/>
              <w:rPr>
                <w:sz w:val="21"/>
              </w:rPr>
            </w:pPr>
            <w:r>
              <w:rPr>
                <w:sz w:val="21"/>
              </w:rPr>
              <w:t>（</w:t>
            </w:r>
            <w:r>
              <w:rPr>
                <w:rFonts w:ascii="Times New Roman" w:eastAsia="Times New Roman"/>
                <w:sz w:val="21"/>
              </w:rPr>
              <w:t>ICD-10</w:t>
            </w:r>
            <w:r>
              <w:rPr>
                <w:sz w:val="21"/>
              </w:rPr>
              <w:t>）确定。</w:t>
            </w:r>
          </w:p>
        </w:tc>
      </w:tr>
    </w:tbl>
    <w:p>
      <w:pPr>
        <w:spacing w:after="0" w:line="271" w:lineRule="exact"/>
        <w:rPr>
          <w:sz w:val="21"/>
        </w:rPr>
        <w:sectPr>
          <w:pgSz w:w="11910" w:h="16840"/>
          <w:pgMar w:header="568" w:footer="458" w:top="800" w:bottom="640" w:left="800" w:right="1020"/>
        </w:sectPr>
      </w:pPr>
    </w:p>
    <w:p>
      <w:pPr>
        <w:pStyle w:val="BodyText"/>
        <w:rPr>
          <w:rFonts w:ascii="Times New Roman"/>
          <w:sz w:val="20"/>
        </w:rPr>
      </w:pPr>
    </w:p>
    <w:p>
      <w:pPr>
        <w:pStyle w:val="BodyText"/>
        <w:spacing w:before="2" w:after="1"/>
        <w:rPr>
          <w:rFonts w:ascii="Times New Roman"/>
          <w:sz w:val="1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8"/>
        <w:gridCol w:w="1759"/>
        <w:gridCol w:w="7261"/>
      </w:tblGrid>
      <w:tr>
        <w:trPr>
          <w:trHeight w:val="1312" w:hRule="atLeast"/>
        </w:trPr>
        <w:tc>
          <w:tcPr>
            <w:tcW w:w="1038" w:type="dxa"/>
          </w:tcPr>
          <w:p>
            <w:pPr>
              <w:pStyle w:val="TableParagraph"/>
              <w:spacing w:line="211" w:lineRule="exact"/>
              <w:ind w:left="200"/>
              <w:rPr>
                <w:b/>
                <w:sz w:val="21"/>
              </w:rPr>
            </w:pPr>
            <w:r>
              <w:rPr>
                <w:b/>
                <w:sz w:val="21"/>
              </w:rPr>
              <w:t>10.8</w:t>
            </w:r>
          </w:p>
        </w:tc>
        <w:tc>
          <w:tcPr>
            <w:tcW w:w="1759" w:type="dxa"/>
          </w:tcPr>
          <w:p>
            <w:pPr>
              <w:pStyle w:val="TableParagraph"/>
              <w:spacing w:line="211" w:lineRule="exact"/>
              <w:ind w:left="309"/>
              <w:rPr>
                <w:b/>
                <w:sz w:val="21"/>
              </w:rPr>
            </w:pPr>
            <w:r>
              <w:rPr>
                <w:b/>
                <w:sz w:val="21"/>
              </w:rPr>
              <w:t>六项基本日常</w:t>
            </w:r>
          </w:p>
          <w:p>
            <w:pPr>
              <w:pStyle w:val="TableParagraph"/>
              <w:spacing w:before="37"/>
              <w:ind w:left="309"/>
              <w:rPr>
                <w:b/>
                <w:sz w:val="21"/>
              </w:rPr>
            </w:pPr>
            <w:r>
              <w:rPr>
                <w:b/>
                <w:sz w:val="21"/>
              </w:rPr>
              <w:t>生活活动</w:t>
            </w:r>
          </w:p>
        </w:tc>
        <w:tc>
          <w:tcPr>
            <w:tcW w:w="7261" w:type="dxa"/>
          </w:tcPr>
          <w:p>
            <w:pPr>
              <w:pStyle w:val="TableParagraph"/>
              <w:spacing w:line="211" w:lineRule="exact"/>
              <w:ind w:left="108"/>
              <w:rPr>
                <w:sz w:val="21"/>
              </w:rPr>
            </w:pPr>
            <w:r>
              <w:rPr>
                <w:spacing w:val="-11"/>
                <w:w w:val="100"/>
                <w:sz w:val="21"/>
              </w:rPr>
              <w:t>六项基本日常生活活动是指：</w:t>
            </w:r>
            <w:r>
              <w:rPr>
                <w:w w:val="100"/>
                <w:sz w:val="21"/>
              </w:rPr>
              <w:t>（1）</w:t>
            </w:r>
            <w:r>
              <w:rPr>
                <w:spacing w:val="-12"/>
                <w:w w:val="100"/>
                <w:sz w:val="21"/>
              </w:rPr>
              <w:t>穿衣：自己能够穿衣及脱衣；</w:t>
            </w:r>
            <w:r>
              <w:rPr>
                <w:w w:val="100"/>
                <w:sz w:val="21"/>
              </w:rPr>
              <w:t>（2）</w:t>
            </w:r>
            <w:r>
              <w:rPr>
                <w:spacing w:val="-2"/>
                <w:w w:val="100"/>
                <w:sz w:val="21"/>
              </w:rPr>
              <w:t>移动：</w:t>
            </w:r>
          </w:p>
          <w:p>
            <w:pPr>
              <w:pStyle w:val="TableParagraph"/>
              <w:spacing w:line="273" w:lineRule="auto" w:before="37"/>
              <w:ind w:left="108" w:right="198"/>
              <w:jc w:val="both"/>
              <w:rPr>
                <w:sz w:val="21"/>
              </w:rPr>
            </w:pPr>
            <w:r>
              <w:rPr>
                <w:spacing w:val="-11"/>
                <w:w w:val="100"/>
                <w:sz w:val="21"/>
              </w:rPr>
              <w:t>自己从一个房间到另一个房间；</w:t>
            </w:r>
            <w:r>
              <w:rPr>
                <w:w w:val="100"/>
                <w:sz w:val="21"/>
              </w:rPr>
              <w:t>（3</w:t>
            </w:r>
            <w:r>
              <w:rPr>
                <w:spacing w:val="-3"/>
                <w:w w:val="100"/>
                <w:sz w:val="21"/>
              </w:rPr>
              <w:t>）</w:t>
            </w:r>
            <w:r>
              <w:rPr>
                <w:spacing w:val="-11"/>
                <w:w w:val="100"/>
                <w:sz w:val="21"/>
              </w:rPr>
              <w:t>行动：自己上下床或上下轮椅；</w:t>
            </w:r>
            <w:r>
              <w:rPr>
                <w:w w:val="100"/>
                <w:sz w:val="21"/>
              </w:rPr>
              <w:t>（</w:t>
            </w:r>
            <w:r>
              <w:rPr>
                <w:spacing w:val="-3"/>
                <w:w w:val="100"/>
                <w:sz w:val="21"/>
              </w:rPr>
              <w:t>4</w:t>
            </w:r>
            <w:r>
              <w:rPr>
                <w:w w:val="100"/>
                <w:sz w:val="21"/>
              </w:rPr>
              <w:t>）如</w:t>
            </w:r>
            <w:r>
              <w:rPr>
                <w:spacing w:val="-11"/>
                <w:w w:val="100"/>
                <w:sz w:val="21"/>
              </w:rPr>
              <w:t>厕：自己控制进行大小便；</w:t>
            </w:r>
            <w:r>
              <w:rPr>
                <w:w w:val="100"/>
                <w:sz w:val="21"/>
              </w:rPr>
              <w:t>（5）</w:t>
            </w:r>
            <w:r>
              <w:rPr>
                <w:spacing w:val="-3"/>
                <w:w w:val="100"/>
                <w:sz w:val="21"/>
              </w:rPr>
              <w:t>进食：自己从已准备好的碗或碟中取食物放</w:t>
            </w:r>
            <w:r>
              <w:rPr>
                <w:spacing w:val="-29"/>
                <w:w w:val="100"/>
                <w:sz w:val="21"/>
              </w:rPr>
              <w:t>入口中；</w:t>
            </w:r>
            <w:r>
              <w:rPr>
                <w:spacing w:val="-1"/>
                <w:w w:val="100"/>
                <w:sz w:val="21"/>
              </w:rPr>
              <w:t>（</w:t>
            </w:r>
            <w:r>
              <w:rPr>
                <w:spacing w:val="-3"/>
                <w:w w:val="100"/>
                <w:sz w:val="21"/>
              </w:rPr>
              <w:t>6</w:t>
            </w:r>
            <w:r>
              <w:rPr>
                <w:w w:val="100"/>
                <w:sz w:val="21"/>
              </w:rPr>
              <w:t>）</w:t>
            </w:r>
            <w:r>
              <w:rPr>
                <w:spacing w:val="-3"/>
                <w:w w:val="100"/>
                <w:sz w:val="21"/>
              </w:rPr>
              <w:t>洗澡：自己进行淋浴或盆浴。</w:t>
            </w:r>
          </w:p>
        </w:tc>
      </w:tr>
      <w:tr>
        <w:trPr>
          <w:trHeight w:val="854" w:hRule="atLeast"/>
        </w:trPr>
        <w:tc>
          <w:tcPr>
            <w:tcW w:w="1038" w:type="dxa"/>
          </w:tcPr>
          <w:p>
            <w:pPr>
              <w:pStyle w:val="TableParagraph"/>
              <w:spacing w:before="100"/>
              <w:ind w:left="200"/>
              <w:rPr>
                <w:b/>
                <w:sz w:val="21"/>
              </w:rPr>
            </w:pPr>
            <w:r>
              <w:rPr>
                <w:b/>
                <w:sz w:val="21"/>
              </w:rPr>
              <w:t>10.9</w:t>
            </w:r>
          </w:p>
        </w:tc>
        <w:tc>
          <w:tcPr>
            <w:tcW w:w="1759" w:type="dxa"/>
          </w:tcPr>
          <w:p>
            <w:pPr>
              <w:pStyle w:val="TableParagraph"/>
              <w:spacing w:line="273" w:lineRule="auto" w:before="100"/>
              <w:ind w:left="309" w:right="106"/>
              <w:rPr>
                <w:b/>
                <w:sz w:val="21"/>
              </w:rPr>
            </w:pPr>
            <w:r>
              <w:rPr>
                <w:b/>
                <w:sz w:val="21"/>
              </w:rPr>
              <w:t>肢体机能完全丧失</w:t>
            </w:r>
          </w:p>
        </w:tc>
        <w:tc>
          <w:tcPr>
            <w:tcW w:w="7261" w:type="dxa"/>
          </w:tcPr>
          <w:p>
            <w:pPr>
              <w:pStyle w:val="TableParagraph"/>
              <w:spacing w:line="273" w:lineRule="auto" w:before="100"/>
              <w:ind w:left="108" w:right="199"/>
              <w:rPr>
                <w:sz w:val="21"/>
              </w:rPr>
            </w:pPr>
            <w:r>
              <w:rPr>
                <w:sz w:val="21"/>
              </w:rPr>
              <w:t>指肢体的三大关节中的两大关节僵硬，或不能随意识活动。肢体是指包括肩关节的整个上肢或包括髋关节的整个下肢。</w:t>
            </w:r>
          </w:p>
        </w:tc>
      </w:tr>
      <w:tr>
        <w:trPr>
          <w:trHeight w:val="1789" w:hRule="atLeast"/>
        </w:trPr>
        <w:tc>
          <w:tcPr>
            <w:tcW w:w="1038" w:type="dxa"/>
          </w:tcPr>
          <w:p>
            <w:pPr>
              <w:pStyle w:val="TableParagraph"/>
              <w:spacing w:before="103"/>
              <w:ind w:left="200"/>
              <w:rPr>
                <w:b/>
                <w:sz w:val="21"/>
              </w:rPr>
            </w:pPr>
            <w:r>
              <w:rPr>
                <w:b/>
                <w:sz w:val="21"/>
              </w:rPr>
              <w:t>10.10</w:t>
            </w:r>
          </w:p>
        </w:tc>
        <w:tc>
          <w:tcPr>
            <w:tcW w:w="1759" w:type="dxa"/>
          </w:tcPr>
          <w:p>
            <w:pPr>
              <w:pStyle w:val="TableParagraph"/>
              <w:spacing w:line="273" w:lineRule="auto" w:before="103"/>
              <w:ind w:left="309" w:right="106"/>
              <w:jc w:val="both"/>
              <w:rPr>
                <w:b/>
                <w:sz w:val="21"/>
              </w:rPr>
            </w:pPr>
            <w:r>
              <w:rPr>
                <w:b/>
                <w:sz w:val="21"/>
              </w:rPr>
              <w:t>语言能力或咀嚼吞咽能力完全丧失</w:t>
            </w:r>
          </w:p>
        </w:tc>
        <w:tc>
          <w:tcPr>
            <w:tcW w:w="7261" w:type="dxa"/>
          </w:tcPr>
          <w:p>
            <w:pPr>
              <w:pStyle w:val="TableParagraph"/>
              <w:spacing w:line="273" w:lineRule="auto" w:before="103"/>
              <w:ind w:left="108" w:right="199"/>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273" w:lineRule="auto" w:before="7"/>
              <w:ind w:left="108" w:right="199"/>
              <w:jc w:val="both"/>
              <w:rPr>
                <w:sz w:val="21"/>
              </w:rPr>
            </w:pPr>
            <w:r>
              <w:rPr>
                <w:sz w:val="21"/>
              </w:rPr>
              <w:t>咀嚼吞咽能力完全丧失，指因牙齿以外的原因导致器质障碍或机能障碍，以致不能作咀嚼吞咽运动，除流质食物外不能摄取或吞咽的状态。</w:t>
            </w:r>
          </w:p>
        </w:tc>
      </w:tr>
      <w:tr>
        <w:trPr>
          <w:trHeight w:val="687" w:hRule="atLeast"/>
        </w:trPr>
        <w:tc>
          <w:tcPr>
            <w:tcW w:w="1038" w:type="dxa"/>
          </w:tcPr>
          <w:p>
            <w:pPr>
              <w:pStyle w:val="TableParagraph"/>
              <w:spacing w:before="99"/>
              <w:ind w:left="200"/>
              <w:rPr>
                <w:b/>
                <w:sz w:val="21"/>
              </w:rPr>
            </w:pPr>
            <w:r>
              <w:rPr>
                <w:b/>
                <w:sz w:val="21"/>
              </w:rPr>
              <w:t>10.11</w:t>
            </w:r>
          </w:p>
        </w:tc>
        <w:tc>
          <w:tcPr>
            <w:tcW w:w="1759" w:type="dxa"/>
          </w:tcPr>
          <w:p>
            <w:pPr>
              <w:pStyle w:val="TableParagraph"/>
              <w:spacing w:before="99"/>
              <w:ind w:left="309"/>
              <w:rPr>
                <w:b/>
                <w:sz w:val="21"/>
              </w:rPr>
            </w:pPr>
            <w:r>
              <w:rPr>
                <w:b/>
                <w:sz w:val="21"/>
              </w:rPr>
              <w:t>永久不可逆</w:t>
            </w:r>
          </w:p>
        </w:tc>
        <w:tc>
          <w:tcPr>
            <w:tcW w:w="7261" w:type="dxa"/>
          </w:tcPr>
          <w:p>
            <w:pPr>
              <w:pStyle w:val="TableParagraph"/>
              <w:spacing w:line="310" w:lineRule="atLeast" w:before="64"/>
              <w:ind w:left="108" w:right="198"/>
              <w:rPr>
                <w:sz w:val="21"/>
              </w:rPr>
            </w:pPr>
            <w:r>
              <w:rPr>
                <w:spacing w:val="-6"/>
                <w:sz w:val="21"/>
              </w:rPr>
              <w:t>指自疾病确诊或意外伤害发生之日起，经过积极治疗 </w:t>
            </w:r>
            <w:r>
              <w:rPr>
                <w:sz w:val="21"/>
              </w:rPr>
              <w:t>180</w:t>
            </w:r>
            <w:r>
              <w:rPr>
                <w:spacing w:val="-3"/>
                <w:sz w:val="21"/>
              </w:rPr>
              <w:t> 天后，仍无法通过现有医疗手段恢复。</w:t>
            </w:r>
          </w:p>
        </w:tc>
      </w:tr>
    </w:tbl>
    <w:sectPr>
      <w:pgSz w:w="11910" w:h="16840"/>
      <w:pgMar w:header="568" w:footer="458" w:top="800" w:bottom="640" w:left="72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Microsoft JhengHei UI">
    <w:altName w:val="Microsoft JhengHei UI"/>
    <w:charset w:val="0"/>
    <w:family w:val="swiss"/>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pt;margin-top:808.03595pt;width:5pt;height:12pt;mso-position-horizontal-relative:page;mso-position-vertical-relative:page;z-index:-45736" type="#_x0000_t202" filled="false" stroked="false">
          <v:textbox inset="0,0,0,0">
            <w:txbxContent>
              <w:p>
                <w:pPr>
                  <w:spacing w:before="12"/>
                  <w:ind w:left="20" w:right="0" w:firstLine="0"/>
                  <w:jc w:val="left"/>
                  <w:rPr>
                    <w:rFonts w:ascii="Times New Roman"/>
                    <w:sz w:val="18"/>
                  </w:rPr>
                </w:pPr>
                <w:r>
                  <w:rPr>
                    <w:rFonts w:ascii="Times New Roman"/>
                    <w:w w:val="99"/>
                    <w:sz w:val="18"/>
                  </w:rPr>
                  <w:t>-</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4.429993pt;margin-top:27.389826pt;width:27.5pt;height:13.7pt;mso-position-horizontal-relative:page;mso-position-vertical-relative:page;z-index:-45760" type="#_x0000_t202" filled="false" stroked="false">
          <v:textbox inset="0,0,0,0">
            <w:txbxContent>
              <w:p>
                <w:pPr>
                  <w:pStyle w:val="BodyText"/>
                  <w:spacing w:before="12"/>
                  <w:ind w:left="20"/>
                  <w:rPr>
                    <w:rFonts w:ascii="Times New Roman"/>
                  </w:rPr>
                </w:pPr>
                <w:r>
                  <w:rPr>
                    <w:rFonts w:ascii="Times New Roman"/>
                  </w:rPr>
                  <w:t>12-</w:t>
                </w:r>
                <w:r>
                  <w:rPr/>
                  <w:fldChar w:fldCharType="begin"/>
                </w:r>
                <w:r>
                  <w:rPr>
                    <w:rFonts w:ascii="Times New Roman"/>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3"/>
      <w:numFmt w:val="decimal"/>
      <w:lvlText w:val="%1"/>
      <w:lvlJc w:val="left"/>
      <w:pPr>
        <w:ind w:left="1367" w:hanging="1148"/>
        <w:jc w:val="left"/>
      </w:pPr>
      <w:rPr>
        <w:rFonts w:hint="default" w:ascii="宋体" w:hAnsi="宋体" w:eastAsia="宋体" w:cs="宋体"/>
        <w:b/>
        <w:bCs/>
        <w:w w:val="99"/>
        <w:sz w:val="28"/>
        <w:szCs w:val="28"/>
      </w:rPr>
    </w:lvl>
    <w:lvl w:ilvl="1">
      <w:start w:val="1"/>
      <w:numFmt w:val="decimal"/>
      <w:lvlText w:val="%1.%2"/>
      <w:lvlJc w:val="left"/>
      <w:pPr>
        <w:ind w:left="1367" w:hanging="1148"/>
        <w:jc w:val="left"/>
      </w:pPr>
      <w:rPr>
        <w:rFonts w:hint="default" w:ascii="宋体" w:hAnsi="宋体" w:eastAsia="宋体" w:cs="宋体"/>
        <w:b/>
        <w:bCs/>
        <w:w w:val="99"/>
        <w:sz w:val="21"/>
        <w:szCs w:val="21"/>
      </w:rPr>
    </w:lvl>
    <w:lvl w:ilvl="2">
      <w:start w:val="0"/>
      <w:numFmt w:val="bullet"/>
      <w:lvlText w:val="•"/>
      <w:lvlJc w:val="left"/>
      <w:pPr>
        <w:ind w:left="1635" w:hanging="1148"/>
      </w:pPr>
      <w:rPr>
        <w:rFonts w:hint="default"/>
      </w:rPr>
    </w:lvl>
    <w:lvl w:ilvl="3">
      <w:start w:val="0"/>
      <w:numFmt w:val="bullet"/>
      <w:lvlText w:val="•"/>
      <w:lvlJc w:val="left"/>
      <w:pPr>
        <w:ind w:left="1772" w:hanging="1148"/>
      </w:pPr>
      <w:rPr>
        <w:rFonts w:hint="default"/>
      </w:rPr>
    </w:lvl>
    <w:lvl w:ilvl="4">
      <w:start w:val="0"/>
      <w:numFmt w:val="bullet"/>
      <w:lvlText w:val="•"/>
      <w:lvlJc w:val="left"/>
      <w:pPr>
        <w:ind w:left="1910" w:hanging="1148"/>
      </w:pPr>
      <w:rPr>
        <w:rFonts w:hint="default"/>
      </w:rPr>
    </w:lvl>
    <w:lvl w:ilvl="5">
      <w:start w:val="0"/>
      <w:numFmt w:val="bullet"/>
      <w:lvlText w:val="•"/>
      <w:lvlJc w:val="left"/>
      <w:pPr>
        <w:ind w:left="2047" w:hanging="1148"/>
      </w:pPr>
      <w:rPr>
        <w:rFonts w:hint="default"/>
      </w:rPr>
    </w:lvl>
    <w:lvl w:ilvl="6">
      <w:start w:val="0"/>
      <w:numFmt w:val="bullet"/>
      <w:lvlText w:val="•"/>
      <w:lvlJc w:val="left"/>
      <w:pPr>
        <w:ind w:left="2185" w:hanging="1148"/>
      </w:pPr>
      <w:rPr>
        <w:rFonts w:hint="default"/>
      </w:rPr>
    </w:lvl>
    <w:lvl w:ilvl="7">
      <w:start w:val="0"/>
      <w:numFmt w:val="bullet"/>
      <w:lvlText w:val="•"/>
      <w:lvlJc w:val="left"/>
      <w:pPr>
        <w:ind w:left="2322" w:hanging="1148"/>
      </w:pPr>
      <w:rPr>
        <w:rFonts w:hint="default"/>
      </w:rPr>
    </w:lvl>
    <w:lvl w:ilvl="8">
      <w:start w:val="0"/>
      <w:numFmt w:val="bullet"/>
      <w:lvlText w:val="•"/>
      <w:lvlJc w:val="left"/>
      <w:pPr>
        <w:ind w:left="2460" w:hanging="114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225"/>
      <w:outlineLvl w:val="1"/>
    </w:pPr>
    <w:rPr>
      <w:rFonts w:ascii="微软雅黑" w:hAnsi="微软雅黑" w:eastAsia="微软雅黑" w:cs="微软雅黑"/>
      <w:b/>
      <w:bCs/>
      <w:sz w:val="32"/>
      <w:szCs w:val="32"/>
    </w:rPr>
  </w:style>
  <w:style w:styleId="Heading2" w:type="paragraph">
    <w:name w:val="Heading 2"/>
    <w:basedOn w:val="Normal"/>
    <w:uiPriority w:val="1"/>
    <w:qFormat/>
    <w:pPr>
      <w:ind w:left="1047" w:hanging="1147"/>
      <w:outlineLvl w:val="2"/>
    </w:pPr>
    <w:rPr>
      <w:rFonts w:ascii="黑体" w:hAnsi="黑体" w:eastAsia="黑体" w:cs="黑体"/>
      <w:b/>
      <w:bCs/>
      <w:sz w:val="21"/>
      <w:szCs w:val="21"/>
    </w:rPr>
  </w:style>
  <w:style w:styleId="ListParagraph" w:type="paragraph">
    <w:name w:val="List Paragraph"/>
    <w:basedOn w:val="Normal"/>
    <w:uiPriority w:val="1"/>
    <w:qFormat/>
    <w:pPr>
      <w:ind w:left="1367" w:hanging="1147"/>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dc:creator>
  <dc:title>阅 读 指 引</dc:title>
  <dcterms:created xsi:type="dcterms:W3CDTF">2018-10-20T02:25:04Z</dcterms:created>
  <dcterms:modified xsi:type="dcterms:W3CDTF">2018-10-20T02:25:04Z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Microsoft® Office Word 2007</vt:lpwstr>
  </property>
  <property fmtid="{D5CDD505-2E9C-101B-9397-08002B2CF9AE}" pid="4" name="LastSaved">
    <vt:filetime>2018-10-19T00:00:00Z</vt:filetime>
  </property>
</Properties>
</file>