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rPr>
          <w:rFonts w:ascii="Times New Roman"/>
          <w:sz w:val="20"/>
        </w:rPr>
      </w:pPr>
    </w:p>
    <w:p>
      <w:pPr>
        <w:pStyle w:val="BodyText"/>
        <w:spacing w:before="0"/>
        <w:rPr>
          <w:rFonts w:ascii="Times New Roman"/>
          <w:sz w:val="20"/>
        </w:rPr>
      </w:pPr>
    </w:p>
    <w:p>
      <w:pPr>
        <w:pStyle w:val="BodyText"/>
        <w:spacing w:before="0"/>
        <w:rPr>
          <w:rFonts w:ascii="Times New Roman"/>
          <w:sz w:val="20"/>
        </w:rPr>
      </w:pPr>
    </w:p>
    <w:p>
      <w:pPr>
        <w:pStyle w:val="Heading1"/>
        <w:spacing w:before="100"/>
        <w:ind w:left="2624"/>
      </w:pPr>
      <w:r>
        <w:rPr/>
        <w:pict>
          <v:shapetype id="_x0000_t202" o:spt="202" coordsize="21600,21600" path="m,l,21600r21600,l21600,xe">
            <v:stroke joinstyle="miter"/>
            <v:path gradientshapeok="t" o:connecttype="rect"/>
          </v:shapetype>
          <v:shape style="position:absolute;margin-left:532.080017pt;margin-top:-30.582527pt;width:8pt;height:8pt;mso-position-horizontal-relative:page;mso-position-vertical-relative:paragraph;z-index:-19696" type="#_x0000_t202" filled="false" stroked="false">
            <v:textbox inset="0,0,0,0">
              <w:txbxContent>
                <w:p>
                  <w:pPr>
                    <w:spacing w:line="160" w:lineRule="exact" w:before="0"/>
                    <w:ind w:left="0" w:right="0" w:firstLine="0"/>
                    <w:jc w:val="left"/>
                    <w:rPr>
                      <w:rFonts w:ascii="仿宋" w:eastAsia="仿宋" w:hint="eastAsia"/>
                      <w:sz w:val="16"/>
                    </w:rPr>
                  </w:pPr>
                  <w:r>
                    <w:rPr>
                      <w:rFonts w:ascii="仿宋" w:eastAsia="仿宋" w:hint="eastAsia"/>
                      <w:w w:val="99"/>
                      <w:sz w:val="16"/>
                    </w:rPr>
                    <w:t>保</w:t>
                  </w:r>
                </w:p>
              </w:txbxContent>
            </v:textbox>
            <w10:wrap type="none"/>
          </v:shape>
        </w:pict>
      </w:r>
      <w:r>
        <w:rPr/>
        <w:pict>
          <v:group style="position:absolute;margin-left:445.799988pt;margin-top:-34.404732pt;width:140.35pt;height:97.95pt;mso-position-horizontal-relative:page;mso-position-vertical-relative:paragraph;z-index:1144" coordorigin="8916,-688" coordsize="2807,1959">
            <v:shape style="position:absolute;left:8916;top:-689;width:768;height:1959" type="#_x0000_t75" stroked="false">
              <v:imagedata r:id="rId5" o:title=""/>
            </v:shape>
            <v:shape style="position:absolute;left:9676;top:-689;width:1076;height:1959" type="#_x0000_t75" stroked="false">
              <v:imagedata r:id="rId6" o:title=""/>
            </v:shape>
            <v:shape style="position:absolute;left:9748;top:-323;width:1008;height:1142" type="#_x0000_t75" stroked="false">
              <v:imagedata r:id="rId7" o:title=""/>
            </v:shape>
            <v:shape style="position:absolute;left:10752;top:-689;width:971;height:1959" type="#_x0000_t75" stroked="false">
              <v:imagedata r:id="rId8" o:title=""/>
            </v:shape>
            <v:shape style="position:absolute;left:10752;top:-323;width:144;height:1142" type="#_x0000_t75" stroked="false">
              <v:imagedata r:id="rId9" o:title=""/>
            </v:shape>
            <v:shape style="position:absolute;left:9207;top:-612;width:2254;height:160" type="#_x0000_t202" filled="false" stroked="false">
              <v:textbox inset="0,0,0,0">
                <w:txbxContent>
                  <w:p>
                    <w:pPr>
                      <w:spacing w:line="160" w:lineRule="exact" w:before="0"/>
                      <w:ind w:left="0" w:right="0" w:firstLine="0"/>
                      <w:jc w:val="left"/>
                      <w:rPr>
                        <w:rFonts w:ascii="仿宋" w:eastAsia="仿宋" w:hint="eastAsia"/>
                        <w:sz w:val="16"/>
                      </w:rPr>
                    </w:pPr>
                    <w:r>
                      <w:rPr>
                        <w:rFonts w:ascii="仿宋" w:eastAsia="仿宋" w:hint="eastAsia"/>
                        <w:sz w:val="16"/>
                      </w:rPr>
                      <w:t>华夏人寿[2014]</w:t>
                    </w:r>
                    <w:r>
                      <w:rPr>
                        <w:sz w:val="16"/>
                      </w:rPr>
                      <w:t>年金 </w:t>
                    </w:r>
                    <w:r>
                      <w:rPr>
                        <w:rFonts w:ascii="仿宋" w:eastAsia="仿宋" w:hint="eastAsia"/>
                        <w:sz w:val="16"/>
                      </w:rPr>
                      <w:t>险 050 号</w:t>
                    </w:r>
                  </w:p>
                </w:txbxContent>
              </v:textbox>
              <w10:wrap type="none"/>
            </v:shape>
            <v:shape style="position:absolute;left:9526;top:947;width:1615;height:160" type="#_x0000_t202" filled="false" stroked="false">
              <v:textbox inset="0,0,0,0">
                <w:txbxContent>
                  <w:p>
                    <w:pPr>
                      <w:spacing w:line="160" w:lineRule="exact" w:before="0"/>
                      <w:ind w:left="0" w:right="0" w:firstLine="0"/>
                      <w:jc w:val="left"/>
                      <w:rPr>
                        <w:rFonts w:ascii="仿宋" w:eastAsia="仿宋" w:hint="eastAsia"/>
                        <w:sz w:val="16"/>
                      </w:rPr>
                    </w:pPr>
                    <w:r>
                      <w:rPr>
                        <w:rFonts w:ascii="仿宋" w:eastAsia="仿宋" w:hint="eastAsia"/>
                        <w:sz w:val="16"/>
                      </w:rPr>
                      <w:t>请扫描以查询验 条款</w:t>
                    </w:r>
                  </w:p>
                </w:txbxContent>
              </v:textbox>
              <w10:wrap type="none"/>
            </v:shape>
            <w10:wrap type="none"/>
          </v:group>
        </w:pict>
      </w:r>
      <w:r>
        <w:rPr>
          <w:w w:val="95"/>
        </w:rPr>
        <w:t>华夏人寿保险股份有限公司</w:t>
      </w:r>
    </w:p>
    <w:p>
      <w:pPr>
        <w:pStyle w:val="Heading1"/>
        <w:tabs>
          <w:tab w:pos="5991" w:val="left" w:leader="none"/>
        </w:tabs>
        <w:spacing w:before="47"/>
        <w:ind w:left="2016"/>
      </w:pPr>
      <w:r>
        <w:rPr/>
        <w:pict>
          <v:shape style="position:absolute;margin-left:438.779999pt;margin-top:9.121897pt;width:22.05pt;height:22.05pt;mso-position-horizontal-relative:page;mso-position-vertical-relative:paragraph;z-index:-19720" type="#_x0000_t202" filled="false" stroked="false">
            <v:textbox inset="0,0,0,0">
              <w:txbxContent>
                <w:p>
                  <w:pPr>
                    <w:spacing w:line="440" w:lineRule="exact" w:before="0"/>
                    <w:ind w:left="0" w:right="0" w:firstLine="0"/>
                    <w:jc w:val="left"/>
                    <w:rPr>
                      <w:b/>
                      <w:sz w:val="44"/>
                    </w:rPr>
                  </w:pPr>
                  <w:r>
                    <w:rPr>
                      <w:b/>
                      <w:w w:val="99"/>
                      <w:sz w:val="44"/>
                    </w:rPr>
                    <w:t>款</w:t>
                  </w:r>
                </w:p>
              </w:txbxContent>
            </v:textbox>
            <w10:wrap type="none"/>
          </v:shape>
        </w:pict>
      </w:r>
      <w:r>
        <w:rPr/>
        <w:pict>
          <v:shape style="position:absolute;margin-left:532.080017pt;margin-top:13.507523pt;width:8pt;height:8pt;mso-position-horizontal-relative:page;mso-position-vertical-relative:paragraph;z-index:-19672" type="#_x0000_t202" filled="false" stroked="false">
            <v:textbox inset="0,0,0,0">
              <w:txbxContent>
                <w:p>
                  <w:pPr>
                    <w:spacing w:line="160" w:lineRule="exact" w:before="0"/>
                    <w:ind w:left="0" w:right="0" w:firstLine="0"/>
                    <w:jc w:val="left"/>
                    <w:rPr>
                      <w:rFonts w:ascii="仿宋" w:eastAsia="仿宋" w:hint="eastAsia"/>
                      <w:sz w:val="16"/>
                    </w:rPr>
                  </w:pPr>
                  <w:r>
                    <w:rPr>
                      <w:rFonts w:ascii="仿宋" w:eastAsia="仿宋" w:hint="eastAsia"/>
                      <w:w w:val="99"/>
                      <w:sz w:val="16"/>
                    </w:rPr>
                    <w:t>证</w:t>
                  </w:r>
                </w:p>
              </w:txbxContent>
            </v:textbox>
            <w10:wrap type="none"/>
          </v:shape>
        </w:pict>
      </w:r>
      <w:r>
        <w:rPr/>
        <w:t>关爱宝</w:t>
      </w:r>
      <w:r>
        <w:rPr>
          <w:spacing w:val="-4"/>
        </w:rPr>
        <w:t>重</w:t>
      </w:r>
      <w:r>
        <w:rPr/>
        <w:t>大</w:t>
      </w:r>
      <w:r>
        <w:rPr>
          <w:spacing w:val="7"/>
        </w:rPr>
        <w:t>疾</w:t>
      </w:r>
      <w:r>
        <w:rPr/>
        <w:t>病保</w:t>
        <w:tab/>
        <w:t>（A</w:t>
      </w:r>
      <w:r>
        <w:rPr>
          <w:spacing w:val="-125"/>
        </w:rPr>
        <w:t> </w:t>
      </w:r>
      <w:r>
        <w:rPr/>
        <w:t>款）条</w:t>
      </w:r>
    </w:p>
    <w:p>
      <w:pPr>
        <w:pStyle w:val="BodyText"/>
        <w:spacing w:before="3"/>
        <w:rPr>
          <w:b/>
          <w:sz w:val="18"/>
        </w:rPr>
      </w:pPr>
    </w:p>
    <w:p>
      <w:pPr>
        <w:spacing w:line="541" w:lineRule="exact" w:before="0"/>
        <w:ind w:left="4416" w:right="5014" w:firstLine="0"/>
        <w:jc w:val="center"/>
        <w:rPr>
          <w:b/>
          <w:sz w:val="44"/>
        </w:rPr>
      </w:pPr>
      <w:r>
        <w:rPr>
          <w:b/>
          <w:w w:val="95"/>
          <w:sz w:val="44"/>
        </w:rPr>
        <w:t>阅读指引</w:t>
      </w:r>
    </w:p>
    <w:p>
      <w:pPr>
        <w:pStyle w:val="BodyText"/>
        <w:spacing w:before="2"/>
        <w:rPr>
          <w:b/>
          <w:sz w:val="15"/>
        </w:rPr>
      </w:pPr>
    </w:p>
    <w:p>
      <w:pPr>
        <w:pStyle w:val="BodyText"/>
        <w:spacing w:before="35"/>
        <w:ind w:left="2228"/>
      </w:pPr>
      <w:r>
        <w:rPr>
          <w:spacing w:val="-148"/>
          <w:w w:val="99"/>
        </w:rPr>
        <w:t>本</w:t>
      </w:r>
      <w:r>
        <w:rPr>
          <w:spacing w:val="-63"/>
          <w:w w:val="99"/>
          <w:position w:val="-7"/>
        </w:rPr>
        <w:t>．</w:t>
      </w:r>
      <w:r>
        <w:rPr>
          <w:spacing w:val="-148"/>
          <w:w w:val="99"/>
        </w:rPr>
        <w:t>阅</w:t>
      </w:r>
      <w:r>
        <w:rPr>
          <w:spacing w:val="-63"/>
          <w:w w:val="99"/>
          <w:position w:val="-7"/>
        </w:rPr>
        <w:t>．</w:t>
      </w:r>
      <w:r>
        <w:rPr>
          <w:spacing w:val="-148"/>
          <w:w w:val="99"/>
        </w:rPr>
        <w:t>读</w:t>
      </w:r>
      <w:r>
        <w:rPr>
          <w:spacing w:val="-63"/>
          <w:w w:val="99"/>
          <w:position w:val="-7"/>
        </w:rPr>
        <w:t>．</w:t>
      </w:r>
      <w:r>
        <w:rPr>
          <w:spacing w:val="-148"/>
          <w:w w:val="99"/>
        </w:rPr>
        <w:t>指</w:t>
      </w:r>
      <w:r>
        <w:rPr>
          <w:spacing w:val="-63"/>
          <w:w w:val="99"/>
          <w:position w:val="-7"/>
        </w:rPr>
        <w:t>．</w:t>
      </w:r>
      <w:r>
        <w:rPr>
          <w:spacing w:val="-148"/>
          <w:w w:val="99"/>
        </w:rPr>
        <w:t>引</w:t>
      </w:r>
      <w:r>
        <w:rPr>
          <w:spacing w:val="-63"/>
          <w:w w:val="99"/>
          <w:position w:val="-7"/>
        </w:rPr>
        <w:t>．</w:t>
      </w:r>
      <w:r>
        <w:rPr>
          <w:spacing w:val="-148"/>
          <w:w w:val="99"/>
        </w:rPr>
        <w:t>有</w:t>
      </w:r>
      <w:r>
        <w:rPr>
          <w:spacing w:val="-63"/>
          <w:w w:val="99"/>
          <w:position w:val="-7"/>
        </w:rPr>
        <w:t>．</w:t>
      </w:r>
      <w:r>
        <w:rPr>
          <w:spacing w:val="-148"/>
          <w:w w:val="99"/>
        </w:rPr>
        <w:t>助</w:t>
      </w:r>
      <w:r>
        <w:rPr>
          <w:spacing w:val="-68"/>
          <w:w w:val="99"/>
          <w:position w:val="-7"/>
        </w:rPr>
        <w:t>．</w:t>
      </w:r>
      <w:r>
        <w:rPr>
          <w:spacing w:val="-148"/>
          <w:w w:val="99"/>
        </w:rPr>
        <w:t>于</w:t>
      </w:r>
      <w:r>
        <w:rPr>
          <w:spacing w:val="-63"/>
          <w:w w:val="99"/>
          <w:position w:val="-7"/>
        </w:rPr>
        <w:t>．</w:t>
      </w:r>
      <w:r>
        <w:rPr>
          <w:spacing w:val="-148"/>
          <w:w w:val="99"/>
        </w:rPr>
        <w:t>您</w:t>
      </w:r>
      <w:r>
        <w:rPr>
          <w:spacing w:val="-63"/>
          <w:w w:val="99"/>
          <w:position w:val="-7"/>
        </w:rPr>
        <w:t>．</w:t>
      </w:r>
      <w:r>
        <w:rPr>
          <w:spacing w:val="-148"/>
          <w:w w:val="99"/>
        </w:rPr>
        <w:t>理</w:t>
      </w:r>
      <w:r>
        <w:rPr>
          <w:spacing w:val="-63"/>
          <w:w w:val="99"/>
          <w:position w:val="-7"/>
        </w:rPr>
        <w:t>．</w:t>
      </w:r>
      <w:r>
        <w:rPr>
          <w:spacing w:val="-148"/>
          <w:w w:val="99"/>
        </w:rPr>
        <w:t>解</w:t>
      </w:r>
      <w:r>
        <w:rPr>
          <w:spacing w:val="-63"/>
          <w:w w:val="99"/>
          <w:position w:val="-7"/>
        </w:rPr>
        <w:t>．</w:t>
      </w:r>
      <w:r>
        <w:rPr>
          <w:spacing w:val="-148"/>
          <w:w w:val="99"/>
        </w:rPr>
        <w:t>条</w:t>
      </w:r>
      <w:r>
        <w:rPr>
          <w:spacing w:val="-54"/>
          <w:w w:val="99"/>
          <w:position w:val="-7"/>
        </w:rPr>
        <w:t>．</w:t>
      </w:r>
      <w:r>
        <w:rPr>
          <w:spacing w:val="-148"/>
          <w:w w:val="99"/>
        </w:rPr>
        <w:t>款</w:t>
      </w:r>
      <w:r>
        <w:rPr>
          <w:spacing w:val="-63"/>
          <w:w w:val="99"/>
          <w:position w:val="-7"/>
        </w:rPr>
        <w:t>．</w:t>
      </w:r>
      <w:r>
        <w:rPr>
          <w:spacing w:val="-148"/>
          <w:w w:val="99"/>
        </w:rPr>
        <w:t>，</w:t>
      </w:r>
      <w:r>
        <w:rPr>
          <w:spacing w:val="-63"/>
          <w:w w:val="99"/>
          <w:position w:val="-7"/>
        </w:rPr>
        <w:t>．</w:t>
      </w:r>
      <w:r>
        <w:rPr>
          <w:spacing w:val="-148"/>
          <w:w w:val="99"/>
        </w:rPr>
        <w:t>对</w:t>
      </w:r>
      <w:r>
        <w:rPr>
          <w:spacing w:val="-63"/>
          <w:w w:val="99"/>
          <w:position w:val="-7"/>
        </w:rPr>
        <w:t>．</w:t>
      </w:r>
      <w:r>
        <w:rPr>
          <w:spacing w:val="-148"/>
          <w:w w:val="99"/>
        </w:rPr>
        <w:t>本</w:t>
      </w:r>
      <w:r>
        <w:rPr>
          <w:spacing w:val="-63"/>
          <w:w w:val="99"/>
          <w:position w:val="-7"/>
        </w:rPr>
        <w:t>．</w:t>
      </w:r>
      <w:r>
        <w:rPr>
          <w:spacing w:val="-148"/>
          <w:w w:val="99"/>
        </w:rPr>
        <w:t>合</w:t>
      </w:r>
      <w:r>
        <w:rPr>
          <w:spacing w:val="-65"/>
          <w:w w:val="99"/>
          <w:position w:val="-7"/>
        </w:rPr>
        <w:t>．</w:t>
      </w:r>
      <w:r>
        <w:rPr>
          <w:spacing w:val="-148"/>
          <w:w w:val="99"/>
        </w:rPr>
        <w:t>同</w:t>
      </w:r>
      <w:r>
        <w:rPr>
          <w:spacing w:val="-63"/>
          <w:w w:val="99"/>
          <w:position w:val="-7"/>
        </w:rPr>
        <w:t>．</w:t>
      </w:r>
      <w:r>
        <w:rPr>
          <w:spacing w:val="-148"/>
          <w:w w:val="99"/>
        </w:rPr>
        <w:t>内</w:t>
      </w:r>
      <w:r>
        <w:rPr>
          <w:spacing w:val="-63"/>
          <w:w w:val="99"/>
          <w:position w:val="-7"/>
        </w:rPr>
        <w:t>．</w:t>
      </w:r>
      <w:r>
        <w:rPr>
          <w:spacing w:val="-148"/>
          <w:w w:val="99"/>
        </w:rPr>
        <w:t>容</w:t>
      </w:r>
      <w:r>
        <w:rPr>
          <w:spacing w:val="-63"/>
          <w:w w:val="99"/>
          <w:position w:val="-7"/>
        </w:rPr>
        <w:t>．</w:t>
      </w:r>
      <w:r>
        <w:rPr>
          <w:spacing w:val="-148"/>
          <w:w w:val="99"/>
        </w:rPr>
        <w:t>的</w:t>
      </w:r>
      <w:r>
        <w:rPr>
          <w:spacing w:val="-63"/>
          <w:w w:val="99"/>
          <w:position w:val="-7"/>
        </w:rPr>
        <w:t>．</w:t>
      </w:r>
      <w:r>
        <w:rPr>
          <w:spacing w:val="-148"/>
          <w:w w:val="99"/>
        </w:rPr>
        <w:t>解</w:t>
      </w:r>
      <w:r>
        <w:rPr>
          <w:spacing w:val="-72"/>
          <w:w w:val="99"/>
          <w:position w:val="-7"/>
        </w:rPr>
        <w:t>．</w:t>
      </w:r>
      <w:r>
        <w:rPr>
          <w:spacing w:val="-148"/>
          <w:w w:val="99"/>
        </w:rPr>
        <w:t>释</w:t>
      </w:r>
      <w:r>
        <w:rPr>
          <w:spacing w:val="-63"/>
          <w:w w:val="99"/>
          <w:position w:val="-7"/>
        </w:rPr>
        <w:t>．</w:t>
      </w:r>
      <w:r>
        <w:rPr>
          <w:spacing w:val="-148"/>
          <w:w w:val="99"/>
        </w:rPr>
        <w:t>以</w:t>
      </w:r>
      <w:r>
        <w:rPr>
          <w:spacing w:val="-63"/>
          <w:w w:val="99"/>
          <w:position w:val="-7"/>
        </w:rPr>
        <w:t>．</w:t>
      </w:r>
      <w:r>
        <w:rPr>
          <w:spacing w:val="-148"/>
          <w:w w:val="99"/>
        </w:rPr>
        <w:t>条</w:t>
      </w:r>
      <w:r>
        <w:rPr>
          <w:spacing w:val="-63"/>
          <w:w w:val="99"/>
          <w:position w:val="-7"/>
        </w:rPr>
        <w:t>．</w:t>
      </w:r>
      <w:r>
        <w:rPr>
          <w:spacing w:val="-148"/>
          <w:w w:val="99"/>
        </w:rPr>
        <w:t>款</w:t>
      </w:r>
      <w:r>
        <w:rPr>
          <w:spacing w:val="-63"/>
          <w:w w:val="99"/>
          <w:position w:val="-7"/>
        </w:rPr>
        <w:t>．</w:t>
      </w:r>
      <w:r>
        <w:rPr>
          <w:spacing w:val="-148"/>
          <w:w w:val="99"/>
        </w:rPr>
        <w:t>为</w:t>
      </w:r>
      <w:r>
        <w:rPr>
          <w:spacing w:val="-48"/>
          <w:w w:val="99"/>
          <w:position w:val="-7"/>
        </w:rPr>
        <w:t>．</w:t>
      </w:r>
      <w:r>
        <w:rPr>
          <w:spacing w:val="-148"/>
          <w:w w:val="99"/>
        </w:rPr>
        <w:t>准</w:t>
      </w:r>
      <w:r>
        <w:rPr>
          <w:spacing w:val="-63"/>
          <w:w w:val="99"/>
          <w:position w:val="-7"/>
        </w:rPr>
        <w:t>．</w:t>
      </w:r>
      <w:r>
        <w:rPr>
          <w:spacing w:val="-148"/>
          <w:w w:val="99"/>
        </w:rPr>
        <w:t>。</w:t>
      </w:r>
      <w:r>
        <w:rPr>
          <w:w w:val="99"/>
          <w:position w:val="-7"/>
        </w:rPr>
        <w:t>．</w:t>
      </w:r>
    </w:p>
    <w:p>
      <w:pPr>
        <w:pStyle w:val="BodyText"/>
        <w:spacing w:before="0"/>
        <w:rPr>
          <w:sz w:val="20"/>
        </w:rPr>
      </w:pPr>
    </w:p>
    <w:p>
      <w:pPr>
        <w:pStyle w:val="BodyText"/>
        <w:spacing w:before="8"/>
        <w:rPr>
          <w:sz w:val="18"/>
        </w:rPr>
      </w:pPr>
    </w:p>
    <w:p>
      <w:pPr>
        <w:pStyle w:val="Heading5"/>
        <w:tabs>
          <w:tab w:pos="1275" w:val="left" w:leader="none"/>
        </w:tabs>
        <w:spacing w:line="694" w:lineRule="exact"/>
        <w:ind w:left="265"/>
        <w:rPr>
          <w:rFonts w:ascii="宋体" w:hAnsi="宋体" w:eastAsia="宋体" w:hint="eastAsia"/>
        </w:rPr>
      </w:pPr>
      <w:r>
        <w:rPr/>
        <w:drawing>
          <wp:anchor distT="0" distB="0" distL="0" distR="0" allowOverlap="1" layoutInCell="1" locked="0" behindDoc="1" simplePos="0" relativeHeight="268415879">
            <wp:simplePos x="0" y="0"/>
            <wp:positionH relativeFrom="page">
              <wp:posOffset>503464</wp:posOffset>
            </wp:positionH>
            <wp:positionV relativeFrom="paragraph">
              <wp:posOffset>-207455</wp:posOffset>
            </wp:positionV>
            <wp:extent cx="6560492" cy="7484036"/>
            <wp:effectExtent l="0" t="0" r="0" b="0"/>
            <wp:wrapNone/>
            <wp:docPr id="1" name="image6.png" descr=""/>
            <wp:cNvGraphicFramePr>
              <a:graphicFrameLocks noChangeAspect="1"/>
            </wp:cNvGraphicFramePr>
            <a:graphic>
              <a:graphicData uri="http://schemas.openxmlformats.org/drawingml/2006/picture">
                <pic:pic>
                  <pic:nvPicPr>
                    <pic:cNvPr id="2" name="image6.png"/>
                    <pic:cNvPicPr/>
                  </pic:nvPicPr>
                  <pic:blipFill>
                    <a:blip r:embed="rId10" cstate="print"/>
                    <a:stretch>
                      <a:fillRect/>
                    </a:stretch>
                  </pic:blipFill>
                  <pic:spPr>
                    <a:xfrm>
                      <a:off x="0" y="0"/>
                      <a:ext cx="6560492" cy="7484036"/>
                    </a:xfrm>
                    <a:prstGeom prst="rect">
                      <a:avLst/>
                    </a:prstGeom>
                  </pic:spPr>
                </pic:pic>
              </a:graphicData>
            </a:graphic>
          </wp:anchor>
        </w:drawing>
      </w:r>
      <w:r>
        <w:rPr>
          <w:rFonts w:ascii="Yu Gothic" w:hAnsi="Yu Gothic" w:eastAsia="Yu Gothic" w:hint="eastAsia"/>
          <w:w w:val="150"/>
          <w:position w:val="-11"/>
          <w:sz w:val="52"/>
        </w:rPr>
        <w:t>¤</w:t>
        <w:tab/>
      </w:r>
      <w:r>
        <w:rPr>
          <w:rFonts w:ascii="宋体" w:hAnsi="宋体" w:eastAsia="宋体" w:hint="eastAsia"/>
          <w:w w:val="95"/>
        </w:rPr>
        <w:t>您拥有的重要权益</w:t>
      </w:r>
    </w:p>
    <w:p>
      <w:pPr>
        <w:pStyle w:val="ListParagraph"/>
        <w:numPr>
          <w:ilvl w:val="0"/>
          <w:numId w:val="1"/>
        </w:numPr>
        <w:tabs>
          <w:tab w:pos="1659" w:val="left" w:leader="none"/>
          <w:tab w:pos="1661" w:val="left" w:leader="none"/>
          <w:tab w:pos="9116" w:val="right" w:leader="dot"/>
        </w:tabs>
        <w:spacing w:line="252" w:lineRule="exact" w:before="0" w:after="0"/>
        <w:ind w:left="1660" w:right="0" w:hanging="423"/>
        <w:jc w:val="left"/>
        <w:rPr>
          <w:sz w:val="21"/>
        </w:rPr>
      </w:pPr>
      <w:r>
        <w:rPr>
          <w:rFonts w:ascii="仿宋" w:eastAsia="仿宋" w:hint="eastAsia"/>
          <w:sz w:val="21"/>
        </w:rPr>
        <w:t>被保险人可以享受</w:t>
      </w:r>
      <w:r>
        <w:rPr>
          <w:rFonts w:ascii="仿宋" w:eastAsia="仿宋" w:hint="eastAsia"/>
          <w:spacing w:val="-5"/>
          <w:sz w:val="21"/>
        </w:rPr>
        <w:t>本</w:t>
      </w:r>
      <w:r>
        <w:rPr>
          <w:rFonts w:ascii="仿宋" w:eastAsia="仿宋" w:hint="eastAsia"/>
          <w:sz w:val="21"/>
        </w:rPr>
        <w:t>合同提供</w:t>
      </w:r>
      <w:r>
        <w:rPr>
          <w:rFonts w:ascii="仿宋" w:eastAsia="仿宋" w:hint="eastAsia"/>
          <w:spacing w:val="6"/>
          <w:sz w:val="21"/>
        </w:rPr>
        <w:t>的</w:t>
      </w:r>
      <w:r>
        <w:rPr>
          <w:rFonts w:ascii="仿宋" w:eastAsia="仿宋" w:hint="eastAsia"/>
          <w:sz w:val="21"/>
        </w:rPr>
        <w:t>保障</w:t>
        <w:tab/>
      </w:r>
      <w:r>
        <w:rPr>
          <w:sz w:val="21"/>
        </w:rPr>
        <w:t>2.1</w:t>
      </w:r>
    </w:p>
    <w:p>
      <w:pPr>
        <w:pStyle w:val="ListParagraph"/>
        <w:numPr>
          <w:ilvl w:val="0"/>
          <w:numId w:val="1"/>
        </w:numPr>
        <w:tabs>
          <w:tab w:pos="1678" w:val="left" w:leader="none"/>
          <w:tab w:pos="1679" w:val="left" w:leader="none"/>
          <w:tab w:pos="9134" w:val="right" w:leader="dot"/>
        </w:tabs>
        <w:spacing w:line="240" w:lineRule="auto" w:before="37" w:after="0"/>
        <w:ind w:left="1678" w:right="0" w:hanging="441"/>
        <w:jc w:val="left"/>
        <w:rPr>
          <w:sz w:val="21"/>
        </w:rPr>
      </w:pPr>
      <w:r>
        <w:rPr>
          <w:rFonts w:ascii="仿宋" w:eastAsia="仿宋" w:hint="eastAsia"/>
          <w:sz w:val="21"/>
        </w:rPr>
        <w:t>您有解除合同的权利</w:t>
        <w:tab/>
      </w:r>
      <w:r>
        <w:rPr>
          <w:sz w:val="21"/>
        </w:rPr>
        <w:t>6.1</w:t>
      </w:r>
    </w:p>
    <w:p>
      <w:pPr>
        <w:pStyle w:val="Heading5"/>
        <w:tabs>
          <w:tab w:pos="1275" w:val="left" w:leader="none"/>
        </w:tabs>
        <w:spacing w:line="684" w:lineRule="exact"/>
        <w:ind w:left="265"/>
        <w:rPr>
          <w:rFonts w:ascii="宋体" w:hAnsi="宋体" w:eastAsia="宋体" w:hint="eastAsia"/>
        </w:rPr>
      </w:pPr>
      <w:r>
        <w:rPr>
          <w:rFonts w:ascii="Yu Gothic" w:hAnsi="Yu Gothic" w:eastAsia="Yu Gothic" w:hint="eastAsia"/>
          <w:w w:val="150"/>
          <w:position w:val="-11"/>
          <w:sz w:val="52"/>
        </w:rPr>
        <w:t>¤</w:t>
        <w:tab/>
      </w:r>
      <w:r>
        <w:rPr>
          <w:rFonts w:ascii="宋体" w:hAnsi="宋体" w:eastAsia="宋体" w:hint="eastAsia"/>
          <w:w w:val="95"/>
        </w:rPr>
        <w:t>您应当特别注意的事项</w:t>
      </w:r>
    </w:p>
    <w:p>
      <w:pPr>
        <w:pStyle w:val="ListParagraph"/>
        <w:numPr>
          <w:ilvl w:val="0"/>
          <w:numId w:val="1"/>
        </w:numPr>
        <w:tabs>
          <w:tab w:pos="1678" w:val="left" w:leader="none"/>
          <w:tab w:pos="1679" w:val="left" w:leader="none"/>
        </w:tabs>
        <w:spacing w:line="252" w:lineRule="exact" w:before="0" w:after="0"/>
        <w:ind w:left="1678" w:right="0" w:hanging="441"/>
        <w:jc w:val="left"/>
        <w:rPr>
          <w:sz w:val="21"/>
        </w:rPr>
      </w:pPr>
      <w:r>
        <w:rPr>
          <w:rFonts w:ascii="仿宋" w:hAnsi="仿宋" w:eastAsia="仿宋" w:hint="eastAsia"/>
          <w:spacing w:val="-2"/>
          <w:w w:val="95"/>
          <w:sz w:val="21"/>
        </w:rPr>
        <w:t>在某些情况下，我们不承担保险责任</w:t>
      </w:r>
      <w:r>
        <w:rPr>
          <w:w w:val="95"/>
          <w:sz w:val="21"/>
        </w:rPr>
        <w:t>……………………………………2.2;3.2;7.2</w:t>
      </w:r>
    </w:p>
    <w:p>
      <w:pPr>
        <w:pStyle w:val="ListParagraph"/>
        <w:numPr>
          <w:ilvl w:val="0"/>
          <w:numId w:val="1"/>
        </w:numPr>
        <w:tabs>
          <w:tab w:pos="1678" w:val="left" w:leader="none"/>
          <w:tab w:pos="1679" w:val="left" w:leader="none"/>
          <w:tab w:pos="8824" w:val="left" w:leader="dot"/>
        </w:tabs>
        <w:spacing w:line="240" w:lineRule="auto" w:before="37" w:after="0"/>
        <w:ind w:left="1678" w:right="0" w:hanging="441"/>
        <w:jc w:val="left"/>
        <w:rPr>
          <w:sz w:val="21"/>
        </w:rPr>
      </w:pPr>
      <w:r>
        <w:rPr>
          <w:rFonts w:ascii="仿宋" w:eastAsia="仿宋" w:hint="eastAsia"/>
          <w:sz w:val="21"/>
        </w:rPr>
        <w:t>保险事故发生后请</w:t>
      </w:r>
      <w:r>
        <w:rPr>
          <w:rFonts w:ascii="仿宋" w:eastAsia="仿宋" w:hint="eastAsia"/>
          <w:spacing w:val="-5"/>
          <w:sz w:val="21"/>
        </w:rPr>
        <w:t>您</w:t>
      </w:r>
      <w:r>
        <w:rPr>
          <w:rFonts w:ascii="仿宋" w:eastAsia="仿宋" w:hint="eastAsia"/>
          <w:sz w:val="21"/>
        </w:rPr>
        <w:t>及时通知</w:t>
      </w:r>
      <w:r>
        <w:rPr>
          <w:rFonts w:ascii="仿宋" w:eastAsia="仿宋" w:hint="eastAsia"/>
          <w:spacing w:val="6"/>
          <w:sz w:val="21"/>
        </w:rPr>
        <w:t>我</w:t>
      </w:r>
      <w:r>
        <w:rPr>
          <w:rFonts w:ascii="仿宋" w:eastAsia="仿宋" w:hint="eastAsia"/>
          <w:sz w:val="21"/>
        </w:rPr>
        <w:t>们</w:t>
        <w:tab/>
      </w:r>
      <w:r>
        <w:rPr>
          <w:sz w:val="21"/>
        </w:rPr>
        <w:t>3.2</w:t>
      </w:r>
    </w:p>
    <w:p>
      <w:pPr>
        <w:pStyle w:val="ListParagraph"/>
        <w:numPr>
          <w:ilvl w:val="0"/>
          <w:numId w:val="1"/>
        </w:numPr>
        <w:tabs>
          <w:tab w:pos="1678" w:val="left" w:leader="none"/>
          <w:tab w:pos="1679" w:val="left" w:leader="none"/>
          <w:tab w:pos="8824" w:val="left" w:leader="dot"/>
        </w:tabs>
        <w:spacing w:line="240" w:lineRule="auto" w:before="37" w:after="0"/>
        <w:ind w:left="1678" w:right="0" w:hanging="441"/>
        <w:jc w:val="left"/>
        <w:rPr>
          <w:sz w:val="21"/>
        </w:rPr>
      </w:pPr>
      <w:r>
        <w:rPr>
          <w:rFonts w:ascii="仿宋" w:eastAsia="仿宋" w:hint="eastAsia"/>
          <w:sz w:val="21"/>
        </w:rPr>
        <w:t>您应当按时交纳保</w:t>
      </w:r>
      <w:r>
        <w:rPr>
          <w:rFonts w:ascii="仿宋" w:eastAsia="仿宋" w:hint="eastAsia"/>
          <w:spacing w:val="-5"/>
          <w:sz w:val="21"/>
        </w:rPr>
        <w:t>险</w:t>
      </w:r>
      <w:r>
        <w:rPr>
          <w:rFonts w:ascii="仿宋" w:eastAsia="仿宋" w:hint="eastAsia"/>
          <w:sz w:val="21"/>
        </w:rPr>
        <w:t>费</w:t>
        <w:tab/>
      </w:r>
      <w:r>
        <w:rPr>
          <w:sz w:val="21"/>
        </w:rPr>
        <w:t>4.1</w:t>
      </w:r>
    </w:p>
    <w:p>
      <w:pPr>
        <w:pStyle w:val="ListParagraph"/>
        <w:numPr>
          <w:ilvl w:val="0"/>
          <w:numId w:val="1"/>
        </w:numPr>
        <w:tabs>
          <w:tab w:pos="1677" w:val="left" w:leader="none"/>
          <w:tab w:pos="1678" w:val="left" w:leader="none"/>
          <w:tab w:pos="8824" w:val="left" w:leader="dot"/>
        </w:tabs>
        <w:spacing w:line="240" w:lineRule="auto" w:before="37" w:after="0"/>
        <w:ind w:left="1677" w:right="0" w:hanging="440"/>
        <w:jc w:val="left"/>
        <w:rPr>
          <w:sz w:val="21"/>
        </w:rPr>
      </w:pPr>
      <w:r>
        <w:rPr>
          <w:rFonts w:ascii="仿宋" w:eastAsia="仿宋" w:hint="eastAsia"/>
          <w:sz w:val="21"/>
        </w:rPr>
        <w:t>解除合同会给您造</w:t>
      </w:r>
      <w:r>
        <w:rPr>
          <w:rFonts w:ascii="仿宋" w:eastAsia="仿宋" w:hint="eastAsia"/>
          <w:spacing w:val="-5"/>
          <w:sz w:val="21"/>
        </w:rPr>
        <w:t>成</w:t>
      </w:r>
      <w:r>
        <w:rPr>
          <w:rFonts w:ascii="仿宋" w:eastAsia="仿宋" w:hint="eastAsia"/>
          <w:sz w:val="21"/>
        </w:rPr>
        <w:t>一定的损失</w:t>
      </w:r>
      <w:r>
        <w:rPr>
          <w:rFonts w:ascii="仿宋" w:eastAsia="仿宋" w:hint="eastAsia"/>
          <w:spacing w:val="6"/>
          <w:sz w:val="21"/>
        </w:rPr>
        <w:t>，</w:t>
      </w:r>
      <w:r>
        <w:rPr>
          <w:rFonts w:ascii="仿宋" w:eastAsia="仿宋" w:hint="eastAsia"/>
          <w:sz w:val="21"/>
        </w:rPr>
        <w:t>请您慎</w:t>
      </w:r>
      <w:r>
        <w:rPr>
          <w:rFonts w:ascii="仿宋" w:eastAsia="仿宋" w:hint="eastAsia"/>
          <w:spacing w:val="-3"/>
          <w:sz w:val="21"/>
        </w:rPr>
        <w:t>重</w:t>
      </w:r>
      <w:r>
        <w:rPr>
          <w:rFonts w:ascii="仿宋" w:eastAsia="仿宋" w:hint="eastAsia"/>
          <w:sz w:val="21"/>
        </w:rPr>
        <w:t>决策</w:t>
        <w:tab/>
      </w:r>
      <w:r>
        <w:rPr>
          <w:sz w:val="21"/>
        </w:rPr>
        <w:t>6.1</w:t>
      </w:r>
    </w:p>
    <w:p>
      <w:pPr>
        <w:pStyle w:val="ListParagraph"/>
        <w:numPr>
          <w:ilvl w:val="0"/>
          <w:numId w:val="1"/>
        </w:numPr>
        <w:tabs>
          <w:tab w:pos="1678" w:val="left" w:leader="none"/>
          <w:tab w:pos="1679" w:val="left" w:leader="none"/>
          <w:tab w:pos="8824" w:val="left" w:leader="dot"/>
        </w:tabs>
        <w:spacing w:line="240" w:lineRule="auto" w:before="37" w:after="0"/>
        <w:ind w:left="1678" w:right="0" w:hanging="441"/>
        <w:jc w:val="left"/>
        <w:rPr>
          <w:sz w:val="21"/>
        </w:rPr>
      </w:pPr>
      <w:r>
        <w:rPr>
          <w:rFonts w:ascii="仿宋" w:eastAsia="仿宋" w:hint="eastAsia"/>
          <w:sz w:val="21"/>
        </w:rPr>
        <w:t>您有如实告知的义务</w:t>
        <w:tab/>
      </w:r>
      <w:r>
        <w:rPr>
          <w:sz w:val="21"/>
        </w:rPr>
        <w:t>7.2</w:t>
      </w:r>
    </w:p>
    <w:p>
      <w:pPr>
        <w:pStyle w:val="ListParagraph"/>
        <w:numPr>
          <w:ilvl w:val="0"/>
          <w:numId w:val="1"/>
        </w:numPr>
        <w:tabs>
          <w:tab w:pos="1678" w:val="left" w:leader="none"/>
          <w:tab w:pos="1679" w:val="left" w:leader="none"/>
          <w:tab w:pos="9029" w:val="left" w:leader="dot"/>
        </w:tabs>
        <w:spacing w:line="240" w:lineRule="auto" w:before="37" w:after="0"/>
        <w:ind w:left="1678" w:right="0" w:hanging="441"/>
        <w:jc w:val="left"/>
        <w:rPr>
          <w:sz w:val="21"/>
        </w:rPr>
      </w:pPr>
      <w:r>
        <w:rPr>
          <w:rFonts w:ascii="仿宋" w:eastAsia="仿宋" w:hint="eastAsia"/>
          <w:sz w:val="21"/>
        </w:rPr>
        <w:t>我们对一些重要术</w:t>
      </w:r>
      <w:r>
        <w:rPr>
          <w:rFonts w:ascii="仿宋" w:eastAsia="仿宋" w:hint="eastAsia"/>
          <w:spacing w:val="-5"/>
          <w:sz w:val="21"/>
        </w:rPr>
        <w:t>语</w:t>
      </w:r>
      <w:r>
        <w:rPr>
          <w:rFonts w:ascii="仿宋" w:eastAsia="仿宋" w:hint="eastAsia"/>
          <w:sz w:val="21"/>
        </w:rPr>
        <w:t>进行了解释</w:t>
      </w:r>
      <w:r>
        <w:rPr>
          <w:rFonts w:ascii="仿宋" w:eastAsia="仿宋" w:hint="eastAsia"/>
          <w:spacing w:val="6"/>
          <w:sz w:val="21"/>
        </w:rPr>
        <w:t>，</w:t>
      </w:r>
      <w:r>
        <w:rPr>
          <w:rFonts w:ascii="仿宋" w:eastAsia="仿宋" w:hint="eastAsia"/>
          <w:sz w:val="21"/>
        </w:rPr>
        <w:t>并作了</w:t>
      </w:r>
      <w:r>
        <w:rPr>
          <w:rFonts w:ascii="仿宋" w:eastAsia="仿宋" w:hint="eastAsia"/>
          <w:spacing w:val="-3"/>
          <w:sz w:val="21"/>
        </w:rPr>
        <w:t>显</w:t>
      </w:r>
      <w:r>
        <w:rPr>
          <w:rFonts w:ascii="仿宋" w:eastAsia="仿宋" w:hint="eastAsia"/>
          <w:sz w:val="21"/>
        </w:rPr>
        <w:t>著标识，请</w:t>
      </w:r>
      <w:r>
        <w:rPr>
          <w:rFonts w:ascii="仿宋" w:eastAsia="仿宋" w:hint="eastAsia"/>
          <w:spacing w:val="-10"/>
          <w:sz w:val="21"/>
        </w:rPr>
        <w:t>您</w:t>
      </w:r>
      <w:r>
        <w:rPr>
          <w:rFonts w:ascii="仿宋" w:eastAsia="仿宋" w:hint="eastAsia"/>
          <w:sz w:val="21"/>
        </w:rPr>
        <w:t>注意</w:t>
        <w:tab/>
      </w:r>
      <w:r>
        <w:rPr>
          <w:sz w:val="21"/>
        </w:rPr>
        <w:t>9</w:t>
      </w:r>
    </w:p>
    <w:p>
      <w:pPr>
        <w:pStyle w:val="Heading5"/>
        <w:tabs>
          <w:tab w:pos="1275" w:val="left" w:leader="none"/>
        </w:tabs>
        <w:spacing w:line="558" w:lineRule="exact"/>
        <w:ind w:left="265"/>
        <w:rPr>
          <w:rFonts w:ascii="宋体" w:hAnsi="宋体" w:eastAsia="宋体" w:hint="eastAsia"/>
        </w:rPr>
      </w:pPr>
      <w:r>
        <w:rPr>
          <w:rFonts w:ascii="Yu Gothic" w:hAnsi="Yu Gothic" w:eastAsia="Yu Gothic" w:hint="eastAsia"/>
          <w:w w:val="150"/>
          <w:position w:val="-11"/>
          <w:sz w:val="52"/>
        </w:rPr>
        <w:t>¤</w:t>
        <w:tab/>
      </w:r>
      <w:r>
        <w:rPr>
          <w:rFonts w:ascii="宋体" w:hAnsi="宋体" w:eastAsia="宋体" w:hint="eastAsia"/>
          <w:spacing w:val="-3"/>
          <w:w w:val="95"/>
        </w:rPr>
        <w:t>条款是保险合同的重要内容，为充分保障您的权益，请您仔细阅读本条款。</w:t>
      </w:r>
    </w:p>
    <w:p>
      <w:pPr>
        <w:tabs>
          <w:tab w:pos="1275" w:val="left" w:leader="none"/>
        </w:tabs>
        <w:spacing w:line="750" w:lineRule="exact" w:before="0"/>
        <w:ind w:left="265" w:right="0" w:firstLine="0"/>
        <w:jc w:val="left"/>
        <w:rPr>
          <w:b/>
          <w:sz w:val="21"/>
        </w:rPr>
      </w:pPr>
      <w:r>
        <w:rPr>
          <w:rFonts w:ascii="Yu Gothic" w:hAnsi="Yu Gothic" w:eastAsia="Yu Gothic" w:hint="eastAsia"/>
          <w:b/>
          <w:w w:val="150"/>
          <w:position w:val="-11"/>
          <w:sz w:val="52"/>
        </w:rPr>
        <w:t>¤</w:t>
        <w:tab/>
      </w:r>
      <w:r>
        <w:rPr>
          <w:b/>
          <w:sz w:val="21"/>
        </w:rPr>
        <w:t>条款目录</w:t>
      </w:r>
    </w:p>
    <w:p>
      <w:pPr>
        <w:spacing w:after="0" w:line="750" w:lineRule="exact"/>
        <w:jc w:val="left"/>
        <w:rPr>
          <w:sz w:val="21"/>
        </w:rPr>
        <w:sectPr>
          <w:type w:val="continuous"/>
          <w:pgSz w:w="11910" w:h="16840"/>
          <w:pgMar w:top="300" w:bottom="280" w:left="680" w:right="80"/>
        </w:sectPr>
      </w:pPr>
    </w:p>
    <w:p>
      <w:pPr>
        <w:pStyle w:val="Heading5"/>
        <w:spacing w:before="111"/>
        <w:ind w:left="1529"/>
        <w:rPr>
          <w:rFonts w:ascii="仿宋" w:eastAsia="仿宋" w:hint="eastAsia"/>
        </w:rPr>
      </w:pPr>
      <w:r>
        <w:rPr>
          <w:rFonts w:ascii="宋体" w:eastAsia="宋体" w:hint="eastAsia"/>
          <w:w w:val="95"/>
        </w:rPr>
        <w:t>1.</w:t>
      </w:r>
      <w:r>
        <w:rPr>
          <w:rFonts w:ascii="仿宋" w:eastAsia="仿宋" w:hint="eastAsia"/>
          <w:w w:val="95"/>
        </w:rPr>
        <w:t>您与我们订立的合同</w:t>
      </w:r>
    </w:p>
    <w:p>
      <w:pPr>
        <w:pStyle w:val="ListParagraph"/>
        <w:numPr>
          <w:ilvl w:val="1"/>
          <w:numId w:val="2"/>
        </w:numPr>
        <w:tabs>
          <w:tab w:pos="2160" w:val="left" w:leader="none"/>
        </w:tabs>
        <w:spacing w:line="240" w:lineRule="auto" w:before="36" w:after="0"/>
        <w:ind w:left="2159" w:right="0" w:hanging="420"/>
        <w:jc w:val="left"/>
        <w:rPr>
          <w:rFonts w:ascii="仿宋" w:eastAsia="仿宋" w:hint="eastAsia"/>
          <w:sz w:val="21"/>
        </w:rPr>
      </w:pPr>
      <w:r>
        <w:rPr>
          <w:rFonts w:ascii="仿宋" w:eastAsia="仿宋" w:hint="eastAsia"/>
          <w:w w:val="95"/>
          <w:sz w:val="21"/>
        </w:rPr>
        <w:t>合同构成</w:t>
      </w:r>
    </w:p>
    <w:p>
      <w:pPr>
        <w:pStyle w:val="ListParagraph"/>
        <w:numPr>
          <w:ilvl w:val="1"/>
          <w:numId w:val="2"/>
        </w:numPr>
        <w:tabs>
          <w:tab w:pos="2160" w:val="left" w:leader="none"/>
        </w:tabs>
        <w:spacing w:line="240" w:lineRule="auto" w:before="36" w:after="0"/>
        <w:ind w:left="2159" w:right="0" w:hanging="419"/>
        <w:jc w:val="left"/>
        <w:rPr>
          <w:rFonts w:ascii="仿宋" w:eastAsia="仿宋" w:hint="eastAsia"/>
          <w:sz w:val="21"/>
        </w:rPr>
      </w:pPr>
      <w:r>
        <w:rPr>
          <w:rFonts w:ascii="仿宋" w:eastAsia="仿宋" w:hint="eastAsia"/>
          <w:w w:val="95"/>
          <w:sz w:val="21"/>
        </w:rPr>
        <w:t>合同成立与生效</w:t>
      </w:r>
    </w:p>
    <w:p>
      <w:pPr>
        <w:pStyle w:val="ListParagraph"/>
        <w:numPr>
          <w:ilvl w:val="1"/>
          <w:numId w:val="2"/>
        </w:numPr>
        <w:tabs>
          <w:tab w:pos="2160" w:val="left" w:leader="none"/>
        </w:tabs>
        <w:spacing w:line="240" w:lineRule="auto" w:before="36" w:after="0"/>
        <w:ind w:left="2159" w:right="0" w:hanging="419"/>
        <w:jc w:val="left"/>
        <w:rPr>
          <w:rFonts w:ascii="仿宋" w:eastAsia="仿宋" w:hint="eastAsia"/>
          <w:sz w:val="21"/>
        </w:rPr>
      </w:pPr>
      <w:r>
        <w:rPr>
          <w:rFonts w:ascii="仿宋" w:eastAsia="仿宋" w:hint="eastAsia"/>
          <w:w w:val="95"/>
          <w:sz w:val="21"/>
        </w:rPr>
        <w:t>投保年龄</w:t>
      </w:r>
    </w:p>
    <w:p>
      <w:pPr>
        <w:pStyle w:val="Heading5"/>
        <w:spacing w:before="36"/>
        <w:ind w:left="1529"/>
        <w:rPr>
          <w:rFonts w:ascii="仿宋" w:eastAsia="仿宋" w:hint="eastAsia"/>
        </w:rPr>
      </w:pPr>
      <w:r>
        <w:rPr>
          <w:rFonts w:ascii="宋体" w:eastAsia="宋体" w:hint="eastAsia"/>
          <w:w w:val="95"/>
        </w:rPr>
        <w:t>2.</w:t>
      </w:r>
      <w:r>
        <w:rPr>
          <w:rFonts w:ascii="仿宋" w:eastAsia="仿宋" w:hint="eastAsia"/>
          <w:w w:val="95"/>
        </w:rPr>
        <w:t>我们提供的保障</w:t>
      </w:r>
    </w:p>
    <w:p>
      <w:pPr>
        <w:pStyle w:val="ListParagraph"/>
        <w:numPr>
          <w:ilvl w:val="1"/>
          <w:numId w:val="3"/>
        </w:numPr>
        <w:tabs>
          <w:tab w:pos="2160" w:val="left" w:leader="none"/>
        </w:tabs>
        <w:spacing w:line="240" w:lineRule="auto" w:before="36" w:after="0"/>
        <w:ind w:left="2159" w:right="0" w:hanging="420"/>
        <w:jc w:val="left"/>
        <w:rPr>
          <w:rFonts w:ascii="仿宋" w:eastAsia="仿宋" w:hint="eastAsia"/>
          <w:sz w:val="21"/>
        </w:rPr>
      </w:pPr>
      <w:r>
        <w:rPr>
          <w:rFonts w:ascii="仿宋" w:eastAsia="仿宋" w:hint="eastAsia"/>
          <w:w w:val="95"/>
          <w:sz w:val="21"/>
        </w:rPr>
        <w:t>保险责任</w:t>
      </w:r>
    </w:p>
    <w:p>
      <w:pPr>
        <w:pStyle w:val="ListParagraph"/>
        <w:numPr>
          <w:ilvl w:val="1"/>
          <w:numId w:val="3"/>
        </w:numPr>
        <w:tabs>
          <w:tab w:pos="2160" w:val="left" w:leader="none"/>
        </w:tabs>
        <w:spacing w:line="240" w:lineRule="auto" w:before="36" w:after="0"/>
        <w:ind w:left="2159" w:right="0" w:hanging="420"/>
        <w:jc w:val="left"/>
        <w:rPr>
          <w:rFonts w:ascii="仿宋" w:eastAsia="仿宋" w:hint="eastAsia"/>
          <w:sz w:val="21"/>
        </w:rPr>
      </w:pPr>
      <w:r>
        <w:rPr>
          <w:rFonts w:ascii="仿宋" w:eastAsia="仿宋" w:hint="eastAsia"/>
          <w:w w:val="95"/>
          <w:sz w:val="21"/>
        </w:rPr>
        <w:t>责任免除</w:t>
      </w:r>
    </w:p>
    <w:p>
      <w:pPr>
        <w:pStyle w:val="ListParagraph"/>
        <w:numPr>
          <w:ilvl w:val="1"/>
          <w:numId w:val="3"/>
        </w:numPr>
        <w:tabs>
          <w:tab w:pos="2160" w:val="left" w:leader="none"/>
        </w:tabs>
        <w:spacing w:line="240" w:lineRule="auto" w:before="36" w:after="0"/>
        <w:ind w:left="2159" w:right="0" w:hanging="420"/>
        <w:jc w:val="left"/>
        <w:rPr>
          <w:rFonts w:ascii="仿宋" w:eastAsia="仿宋" w:hint="eastAsia"/>
          <w:sz w:val="21"/>
        </w:rPr>
      </w:pPr>
      <w:r>
        <w:rPr>
          <w:rFonts w:ascii="仿宋" w:eastAsia="仿宋" w:hint="eastAsia"/>
          <w:w w:val="95"/>
          <w:sz w:val="21"/>
        </w:rPr>
        <w:t>保险金额</w:t>
      </w:r>
    </w:p>
    <w:p>
      <w:pPr>
        <w:pStyle w:val="ListParagraph"/>
        <w:numPr>
          <w:ilvl w:val="1"/>
          <w:numId w:val="3"/>
        </w:numPr>
        <w:tabs>
          <w:tab w:pos="2160" w:val="left" w:leader="none"/>
        </w:tabs>
        <w:spacing w:line="240" w:lineRule="auto" w:before="36" w:after="0"/>
        <w:ind w:left="2159" w:right="0" w:hanging="420"/>
        <w:jc w:val="left"/>
        <w:rPr>
          <w:rFonts w:ascii="仿宋" w:eastAsia="仿宋" w:hint="eastAsia"/>
          <w:sz w:val="21"/>
        </w:rPr>
      </w:pPr>
      <w:r>
        <w:rPr>
          <w:rFonts w:ascii="仿宋" w:eastAsia="仿宋" w:hint="eastAsia"/>
          <w:w w:val="95"/>
          <w:sz w:val="21"/>
        </w:rPr>
        <w:t>保险期间</w:t>
      </w:r>
    </w:p>
    <w:p>
      <w:pPr>
        <w:pStyle w:val="Heading5"/>
        <w:spacing w:before="36"/>
        <w:ind w:left="1529"/>
        <w:rPr>
          <w:rFonts w:ascii="仿宋" w:eastAsia="仿宋" w:hint="eastAsia"/>
        </w:rPr>
      </w:pPr>
      <w:r>
        <w:rPr>
          <w:rFonts w:ascii="宋体" w:eastAsia="宋体" w:hint="eastAsia"/>
          <w:w w:val="95"/>
        </w:rPr>
        <w:t>3.</w:t>
      </w:r>
      <w:r>
        <w:rPr>
          <w:rFonts w:ascii="仿宋" w:eastAsia="仿宋" w:hint="eastAsia"/>
          <w:w w:val="95"/>
        </w:rPr>
        <w:t>保险金的申请</w:t>
      </w:r>
    </w:p>
    <w:p>
      <w:pPr>
        <w:pStyle w:val="ListParagraph"/>
        <w:numPr>
          <w:ilvl w:val="1"/>
          <w:numId w:val="4"/>
        </w:numPr>
        <w:tabs>
          <w:tab w:pos="2160" w:val="left" w:leader="none"/>
        </w:tabs>
        <w:spacing w:line="240" w:lineRule="auto" w:before="36" w:after="0"/>
        <w:ind w:left="2159" w:right="0" w:hanging="420"/>
        <w:jc w:val="left"/>
        <w:rPr>
          <w:rFonts w:ascii="仿宋" w:eastAsia="仿宋" w:hint="eastAsia"/>
          <w:sz w:val="21"/>
        </w:rPr>
      </w:pPr>
      <w:r>
        <w:rPr>
          <w:rFonts w:ascii="仿宋" w:eastAsia="仿宋" w:hint="eastAsia"/>
          <w:w w:val="95"/>
          <w:sz w:val="21"/>
        </w:rPr>
        <w:t>受益人</w:t>
      </w:r>
    </w:p>
    <w:p>
      <w:pPr>
        <w:pStyle w:val="ListParagraph"/>
        <w:numPr>
          <w:ilvl w:val="1"/>
          <w:numId w:val="4"/>
        </w:numPr>
        <w:tabs>
          <w:tab w:pos="2160" w:val="left" w:leader="none"/>
        </w:tabs>
        <w:spacing w:line="240" w:lineRule="auto" w:before="36" w:after="0"/>
        <w:ind w:left="2159" w:right="0" w:hanging="419"/>
        <w:jc w:val="left"/>
        <w:rPr>
          <w:rFonts w:ascii="仿宋" w:eastAsia="仿宋" w:hint="eastAsia"/>
          <w:sz w:val="21"/>
        </w:rPr>
      </w:pPr>
      <w:r>
        <w:rPr>
          <w:rFonts w:ascii="仿宋" w:eastAsia="仿宋" w:hint="eastAsia"/>
          <w:w w:val="95"/>
          <w:sz w:val="21"/>
        </w:rPr>
        <w:t>保险事故通知</w:t>
      </w:r>
    </w:p>
    <w:p>
      <w:pPr>
        <w:pStyle w:val="ListParagraph"/>
        <w:numPr>
          <w:ilvl w:val="1"/>
          <w:numId w:val="4"/>
        </w:numPr>
        <w:tabs>
          <w:tab w:pos="2160" w:val="left" w:leader="none"/>
        </w:tabs>
        <w:spacing w:line="240" w:lineRule="auto" w:before="36" w:after="0"/>
        <w:ind w:left="2159" w:right="0" w:hanging="419"/>
        <w:jc w:val="left"/>
        <w:rPr>
          <w:rFonts w:ascii="仿宋" w:eastAsia="仿宋" w:hint="eastAsia"/>
          <w:sz w:val="21"/>
        </w:rPr>
      </w:pPr>
      <w:r>
        <w:rPr>
          <w:rFonts w:ascii="仿宋" w:eastAsia="仿宋" w:hint="eastAsia"/>
          <w:w w:val="95"/>
          <w:sz w:val="21"/>
        </w:rPr>
        <w:t>保险金申请</w:t>
      </w:r>
    </w:p>
    <w:p>
      <w:pPr>
        <w:pStyle w:val="ListParagraph"/>
        <w:numPr>
          <w:ilvl w:val="1"/>
          <w:numId w:val="4"/>
        </w:numPr>
        <w:tabs>
          <w:tab w:pos="2160" w:val="left" w:leader="none"/>
        </w:tabs>
        <w:spacing w:line="240" w:lineRule="auto" w:before="36" w:after="0"/>
        <w:ind w:left="2159" w:right="0" w:hanging="420"/>
        <w:jc w:val="left"/>
        <w:rPr>
          <w:rFonts w:ascii="仿宋" w:eastAsia="仿宋" w:hint="eastAsia"/>
          <w:sz w:val="21"/>
        </w:rPr>
      </w:pPr>
      <w:r>
        <w:rPr>
          <w:rFonts w:ascii="仿宋" w:eastAsia="仿宋" w:hint="eastAsia"/>
          <w:w w:val="95"/>
          <w:sz w:val="21"/>
        </w:rPr>
        <w:t>保险金的给付</w:t>
      </w:r>
    </w:p>
    <w:p>
      <w:pPr>
        <w:pStyle w:val="ListParagraph"/>
        <w:numPr>
          <w:ilvl w:val="1"/>
          <w:numId w:val="4"/>
        </w:numPr>
        <w:tabs>
          <w:tab w:pos="2160" w:val="left" w:leader="none"/>
        </w:tabs>
        <w:spacing w:line="240" w:lineRule="auto" w:before="36" w:after="0"/>
        <w:ind w:left="2159" w:right="0" w:hanging="420"/>
        <w:jc w:val="left"/>
        <w:rPr>
          <w:rFonts w:ascii="仿宋" w:eastAsia="仿宋" w:hint="eastAsia"/>
          <w:sz w:val="21"/>
        </w:rPr>
      </w:pPr>
      <w:r>
        <w:rPr>
          <w:rFonts w:ascii="仿宋" w:eastAsia="仿宋" w:hint="eastAsia"/>
          <w:w w:val="95"/>
          <w:sz w:val="21"/>
        </w:rPr>
        <w:t>诉讼时效</w:t>
      </w:r>
    </w:p>
    <w:p>
      <w:pPr>
        <w:pStyle w:val="Heading5"/>
        <w:spacing w:before="36"/>
        <w:ind w:left="1529"/>
        <w:rPr>
          <w:rFonts w:ascii="仿宋" w:eastAsia="仿宋" w:hint="eastAsia"/>
        </w:rPr>
      </w:pPr>
      <w:r>
        <w:rPr>
          <w:rFonts w:ascii="宋体" w:eastAsia="宋体" w:hint="eastAsia"/>
          <w:w w:val="95"/>
        </w:rPr>
        <w:t>4.</w:t>
      </w:r>
      <w:r>
        <w:rPr>
          <w:rFonts w:ascii="仿宋" w:eastAsia="仿宋" w:hint="eastAsia"/>
          <w:w w:val="95"/>
        </w:rPr>
        <w:t>保险费的交纳</w:t>
      </w:r>
    </w:p>
    <w:p>
      <w:pPr>
        <w:pStyle w:val="BodyText"/>
        <w:spacing w:before="111"/>
        <w:ind w:left="1210"/>
        <w:rPr>
          <w:rFonts w:ascii="仿宋" w:eastAsia="仿宋" w:hint="eastAsia"/>
        </w:rPr>
      </w:pPr>
      <w:r>
        <w:rPr/>
        <w:br w:type="column"/>
      </w:r>
      <w:r>
        <w:rPr/>
        <w:t>4.1 </w:t>
      </w:r>
      <w:r>
        <w:rPr>
          <w:rFonts w:ascii="仿宋" w:eastAsia="仿宋" w:hint="eastAsia"/>
        </w:rPr>
        <w:t>保险费的交纳</w:t>
      </w:r>
    </w:p>
    <w:p>
      <w:pPr>
        <w:pStyle w:val="Heading5"/>
        <w:spacing w:before="36"/>
        <w:ind w:left="1000"/>
        <w:rPr>
          <w:rFonts w:ascii="仿宋" w:eastAsia="仿宋" w:hint="eastAsia"/>
        </w:rPr>
      </w:pPr>
      <w:r>
        <w:rPr>
          <w:rFonts w:ascii="宋体" w:eastAsia="宋体" w:hint="eastAsia"/>
          <w:w w:val="95"/>
        </w:rPr>
        <w:t>5.</w:t>
      </w:r>
      <w:r>
        <w:rPr>
          <w:rFonts w:ascii="仿宋" w:eastAsia="仿宋" w:hint="eastAsia"/>
          <w:w w:val="95"/>
        </w:rPr>
        <w:t>职业、工种或环境变更</w:t>
      </w:r>
    </w:p>
    <w:p>
      <w:pPr>
        <w:pStyle w:val="BodyText"/>
        <w:ind w:left="1206"/>
        <w:rPr>
          <w:rFonts w:ascii="仿宋" w:eastAsia="仿宋" w:hint="eastAsia"/>
        </w:rPr>
      </w:pPr>
      <w:r>
        <w:rPr/>
        <w:t>5.1 </w:t>
      </w:r>
      <w:r>
        <w:rPr>
          <w:rFonts w:ascii="仿宋" w:eastAsia="仿宋" w:hint="eastAsia"/>
        </w:rPr>
        <w:t>职业、工种或环境变更</w:t>
      </w:r>
    </w:p>
    <w:p>
      <w:pPr>
        <w:pStyle w:val="Heading5"/>
        <w:spacing w:before="36"/>
        <w:ind w:left="1000"/>
        <w:rPr>
          <w:rFonts w:ascii="仿宋" w:eastAsia="仿宋" w:hint="eastAsia"/>
        </w:rPr>
      </w:pPr>
      <w:r>
        <w:rPr>
          <w:rFonts w:ascii="宋体" w:eastAsia="宋体" w:hint="eastAsia"/>
          <w:w w:val="95"/>
        </w:rPr>
        <w:t>6.</w:t>
      </w:r>
      <w:r>
        <w:rPr>
          <w:rFonts w:ascii="仿宋" w:eastAsia="仿宋" w:hint="eastAsia"/>
          <w:w w:val="95"/>
        </w:rPr>
        <w:t>合同解除和变更</w:t>
      </w:r>
    </w:p>
    <w:p>
      <w:pPr>
        <w:pStyle w:val="ListParagraph"/>
        <w:numPr>
          <w:ilvl w:val="1"/>
          <w:numId w:val="5"/>
        </w:numPr>
        <w:tabs>
          <w:tab w:pos="1578" w:val="left" w:leader="none"/>
        </w:tabs>
        <w:spacing w:line="240" w:lineRule="auto" w:before="36" w:after="0"/>
        <w:ind w:left="1577" w:right="0" w:hanging="367"/>
        <w:jc w:val="left"/>
        <w:rPr>
          <w:rFonts w:ascii="仿宋" w:eastAsia="仿宋" w:hint="eastAsia"/>
          <w:sz w:val="21"/>
        </w:rPr>
      </w:pPr>
      <w:r>
        <w:rPr>
          <w:rFonts w:ascii="仿宋" w:eastAsia="仿宋" w:hint="eastAsia"/>
          <w:spacing w:val="-3"/>
          <w:w w:val="95"/>
          <w:sz w:val="21"/>
        </w:rPr>
        <w:t>解除合同的手续及风险</w:t>
      </w:r>
    </w:p>
    <w:p>
      <w:pPr>
        <w:pStyle w:val="ListParagraph"/>
        <w:numPr>
          <w:ilvl w:val="1"/>
          <w:numId w:val="5"/>
        </w:numPr>
        <w:tabs>
          <w:tab w:pos="1631" w:val="left" w:leader="none"/>
        </w:tabs>
        <w:spacing w:line="240" w:lineRule="auto" w:before="36" w:after="0"/>
        <w:ind w:left="1630" w:right="0" w:hanging="420"/>
        <w:jc w:val="left"/>
        <w:rPr>
          <w:rFonts w:ascii="仿宋" w:eastAsia="仿宋" w:hint="eastAsia"/>
          <w:sz w:val="21"/>
        </w:rPr>
      </w:pPr>
      <w:r>
        <w:rPr>
          <w:rFonts w:ascii="仿宋" w:eastAsia="仿宋" w:hint="eastAsia"/>
          <w:spacing w:val="-2"/>
          <w:w w:val="95"/>
          <w:sz w:val="21"/>
        </w:rPr>
        <w:t>合同变更</w:t>
      </w:r>
    </w:p>
    <w:p>
      <w:pPr>
        <w:pStyle w:val="ListParagraph"/>
        <w:numPr>
          <w:ilvl w:val="1"/>
          <w:numId w:val="5"/>
        </w:numPr>
        <w:tabs>
          <w:tab w:pos="1631" w:val="left" w:leader="none"/>
        </w:tabs>
        <w:spacing w:line="240" w:lineRule="auto" w:before="36" w:after="0"/>
        <w:ind w:left="1630" w:right="0" w:hanging="420"/>
        <w:jc w:val="left"/>
        <w:rPr>
          <w:rFonts w:ascii="仿宋" w:eastAsia="仿宋" w:hint="eastAsia"/>
          <w:sz w:val="21"/>
        </w:rPr>
      </w:pPr>
      <w:r>
        <w:rPr>
          <w:rFonts w:ascii="仿宋" w:eastAsia="仿宋" w:hint="eastAsia"/>
          <w:spacing w:val="-2"/>
          <w:w w:val="95"/>
          <w:sz w:val="21"/>
        </w:rPr>
        <w:t>联系方式变更</w:t>
      </w:r>
    </w:p>
    <w:p>
      <w:pPr>
        <w:pStyle w:val="Heading5"/>
        <w:spacing w:before="36"/>
        <w:ind w:left="1000"/>
        <w:rPr>
          <w:rFonts w:ascii="仿宋" w:eastAsia="仿宋" w:hint="eastAsia"/>
        </w:rPr>
      </w:pPr>
      <w:r>
        <w:rPr>
          <w:rFonts w:ascii="宋体" w:eastAsia="宋体" w:hint="eastAsia"/>
          <w:w w:val="95"/>
        </w:rPr>
        <w:t>7.</w:t>
      </w:r>
      <w:r>
        <w:rPr>
          <w:rFonts w:ascii="仿宋" w:eastAsia="仿宋" w:hint="eastAsia"/>
          <w:w w:val="95"/>
        </w:rPr>
        <w:t>明确说明与如实告知</w:t>
      </w:r>
    </w:p>
    <w:p>
      <w:pPr>
        <w:pStyle w:val="ListParagraph"/>
        <w:numPr>
          <w:ilvl w:val="1"/>
          <w:numId w:val="6"/>
        </w:numPr>
        <w:tabs>
          <w:tab w:pos="1631" w:val="left" w:leader="none"/>
        </w:tabs>
        <w:spacing w:line="240" w:lineRule="auto" w:before="36" w:after="0"/>
        <w:ind w:left="1630" w:right="0" w:hanging="420"/>
        <w:jc w:val="left"/>
        <w:rPr>
          <w:rFonts w:ascii="仿宋" w:eastAsia="仿宋" w:hint="eastAsia"/>
          <w:sz w:val="21"/>
        </w:rPr>
      </w:pPr>
      <w:r>
        <w:rPr>
          <w:rFonts w:ascii="仿宋" w:eastAsia="仿宋" w:hint="eastAsia"/>
          <w:spacing w:val="-2"/>
          <w:w w:val="95"/>
          <w:sz w:val="21"/>
        </w:rPr>
        <w:t>明确说明</w:t>
      </w:r>
    </w:p>
    <w:p>
      <w:pPr>
        <w:pStyle w:val="ListParagraph"/>
        <w:numPr>
          <w:ilvl w:val="1"/>
          <w:numId w:val="6"/>
        </w:numPr>
        <w:tabs>
          <w:tab w:pos="1631" w:val="left" w:leader="none"/>
        </w:tabs>
        <w:spacing w:line="240" w:lineRule="auto" w:before="36" w:after="0"/>
        <w:ind w:left="1630" w:right="0" w:hanging="420"/>
        <w:jc w:val="left"/>
        <w:rPr>
          <w:rFonts w:ascii="仿宋" w:eastAsia="仿宋" w:hint="eastAsia"/>
          <w:sz w:val="21"/>
        </w:rPr>
      </w:pPr>
      <w:r>
        <w:rPr>
          <w:rFonts w:ascii="仿宋" w:eastAsia="仿宋" w:hint="eastAsia"/>
          <w:spacing w:val="-2"/>
          <w:w w:val="95"/>
          <w:sz w:val="21"/>
        </w:rPr>
        <w:t>如实告知</w:t>
      </w:r>
    </w:p>
    <w:p>
      <w:pPr>
        <w:pStyle w:val="ListParagraph"/>
        <w:numPr>
          <w:ilvl w:val="1"/>
          <w:numId w:val="6"/>
        </w:numPr>
        <w:tabs>
          <w:tab w:pos="1631" w:val="left" w:leader="none"/>
        </w:tabs>
        <w:spacing w:line="240" w:lineRule="auto" w:before="36" w:after="0"/>
        <w:ind w:left="1630" w:right="0" w:hanging="420"/>
        <w:jc w:val="left"/>
        <w:rPr>
          <w:rFonts w:ascii="仿宋" w:eastAsia="仿宋" w:hint="eastAsia"/>
          <w:sz w:val="21"/>
        </w:rPr>
      </w:pPr>
      <w:r>
        <w:rPr>
          <w:rFonts w:ascii="仿宋" w:eastAsia="仿宋" w:hint="eastAsia"/>
          <w:spacing w:val="-4"/>
          <w:w w:val="95"/>
          <w:sz w:val="21"/>
        </w:rPr>
        <w:t>本公司合同解除权的限制</w:t>
      </w:r>
    </w:p>
    <w:p>
      <w:pPr>
        <w:pStyle w:val="Heading5"/>
        <w:spacing w:before="36"/>
        <w:ind w:left="1000"/>
        <w:rPr>
          <w:rFonts w:ascii="仿宋" w:eastAsia="仿宋" w:hint="eastAsia"/>
        </w:rPr>
      </w:pPr>
      <w:r>
        <w:rPr>
          <w:rFonts w:ascii="宋体" w:eastAsia="宋体" w:hint="eastAsia"/>
          <w:w w:val="95"/>
        </w:rPr>
        <w:t>8.</w:t>
      </w:r>
      <w:r>
        <w:rPr>
          <w:rFonts w:ascii="仿宋" w:eastAsia="仿宋" w:hint="eastAsia"/>
          <w:w w:val="95"/>
        </w:rPr>
        <w:t>其他需要关注的事项</w:t>
      </w:r>
    </w:p>
    <w:p>
      <w:pPr>
        <w:pStyle w:val="ListParagraph"/>
        <w:numPr>
          <w:ilvl w:val="1"/>
          <w:numId w:val="7"/>
        </w:numPr>
        <w:tabs>
          <w:tab w:pos="1631" w:val="left" w:leader="none"/>
        </w:tabs>
        <w:spacing w:line="240" w:lineRule="auto" w:before="36" w:after="0"/>
        <w:ind w:left="1000" w:right="0" w:firstLine="210"/>
        <w:jc w:val="left"/>
        <w:rPr>
          <w:rFonts w:ascii="仿宋" w:eastAsia="仿宋" w:hint="eastAsia"/>
          <w:sz w:val="21"/>
        </w:rPr>
      </w:pPr>
      <w:r>
        <w:rPr>
          <w:rFonts w:ascii="仿宋" w:eastAsia="仿宋" w:hint="eastAsia"/>
          <w:spacing w:val="-2"/>
          <w:w w:val="95"/>
          <w:sz w:val="21"/>
        </w:rPr>
        <w:t>年龄错误</w:t>
      </w:r>
    </w:p>
    <w:p>
      <w:pPr>
        <w:pStyle w:val="ListParagraph"/>
        <w:numPr>
          <w:ilvl w:val="1"/>
          <w:numId w:val="7"/>
        </w:numPr>
        <w:tabs>
          <w:tab w:pos="1653" w:val="left" w:leader="none"/>
        </w:tabs>
        <w:spacing w:line="273" w:lineRule="auto" w:before="36" w:after="0"/>
        <w:ind w:left="1000" w:right="4975" w:firstLine="232"/>
        <w:jc w:val="left"/>
        <w:rPr>
          <w:rFonts w:ascii="仿宋" w:eastAsia="仿宋" w:hint="eastAsia"/>
          <w:b/>
          <w:sz w:val="21"/>
        </w:rPr>
      </w:pPr>
      <w:r>
        <w:rPr>
          <w:rFonts w:ascii="仿宋" w:eastAsia="仿宋" w:hint="eastAsia"/>
          <w:spacing w:val="-2"/>
          <w:sz w:val="21"/>
        </w:rPr>
        <w:t>争议处理</w:t>
      </w:r>
      <w:r>
        <w:rPr>
          <w:rFonts w:ascii="仿宋" w:eastAsia="仿宋" w:hint="eastAsia"/>
          <w:b/>
          <w:spacing w:val="-2"/>
          <w:w w:val="95"/>
          <w:sz w:val="21"/>
        </w:rPr>
        <w:t>9.释义</w:t>
      </w:r>
    </w:p>
    <w:p>
      <w:pPr>
        <w:spacing w:after="0" w:line="273" w:lineRule="auto"/>
        <w:jc w:val="left"/>
        <w:rPr>
          <w:rFonts w:ascii="仿宋" w:eastAsia="仿宋" w:hint="eastAsia"/>
          <w:sz w:val="21"/>
        </w:rPr>
        <w:sectPr>
          <w:type w:val="continuous"/>
          <w:pgSz w:w="11910" w:h="16840"/>
          <w:pgMar w:top="300" w:bottom="280" w:left="680" w:right="80"/>
          <w:cols w:num="2" w:equalWidth="0">
            <w:col w:w="3638" w:space="40"/>
            <w:col w:w="7472"/>
          </w:cols>
        </w:sectPr>
      </w:pPr>
    </w:p>
    <w:p>
      <w:pPr>
        <w:pStyle w:val="Heading1"/>
        <w:spacing w:line="525" w:lineRule="exact"/>
        <w:ind w:left="2603"/>
      </w:pPr>
      <w:r>
        <w:rPr>
          <w:w w:val="95"/>
        </w:rPr>
        <w:t>华夏人寿保险股份有限公司</w:t>
      </w:r>
    </w:p>
    <w:p>
      <w:pPr>
        <w:spacing w:before="48"/>
        <w:ind w:left="1995" w:right="0" w:firstLine="0"/>
        <w:jc w:val="left"/>
        <w:rPr>
          <w:b/>
          <w:sz w:val="44"/>
        </w:rPr>
      </w:pPr>
      <w:r>
        <w:rPr>
          <w:b/>
          <w:sz w:val="44"/>
        </w:rPr>
        <w:t>关爱宝重大疾病保险（A</w:t>
      </w:r>
      <w:r>
        <w:rPr>
          <w:b/>
          <w:spacing w:val="-59"/>
          <w:sz w:val="44"/>
        </w:rPr>
        <w:t> 款</w:t>
      </w:r>
      <w:r>
        <w:rPr>
          <w:b/>
          <w:sz w:val="44"/>
        </w:rPr>
        <w:t>）条款</w:t>
      </w:r>
    </w:p>
    <w:p>
      <w:pPr>
        <w:pStyle w:val="BodyText"/>
        <w:spacing w:before="8"/>
        <w:rPr>
          <w:b/>
          <w:sz w:val="53"/>
        </w:rPr>
      </w:pPr>
    </w:p>
    <w:p>
      <w:pPr>
        <w:pStyle w:val="BodyText"/>
        <w:spacing w:line="273" w:lineRule="auto" w:before="0"/>
        <w:ind w:left="111" w:right="186"/>
      </w:pPr>
      <w:r>
        <w:rPr>
          <w:spacing w:val="-3"/>
        </w:rPr>
        <w:t>在本条款中，“您”指投保人，“我们”和“本公司”指华夏人寿保险股份有限公司，“本合同”指您与我们之间订立的“华夏关爱宝重大疾病保险（A</w:t>
      </w:r>
      <w:r>
        <w:rPr>
          <w:spacing w:val="-27"/>
        </w:rPr>
        <w:t> 款</w:t>
      </w:r>
      <w:r>
        <w:rPr/>
        <w:t>）</w:t>
      </w:r>
      <w:r>
        <w:rPr>
          <w:spacing w:val="-27"/>
        </w:rPr>
        <w:t>合同”。</w:t>
      </w:r>
    </w:p>
    <w:p>
      <w:pPr>
        <w:pStyle w:val="BodyText"/>
        <w:spacing w:before="12"/>
        <w:rPr>
          <w:sz w:val="14"/>
        </w:rPr>
      </w:pPr>
    </w:p>
    <w:p>
      <w:pPr>
        <w:pStyle w:val="Heading2"/>
        <w:tabs>
          <w:tab w:pos="1012" w:val="left" w:leader="none"/>
        </w:tabs>
        <w:ind w:left="240"/>
      </w:pPr>
      <w:r>
        <w:rPr/>
        <w:pict>
          <v:line style="position:absolute;mso-position-horizontal-relative:page;mso-position-vertical-relative:paragraph;z-index:1192;mso-wrap-distance-left:0;mso-wrap-distance-right:0" from="41.639999pt,37.529793pt" to="553.619999pt,37.529793pt" stroked="true" strokeweight=".96002pt" strokecolor="#000000">
            <v:stroke dashstyle="solid"/>
            <w10:wrap type="topAndBottom"/>
          </v:line>
        </w:pict>
      </w:r>
      <w:r>
        <w:rPr>
          <w:rFonts w:ascii="Yu Gothic" w:eastAsia="Yu Gothic" w:hint="eastAsia"/>
          <w:w w:val="135"/>
          <w:position w:val="-3"/>
          <w:sz w:val="40"/>
        </w:rPr>
        <w:t>0</w:t>
        <w:tab/>
      </w:r>
      <w:r>
        <w:rPr>
          <w:w w:val="95"/>
        </w:rPr>
        <w:t>您与我们订立的合同</w:t>
      </w:r>
    </w:p>
    <w:p>
      <w:pPr>
        <w:pStyle w:val="BodyText"/>
        <w:spacing w:before="10"/>
        <w:rPr>
          <w:b/>
          <w:sz w:val="9"/>
        </w:rPr>
      </w:pPr>
    </w:p>
    <w:p>
      <w:pPr>
        <w:pStyle w:val="ListParagraph"/>
        <w:numPr>
          <w:ilvl w:val="1"/>
          <w:numId w:val="8"/>
        </w:numPr>
        <w:tabs>
          <w:tab w:pos="1012" w:val="left" w:leader="none"/>
        </w:tabs>
        <w:spacing w:line="273" w:lineRule="auto" w:before="35" w:after="0"/>
        <w:ind w:left="2951" w:right="219" w:hanging="2711"/>
        <w:jc w:val="both"/>
        <w:rPr>
          <w:sz w:val="21"/>
        </w:rPr>
      </w:pPr>
      <w:r>
        <w:rPr>
          <w:b/>
          <w:spacing w:val="1"/>
          <w:sz w:val="21"/>
        </w:rPr>
        <w:t>合同构成         </w:t>
      </w:r>
      <w:r>
        <w:rPr>
          <w:spacing w:val="-2"/>
          <w:sz w:val="21"/>
        </w:rPr>
        <w:t>本合同是您与我们约定保险权利义务关系的协议，包括本保险条款、保险单或其</w:t>
      </w:r>
      <w:r>
        <w:rPr>
          <w:spacing w:val="-7"/>
          <w:sz w:val="21"/>
        </w:rPr>
        <w:t>他保险凭证、投保单、与保险合同有关的投保文件、合法有效的声明、健康告知书、变更申请书、批注、批单及其他您与我们共同认可的书面协议。</w:t>
      </w:r>
    </w:p>
    <w:p>
      <w:pPr>
        <w:pStyle w:val="BodyText"/>
        <w:spacing w:before="11"/>
        <w:rPr>
          <w:sz w:val="17"/>
        </w:rPr>
      </w:pPr>
    </w:p>
    <w:p>
      <w:pPr>
        <w:pStyle w:val="ListParagraph"/>
        <w:numPr>
          <w:ilvl w:val="1"/>
          <w:numId w:val="8"/>
        </w:numPr>
        <w:tabs>
          <w:tab w:pos="1012" w:val="left" w:leader="none"/>
          <w:tab w:pos="1013" w:val="left" w:leader="none"/>
          <w:tab w:pos="2951" w:val="left" w:leader="none"/>
        </w:tabs>
        <w:spacing w:line="240" w:lineRule="auto" w:before="0" w:after="0"/>
        <w:ind w:left="1012" w:right="0" w:hanging="772"/>
        <w:jc w:val="left"/>
        <w:rPr>
          <w:sz w:val="21"/>
        </w:rPr>
      </w:pPr>
      <w:r>
        <w:rPr>
          <w:b/>
          <w:sz w:val="21"/>
        </w:rPr>
        <w:t>合同成立与生效</w:t>
        <w:tab/>
      </w:r>
      <w:r>
        <w:rPr>
          <w:sz w:val="21"/>
        </w:rPr>
        <w:t>一、您提出保险申请、我们同意承保，本合同成立。</w:t>
      </w:r>
    </w:p>
    <w:p>
      <w:pPr>
        <w:pStyle w:val="BodyText"/>
        <w:ind w:left="2951"/>
      </w:pPr>
      <w:r>
        <w:rPr/>
        <w:t>二、本合同生效日在保险单上载明。</w:t>
      </w:r>
    </w:p>
    <w:p>
      <w:pPr>
        <w:pStyle w:val="BodyText"/>
        <w:spacing w:before="1"/>
        <w:rPr>
          <w:sz w:val="20"/>
        </w:rPr>
      </w:pPr>
    </w:p>
    <w:p>
      <w:pPr>
        <w:pStyle w:val="ListParagraph"/>
        <w:numPr>
          <w:ilvl w:val="1"/>
          <w:numId w:val="8"/>
        </w:numPr>
        <w:tabs>
          <w:tab w:pos="1013" w:val="left" w:leader="none"/>
        </w:tabs>
        <w:spacing w:line="273" w:lineRule="auto" w:before="0" w:after="0"/>
        <w:ind w:left="2951" w:right="215" w:hanging="2711"/>
        <w:jc w:val="both"/>
        <w:rPr>
          <w:sz w:val="21"/>
        </w:rPr>
      </w:pPr>
      <w:r>
        <w:rPr>
          <w:b/>
          <w:spacing w:val="17"/>
          <w:sz w:val="21"/>
        </w:rPr>
        <w:t>投保年龄 </w:t>
      </w:r>
      <w:r>
        <w:rPr>
          <w:sz w:val="21"/>
        </w:rPr>
        <w:t>指投保时被保险人的年龄，投保年龄以</w:t>
      </w:r>
      <w:r>
        <w:rPr>
          <w:b/>
          <w:sz w:val="21"/>
        </w:rPr>
        <w:t>周岁</w:t>
      </w:r>
      <w:r>
        <w:rPr>
          <w:sz w:val="21"/>
        </w:rPr>
        <w:t>计算，本合同接受的投保年龄为3周岁至50周</w:t>
      </w:r>
      <w:r>
        <w:rPr>
          <w:spacing w:val="-2"/>
          <w:sz w:val="21"/>
        </w:rPr>
        <w:t>岁</w:t>
      </w:r>
      <w:r>
        <w:rPr>
          <w:sz w:val="21"/>
        </w:rPr>
        <w:t>（</w:t>
      </w:r>
      <w:r>
        <w:rPr>
          <w:spacing w:val="-1"/>
          <w:sz w:val="21"/>
        </w:rPr>
        <w:t>含</w:t>
      </w:r>
      <w:r>
        <w:rPr>
          <w:rFonts w:ascii="Times New Roman" w:eastAsia="Times New Roman"/>
          <w:sz w:val="21"/>
        </w:rPr>
        <w:t>50</w:t>
      </w:r>
      <w:r>
        <w:rPr>
          <w:spacing w:val="-1"/>
          <w:sz w:val="21"/>
        </w:rPr>
        <w:t>周岁</w:t>
      </w:r>
      <w:r>
        <w:rPr>
          <w:spacing w:val="-106"/>
          <w:sz w:val="21"/>
        </w:rPr>
        <w:t>）</w:t>
      </w:r>
      <w:r>
        <w:rPr>
          <w:sz w:val="21"/>
        </w:rPr>
        <w:t>，可续保至60周岁（含</w:t>
      </w:r>
      <w:r>
        <w:rPr>
          <w:rFonts w:ascii="Times New Roman" w:eastAsia="Times New Roman"/>
          <w:spacing w:val="-1"/>
          <w:sz w:val="21"/>
        </w:rPr>
        <w:t>60</w:t>
      </w:r>
      <w:r>
        <w:rPr>
          <w:sz w:val="21"/>
        </w:rPr>
        <w:t>周岁</w:t>
      </w:r>
      <w:r>
        <w:rPr>
          <w:spacing w:val="-105"/>
          <w:sz w:val="21"/>
        </w:rPr>
        <w:t>）</w:t>
      </w:r>
      <w:r>
        <w:rPr>
          <w:sz w:val="21"/>
        </w:rPr>
        <w:t>。</w:t>
      </w:r>
    </w:p>
    <w:p>
      <w:pPr>
        <w:pStyle w:val="BodyText"/>
        <w:spacing w:before="8"/>
        <w:rPr>
          <w:sz w:val="17"/>
        </w:rPr>
      </w:pPr>
    </w:p>
    <w:p>
      <w:pPr>
        <w:tabs>
          <w:tab w:pos="1012" w:val="left" w:leader="none"/>
        </w:tabs>
        <w:spacing w:line="556" w:lineRule="exact" w:before="0"/>
        <w:ind w:left="240" w:right="0" w:firstLine="0"/>
        <w:jc w:val="left"/>
        <w:rPr>
          <w:b/>
          <w:sz w:val="24"/>
        </w:rPr>
      </w:pPr>
      <w:r>
        <w:rPr/>
        <w:pict>
          <v:line style="position:absolute;mso-position-horizontal-relative:page;mso-position-vertical-relative:paragraph;z-index:1216;mso-wrap-distance-left:0;mso-wrap-distance-right:0" from="41.639999pt,31.645794pt" to="553.619999pt,31.645794pt" stroked="true" strokeweight=".95999pt" strokecolor="#000000">
            <v:stroke dashstyle="solid"/>
            <w10:wrap type="topAndBottom"/>
          </v:line>
        </w:pict>
      </w:r>
      <w:r>
        <w:rPr>
          <w:rFonts w:ascii="Yu Gothic" w:eastAsia="Yu Gothic" w:hint="eastAsia"/>
          <w:b/>
          <w:w w:val="135"/>
          <w:position w:val="-3"/>
          <w:sz w:val="40"/>
        </w:rPr>
        <w:t>4</w:t>
        <w:tab/>
      </w:r>
      <w:r>
        <w:rPr>
          <w:b/>
          <w:sz w:val="24"/>
        </w:rPr>
        <w:t>我们提供的保障</w:t>
      </w:r>
    </w:p>
    <w:p>
      <w:pPr>
        <w:pStyle w:val="BodyText"/>
        <w:spacing w:before="3"/>
        <w:rPr>
          <w:b/>
          <w:sz w:val="11"/>
        </w:rPr>
      </w:pPr>
    </w:p>
    <w:p>
      <w:pPr>
        <w:pStyle w:val="ListParagraph"/>
        <w:numPr>
          <w:ilvl w:val="1"/>
          <w:numId w:val="9"/>
        </w:numPr>
        <w:tabs>
          <w:tab w:pos="1011" w:val="left" w:leader="none"/>
          <w:tab w:pos="1012" w:val="left" w:leader="none"/>
          <w:tab w:pos="2951" w:val="left" w:leader="none"/>
        </w:tabs>
        <w:spacing w:line="240" w:lineRule="auto" w:before="35" w:after="0"/>
        <w:ind w:left="2951" w:right="0" w:hanging="2711"/>
        <w:jc w:val="left"/>
        <w:rPr>
          <w:sz w:val="21"/>
        </w:rPr>
      </w:pPr>
      <w:r>
        <w:rPr>
          <w:b/>
          <w:sz w:val="21"/>
        </w:rPr>
        <w:t>保险责任</w:t>
        <w:tab/>
      </w:r>
      <w:r>
        <w:rPr>
          <w:sz w:val="21"/>
        </w:rPr>
        <w:t>在本合同有效期间内，我们按照以下约定承担保险责任：</w:t>
      </w:r>
    </w:p>
    <w:p>
      <w:pPr>
        <w:pStyle w:val="BodyText"/>
        <w:spacing w:before="12"/>
        <w:rPr>
          <w:sz w:val="15"/>
        </w:rPr>
      </w:pPr>
    </w:p>
    <w:p>
      <w:pPr>
        <w:pStyle w:val="BodyText"/>
        <w:tabs>
          <w:tab w:pos="2951" w:val="left" w:leader="none"/>
        </w:tabs>
        <w:spacing w:line="223" w:lineRule="auto" w:before="1"/>
        <w:ind w:left="3371" w:right="220" w:hanging="2360"/>
      </w:pPr>
      <w:r>
        <w:rPr>
          <w:rFonts w:ascii="Microsoft JhengHei" w:eastAsia="Microsoft JhengHei" w:hint="eastAsia"/>
          <w:b/>
          <w:position w:val="-2"/>
          <w:sz w:val="24"/>
        </w:rPr>
        <w:t>重大疾病保险金</w:t>
        <w:tab/>
      </w:r>
      <w:r>
        <w:rPr>
          <w:spacing w:val="-1"/>
        </w:rPr>
        <w:t>一、若被保险人于本合同生效之日</w:t>
      </w:r>
      <w:r>
        <w:rPr/>
        <w:t>起</w:t>
      </w:r>
      <w:r>
        <w:rPr>
          <w:spacing w:val="-53"/>
        </w:rPr>
        <w:t> </w:t>
      </w:r>
      <w:r>
        <w:rPr>
          <w:spacing w:val="-1"/>
        </w:rPr>
        <w:t>6</w:t>
      </w:r>
      <w:r>
        <w:rPr/>
        <w:t>0</w:t>
      </w:r>
      <w:r>
        <w:rPr>
          <w:spacing w:val="-53"/>
        </w:rPr>
        <w:t> </w:t>
      </w:r>
      <w:r>
        <w:rPr>
          <w:spacing w:val="-1"/>
        </w:rPr>
        <w:t>日</w:t>
      </w:r>
      <w:r>
        <w:rPr>
          <w:spacing w:val="-20"/>
        </w:rPr>
        <w:t>内</w:t>
      </w:r>
      <w:r>
        <w:rPr>
          <w:spacing w:val="-1"/>
        </w:rPr>
        <w:t>（含</w:t>
      </w:r>
      <w:r>
        <w:rPr/>
        <w:t>第</w:t>
      </w:r>
      <w:r>
        <w:rPr>
          <w:spacing w:val="-53"/>
        </w:rPr>
        <w:t> </w:t>
      </w:r>
      <w:r>
        <w:rPr>
          <w:spacing w:val="-1"/>
        </w:rPr>
        <w:t>6</w:t>
      </w:r>
      <w:r>
        <w:rPr/>
        <w:t>0</w:t>
      </w:r>
      <w:r>
        <w:rPr>
          <w:spacing w:val="-52"/>
        </w:rPr>
        <w:t> </w:t>
      </w:r>
      <w:r>
        <w:rPr>
          <w:spacing w:val="-1"/>
        </w:rPr>
        <w:t>日</w:t>
      </w:r>
      <w:r>
        <w:rPr>
          <w:spacing w:val="-124"/>
        </w:rPr>
        <w:t>）</w:t>
      </w:r>
      <w:r>
        <w:rPr>
          <w:spacing w:val="-1"/>
        </w:rPr>
        <w:t>（续</w:t>
      </w:r>
      <w:r>
        <w:rPr>
          <w:spacing w:val="-2"/>
        </w:rPr>
        <w:t>保</w:t>
      </w:r>
      <w:r>
        <w:rPr>
          <w:spacing w:val="-1"/>
        </w:rPr>
        <w:t>不受</w:t>
      </w:r>
      <w:r>
        <w:rPr/>
        <w:t>该</w:t>
      </w:r>
      <w:r>
        <w:rPr>
          <w:spacing w:val="-53"/>
        </w:rPr>
        <w:t> </w:t>
      </w:r>
      <w:r>
        <w:rPr>
          <w:spacing w:val="-1"/>
        </w:rPr>
        <w:t>6</w:t>
      </w:r>
      <w:r>
        <w:rPr/>
        <w:t>0</w:t>
      </w:r>
      <w:r>
        <w:rPr>
          <w:spacing w:val="-52"/>
        </w:rPr>
        <w:t> </w:t>
      </w:r>
      <w:r>
        <w:rPr>
          <w:spacing w:val="-2"/>
        </w:rPr>
        <w:t>日</w:t>
      </w:r>
      <w:r>
        <w:rPr/>
        <w:t>的限制</w:t>
      </w:r>
      <w:r>
        <w:rPr>
          <w:spacing w:val="-105"/>
        </w:rPr>
        <w:t>）</w:t>
      </w:r>
      <w:r>
        <w:rPr/>
        <w:t>，因</w:t>
      </w:r>
      <w:r>
        <w:rPr>
          <w:spacing w:val="-2"/>
        </w:rPr>
        <w:t>意</w:t>
      </w:r>
      <w:r>
        <w:rPr/>
        <w:t>外伤害以外的原因导致初次患本合同所列的重大疾病，我们向</w:t>
      </w:r>
    </w:p>
    <w:p>
      <w:pPr>
        <w:pStyle w:val="BodyText"/>
        <w:spacing w:before="37"/>
        <w:ind w:left="3371"/>
      </w:pPr>
      <w:r>
        <w:rPr/>
        <w:t>您无息返还已交保险费，同时本合同终止。</w:t>
      </w:r>
    </w:p>
    <w:p>
      <w:pPr>
        <w:pStyle w:val="BodyText"/>
        <w:spacing w:line="264" w:lineRule="auto" w:before="37"/>
        <w:ind w:left="3371" w:right="220" w:hanging="420"/>
        <w:jc w:val="both"/>
      </w:pPr>
      <w:r>
        <w:rPr>
          <w:spacing w:val="-3"/>
        </w:rPr>
        <w:t>二、若被保险人因意外伤害，或于本合同生效之日起 </w:t>
      </w:r>
      <w:r>
        <w:rPr>
          <w:rFonts w:ascii="Times New Roman" w:eastAsia="Times New Roman"/>
        </w:rPr>
        <w:t>60 </w:t>
      </w:r>
      <w:r>
        <w:rPr/>
        <w:t>日后（续保自续保生效之日起</w:t>
      </w:r>
      <w:r>
        <w:rPr>
          <w:spacing w:val="-14"/>
        </w:rPr>
        <w:t>）</w:t>
      </w:r>
      <w:r>
        <w:rPr>
          <w:spacing w:val="-3"/>
        </w:rPr>
        <w:t>因意外伤害以外的原因，导致初次患本合同所列的重大疾病，我们将按本合同载明的保险金额给付重大疾病保险金，同时本合同终止。</w:t>
      </w:r>
    </w:p>
    <w:p>
      <w:pPr>
        <w:pStyle w:val="BodyText"/>
        <w:spacing w:before="10"/>
        <w:rPr>
          <w:sz w:val="17"/>
        </w:rPr>
      </w:pPr>
    </w:p>
    <w:p>
      <w:pPr>
        <w:pStyle w:val="Heading4"/>
        <w:numPr>
          <w:ilvl w:val="1"/>
          <w:numId w:val="9"/>
        </w:numPr>
        <w:tabs>
          <w:tab w:pos="1012" w:val="left" w:leader="none"/>
          <w:tab w:pos="1013" w:val="left" w:leader="none"/>
          <w:tab w:pos="2951" w:val="left" w:leader="none"/>
        </w:tabs>
        <w:spacing w:line="259" w:lineRule="auto" w:before="0" w:after="0"/>
        <w:ind w:left="2951" w:right="219" w:hanging="2711"/>
        <w:jc w:val="left"/>
        <w:rPr>
          <w:sz w:val="21"/>
        </w:rPr>
      </w:pPr>
      <w:r>
        <w:rPr>
          <w:b/>
          <w:i w:val="0"/>
          <w:sz w:val="21"/>
        </w:rPr>
        <w:t>责任免除</w:t>
        <w:tab/>
      </w:r>
      <w:r>
        <w:rPr>
          <w:w w:val="95"/>
        </w:rPr>
        <w:t>一</w:t>
      </w:r>
      <w:r>
        <w:rPr>
          <w:spacing w:val="-20"/>
          <w:w w:val="95"/>
        </w:rPr>
        <w:t>、</w:t>
      </w:r>
      <w:r>
        <w:rPr>
          <w:w w:val="95"/>
        </w:rPr>
        <w:t>因下列情形之一导致被保险人患本合同所列的重大疾病的</w:t>
      </w:r>
      <w:r>
        <w:rPr>
          <w:spacing w:val="-20"/>
          <w:w w:val="95"/>
        </w:rPr>
        <w:t>，</w:t>
      </w:r>
      <w:r>
        <w:rPr>
          <w:w w:val="95"/>
        </w:rPr>
        <w:t>我们不承担给付 保险金的责任：</w:t>
      </w:r>
    </w:p>
    <w:p>
      <w:pPr>
        <w:spacing w:before="6"/>
        <w:ind w:left="3161" w:right="0" w:firstLine="0"/>
        <w:jc w:val="left"/>
        <w:rPr>
          <w:rFonts w:ascii="黑体" w:eastAsia="黑体" w:hint="eastAsia"/>
          <w:i/>
          <w:sz w:val="22"/>
        </w:rPr>
      </w:pPr>
      <w:r>
        <w:rPr>
          <w:rFonts w:ascii="黑体" w:eastAsia="黑体" w:hint="eastAsia"/>
          <w:i/>
          <w:w w:val="95"/>
          <w:sz w:val="22"/>
        </w:rPr>
        <w:t>（一）投保人对被保险人的故意杀害、故意伤害；</w:t>
      </w:r>
    </w:p>
    <w:p>
      <w:pPr>
        <w:spacing w:before="23"/>
        <w:ind w:left="3161" w:right="0" w:firstLine="0"/>
        <w:jc w:val="left"/>
        <w:rPr>
          <w:rFonts w:ascii="黑体" w:eastAsia="黑体" w:hint="eastAsia"/>
          <w:i/>
          <w:sz w:val="22"/>
        </w:rPr>
      </w:pPr>
      <w:r>
        <w:rPr>
          <w:rFonts w:ascii="黑体" w:eastAsia="黑体" w:hint="eastAsia"/>
          <w:i/>
          <w:w w:val="95"/>
          <w:sz w:val="22"/>
        </w:rPr>
        <w:t>（二）被保险人故意犯罪或抗拒依法采取的刑事强制措施；</w:t>
      </w:r>
    </w:p>
    <w:p>
      <w:pPr>
        <w:spacing w:before="23"/>
        <w:ind w:left="3161" w:right="0" w:firstLine="0"/>
        <w:jc w:val="left"/>
        <w:rPr>
          <w:rFonts w:ascii="黑体" w:eastAsia="黑体" w:hint="eastAsia"/>
          <w:i/>
          <w:sz w:val="22"/>
        </w:rPr>
      </w:pPr>
      <w:r>
        <w:rPr>
          <w:rFonts w:ascii="黑体" w:eastAsia="黑体" w:hint="eastAsia"/>
          <w:i/>
          <w:w w:val="95"/>
          <w:sz w:val="22"/>
        </w:rPr>
        <w:t>（三）被保险人殴斗、故意自伤；</w:t>
      </w:r>
    </w:p>
    <w:p>
      <w:pPr>
        <w:spacing w:before="23"/>
        <w:ind w:left="3161" w:right="0" w:firstLine="0"/>
        <w:jc w:val="left"/>
        <w:rPr>
          <w:rFonts w:ascii="黑体" w:eastAsia="黑体" w:hint="eastAsia"/>
          <w:i/>
          <w:sz w:val="22"/>
        </w:rPr>
      </w:pPr>
      <w:r>
        <w:rPr>
          <w:rFonts w:ascii="黑体" w:eastAsia="黑体" w:hint="eastAsia"/>
          <w:i/>
          <w:w w:val="95"/>
          <w:sz w:val="22"/>
        </w:rPr>
        <w:t>（四）被保险人主动吸食或注射</w:t>
      </w:r>
      <w:r>
        <w:rPr>
          <w:rFonts w:ascii="黑体" w:eastAsia="黑体" w:hint="eastAsia"/>
          <w:b/>
          <w:i/>
          <w:w w:val="95"/>
          <w:sz w:val="22"/>
        </w:rPr>
        <w:t>毒品</w:t>
      </w:r>
      <w:r>
        <w:rPr>
          <w:rFonts w:ascii="黑体" w:eastAsia="黑体" w:hint="eastAsia"/>
          <w:i/>
          <w:w w:val="95"/>
          <w:sz w:val="22"/>
        </w:rPr>
        <w:t>；</w:t>
      </w:r>
    </w:p>
    <w:p>
      <w:pPr>
        <w:spacing w:line="259" w:lineRule="auto" w:before="23"/>
        <w:ind w:left="3787" w:right="172" w:hanging="627"/>
        <w:jc w:val="left"/>
        <w:rPr>
          <w:rFonts w:ascii="黑体" w:eastAsia="黑体" w:hint="eastAsia"/>
          <w:i/>
          <w:sz w:val="22"/>
        </w:rPr>
      </w:pPr>
      <w:r>
        <w:rPr>
          <w:rFonts w:ascii="黑体" w:eastAsia="黑体" w:hint="eastAsia"/>
          <w:i/>
          <w:w w:val="95"/>
          <w:sz w:val="22"/>
        </w:rPr>
        <w:t>（五）被保险人</w:t>
      </w:r>
      <w:r>
        <w:rPr>
          <w:rFonts w:ascii="黑体" w:eastAsia="黑体" w:hint="eastAsia"/>
          <w:b/>
          <w:i/>
          <w:w w:val="95"/>
          <w:sz w:val="22"/>
        </w:rPr>
        <w:t>酒后驾驶</w:t>
      </w:r>
      <w:r>
        <w:rPr>
          <w:rFonts w:ascii="黑体" w:eastAsia="黑体" w:hint="eastAsia"/>
          <w:i/>
          <w:w w:val="95"/>
          <w:sz w:val="22"/>
        </w:rPr>
        <w:t>、</w:t>
      </w:r>
      <w:r>
        <w:rPr>
          <w:rFonts w:ascii="黑体" w:eastAsia="黑体" w:hint="eastAsia"/>
          <w:b/>
          <w:i/>
          <w:w w:val="95"/>
          <w:sz w:val="22"/>
        </w:rPr>
        <w:t>无合法有效驾驶证驾驶</w:t>
      </w:r>
      <w:r>
        <w:rPr>
          <w:rFonts w:ascii="黑体" w:eastAsia="黑体" w:hint="eastAsia"/>
          <w:i/>
          <w:w w:val="95"/>
          <w:sz w:val="22"/>
        </w:rPr>
        <w:t>或驾驶</w:t>
      </w:r>
      <w:r>
        <w:rPr>
          <w:rFonts w:ascii="黑体" w:eastAsia="黑体" w:hint="eastAsia"/>
          <w:b/>
          <w:i/>
          <w:w w:val="95"/>
          <w:sz w:val="22"/>
        </w:rPr>
        <w:t>无有效行驶证</w:t>
      </w:r>
      <w:r>
        <w:rPr>
          <w:rFonts w:ascii="黑体" w:eastAsia="黑体" w:hint="eastAsia"/>
          <w:i/>
          <w:w w:val="95"/>
          <w:sz w:val="22"/>
        </w:rPr>
        <w:t>的</w:t>
      </w:r>
      <w:r>
        <w:rPr>
          <w:rFonts w:ascii="黑体" w:eastAsia="黑体" w:hint="eastAsia"/>
          <w:b/>
          <w:i/>
          <w:w w:val="95"/>
          <w:sz w:val="22"/>
        </w:rPr>
        <w:t>机动车</w:t>
      </w:r>
      <w:r>
        <w:rPr>
          <w:rFonts w:ascii="黑体" w:eastAsia="黑体" w:hint="eastAsia"/>
          <w:i/>
          <w:w w:val="95"/>
          <w:sz w:val="22"/>
        </w:rPr>
        <w:t>；</w:t>
      </w:r>
    </w:p>
    <w:p>
      <w:pPr>
        <w:spacing w:before="6"/>
        <w:ind w:left="3161" w:right="0" w:firstLine="0"/>
        <w:jc w:val="left"/>
        <w:rPr>
          <w:rFonts w:ascii="黑体" w:eastAsia="黑体" w:hint="eastAsia"/>
          <w:i/>
          <w:sz w:val="22"/>
        </w:rPr>
      </w:pPr>
      <w:r>
        <w:rPr>
          <w:rFonts w:ascii="黑体" w:eastAsia="黑体" w:hint="eastAsia"/>
          <w:i/>
          <w:w w:val="95"/>
          <w:sz w:val="22"/>
        </w:rPr>
        <w:t>（六）被保险人</w:t>
      </w:r>
      <w:r>
        <w:rPr>
          <w:rFonts w:ascii="黑体" w:eastAsia="黑体" w:hint="eastAsia"/>
          <w:b/>
          <w:i/>
          <w:w w:val="95"/>
          <w:sz w:val="22"/>
        </w:rPr>
        <w:t>感染艾滋病病毒或患艾滋病</w:t>
      </w:r>
      <w:r>
        <w:rPr>
          <w:rFonts w:ascii="黑体" w:eastAsia="黑体" w:hint="eastAsia"/>
          <w:i/>
          <w:w w:val="95"/>
          <w:sz w:val="22"/>
        </w:rPr>
        <w:t>；</w:t>
      </w:r>
    </w:p>
    <w:p>
      <w:pPr>
        <w:pStyle w:val="Heading4"/>
        <w:spacing w:before="24"/>
      </w:pPr>
      <w:r>
        <w:rPr>
          <w:w w:val="95"/>
        </w:rPr>
        <w:t>（七）战争、军事冲突、暴乱或武装叛乱；</w:t>
      </w:r>
    </w:p>
    <w:p>
      <w:pPr>
        <w:spacing w:before="24"/>
        <w:ind w:left="3161" w:right="0" w:firstLine="0"/>
        <w:jc w:val="left"/>
        <w:rPr>
          <w:rFonts w:ascii="黑体" w:eastAsia="黑体" w:hint="eastAsia"/>
          <w:i/>
          <w:sz w:val="22"/>
        </w:rPr>
      </w:pPr>
      <w:r>
        <w:rPr>
          <w:rFonts w:ascii="黑体" w:eastAsia="黑体" w:hint="eastAsia"/>
          <w:i/>
          <w:w w:val="95"/>
          <w:sz w:val="22"/>
        </w:rPr>
        <w:t>（八）核爆炸、核辐射或核污染；</w:t>
      </w:r>
    </w:p>
    <w:p>
      <w:pPr>
        <w:spacing w:before="24"/>
        <w:ind w:left="3161" w:right="0" w:firstLine="0"/>
        <w:jc w:val="left"/>
        <w:rPr>
          <w:rFonts w:ascii="黑体" w:eastAsia="黑体" w:hint="eastAsia"/>
          <w:i/>
          <w:sz w:val="22"/>
        </w:rPr>
      </w:pPr>
      <w:r>
        <w:rPr>
          <w:rFonts w:ascii="黑体" w:eastAsia="黑体" w:hint="eastAsia"/>
          <w:i/>
          <w:w w:val="95"/>
          <w:sz w:val="22"/>
        </w:rPr>
        <w:t>（九）</w:t>
      </w:r>
      <w:r>
        <w:rPr>
          <w:rFonts w:ascii="黑体" w:eastAsia="黑体" w:hint="eastAsia"/>
          <w:b/>
          <w:i/>
          <w:w w:val="95"/>
          <w:sz w:val="22"/>
        </w:rPr>
        <w:t>遗传性疾病、先天性畸形、变形或染色体异常</w:t>
      </w:r>
      <w:r>
        <w:rPr>
          <w:rFonts w:ascii="黑体" w:eastAsia="黑体" w:hint="eastAsia"/>
          <w:i/>
          <w:w w:val="95"/>
          <w:sz w:val="22"/>
        </w:rPr>
        <w:t>。</w:t>
      </w:r>
    </w:p>
    <w:p>
      <w:pPr>
        <w:spacing w:line="259" w:lineRule="auto" w:before="24"/>
        <w:ind w:left="3371" w:right="219" w:hanging="420"/>
        <w:jc w:val="both"/>
        <w:rPr>
          <w:rFonts w:ascii="黑体" w:eastAsia="黑体" w:hint="eastAsia"/>
          <w:i/>
          <w:sz w:val="22"/>
        </w:rPr>
      </w:pPr>
      <w:r>
        <w:rPr>
          <w:rFonts w:ascii="黑体" w:eastAsia="黑体" w:hint="eastAsia"/>
          <w:i/>
          <w:w w:val="95"/>
          <w:sz w:val="22"/>
        </w:rPr>
        <w:t>二、发Th上述第（一）种情形导致被保险人患本合同所列的重大疾病的，本合同终止，我们向保险金受益人退还</w:t>
      </w:r>
      <w:r>
        <w:rPr>
          <w:rFonts w:ascii="黑体" w:eastAsia="黑体" w:hint="eastAsia"/>
          <w:b/>
          <w:i/>
          <w:w w:val="95"/>
          <w:sz w:val="22"/>
        </w:rPr>
        <w:t>未满期净保费</w:t>
      </w:r>
      <w:r>
        <w:rPr>
          <w:rFonts w:ascii="黑体" w:eastAsia="黑体" w:hint="eastAsia"/>
          <w:i/>
          <w:w w:val="95"/>
          <w:sz w:val="22"/>
        </w:rPr>
        <w:t>。</w:t>
      </w:r>
    </w:p>
    <w:p>
      <w:pPr>
        <w:spacing w:after="0" w:line="259" w:lineRule="auto"/>
        <w:jc w:val="both"/>
        <w:rPr>
          <w:rFonts w:ascii="黑体" w:eastAsia="黑体" w:hint="eastAsia"/>
          <w:sz w:val="22"/>
        </w:rPr>
        <w:sectPr>
          <w:footerReference w:type="default" r:id="rId11"/>
          <w:pgSz w:w="11910" w:h="16840"/>
          <w:pgMar w:footer="442" w:header="0" w:top="1140" w:bottom="640" w:left="700" w:right="720"/>
          <w:pgNumType w:start="2"/>
        </w:sectPr>
      </w:pPr>
    </w:p>
    <w:p>
      <w:pPr>
        <w:spacing w:line="259" w:lineRule="auto" w:before="7"/>
        <w:ind w:left="3351" w:right="180" w:hanging="420"/>
        <w:jc w:val="left"/>
        <w:rPr>
          <w:rFonts w:ascii="黑体" w:eastAsia="黑体" w:hint="eastAsia"/>
          <w:i/>
          <w:sz w:val="22"/>
        </w:rPr>
      </w:pPr>
      <w:r>
        <w:rPr>
          <w:rFonts w:ascii="黑体" w:eastAsia="黑体" w:hint="eastAsia"/>
          <w:i/>
          <w:w w:val="95"/>
          <w:sz w:val="22"/>
        </w:rPr>
        <w:t>三、发Th上述其他情形导致被保险人患本合同所列的重大疾病的，本合同终止， 我们向您退还未满期净保费。</w:t>
      </w:r>
    </w:p>
    <w:p>
      <w:pPr>
        <w:pStyle w:val="BodyText"/>
        <w:spacing w:before="0"/>
        <w:rPr>
          <w:rFonts w:ascii="黑体"/>
          <w:i/>
          <w:sz w:val="20"/>
        </w:rPr>
      </w:pPr>
    </w:p>
    <w:p>
      <w:pPr>
        <w:pStyle w:val="BodyText"/>
        <w:spacing w:before="1" w:after="1"/>
        <w:rPr>
          <w:rFonts w:ascii="黑体"/>
          <w:i/>
          <w:sz w:val="10"/>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2"/>
        <w:gridCol w:w="1901"/>
        <w:gridCol w:w="7668"/>
      </w:tblGrid>
      <w:tr>
        <w:trPr>
          <w:trHeight w:val="260" w:hRule="atLeast"/>
        </w:trPr>
        <w:tc>
          <w:tcPr>
            <w:tcW w:w="672" w:type="dxa"/>
          </w:tcPr>
          <w:p>
            <w:pPr>
              <w:pStyle w:val="TableParagraph"/>
              <w:spacing w:line="210" w:lineRule="exact"/>
              <w:ind w:left="107"/>
              <w:rPr>
                <w:b/>
                <w:sz w:val="21"/>
              </w:rPr>
            </w:pPr>
            <w:r>
              <w:rPr>
                <w:b/>
                <w:sz w:val="21"/>
              </w:rPr>
              <w:t>2.3</w:t>
            </w:r>
          </w:p>
        </w:tc>
        <w:tc>
          <w:tcPr>
            <w:tcW w:w="1901" w:type="dxa"/>
          </w:tcPr>
          <w:p>
            <w:pPr>
              <w:pStyle w:val="TableParagraph"/>
              <w:spacing w:line="210" w:lineRule="exact"/>
              <w:ind w:left="206"/>
              <w:rPr>
                <w:b/>
                <w:sz w:val="21"/>
              </w:rPr>
            </w:pPr>
            <w:r>
              <w:rPr>
                <w:b/>
                <w:w w:val="95"/>
                <w:sz w:val="21"/>
              </w:rPr>
              <w:t>保险金额</w:t>
            </w:r>
          </w:p>
        </w:tc>
        <w:tc>
          <w:tcPr>
            <w:tcW w:w="7668" w:type="dxa"/>
          </w:tcPr>
          <w:p>
            <w:pPr>
              <w:pStyle w:val="TableParagraph"/>
              <w:spacing w:line="210" w:lineRule="exact"/>
              <w:ind w:right="108"/>
              <w:jc w:val="right"/>
              <w:rPr>
                <w:sz w:val="21"/>
              </w:rPr>
            </w:pPr>
            <w:r>
              <w:rPr>
                <w:sz w:val="21"/>
              </w:rPr>
              <w:t>本合同的保险金额由您在投保时与我们约定并在保险单中载明，投保时的保险金</w:t>
            </w:r>
          </w:p>
        </w:tc>
      </w:tr>
      <w:tr>
        <w:trPr>
          <w:trHeight w:val="311" w:hRule="atLeast"/>
        </w:trPr>
        <w:tc>
          <w:tcPr>
            <w:tcW w:w="672" w:type="dxa"/>
          </w:tcPr>
          <w:p>
            <w:pPr>
              <w:pStyle w:val="TableParagraph"/>
              <w:rPr>
                <w:rFonts w:ascii="Times New Roman"/>
                <w:sz w:val="20"/>
              </w:rPr>
            </w:pPr>
          </w:p>
        </w:tc>
        <w:tc>
          <w:tcPr>
            <w:tcW w:w="1901" w:type="dxa"/>
          </w:tcPr>
          <w:p>
            <w:pPr>
              <w:pStyle w:val="TableParagraph"/>
              <w:rPr>
                <w:rFonts w:ascii="Times New Roman"/>
                <w:sz w:val="20"/>
              </w:rPr>
            </w:pPr>
          </w:p>
        </w:tc>
        <w:tc>
          <w:tcPr>
            <w:tcW w:w="7668" w:type="dxa"/>
          </w:tcPr>
          <w:p>
            <w:pPr>
              <w:pStyle w:val="TableParagraph"/>
              <w:spacing w:line="261" w:lineRule="exact"/>
              <w:ind w:right="108"/>
              <w:jc w:val="right"/>
              <w:rPr>
                <w:sz w:val="21"/>
              </w:rPr>
            </w:pPr>
            <w:r>
              <w:rPr>
                <w:sz w:val="21"/>
              </w:rPr>
              <w:t>额须符合我们当时的投保规则。若该金额发生变更，则以变更后的金额为保险金</w:t>
            </w:r>
          </w:p>
        </w:tc>
      </w:tr>
      <w:tr>
        <w:trPr>
          <w:trHeight w:val="434" w:hRule="atLeast"/>
        </w:trPr>
        <w:tc>
          <w:tcPr>
            <w:tcW w:w="672" w:type="dxa"/>
          </w:tcPr>
          <w:p>
            <w:pPr>
              <w:pStyle w:val="TableParagraph"/>
              <w:rPr>
                <w:rFonts w:ascii="Times New Roman"/>
                <w:sz w:val="20"/>
              </w:rPr>
            </w:pPr>
          </w:p>
        </w:tc>
        <w:tc>
          <w:tcPr>
            <w:tcW w:w="1901" w:type="dxa"/>
          </w:tcPr>
          <w:p>
            <w:pPr>
              <w:pStyle w:val="TableParagraph"/>
              <w:rPr>
                <w:rFonts w:ascii="Times New Roman"/>
                <w:sz w:val="20"/>
              </w:rPr>
            </w:pPr>
          </w:p>
        </w:tc>
        <w:tc>
          <w:tcPr>
            <w:tcW w:w="7668" w:type="dxa"/>
          </w:tcPr>
          <w:p>
            <w:pPr>
              <w:pStyle w:val="TableParagraph"/>
              <w:spacing w:line="261" w:lineRule="exact"/>
              <w:ind w:left="245"/>
              <w:rPr>
                <w:sz w:val="21"/>
              </w:rPr>
            </w:pPr>
            <w:r>
              <w:rPr>
                <w:sz w:val="21"/>
              </w:rPr>
              <w:t>额。</w:t>
            </w:r>
          </w:p>
        </w:tc>
      </w:tr>
      <w:tr>
        <w:trPr>
          <w:trHeight w:val="434" w:hRule="atLeast"/>
        </w:trPr>
        <w:tc>
          <w:tcPr>
            <w:tcW w:w="672" w:type="dxa"/>
          </w:tcPr>
          <w:p>
            <w:pPr>
              <w:pStyle w:val="TableParagraph"/>
              <w:spacing w:before="109"/>
              <w:ind w:left="107"/>
              <w:rPr>
                <w:b/>
                <w:sz w:val="21"/>
              </w:rPr>
            </w:pPr>
            <w:r>
              <w:rPr>
                <w:b/>
                <w:sz w:val="21"/>
              </w:rPr>
              <w:t>2.4</w:t>
            </w:r>
          </w:p>
        </w:tc>
        <w:tc>
          <w:tcPr>
            <w:tcW w:w="1901" w:type="dxa"/>
          </w:tcPr>
          <w:p>
            <w:pPr>
              <w:pStyle w:val="TableParagraph"/>
              <w:spacing w:before="109"/>
              <w:ind w:left="206"/>
              <w:rPr>
                <w:b/>
                <w:sz w:val="21"/>
              </w:rPr>
            </w:pPr>
            <w:r>
              <w:rPr>
                <w:b/>
                <w:w w:val="95"/>
                <w:sz w:val="21"/>
              </w:rPr>
              <w:t>保险期间</w:t>
            </w:r>
          </w:p>
        </w:tc>
        <w:tc>
          <w:tcPr>
            <w:tcW w:w="7668" w:type="dxa"/>
          </w:tcPr>
          <w:p>
            <w:pPr>
              <w:pStyle w:val="TableParagraph"/>
              <w:spacing w:before="109"/>
              <w:ind w:left="245"/>
              <w:rPr>
                <w:sz w:val="21"/>
              </w:rPr>
            </w:pPr>
            <w:r>
              <w:rPr>
                <w:sz w:val="21"/>
              </w:rPr>
              <w:t>一、本合同的保险期间为 1 年，自本合同生效日零时起算。</w:t>
            </w:r>
          </w:p>
        </w:tc>
      </w:tr>
      <w:tr>
        <w:trPr>
          <w:trHeight w:val="311" w:hRule="atLeast"/>
        </w:trPr>
        <w:tc>
          <w:tcPr>
            <w:tcW w:w="672" w:type="dxa"/>
          </w:tcPr>
          <w:p>
            <w:pPr>
              <w:pStyle w:val="TableParagraph"/>
              <w:rPr>
                <w:rFonts w:ascii="Times New Roman"/>
                <w:sz w:val="20"/>
              </w:rPr>
            </w:pPr>
          </w:p>
        </w:tc>
        <w:tc>
          <w:tcPr>
            <w:tcW w:w="1901" w:type="dxa"/>
          </w:tcPr>
          <w:p>
            <w:pPr>
              <w:pStyle w:val="TableParagraph"/>
              <w:rPr>
                <w:rFonts w:ascii="Times New Roman"/>
                <w:sz w:val="20"/>
              </w:rPr>
            </w:pPr>
          </w:p>
        </w:tc>
        <w:tc>
          <w:tcPr>
            <w:tcW w:w="7668" w:type="dxa"/>
          </w:tcPr>
          <w:p>
            <w:pPr>
              <w:pStyle w:val="TableParagraph"/>
              <w:spacing w:line="261" w:lineRule="exact"/>
              <w:ind w:right="108"/>
              <w:jc w:val="right"/>
              <w:rPr>
                <w:sz w:val="21"/>
              </w:rPr>
            </w:pPr>
            <w:r>
              <w:rPr>
                <w:sz w:val="21"/>
              </w:rPr>
              <w:t>二、本合同保险期间届满后，若您提出续保申请，我们有权对您提出的续保申请</w:t>
            </w:r>
          </w:p>
        </w:tc>
      </w:tr>
      <w:tr>
        <w:trPr>
          <w:trHeight w:val="311" w:hRule="atLeast"/>
        </w:trPr>
        <w:tc>
          <w:tcPr>
            <w:tcW w:w="672" w:type="dxa"/>
          </w:tcPr>
          <w:p>
            <w:pPr>
              <w:pStyle w:val="TableParagraph"/>
              <w:rPr>
                <w:rFonts w:ascii="Times New Roman"/>
                <w:sz w:val="20"/>
              </w:rPr>
            </w:pPr>
          </w:p>
        </w:tc>
        <w:tc>
          <w:tcPr>
            <w:tcW w:w="1901" w:type="dxa"/>
          </w:tcPr>
          <w:p>
            <w:pPr>
              <w:pStyle w:val="TableParagraph"/>
              <w:rPr>
                <w:rFonts w:ascii="Times New Roman"/>
                <w:sz w:val="20"/>
              </w:rPr>
            </w:pPr>
          </w:p>
        </w:tc>
        <w:tc>
          <w:tcPr>
            <w:tcW w:w="7668" w:type="dxa"/>
          </w:tcPr>
          <w:p>
            <w:pPr>
              <w:pStyle w:val="TableParagraph"/>
              <w:spacing w:line="261" w:lineRule="exact"/>
              <w:ind w:right="109"/>
              <w:jc w:val="right"/>
              <w:rPr>
                <w:sz w:val="21"/>
              </w:rPr>
            </w:pPr>
            <w:r>
              <w:rPr>
                <w:sz w:val="21"/>
              </w:rPr>
              <w:t>重新审核，对是否同意续保、适用何种费率以及续保期限，我们可以依照续</w:t>
            </w:r>
          </w:p>
        </w:tc>
      </w:tr>
      <w:tr>
        <w:trPr>
          <w:trHeight w:val="450" w:hRule="atLeast"/>
        </w:trPr>
        <w:tc>
          <w:tcPr>
            <w:tcW w:w="672" w:type="dxa"/>
          </w:tcPr>
          <w:p>
            <w:pPr>
              <w:pStyle w:val="TableParagraph"/>
              <w:rPr>
                <w:rFonts w:ascii="Times New Roman"/>
                <w:sz w:val="20"/>
              </w:rPr>
            </w:pPr>
          </w:p>
        </w:tc>
        <w:tc>
          <w:tcPr>
            <w:tcW w:w="1901" w:type="dxa"/>
          </w:tcPr>
          <w:p>
            <w:pPr>
              <w:pStyle w:val="TableParagraph"/>
              <w:rPr>
                <w:rFonts w:ascii="Times New Roman"/>
                <w:sz w:val="20"/>
              </w:rPr>
            </w:pPr>
          </w:p>
        </w:tc>
        <w:tc>
          <w:tcPr>
            <w:tcW w:w="7668" w:type="dxa"/>
          </w:tcPr>
          <w:p>
            <w:pPr>
              <w:pStyle w:val="TableParagraph"/>
              <w:spacing w:line="261" w:lineRule="exact"/>
              <w:ind w:left="665"/>
              <w:rPr>
                <w:sz w:val="21"/>
              </w:rPr>
            </w:pPr>
            <w:r>
              <w:rPr>
                <w:sz w:val="21"/>
              </w:rPr>
              <w:t>保时的国家法律、法规、规章和我们的管理制度决定。</w:t>
            </w:r>
          </w:p>
        </w:tc>
      </w:tr>
      <w:tr>
        <w:trPr>
          <w:trHeight w:val="712" w:hRule="atLeast"/>
        </w:trPr>
        <w:tc>
          <w:tcPr>
            <w:tcW w:w="672" w:type="dxa"/>
            <w:tcBorders>
              <w:bottom w:val="single" w:sz="8" w:space="0" w:color="000000"/>
            </w:tcBorders>
          </w:tcPr>
          <w:p>
            <w:pPr>
              <w:pStyle w:val="TableParagraph"/>
              <w:spacing w:line="646" w:lineRule="exact"/>
              <w:ind w:left="107"/>
              <w:rPr>
                <w:rFonts w:ascii="Yu Gothic"/>
                <w:b/>
                <w:sz w:val="40"/>
              </w:rPr>
            </w:pPr>
            <w:r>
              <w:rPr>
                <w:rFonts w:ascii="Yu Gothic"/>
                <w:b/>
                <w:w w:val="116"/>
                <w:sz w:val="40"/>
              </w:rPr>
              <w:t>O</w:t>
            </w:r>
          </w:p>
        </w:tc>
        <w:tc>
          <w:tcPr>
            <w:tcW w:w="1901" w:type="dxa"/>
            <w:tcBorders>
              <w:bottom w:val="single" w:sz="8" w:space="0" w:color="000000"/>
            </w:tcBorders>
          </w:tcPr>
          <w:p>
            <w:pPr>
              <w:pStyle w:val="TableParagraph"/>
              <w:spacing w:before="206"/>
              <w:ind w:left="207"/>
              <w:rPr>
                <w:b/>
                <w:sz w:val="24"/>
              </w:rPr>
            </w:pPr>
            <w:r>
              <w:rPr>
                <w:b/>
                <w:w w:val="95"/>
                <w:sz w:val="24"/>
              </w:rPr>
              <w:t>保险金的申请</w:t>
            </w:r>
          </w:p>
        </w:tc>
        <w:tc>
          <w:tcPr>
            <w:tcW w:w="7668" w:type="dxa"/>
            <w:tcBorders>
              <w:bottom w:val="single" w:sz="8" w:space="0" w:color="000000"/>
            </w:tcBorders>
          </w:tcPr>
          <w:p>
            <w:pPr>
              <w:pStyle w:val="TableParagraph"/>
              <w:rPr>
                <w:rFonts w:ascii="Times New Roman"/>
                <w:sz w:val="20"/>
              </w:rPr>
            </w:pPr>
          </w:p>
        </w:tc>
      </w:tr>
      <w:tr>
        <w:trPr>
          <w:trHeight w:val="626" w:hRule="atLeast"/>
        </w:trPr>
        <w:tc>
          <w:tcPr>
            <w:tcW w:w="672" w:type="dxa"/>
            <w:tcBorders>
              <w:top w:val="single" w:sz="8" w:space="0" w:color="000000"/>
            </w:tcBorders>
          </w:tcPr>
          <w:p>
            <w:pPr>
              <w:pStyle w:val="TableParagraph"/>
              <w:spacing w:before="9"/>
              <w:rPr>
                <w:rFonts w:ascii="黑体"/>
                <w:i/>
                <w:sz w:val="14"/>
              </w:rPr>
            </w:pPr>
          </w:p>
          <w:p>
            <w:pPr>
              <w:pStyle w:val="TableParagraph"/>
              <w:ind w:left="107"/>
              <w:rPr>
                <w:b/>
                <w:sz w:val="21"/>
              </w:rPr>
            </w:pPr>
            <w:r>
              <w:rPr>
                <w:b/>
                <w:sz w:val="21"/>
              </w:rPr>
              <w:t>3.1</w:t>
            </w:r>
          </w:p>
        </w:tc>
        <w:tc>
          <w:tcPr>
            <w:tcW w:w="1901" w:type="dxa"/>
            <w:tcBorders>
              <w:top w:val="single" w:sz="8" w:space="0" w:color="000000"/>
            </w:tcBorders>
          </w:tcPr>
          <w:p>
            <w:pPr>
              <w:pStyle w:val="TableParagraph"/>
              <w:spacing w:before="9"/>
              <w:rPr>
                <w:rFonts w:ascii="黑体"/>
                <w:i/>
                <w:sz w:val="14"/>
              </w:rPr>
            </w:pPr>
          </w:p>
          <w:p>
            <w:pPr>
              <w:pStyle w:val="TableParagraph"/>
              <w:ind w:left="207"/>
              <w:rPr>
                <w:b/>
                <w:sz w:val="21"/>
              </w:rPr>
            </w:pPr>
            <w:r>
              <w:rPr>
                <w:b/>
                <w:w w:val="95"/>
                <w:sz w:val="21"/>
              </w:rPr>
              <w:t>受益人</w:t>
            </w:r>
          </w:p>
        </w:tc>
        <w:tc>
          <w:tcPr>
            <w:tcW w:w="7668" w:type="dxa"/>
            <w:tcBorders>
              <w:top w:val="single" w:sz="8" w:space="0" w:color="000000"/>
            </w:tcBorders>
          </w:tcPr>
          <w:p>
            <w:pPr>
              <w:pStyle w:val="TableParagraph"/>
              <w:spacing w:before="9"/>
              <w:rPr>
                <w:rFonts w:ascii="黑体"/>
                <w:i/>
                <w:sz w:val="14"/>
              </w:rPr>
            </w:pPr>
          </w:p>
          <w:p>
            <w:pPr>
              <w:pStyle w:val="TableParagraph"/>
              <w:ind w:left="245"/>
              <w:rPr>
                <w:sz w:val="21"/>
              </w:rPr>
            </w:pPr>
            <w:r>
              <w:rPr>
                <w:sz w:val="21"/>
              </w:rPr>
              <w:t>除另有约定外，重大疾病保险金的受益人为被保险人本人。</w:t>
            </w:r>
          </w:p>
        </w:tc>
      </w:tr>
      <w:tr>
        <w:trPr>
          <w:trHeight w:val="1055" w:hRule="atLeast"/>
        </w:trPr>
        <w:tc>
          <w:tcPr>
            <w:tcW w:w="672" w:type="dxa"/>
          </w:tcPr>
          <w:p>
            <w:pPr>
              <w:pStyle w:val="TableParagraph"/>
              <w:spacing w:before="104"/>
              <w:ind w:left="107"/>
              <w:rPr>
                <w:b/>
                <w:sz w:val="21"/>
              </w:rPr>
            </w:pPr>
            <w:r>
              <w:rPr>
                <w:b/>
                <w:sz w:val="21"/>
              </w:rPr>
              <w:t>3.2</w:t>
            </w:r>
          </w:p>
        </w:tc>
        <w:tc>
          <w:tcPr>
            <w:tcW w:w="1901" w:type="dxa"/>
          </w:tcPr>
          <w:p>
            <w:pPr>
              <w:pStyle w:val="TableParagraph"/>
              <w:spacing w:before="104"/>
              <w:ind w:left="207"/>
              <w:rPr>
                <w:b/>
                <w:sz w:val="21"/>
              </w:rPr>
            </w:pPr>
            <w:r>
              <w:rPr>
                <w:b/>
                <w:w w:val="95"/>
                <w:sz w:val="21"/>
              </w:rPr>
              <w:t>保险事故通知</w:t>
            </w:r>
          </w:p>
        </w:tc>
        <w:tc>
          <w:tcPr>
            <w:tcW w:w="7668" w:type="dxa"/>
          </w:tcPr>
          <w:p>
            <w:pPr>
              <w:pStyle w:val="TableParagraph"/>
              <w:spacing w:line="259" w:lineRule="auto" w:before="93"/>
              <w:ind w:left="245" w:right="4"/>
              <w:rPr>
                <w:sz w:val="21"/>
              </w:rPr>
            </w:pPr>
            <w:r>
              <w:rPr>
                <w:spacing w:val="-3"/>
                <w:sz w:val="21"/>
              </w:rPr>
              <w:t>您、被保险人或受益人应于知道保险事故发生之日起 </w:t>
            </w:r>
            <w:r>
              <w:rPr>
                <w:sz w:val="21"/>
              </w:rPr>
              <w:t>10</w:t>
            </w:r>
            <w:r>
              <w:rPr>
                <w:spacing w:val="-10"/>
                <w:sz w:val="21"/>
              </w:rPr>
              <w:t> 日内通知我们。</w:t>
            </w:r>
            <w:r>
              <w:rPr>
                <w:b/>
                <w:i/>
                <w:sz w:val="22"/>
              </w:rPr>
              <w:t>若故意</w:t>
            </w:r>
            <w:r>
              <w:rPr>
                <w:b/>
                <w:i/>
                <w:spacing w:val="-10"/>
                <w:w w:val="95"/>
                <w:sz w:val="22"/>
              </w:rPr>
              <w:t>或因重大过失未及时通知，致使保险事故的性质、原因、损失程度等难以确定的， </w:t>
            </w:r>
            <w:r>
              <w:rPr>
                <w:b/>
                <w:i/>
                <w:spacing w:val="-12"/>
                <w:w w:val="95"/>
                <w:sz w:val="22"/>
              </w:rPr>
              <w:t>我们对无法确定的部分，不承担给付保险金的责任，</w:t>
            </w:r>
            <w:r>
              <w:rPr>
                <w:w w:val="95"/>
                <w:sz w:val="21"/>
              </w:rPr>
              <w:t>但我们通过其他途径已经及</w:t>
            </w:r>
          </w:p>
        </w:tc>
      </w:tr>
      <w:tr>
        <w:trPr>
          <w:trHeight w:val="311" w:hRule="atLeast"/>
        </w:trPr>
        <w:tc>
          <w:tcPr>
            <w:tcW w:w="672" w:type="dxa"/>
          </w:tcPr>
          <w:p>
            <w:pPr>
              <w:pStyle w:val="TableParagraph"/>
              <w:rPr>
                <w:rFonts w:ascii="Times New Roman"/>
                <w:sz w:val="20"/>
              </w:rPr>
            </w:pPr>
          </w:p>
        </w:tc>
        <w:tc>
          <w:tcPr>
            <w:tcW w:w="1901" w:type="dxa"/>
          </w:tcPr>
          <w:p>
            <w:pPr>
              <w:pStyle w:val="TableParagraph"/>
              <w:rPr>
                <w:rFonts w:ascii="Times New Roman"/>
                <w:sz w:val="20"/>
              </w:rPr>
            </w:pPr>
          </w:p>
        </w:tc>
        <w:tc>
          <w:tcPr>
            <w:tcW w:w="7668" w:type="dxa"/>
          </w:tcPr>
          <w:p>
            <w:pPr>
              <w:pStyle w:val="TableParagraph"/>
              <w:spacing w:line="260" w:lineRule="exact"/>
              <w:ind w:left="245"/>
              <w:rPr>
                <w:sz w:val="21"/>
              </w:rPr>
            </w:pPr>
            <w:r>
              <w:rPr>
                <w:sz w:val="21"/>
              </w:rPr>
              <w:t>时知道或应当及时知道保险事故发生或虽未及时通知但不影响我们确定保险事</w:t>
            </w:r>
          </w:p>
        </w:tc>
      </w:tr>
      <w:tr>
        <w:trPr>
          <w:trHeight w:val="425" w:hRule="atLeast"/>
        </w:trPr>
        <w:tc>
          <w:tcPr>
            <w:tcW w:w="672" w:type="dxa"/>
          </w:tcPr>
          <w:p>
            <w:pPr>
              <w:pStyle w:val="TableParagraph"/>
              <w:rPr>
                <w:rFonts w:ascii="Times New Roman"/>
                <w:sz w:val="20"/>
              </w:rPr>
            </w:pPr>
          </w:p>
        </w:tc>
        <w:tc>
          <w:tcPr>
            <w:tcW w:w="1901" w:type="dxa"/>
          </w:tcPr>
          <w:p>
            <w:pPr>
              <w:pStyle w:val="TableParagraph"/>
              <w:rPr>
                <w:rFonts w:ascii="Times New Roman"/>
                <w:sz w:val="20"/>
              </w:rPr>
            </w:pPr>
          </w:p>
        </w:tc>
        <w:tc>
          <w:tcPr>
            <w:tcW w:w="7668" w:type="dxa"/>
          </w:tcPr>
          <w:p>
            <w:pPr>
              <w:pStyle w:val="TableParagraph"/>
              <w:spacing w:line="261" w:lineRule="exact"/>
              <w:ind w:left="245"/>
              <w:rPr>
                <w:sz w:val="21"/>
              </w:rPr>
            </w:pPr>
            <w:r>
              <w:rPr>
                <w:sz w:val="21"/>
              </w:rPr>
              <w:t>故的性质、原因、损失程度的除外。</w:t>
            </w:r>
          </w:p>
        </w:tc>
      </w:tr>
      <w:tr>
        <w:trPr>
          <w:trHeight w:val="425" w:hRule="atLeast"/>
        </w:trPr>
        <w:tc>
          <w:tcPr>
            <w:tcW w:w="672" w:type="dxa"/>
          </w:tcPr>
          <w:p>
            <w:pPr>
              <w:pStyle w:val="TableParagraph"/>
              <w:spacing w:before="100"/>
              <w:ind w:left="108"/>
              <w:rPr>
                <w:b/>
                <w:sz w:val="21"/>
              </w:rPr>
            </w:pPr>
            <w:r>
              <w:rPr>
                <w:b/>
                <w:sz w:val="21"/>
              </w:rPr>
              <w:t>3.3</w:t>
            </w:r>
          </w:p>
        </w:tc>
        <w:tc>
          <w:tcPr>
            <w:tcW w:w="1901" w:type="dxa"/>
          </w:tcPr>
          <w:p>
            <w:pPr>
              <w:pStyle w:val="TableParagraph"/>
              <w:spacing w:before="100"/>
              <w:ind w:left="207"/>
              <w:rPr>
                <w:b/>
                <w:sz w:val="21"/>
              </w:rPr>
            </w:pPr>
            <w:r>
              <w:rPr>
                <w:b/>
                <w:w w:val="95"/>
                <w:sz w:val="21"/>
              </w:rPr>
              <w:t>保险金申请</w:t>
            </w:r>
          </w:p>
        </w:tc>
        <w:tc>
          <w:tcPr>
            <w:tcW w:w="7668" w:type="dxa"/>
          </w:tcPr>
          <w:p>
            <w:pPr>
              <w:pStyle w:val="TableParagraph"/>
              <w:spacing w:before="100"/>
              <w:ind w:right="108"/>
              <w:jc w:val="right"/>
              <w:rPr>
                <w:sz w:val="21"/>
              </w:rPr>
            </w:pPr>
            <w:r>
              <w:rPr>
                <w:sz w:val="21"/>
              </w:rPr>
              <w:t>一、在本合同有效期间内，若发生符合本合同约定的保险金给付情形，受益人或</w:t>
            </w:r>
          </w:p>
        </w:tc>
      </w:tr>
      <w:tr>
        <w:trPr>
          <w:trHeight w:val="260" w:hRule="atLeast"/>
        </w:trPr>
        <w:tc>
          <w:tcPr>
            <w:tcW w:w="672" w:type="dxa"/>
          </w:tcPr>
          <w:p>
            <w:pPr>
              <w:pStyle w:val="TableParagraph"/>
              <w:rPr>
                <w:rFonts w:ascii="Times New Roman"/>
                <w:sz w:val="18"/>
              </w:rPr>
            </w:pPr>
          </w:p>
        </w:tc>
        <w:tc>
          <w:tcPr>
            <w:tcW w:w="1901" w:type="dxa"/>
          </w:tcPr>
          <w:p>
            <w:pPr>
              <w:pStyle w:val="TableParagraph"/>
              <w:rPr>
                <w:rFonts w:ascii="Times New Roman"/>
                <w:sz w:val="18"/>
              </w:rPr>
            </w:pPr>
          </w:p>
        </w:tc>
        <w:tc>
          <w:tcPr>
            <w:tcW w:w="7668" w:type="dxa"/>
          </w:tcPr>
          <w:p>
            <w:pPr>
              <w:pStyle w:val="TableParagraph"/>
              <w:spacing w:line="241" w:lineRule="exact"/>
              <w:ind w:right="108"/>
              <w:jc w:val="right"/>
              <w:rPr>
                <w:sz w:val="21"/>
              </w:rPr>
            </w:pPr>
            <w:r>
              <w:rPr>
                <w:sz w:val="21"/>
              </w:rPr>
              <w:t>被保险人的继承人可向我们申请给付保险金，但应当按照下列约定的程序和</w:t>
            </w:r>
          </w:p>
        </w:tc>
      </w:tr>
    </w:tbl>
    <w:p>
      <w:pPr>
        <w:pStyle w:val="BodyText"/>
        <w:spacing w:before="37"/>
        <w:ind w:left="3351"/>
      </w:pPr>
      <w:r>
        <w:rPr/>
        <w:t>条件进行：</w:t>
      </w:r>
    </w:p>
    <w:p>
      <w:pPr>
        <w:pStyle w:val="BodyText"/>
        <w:spacing w:before="6"/>
        <w:rPr>
          <w:sz w:val="17"/>
        </w:rPr>
      </w:pPr>
    </w:p>
    <w:p>
      <w:pPr>
        <w:spacing w:after="0"/>
        <w:rPr>
          <w:sz w:val="17"/>
        </w:rPr>
        <w:sectPr>
          <w:pgSz w:w="11910" w:h="16840"/>
          <w:pgMar w:header="0" w:footer="442" w:top="1100" w:bottom="640" w:left="720" w:right="720"/>
        </w:sectPr>
      </w:pPr>
    </w:p>
    <w:p>
      <w:pPr>
        <w:pStyle w:val="Heading2"/>
        <w:spacing w:line="182" w:lineRule="auto" w:before="49"/>
        <w:ind w:left="992"/>
        <w:rPr>
          <w:rFonts w:ascii="Microsoft JhengHei" w:eastAsia="Microsoft JhengHei" w:hint="eastAsia"/>
        </w:rPr>
      </w:pPr>
      <w:r>
        <w:rPr>
          <w:rFonts w:ascii="Microsoft JhengHei" w:eastAsia="Microsoft JhengHei" w:hint="eastAsia"/>
        </w:rPr>
        <w:t>重大疾病保险金申请</w:t>
      </w:r>
    </w:p>
    <w:p>
      <w:pPr>
        <w:pStyle w:val="BodyText"/>
        <w:spacing w:line="273" w:lineRule="auto" w:before="35"/>
        <w:ind w:left="215" w:right="164"/>
      </w:pPr>
      <w:r>
        <w:rPr/>
        <w:br w:type="column"/>
      </w:r>
      <w:r>
        <w:rPr/>
        <w:t>申请重大疾病保险金的，申请人须填写保险金给付申请书，并向我们提供下列资料：</w:t>
      </w:r>
    </w:p>
    <w:p>
      <w:pPr>
        <w:pStyle w:val="BodyText"/>
        <w:spacing w:before="7"/>
        <w:ind w:left="218"/>
      </w:pPr>
      <w:r>
        <w:rPr/>
        <w:t>(一)保险合同；</w:t>
      </w:r>
    </w:p>
    <w:p>
      <w:pPr>
        <w:spacing w:before="36"/>
        <w:ind w:left="218" w:right="0" w:firstLine="0"/>
        <w:jc w:val="left"/>
        <w:rPr>
          <w:sz w:val="21"/>
        </w:rPr>
      </w:pPr>
      <w:r>
        <w:rPr>
          <w:w w:val="95"/>
          <w:sz w:val="21"/>
        </w:rPr>
        <w:t>(二)申请人的</w:t>
      </w:r>
      <w:r>
        <w:rPr>
          <w:b/>
          <w:w w:val="95"/>
          <w:sz w:val="21"/>
        </w:rPr>
        <w:t>有效身份证件</w:t>
      </w:r>
      <w:r>
        <w:rPr>
          <w:w w:val="95"/>
          <w:sz w:val="21"/>
        </w:rPr>
        <w:t>；</w:t>
      </w:r>
    </w:p>
    <w:p>
      <w:pPr>
        <w:pStyle w:val="BodyText"/>
        <w:spacing w:line="273" w:lineRule="auto"/>
        <w:ind w:left="638" w:right="217" w:hanging="420"/>
      </w:pPr>
      <w:r>
        <w:rPr/>
        <w:t>(三)由国家卫生行政部门认定的</w:t>
      </w:r>
      <w:r>
        <w:rPr>
          <w:b/>
        </w:rPr>
        <w:t>医疗机构</w:t>
      </w:r>
      <w:r>
        <w:rPr/>
        <w:t>出具的可证明被保险人患重大疾病的诊断证明和诊断所患重大疾病必需的病理检查报告；</w:t>
      </w:r>
    </w:p>
    <w:p>
      <w:pPr>
        <w:pStyle w:val="BodyText"/>
        <w:spacing w:before="7"/>
        <w:ind w:left="218"/>
      </w:pPr>
      <w:r>
        <w:rPr/>
        <w:t>(四)所能提供的与确认保险事故的性质、原因、伤害程度等有关的其他资料。</w:t>
      </w:r>
    </w:p>
    <w:p>
      <w:pPr>
        <w:pStyle w:val="BodyText"/>
        <w:spacing w:before="1"/>
        <w:rPr>
          <w:sz w:val="20"/>
        </w:rPr>
      </w:pPr>
    </w:p>
    <w:p>
      <w:pPr>
        <w:pStyle w:val="BodyText"/>
        <w:spacing w:line="273" w:lineRule="auto" w:before="1"/>
        <w:ind w:left="638" w:right="163" w:hanging="420"/>
      </w:pPr>
      <w:r>
        <w:rPr/>
        <w:t>二、保险金作为被保险人遗产时，申请人还须提供可证明合法继承权的相关权利文件。</w:t>
      </w:r>
    </w:p>
    <w:p>
      <w:pPr>
        <w:pStyle w:val="BodyText"/>
        <w:spacing w:before="8"/>
        <w:ind w:left="218"/>
      </w:pPr>
      <w:r>
        <w:rPr/>
        <w:t>三、上述申请资料不完整的，我们将及时一次性通知申请人补充提供有关资料。</w:t>
      </w:r>
    </w:p>
    <w:p>
      <w:pPr>
        <w:spacing w:after="0"/>
        <w:sectPr>
          <w:type w:val="continuous"/>
          <w:pgSz w:w="11910" w:h="16840"/>
          <w:pgMar w:top="300" w:bottom="280" w:left="720" w:right="720"/>
          <w:cols w:num="2" w:equalWidth="0">
            <w:col w:w="2674" w:space="40"/>
            <w:col w:w="7756"/>
          </w:cols>
        </w:sectPr>
      </w:pPr>
    </w:p>
    <w:p>
      <w:pPr>
        <w:pStyle w:val="BodyText"/>
        <w:spacing w:before="1"/>
        <w:rPr>
          <w:sz w:val="18"/>
        </w:rPr>
      </w:pPr>
    </w:p>
    <w:p>
      <w:pPr>
        <w:tabs>
          <w:tab w:pos="992" w:val="left" w:leader="none"/>
          <w:tab w:pos="2931" w:val="left" w:leader="none"/>
        </w:tabs>
        <w:spacing w:before="36"/>
        <w:ind w:left="220" w:right="0" w:firstLine="0"/>
        <w:jc w:val="left"/>
        <w:rPr>
          <w:sz w:val="21"/>
        </w:rPr>
      </w:pPr>
      <w:r>
        <w:rPr>
          <w:b/>
          <w:sz w:val="21"/>
        </w:rPr>
        <w:t>3.4</w:t>
        <w:tab/>
        <w:t>保险金的给付</w:t>
        <w:tab/>
      </w:r>
      <w:r>
        <w:rPr>
          <w:sz w:val="21"/>
        </w:rPr>
        <w:t>一</w:t>
      </w:r>
      <w:r>
        <w:rPr>
          <w:spacing w:val="10"/>
          <w:sz w:val="21"/>
        </w:rPr>
        <w:t>、</w:t>
      </w:r>
      <w:r>
        <w:rPr>
          <w:sz w:val="21"/>
        </w:rPr>
        <w:t>我们在收到保险金给付申请书及本合同约定的资料后</w:t>
      </w:r>
      <w:r>
        <w:rPr>
          <w:spacing w:val="-105"/>
          <w:sz w:val="21"/>
        </w:rPr>
        <w:t>，</w:t>
      </w:r>
      <w:r>
        <w:rPr>
          <w:sz w:val="21"/>
        </w:rPr>
        <w:t>将</w:t>
      </w:r>
      <w:r>
        <w:rPr>
          <w:spacing w:val="25"/>
          <w:sz w:val="21"/>
        </w:rPr>
        <w:t>在</w:t>
      </w:r>
      <w:r>
        <w:rPr>
          <w:sz w:val="21"/>
        </w:rPr>
        <w:t>5</w:t>
      </w:r>
      <w:r>
        <w:rPr>
          <w:spacing w:val="-76"/>
          <w:sz w:val="21"/>
        </w:rPr>
        <w:t> </w:t>
      </w:r>
      <w:r>
        <w:rPr>
          <w:sz w:val="21"/>
        </w:rPr>
        <w:t>日内作出核定；</w:t>
      </w:r>
    </w:p>
    <w:p>
      <w:pPr>
        <w:pStyle w:val="BodyText"/>
        <w:spacing w:before="37"/>
        <w:ind w:left="3337"/>
      </w:pPr>
      <w:r>
        <w:rPr/>
        <w:t>情形复杂的，在 30 日内作出核定。对属于保险责任的，我们在与受益人达</w:t>
      </w:r>
    </w:p>
    <w:p>
      <w:pPr>
        <w:pStyle w:val="BodyText"/>
        <w:spacing w:before="37"/>
        <w:ind w:left="3337"/>
      </w:pPr>
      <w:r>
        <w:rPr/>
        <w:t>成给付保险金的协议后 10 日内，履行给付保险金义务。</w:t>
      </w:r>
    </w:p>
    <w:p>
      <w:pPr>
        <w:pStyle w:val="BodyText"/>
        <w:spacing w:line="273" w:lineRule="auto" w:before="37"/>
        <w:ind w:left="3337" w:right="163" w:hanging="406"/>
      </w:pPr>
      <w:r>
        <w:rPr/>
        <w:t>二、我们未及时履行前款规定义务的，除支付保险金外，应当赔偿受益人因此受到的损失。</w:t>
      </w:r>
    </w:p>
    <w:p>
      <w:pPr>
        <w:pStyle w:val="BodyText"/>
        <w:spacing w:line="273" w:lineRule="auto" w:before="7"/>
        <w:ind w:left="3337" w:right="219" w:hanging="406"/>
      </w:pPr>
      <w:r>
        <w:rPr>
          <w:spacing w:val="-8"/>
        </w:rPr>
        <w:t>三、对不属于保险责任的，我们自作出核定之日起 </w:t>
      </w:r>
      <w:r>
        <w:rPr/>
        <w:t>3</w:t>
      </w:r>
      <w:r>
        <w:rPr>
          <w:spacing w:val="-8"/>
        </w:rPr>
        <w:t> 日内向受益人发出拒绝给付保险金通知书并说明理由。</w:t>
      </w:r>
    </w:p>
    <w:p>
      <w:pPr>
        <w:pStyle w:val="BodyText"/>
        <w:spacing w:line="273" w:lineRule="auto" w:before="7"/>
        <w:ind w:left="3337" w:right="163" w:hanging="406"/>
      </w:pPr>
      <w:r>
        <w:rPr/>
        <w:t>四、我们在收到保险金给付申请书及本合同约定的资料之日起 60 日内，对给付保险金的数额不能确定的，根据已有资料可以确定的数额先予支付；我们最</w:t>
      </w:r>
    </w:p>
    <w:p>
      <w:pPr>
        <w:spacing w:after="0" w:line="273" w:lineRule="auto"/>
        <w:sectPr>
          <w:type w:val="continuous"/>
          <w:pgSz w:w="11910" w:h="16840"/>
          <w:pgMar w:top="300" w:bottom="280" w:left="720" w:right="720"/>
        </w:sectPr>
      </w:pPr>
    </w:p>
    <w:p>
      <w:pPr>
        <w:pStyle w:val="BodyText"/>
        <w:spacing w:before="19"/>
        <w:ind w:left="3337"/>
      </w:pPr>
      <w:r>
        <w:rPr/>
        <w:t>终确定给付保险金的数额后，再给付相应的差额。</w:t>
      </w:r>
    </w:p>
    <w:p>
      <w:pPr>
        <w:pStyle w:val="BodyText"/>
        <w:spacing w:before="1"/>
        <w:rPr>
          <w:sz w:val="25"/>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2"/>
        <w:gridCol w:w="1900"/>
        <w:gridCol w:w="7669"/>
      </w:tblGrid>
      <w:tr>
        <w:trPr>
          <w:trHeight w:val="1424" w:hRule="atLeast"/>
        </w:trPr>
        <w:tc>
          <w:tcPr>
            <w:tcW w:w="672" w:type="dxa"/>
            <w:tcBorders>
              <w:bottom w:val="single" w:sz="8" w:space="0" w:color="000000"/>
            </w:tcBorders>
          </w:tcPr>
          <w:p>
            <w:pPr>
              <w:pStyle w:val="TableParagraph"/>
              <w:spacing w:line="210" w:lineRule="exact"/>
              <w:ind w:left="108"/>
              <w:rPr>
                <w:b/>
                <w:sz w:val="21"/>
              </w:rPr>
            </w:pPr>
            <w:r>
              <w:rPr>
                <w:b/>
                <w:sz w:val="21"/>
              </w:rPr>
              <w:t>3.5</w:t>
            </w:r>
          </w:p>
          <w:p>
            <w:pPr>
              <w:pStyle w:val="TableParagraph"/>
              <w:rPr>
                <w:sz w:val="20"/>
              </w:rPr>
            </w:pPr>
          </w:p>
          <w:p>
            <w:pPr>
              <w:pStyle w:val="TableParagraph"/>
              <w:spacing w:before="3"/>
              <w:rPr>
                <w:sz w:val="16"/>
              </w:rPr>
            </w:pPr>
          </w:p>
          <w:p>
            <w:pPr>
              <w:pStyle w:val="TableParagraph"/>
              <w:ind w:left="107"/>
              <w:rPr>
                <w:rFonts w:ascii="Yu Gothic" w:hAnsi="Yu Gothic"/>
                <w:b/>
                <w:sz w:val="40"/>
              </w:rPr>
            </w:pPr>
            <w:r>
              <w:rPr>
                <w:rFonts w:ascii="Yu Gothic" w:hAnsi="Yu Gothic"/>
                <w:b/>
                <w:w w:val="214"/>
                <w:sz w:val="40"/>
              </w:rPr>
              <w:t>º</w:t>
            </w:r>
          </w:p>
        </w:tc>
        <w:tc>
          <w:tcPr>
            <w:tcW w:w="1900" w:type="dxa"/>
            <w:tcBorders>
              <w:bottom w:val="single" w:sz="8" w:space="0" w:color="000000"/>
            </w:tcBorders>
          </w:tcPr>
          <w:p>
            <w:pPr>
              <w:pStyle w:val="TableParagraph"/>
              <w:spacing w:line="210" w:lineRule="exact"/>
              <w:ind w:left="206"/>
              <w:rPr>
                <w:b/>
                <w:sz w:val="21"/>
              </w:rPr>
            </w:pPr>
            <w:r>
              <w:rPr>
                <w:b/>
                <w:w w:val="95"/>
                <w:sz w:val="21"/>
              </w:rPr>
              <w:t>诉讼时效</w:t>
            </w:r>
          </w:p>
          <w:p>
            <w:pPr>
              <w:pStyle w:val="TableParagraph"/>
              <w:rPr>
                <w:sz w:val="20"/>
              </w:rPr>
            </w:pPr>
          </w:p>
          <w:p>
            <w:pPr>
              <w:pStyle w:val="TableParagraph"/>
              <w:rPr>
                <w:sz w:val="20"/>
              </w:rPr>
            </w:pPr>
          </w:p>
          <w:p>
            <w:pPr>
              <w:pStyle w:val="TableParagraph"/>
              <w:spacing w:before="1"/>
              <w:rPr>
                <w:sz w:val="14"/>
              </w:rPr>
            </w:pPr>
          </w:p>
          <w:p>
            <w:pPr>
              <w:pStyle w:val="TableParagraph"/>
              <w:ind w:left="207"/>
              <w:rPr>
                <w:b/>
                <w:sz w:val="24"/>
              </w:rPr>
            </w:pPr>
            <w:r>
              <w:rPr>
                <w:b/>
                <w:w w:val="95"/>
                <w:sz w:val="24"/>
              </w:rPr>
              <w:t>保险费的交纳</w:t>
            </w:r>
          </w:p>
        </w:tc>
        <w:tc>
          <w:tcPr>
            <w:tcW w:w="7669" w:type="dxa"/>
            <w:tcBorders>
              <w:bottom w:val="single" w:sz="8" w:space="0" w:color="000000"/>
            </w:tcBorders>
          </w:tcPr>
          <w:p>
            <w:pPr>
              <w:pStyle w:val="TableParagraph"/>
              <w:spacing w:line="210" w:lineRule="exact"/>
              <w:ind w:left="246"/>
              <w:rPr>
                <w:sz w:val="21"/>
              </w:rPr>
            </w:pPr>
            <w:r>
              <w:rPr>
                <w:spacing w:val="-3"/>
                <w:sz w:val="21"/>
              </w:rPr>
              <w:t>申请人向我们请求给付保险金的诉讼时效期间为 </w:t>
            </w:r>
            <w:r>
              <w:rPr>
                <w:sz w:val="21"/>
              </w:rPr>
              <w:t>2</w:t>
            </w:r>
            <w:r>
              <w:rPr>
                <w:spacing w:val="-11"/>
                <w:sz w:val="21"/>
              </w:rPr>
              <w:t> 年，自其知道或应当知道保险</w:t>
            </w:r>
          </w:p>
          <w:p>
            <w:pPr>
              <w:pStyle w:val="TableParagraph"/>
              <w:spacing w:before="37"/>
              <w:ind w:left="246"/>
              <w:rPr>
                <w:sz w:val="21"/>
              </w:rPr>
            </w:pPr>
            <w:r>
              <w:rPr>
                <w:sz w:val="21"/>
              </w:rPr>
              <w:t>事故发生之日起计算。</w:t>
            </w:r>
          </w:p>
        </w:tc>
      </w:tr>
      <w:tr>
        <w:trPr>
          <w:trHeight w:val="518" w:hRule="atLeast"/>
        </w:trPr>
        <w:tc>
          <w:tcPr>
            <w:tcW w:w="672" w:type="dxa"/>
            <w:tcBorders>
              <w:top w:val="single" w:sz="8" w:space="0" w:color="000000"/>
            </w:tcBorders>
          </w:tcPr>
          <w:p>
            <w:pPr>
              <w:pStyle w:val="TableParagraph"/>
              <w:spacing w:before="9"/>
              <w:rPr>
                <w:sz w:val="14"/>
              </w:rPr>
            </w:pPr>
          </w:p>
          <w:p>
            <w:pPr>
              <w:pStyle w:val="TableParagraph"/>
              <w:ind w:left="107"/>
              <w:rPr>
                <w:b/>
                <w:sz w:val="21"/>
              </w:rPr>
            </w:pPr>
            <w:r>
              <w:rPr>
                <w:b/>
                <w:sz w:val="21"/>
              </w:rPr>
              <w:t>4.1</w:t>
            </w:r>
          </w:p>
        </w:tc>
        <w:tc>
          <w:tcPr>
            <w:tcW w:w="1900" w:type="dxa"/>
            <w:tcBorders>
              <w:top w:val="single" w:sz="8" w:space="0" w:color="000000"/>
            </w:tcBorders>
          </w:tcPr>
          <w:p>
            <w:pPr>
              <w:pStyle w:val="TableParagraph"/>
              <w:spacing w:before="9"/>
              <w:rPr>
                <w:sz w:val="14"/>
              </w:rPr>
            </w:pPr>
          </w:p>
          <w:p>
            <w:pPr>
              <w:pStyle w:val="TableParagraph"/>
              <w:ind w:left="207"/>
              <w:rPr>
                <w:b/>
                <w:sz w:val="21"/>
              </w:rPr>
            </w:pPr>
            <w:r>
              <w:rPr>
                <w:b/>
                <w:w w:val="95"/>
                <w:sz w:val="21"/>
              </w:rPr>
              <w:t>保险费的交纳</w:t>
            </w:r>
          </w:p>
        </w:tc>
        <w:tc>
          <w:tcPr>
            <w:tcW w:w="7669" w:type="dxa"/>
            <w:tcBorders>
              <w:top w:val="single" w:sz="8" w:space="0" w:color="000000"/>
            </w:tcBorders>
          </w:tcPr>
          <w:p>
            <w:pPr>
              <w:pStyle w:val="TableParagraph"/>
              <w:spacing w:before="9"/>
              <w:rPr>
                <w:sz w:val="14"/>
              </w:rPr>
            </w:pPr>
          </w:p>
          <w:p>
            <w:pPr>
              <w:pStyle w:val="TableParagraph"/>
              <w:ind w:left="280"/>
              <w:rPr>
                <w:sz w:val="21"/>
              </w:rPr>
            </w:pPr>
            <w:r>
              <w:rPr>
                <w:sz w:val="21"/>
              </w:rPr>
              <w:t>一、本合同的交费方式为您在投保时一次交清。</w:t>
            </w:r>
          </w:p>
        </w:tc>
      </w:tr>
      <w:tr>
        <w:trPr>
          <w:trHeight w:val="260" w:hRule="atLeast"/>
        </w:trPr>
        <w:tc>
          <w:tcPr>
            <w:tcW w:w="672" w:type="dxa"/>
          </w:tcPr>
          <w:p>
            <w:pPr>
              <w:pStyle w:val="TableParagraph"/>
              <w:rPr>
                <w:rFonts w:ascii="Times New Roman"/>
                <w:sz w:val="18"/>
              </w:rPr>
            </w:pPr>
          </w:p>
        </w:tc>
        <w:tc>
          <w:tcPr>
            <w:tcW w:w="1900" w:type="dxa"/>
          </w:tcPr>
          <w:p>
            <w:pPr>
              <w:pStyle w:val="TableParagraph"/>
              <w:rPr>
                <w:rFonts w:ascii="Times New Roman"/>
                <w:sz w:val="18"/>
              </w:rPr>
            </w:pPr>
          </w:p>
        </w:tc>
        <w:tc>
          <w:tcPr>
            <w:tcW w:w="7669" w:type="dxa"/>
          </w:tcPr>
          <w:p>
            <w:pPr>
              <w:pStyle w:val="TableParagraph"/>
              <w:spacing w:line="241" w:lineRule="exact"/>
              <w:ind w:left="280"/>
              <w:rPr>
                <w:sz w:val="21"/>
              </w:rPr>
            </w:pPr>
            <w:r>
              <w:rPr>
                <w:sz w:val="21"/>
              </w:rPr>
              <w:t>二、本合同的续保保险费根据续保时被保险人的年龄和保险金额确定。</w:t>
            </w:r>
          </w:p>
        </w:tc>
      </w:tr>
    </w:tbl>
    <w:p>
      <w:pPr>
        <w:pStyle w:val="Heading2"/>
        <w:tabs>
          <w:tab w:pos="992" w:val="left" w:leader="none"/>
        </w:tabs>
        <w:spacing w:before="163"/>
      </w:pPr>
      <w:r>
        <w:rPr/>
        <w:pict>
          <v:line style="position:absolute;mso-position-horizontal-relative:page;mso-position-vertical-relative:paragraph;z-index:1240;mso-wrap-distance-left:0;mso-wrap-distance-right:0" from="41.639999pt,45.679806pt" to="553.619999pt,45.679806pt" stroked="true" strokeweight=".96002pt" strokecolor="#000000">
            <v:stroke dashstyle="solid"/>
            <w10:wrap type="topAndBottom"/>
          </v:line>
        </w:pict>
      </w:r>
      <w:r>
        <w:rPr>
          <w:rFonts w:ascii="Yu Gothic" w:eastAsia="Yu Gothic" w:hint="eastAsia"/>
          <w:w w:val="135"/>
          <w:position w:val="-3"/>
          <w:sz w:val="40"/>
        </w:rPr>
        <w:t>6</w:t>
        <w:tab/>
      </w:r>
      <w:r>
        <w:rPr/>
        <w:t>职业、工种或环境变更</w:t>
      </w:r>
    </w:p>
    <w:p>
      <w:pPr>
        <w:pStyle w:val="BodyText"/>
        <w:spacing w:before="10"/>
        <w:rPr>
          <w:b/>
          <w:sz w:val="9"/>
        </w:rPr>
      </w:pPr>
    </w:p>
    <w:p>
      <w:pPr>
        <w:spacing w:after="0"/>
        <w:rPr>
          <w:sz w:val="9"/>
        </w:rPr>
        <w:sectPr>
          <w:pgSz w:w="11910" w:h="16840"/>
          <w:pgMar w:header="0" w:footer="442" w:top="1100" w:bottom="640" w:left="720" w:right="720"/>
        </w:sectPr>
      </w:pPr>
    </w:p>
    <w:p>
      <w:pPr>
        <w:pStyle w:val="Heading5"/>
        <w:tabs>
          <w:tab w:pos="992" w:val="left" w:leader="none"/>
        </w:tabs>
        <w:spacing w:before="35"/>
        <w:ind w:left="220"/>
        <w:rPr>
          <w:rFonts w:ascii="宋体" w:eastAsia="宋体" w:hint="eastAsia"/>
        </w:rPr>
      </w:pPr>
      <w:r>
        <w:rPr>
          <w:rFonts w:ascii="宋体" w:eastAsia="宋体" w:hint="eastAsia"/>
        </w:rPr>
        <w:t>5.1</w:t>
        <w:tab/>
      </w:r>
      <w:r>
        <w:rPr>
          <w:rFonts w:ascii="宋体" w:eastAsia="宋体" w:hint="eastAsia"/>
          <w:w w:val="95"/>
        </w:rPr>
        <w:t>职业、工种或环境</w:t>
      </w:r>
    </w:p>
    <w:p>
      <w:pPr>
        <w:spacing w:before="36"/>
        <w:ind w:left="778" w:right="1049" w:firstLine="0"/>
        <w:jc w:val="center"/>
        <w:rPr>
          <w:b/>
          <w:sz w:val="21"/>
        </w:rPr>
      </w:pPr>
      <w:r>
        <w:rPr>
          <w:b/>
          <w:w w:val="95"/>
          <w:sz w:val="21"/>
        </w:rPr>
        <w:t>变更</w:t>
      </w:r>
    </w:p>
    <w:p>
      <w:pPr>
        <w:pStyle w:val="BodyText"/>
        <w:spacing w:before="35"/>
        <w:ind w:left="212"/>
      </w:pPr>
      <w:r>
        <w:rPr/>
        <w:br w:type="column"/>
      </w:r>
      <w:r>
        <w:rPr/>
        <w:t>一、若被保险人的职业、工种或环境发生变更，您或被保险人应自变更之日起 10</w:t>
      </w:r>
    </w:p>
    <w:p>
      <w:pPr>
        <w:pStyle w:val="BodyText"/>
        <w:ind w:left="632"/>
      </w:pPr>
      <w:r>
        <w:rPr/>
        <w:t>日内（含第 10 日）以书面形式通知我们。</w:t>
      </w:r>
    </w:p>
    <w:p>
      <w:pPr>
        <w:spacing w:line="266" w:lineRule="auto" w:before="36"/>
        <w:ind w:left="632" w:right="219" w:hanging="420"/>
        <w:jc w:val="both"/>
        <w:rPr>
          <w:sz w:val="21"/>
        </w:rPr>
      </w:pPr>
      <w:r>
        <w:rPr>
          <w:spacing w:val="-3"/>
          <w:sz w:val="21"/>
        </w:rPr>
        <w:t>二、我们将根据变更后的职业、工种或环境的危险程度确定被保险人的危险程度</w:t>
      </w:r>
      <w:r>
        <w:rPr>
          <w:spacing w:val="-6"/>
          <w:sz w:val="21"/>
        </w:rPr>
        <w:t>是否属于我们的可保范围。若属于我们的可保范围，我们将重新核定被保险</w:t>
      </w:r>
      <w:r>
        <w:rPr>
          <w:spacing w:val="-8"/>
          <w:w w:val="95"/>
          <w:sz w:val="21"/>
        </w:rPr>
        <w:t>人自其职业、工种或环境变更之日起的保险费交费标准；</w:t>
      </w:r>
      <w:r>
        <w:rPr>
          <w:b/>
          <w:i/>
          <w:w w:val="95"/>
          <w:sz w:val="22"/>
        </w:rPr>
        <w:t>若不属于我们的可 </w:t>
      </w:r>
      <w:r>
        <w:rPr>
          <w:b/>
          <w:i/>
          <w:spacing w:val="-7"/>
          <w:w w:val="95"/>
          <w:sz w:val="22"/>
        </w:rPr>
        <w:t>保范围，本合同自其职业、工种或环境变更之日起解除，</w:t>
      </w:r>
      <w:r>
        <w:rPr>
          <w:w w:val="95"/>
          <w:sz w:val="21"/>
        </w:rPr>
        <w:t>自解除之日起我们</w:t>
      </w:r>
      <w:r>
        <w:rPr>
          <w:sz w:val="21"/>
        </w:rPr>
        <w:t>不承担保险责任，我们向您退还本合同的</w:t>
      </w:r>
      <w:r>
        <w:rPr>
          <w:b/>
          <w:sz w:val="21"/>
        </w:rPr>
        <w:t>未满期保险费</w:t>
      </w:r>
      <w:r>
        <w:rPr>
          <w:sz w:val="21"/>
        </w:rPr>
        <w:t>。</w:t>
      </w:r>
    </w:p>
    <w:p>
      <w:pPr>
        <w:pStyle w:val="BodyText"/>
        <w:spacing w:line="273" w:lineRule="auto" w:before="13"/>
        <w:ind w:left="632" w:right="219" w:hanging="420"/>
        <w:jc w:val="both"/>
      </w:pPr>
      <w:r>
        <w:rPr>
          <w:spacing w:val="-2"/>
        </w:rPr>
        <w:t>三、若经我们重新核定该被保险人的保险费交费标准发生变更，您应自被保险人</w:t>
      </w:r>
      <w:r>
        <w:rPr>
          <w:spacing w:val="-6"/>
        </w:rPr>
        <w:t>职业、工种或环境变更之日起按照新的交费标准交纳保险费，我们承担的保险责任维持不变。</w:t>
      </w:r>
    </w:p>
    <w:p>
      <w:pPr>
        <w:spacing w:after="0" w:line="273" w:lineRule="auto"/>
        <w:jc w:val="both"/>
        <w:sectPr>
          <w:type w:val="continuous"/>
          <w:pgSz w:w="11910" w:h="16840"/>
          <w:pgMar w:top="300" w:bottom="280" w:left="720" w:right="720"/>
          <w:cols w:num="2" w:equalWidth="0">
            <w:col w:w="2680" w:space="40"/>
            <w:col w:w="7750"/>
          </w:cols>
        </w:sectPr>
      </w:pPr>
    </w:p>
    <w:p>
      <w:pPr>
        <w:pStyle w:val="BodyText"/>
        <w:spacing w:before="9"/>
        <w:rPr>
          <w:sz w:val="26"/>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2"/>
        <w:gridCol w:w="2032"/>
        <w:gridCol w:w="7537"/>
      </w:tblGrid>
      <w:tr>
        <w:trPr>
          <w:trHeight w:val="522" w:hRule="atLeast"/>
        </w:trPr>
        <w:tc>
          <w:tcPr>
            <w:tcW w:w="672" w:type="dxa"/>
            <w:tcBorders>
              <w:bottom w:val="single" w:sz="8" w:space="0" w:color="000000"/>
            </w:tcBorders>
          </w:tcPr>
          <w:p>
            <w:pPr>
              <w:pStyle w:val="TableParagraph"/>
              <w:spacing w:line="456" w:lineRule="exact"/>
              <w:ind w:left="107"/>
              <w:rPr>
                <w:rFonts w:ascii="Yu Gothic" w:hAnsi="Yu Gothic"/>
                <w:b/>
                <w:sz w:val="40"/>
              </w:rPr>
            </w:pPr>
            <w:r>
              <w:rPr>
                <w:rFonts w:ascii="Yu Gothic" w:hAnsi="Yu Gothic"/>
                <w:b/>
                <w:w w:val="89"/>
                <w:sz w:val="40"/>
              </w:rPr>
              <w:t>◉</w:t>
            </w:r>
          </w:p>
        </w:tc>
        <w:tc>
          <w:tcPr>
            <w:tcW w:w="2032" w:type="dxa"/>
            <w:tcBorders>
              <w:bottom w:val="single" w:sz="8" w:space="0" w:color="000000"/>
            </w:tcBorders>
          </w:tcPr>
          <w:p>
            <w:pPr>
              <w:pStyle w:val="TableParagraph"/>
              <w:spacing w:before="16"/>
              <w:ind w:left="207"/>
              <w:rPr>
                <w:b/>
                <w:sz w:val="24"/>
              </w:rPr>
            </w:pPr>
            <w:r>
              <w:rPr>
                <w:b/>
                <w:w w:val="95"/>
                <w:sz w:val="24"/>
              </w:rPr>
              <w:t>合同解除和变更</w:t>
            </w:r>
          </w:p>
        </w:tc>
        <w:tc>
          <w:tcPr>
            <w:tcW w:w="7537" w:type="dxa"/>
            <w:tcBorders>
              <w:bottom w:val="single" w:sz="8" w:space="0" w:color="000000"/>
            </w:tcBorders>
          </w:tcPr>
          <w:p>
            <w:pPr>
              <w:pStyle w:val="TableParagraph"/>
              <w:rPr>
                <w:rFonts w:ascii="Times New Roman"/>
                <w:sz w:val="20"/>
              </w:rPr>
            </w:pPr>
          </w:p>
        </w:tc>
      </w:tr>
      <w:tr>
        <w:trPr>
          <w:trHeight w:val="518" w:hRule="atLeast"/>
        </w:trPr>
        <w:tc>
          <w:tcPr>
            <w:tcW w:w="672" w:type="dxa"/>
            <w:tcBorders>
              <w:top w:val="single" w:sz="8" w:space="0" w:color="000000"/>
            </w:tcBorders>
          </w:tcPr>
          <w:p>
            <w:pPr>
              <w:pStyle w:val="TableParagraph"/>
              <w:spacing w:before="9"/>
              <w:rPr>
                <w:sz w:val="14"/>
              </w:rPr>
            </w:pPr>
          </w:p>
          <w:p>
            <w:pPr>
              <w:pStyle w:val="TableParagraph"/>
              <w:ind w:left="107"/>
              <w:rPr>
                <w:b/>
                <w:sz w:val="21"/>
              </w:rPr>
            </w:pPr>
            <w:r>
              <w:rPr>
                <w:b/>
                <w:sz w:val="21"/>
              </w:rPr>
              <w:t>6.1</w:t>
            </w:r>
          </w:p>
        </w:tc>
        <w:tc>
          <w:tcPr>
            <w:tcW w:w="2032" w:type="dxa"/>
            <w:tcBorders>
              <w:top w:val="single" w:sz="8" w:space="0" w:color="000000"/>
            </w:tcBorders>
          </w:tcPr>
          <w:p>
            <w:pPr>
              <w:pStyle w:val="TableParagraph"/>
              <w:spacing w:before="9"/>
              <w:rPr>
                <w:sz w:val="14"/>
              </w:rPr>
            </w:pPr>
          </w:p>
          <w:p>
            <w:pPr>
              <w:pStyle w:val="TableParagraph"/>
              <w:ind w:left="207"/>
              <w:rPr>
                <w:b/>
                <w:sz w:val="21"/>
              </w:rPr>
            </w:pPr>
            <w:r>
              <w:rPr>
                <w:b/>
                <w:w w:val="95"/>
                <w:sz w:val="21"/>
              </w:rPr>
              <w:t>解除合同的手续及</w:t>
            </w:r>
          </w:p>
        </w:tc>
        <w:tc>
          <w:tcPr>
            <w:tcW w:w="7537" w:type="dxa"/>
            <w:tcBorders>
              <w:top w:val="single" w:sz="8" w:space="0" w:color="000000"/>
            </w:tcBorders>
          </w:tcPr>
          <w:p>
            <w:pPr>
              <w:pStyle w:val="TableParagraph"/>
              <w:spacing w:before="9"/>
              <w:rPr>
                <w:sz w:val="14"/>
              </w:rPr>
            </w:pPr>
          </w:p>
          <w:p>
            <w:pPr>
              <w:pStyle w:val="TableParagraph"/>
              <w:ind w:left="136"/>
              <w:rPr>
                <w:sz w:val="21"/>
              </w:rPr>
            </w:pPr>
            <w:r>
              <w:rPr>
                <w:sz w:val="21"/>
              </w:rPr>
              <w:t>一、若您申请解除本合同，请填写解除合同申请书并向我们提供下列资料：</w:t>
            </w:r>
          </w:p>
        </w:tc>
      </w:tr>
      <w:tr>
        <w:trPr>
          <w:trHeight w:val="311" w:hRule="atLeast"/>
        </w:trPr>
        <w:tc>
          <w:tcPr>
            <w:tcW w:w="672" w:type="dxa"/>
          </w:tcPr>
          <w:p>
            <w:pPr>
              <w:pStyle w:val="TableParagraph"/>
              <w:rPr>
                <w:rFonts w:ascii="Times New Roman"/>
                <w:sz w:val="20"/>
              </w:rPr>
            </w:pPr>
          </w:p>
        </w:tc>
        <w:tc>
          <w:tcPr>
            <w:tcW w:w="2032" w:type="dxa"/>
          </w:tcPr>
          <w:p>
            <w:pPr>
              <w:pStyle w:val="TableParagraph"/>
              <w:spacing w:line="261" w:lineRule="exact"/>
              <w:ind w:left="207"/>
              <w:rPr>
                <w:b/>
                <w:sz w:val="21"/>
              </w:rPr>
            </w:pPr>
            <w:r>
              <w:rPr>
                <w:b/>
                <w:w w:val="95"/>
                <w:sz w:val="21"/>
              </w:rPr>
              <w:t>风险</w:t>
            </w:r>
          </w:p>
        </w:tc>
        <w:tc>
          <w:tcPr>
            <w:tcW w:w="7537" w:type="dxa"/>
          </w:tcPr>
          <w:p>
            <w:pPr>
              <w:pStyle w:val="TableParagraph"/>
              <w:spacing w:line="261" w:lineRule="exact"/>
              <w:ind w:left="463"/>
              <w:rPr>
                <w:sz w:val="21"/>
              </w:rPr>
            </w:pPr>
            <w:r>
              <w:rPr>
                <w:sz w:val="21"/>
              </w:rPr>
              <w:t>（一）保险合同；</w:t>
            </w:r>
          </w:p>
        </w:tc>
      </w:tr>
      <w:tr>
        <w:trPr>
          <w:trHeight w:val="260" w:hRule="atLeast"/>
        </w:trPr>
        <w:tc>
          <w:tcPr>
            <w:tcW w:w="672" w:type="dxa"/>
          </w:tcPr>
          <w:p>
            <w:pPr>
              <w:pStyle w:val="TableParagraph"/>
              <w:rPr>
                <w:rFonts w:ascii="Times New Roman"/>
                <w:sz w:val="18"/>
              </w:rPr>
            </w:pPr>
          </w:p>
        </w:tc>
        <w:tc>
          <w:tcPr>
            <w:tcW w:w="2032" w:type="dxa"/>
          </w:tcPr>
          <w:p>
            <w:pPr>
              <w:pStyle w:val="TableParagraph"/>
              <w:rPr>
                <w:rFonts w:ascii="Times New Roman"/>
                <w:sz w:val="18"/>
              </w:rPr>
            </w:pPr>
          </w:p>
        </w:tc>
        <w:tc>
          <w:tcPr>
            <w:tcW w:w="7537" w:type="dxa"/>
          </w:tcPr>
          <w:p>
            <w:pPr>
              <w:pStyle w:val="TableParagraph"/>
              <w:spacing w:line="241" w:lineRule="exact"/>
              <w:ind w:left="463"/>
              <w:rPr>
                <w:sz w:val="21"/>
              </w:rPr>
            </w:pPr>
            <w:r>
              <w:rPr>
                <w:sz w:val="21"/>
              </w:rPr>
              <w:t>（二）您的有效证明文件。</w:t>
            </w:r>
          </w:p>
        </w:tc>
      </w:tr>
    </w:tbl>
    <w:p>
      <w:pPr>
        <w:pStyle w:val="BodyText"/>
        <w:spacing w:line="273" w:lineRule="auto" w:before="37"/>
        <w:ind w:left="3373" w:right="217" w:hanging="420"/>
      </w:pPr>
      <w:r>
        <w:rPr>
          <w:spacing w:val="-7"/>
        </w:rPr>
        <w:t>二、自我们收到解除合同申请书时起，本合同终止。我们自收到解除合同申请书</w:t>
      </w:r>
      <w:r>
        <w:rPr>
          <w:spacing w:val="-21"/>
        </w:rPr>
        <w:t>之日起 </w:t>
      </w:r>
      <w:r>
        <w:rPr/>
        <w:t>30</w:t>
      </w:r>
      <w:r>
        <w:rPr>
          <w:spacing w:val="-8"/>
        </w:rPr>
        <w:t> 日内退还本合同的未满期净保费。</w:t>
      </w:r>
    </w:p>
    <w:p>
      <w:pPr>
        <w:pStyle w:val="BodyText"/>
        <w:spacing w:before="7"/>
        <w:ind w:left="2931"/>
      </w:pPr>
      <w:r>
        <w:rPr/>
        <w:t>三、您解除合同，会遭受一定损失。</w:t>
      </w:r>
    </w:p>
    <w:p>
      <w:pPr>
        <w:pStyle w:val="BodyText"/>
        <w:spacing w:before="1"/>
        <w:rPr>
          <w:sz w:val="20"/>
        </w:rPr>
      </w:pPr>
    </w:p>
    <w:p>
      <w:pPr>
        <w:pStyle w:val="ListParagraph"/>
        <w:numPr>
          <w:ilvl w:val="1"/>
          <w:numId w:val="10"/>
        </w:numPr>
        <w:tabs>
          <w:tab w:pos="993" w:val="left" w:leader="none"/>
        </w:tabs>
        <w:spacing w:line="273" w:lineRule="auto" w:before="0" w:after="0"/>
        <w:ind w:left="2931" w:right="219" w:hanging="2711"/>
        <w:jc w:val="both"/>
        <w:rPr>
          <w:sz w:val="21"/>
        </w:rPr>
      </w:pPr>
      <w:r>
        <w:rPr>
          <w:b/>
          <w:spacing w:val="1"/>
          <w:sz w:val="21"/>
        </w:rPr>
        <w:t>合同变更         </w:t>
      </w:r>
      <w:r>
        <w:rPr>
          <w:spacing w:val="-4"/>
          <w:sz w:val="21"/>
        </w:rPr>
        <w:t>本合同生效后，如您需变更本合同的内容，应当向我们提出变更合同的申请，在</w:t>
      </w:r>
      <w:r>
        <w:rPr>
          <w:spacing w:val="-7"/>
          <w:sz w:val="21"/>
        </w:rPr>
        <w:t>您与我们达成一致后，可以对合同约定事项进行变更，变更可以用在保险合同上批注、附贴批单的方式进行。</w:t>
      </w:r>
    </w:p>
    <w:p>
      <w:pPr>
        <w:pStyle w:val="BodyText"/>
        <w:spacing w:before="11"/>
        <w:rPr>
          <w:sz w:val="17"/>
        </w:rPr>
      </w:pPr>
    </w:p>
    <w:p>
      <w:pPr>
        <w:pStyle w:val="ListParagraph"/>
        <w:numPr>
          <w:ilvl w:val="1"/>
          <w:numId w:val="10"/>
        </w:numPr>
        <w:tabs>
          <w:tab w:pos="993" w:val="left" w:leader="none"/>
        </w:tabs>
        <w:spacing w:line="273" w:lineRule="auto" w:before="0" w:after="0"/>
        <w:ind w:left="2931" w:right="219" w:hanging="2711"/>
        <w:jc w:val="both"/>
        <w:rPr>
          <w:sz w:val="21"/>
        </w:rPr>
      </w:pPr>
      <w:r>
        <w:rPr>
          <w:b/>
          <w:spacing w:val="2"/>
          <w:sz w:val="21"/>
        </w:rPr>
        <w:t>联系方式变更     </w:t>
      </w:r>
      <w:r>
        <w:rPr>
          <w:spacing w:val="-4"/>
          <w:sz w:val="21"/>
        </w:rPr>
        <w:t>为了保障您的合法权益，您的住所、通讯地址或电话等联系方式变更时，请及时</w:t>
      </w:r>
      <w:r>
        <w:rPr>
          <w:spacing w:val="-6"/>
          <w:sz w:val="21"/>
        </w:rPr>
        <w:t>以书面形式或双方认可的其他形式通知我们。若您未以书面形式或双方认可的其</w:t>
      </w:r>
      <w:r>
        <w:rPr>
          <w:spacing w:val="-9"/>
          <w:sz w:val="21"/>
        </w:rPr>
        <w:t>他形式通知我们，我们按本合同载明的最后住所或通讯地址发送的有关通知，均视为已送达给您。</w:t>
      </w:r>
    </w:p>
    <w:p>
      <w:pPr>
        <w:pStyle w:val="Heading2"/>
        <w:tabs>
          <w:tab w:pos="992" w:val="left" w:leader="none"/>
        </w:tabs>
        <w:spacing w:before="133"/>
      </w:pPr>
      <w:r>
        <w:rPr/>
        <w:pict>
          <v:line style="position:absolute;mso-position-horizontal-relative:page;mso-position-vertical-relative:paragraph;z-index:1264;mso-wrap-distance-left:0;mso-wrap-distance-right:0" from="41.639999pt,44.17981pt" to="553.619999pt,44.17981pt" stroked="true" strokeweight=".95999pt" strokecolor="#000000">
            <v:stroke dashstyle="solid"/>
            <w10:wrap type="topAndBottom"/>
          </v:line>
        </w:pict>
      </w:r>
      <w:r>
        <w:rPr>
          <w:rFonts w:ascii="Yu Gothic" w:eastAsia="Yu Gothic" w:hint="eastAsia"/>
          <w:w w:val="135"/>
          <w:position w:val="-3"/>
          <w:sz w:val="40"/>
        </w:rPr>
        <w:t>0</w:t>
        <w:tab/>
      </w:r>
      <w:r>
        <w:rPr>
          <w:w w:val="95"/>
        </w:rPr>
        <w:t>明确说明与如实告知</w:t>
      </w:r>
    </w:p>
    <w:p>
      <w:pPr>
        <w:pStyle w:val="BodyText"/>
        <w:spacing w:before="10"/>
        <w:rPr>
          <w:b/>
          <w:sz w:val="9"/>
        </w:rPr>
      </w:pPr>
    </w:p>
    <w:p>
      <w:pPr>
        <w:pStyle w:val="ListParagraph"/>
        <w:numPr>
          <w:ilvl w:val="1"/>
          <w:numId w:val="11"/>
        </w:numPr>
        <w:tabs>
          <w:tab w:pos="991" w:val="left" w:leader="none"/>
          <w:tab w:pos="992" w:val="left" w:leader="none"/>
          <w:tab w:pos="2931" w:val="left" w:leader="none"/>
        </w:tabs>
        <w:spacing w:line="240" w:lineRule="auto" w:before="35" w:after="0"/>
        <w:ind w:left="991" w:right="0" w:hanging="771"/>
        <w:jc w:val="left"/>
        <w:rPr>
          <w:sz w:val="21"/>
        </w:rPr>
      </w:pPr>
      <w:r>
        <w:rPr>
          <w:b/>
          <w:sz w:val="21"/>
        </w:rPr>
        <w:t>明确说明</w:t>
        <w:tab/>
      </w:r>
      <w:r>
        <w:rPr>
          <w:sz w:val="21"/>
        </w:rPr>
        <w:t>一、订立本合同时，我们应向您说明本合同的内容。</w:t>
      </w:r>
    </w:p>
    <w:p>
      <w:pPr>
        <w:pStyle w:val="BodyText"/>
        <w:ind w:left="2931"/>
      </w:pPr>
      <w:r>
        <w:rPr/>
        <w:t>二、对保险条款中免除我们责任的条款，我们在订立合同时应当在投保单、保险</w:t>
      </w:r>
    </w:p>
    <w:p>
      <w:pPr>
        <w:spacing w:after="0"/>
        <w:sectPr>
          <w:type w:val="continuous"/>
          <w:pgSz w:w="11910" w:h="16840"/>
          <w:pgMar w:top="300" w:bottom="280" w:left="720" w:right="720"/>
        </w:sectPr>
      </w:pPr>
    </w:p>
    <w:p>
      <w:pPr>
        <w:pStyle w:val="BodyText"/>
        <w:spacing w:line="273" w:lineRule="auto" w:before="19"/>
        <w:ind w:left="3351" w:right="114"/>
      </w:pPr>
      <w:r>
        <w:rPr>
          <w:spacing w:val="-2"/>
        </w:rPr>
        <w:t>单或其他保险凭证上作出足以引起您注意的提示，并对该条款的内容以书面</w:t>
      </w:r>
      <w:r>
        <w:rPr>
          <w:spacing w:val="-11"/>
        </w:rPr>
        <w:t>或口头形式向您作出明确说明，未作提示或明确说明的，该条款不产生效力。</w:t>
      </w:r>
    </w:p>
    <w:p>
      <w:pPr>
        <w:pStyle w:val="BodyText"/>
        <w:spacing w:before="12"/>
        <w:rPr>
          <w:sz w:val="17"/>
        </w:rPr>
      </w:pPr>
    </w:p>
    <w:p>
      <w:pPr>
        <w:pStyle w:val="ListParagraph"/>
        <w:numPr>
          <w:ilvl w:val="1"/>
          <w:numId w:val="11"/>
        </w:numPr>
        <w:tabs>
          <w:tab w:pos="991" w:val="left" w:leader="none"/>
          <w:tab w:pos="992" w:val="left" w:leader="none"/>
          <w:tab w:pos="2931" w:val="left" w:leader="none"/>
        </w:tabs>
        <w:spacing w:line="240" w:lineRule="auto" w:before="0" w:after="0"/>
        <w:ind w:left="991" w:right="0" w:hanging="771"/>
        <w:jc w:val="left"/>
        <w:rPr>
          <w:sz w:val="21"/>
        </w:rPr>
      </w:pPr>
      <w:r>
        <w:rPr>
          <w:b/>
          <w:sz w:val="21"/>
        </w:rPr>
        <w:t>如实告知</w:t>
        <w:tab/>
      </w:r>
      <w:r>
        <w:rPr>
          <w:sz w:val="21"/>
        </w:rPr>
        <w:t>一、我们就您和被保险人的有关情况提出询问的，您应当如实告知。</w:t>
      </w:r>
    </w:p>
    <w:p>
      <w:pPr>
        <w:pStyle w:val="BodyText"/>
        <w:spacing w:line="273" w:lineRule="auto" w:before="37"/>
        <w:ind w:left="3351" w:right="219" w:hanging="420"/>
        <w:jc w:val="both"/>
      </w:pPr>
      <w:r>
        <w:rPr>
          <w:spacing w:val="-2"/>
        </w:rPr>
        <w:t>二、若您故意或因重大过失未履行前款规定的如实告知义务，足以影响我们决定是否同意承保或提高保险费率的，我们有权解除本合同。</w:t>
      </w:r>
    </w:p>
    <w:p>
      <w:pPr>
        <w:pStyle w:val="Heading3"/>
        <w:spacing w:line="259" w:lineRule="auto"/>
        <w:ind w:left="3351" w:right="220" w:hanging="421"/>
        <w:jc w:val="both"/>
        <w:rPr>
          <w:b w:val="0"/>
          <w:i w:val="0"/>
          <w:sz w:val="21"/>
        </w:rPr>
      </w:pPr>
      <w:r>
        <w:rPr>
          <w:b w:val="0"/>
          <w:i w:val="0"/>
          <w:w w:val="95"/>
          <w:sz w:val="21"/>
        </w:rPr>
        <w:t>三、</w:t>
      </w:r>
      <w:r>
        <w:rPr>
          <w:spacing w:val="-4"/>
          <w:w w:val="95"/>
        </w:rPr>
        <w:t>若您故意不履行如实告知义务，对于本合同解除前发生的保险事故，我们不承担给付保险金的责任，</w:t>
      </w:r>
      <w:r>
        <w:rPr>
          <w:b w:val="0"/>
          <w:i w:val="0"/>
          <w:spacing w:val="-4"/>
          <w:w w:val="95"/>
          <w:sz w:val="21"/>
        </w:rPr>
        <w:t>并不退还保险费。</w:t>
      </w:r>
    </w:p>
    <w:p>
      <w:pPr>
        <w:spacing w:line="264" w:lineRule="auto" w:before="10"/>
        <w:ind w:left="3351" w:right="220" w:hanging="420"/>
        <w:jc w:val="both"/>
        <w:rPr>
          <w:sz w:val="21"/>
        </w:rPr>
      </w:pPr>
      <w:r>
        <w:rPr>
          <w:w w:val="95"/>
          <w:sz w:val="21"/>
        </w:rPr>
        <w:t>四、</w:t>
      </w:r>
      <w:r>
        <w:rPr>
          <w:b/>
          <w:i/>
          <w:spacing w:val="-3"/>
          <w:w w:val="95"/>
          <w:sz w:val="22"/>
        </w:rPr>
        <w:t>若您因重大过失未履行如实告知义务，对保险事故的发生有严重影响的，对于本合同解除前发生的保险事故</w:t>
      </w:r>
      <w:r>
        <w:rPr>
          <w:spacing w:val="-8"/>
          <w:w w:val="95"/>
          <w:sz w:val="21"/>
        </w:rPr>
        <w:t>，我们不承担给付保险金的责任，但应当退 </w:t>
      </w:r>
      <w:r>
        <w:rPr>
          <w:spacing w:val="-8"/>
          <w:sz w:val="21"/>
        </w:rPr>
        <w:t>还保险费。</w:t>
      </w:r>
    </w:p>
    <w:p>
      <w:pPr>
        <w:pStyle w:val="BodyText"/>
        <w:spacing w:line="273" w:lineRule="auto" w:before="15"/>
        <w:ind w:left="3351" w:right="219" w:hanging="420"/>
        <w:jc w:val="both"/>
      </w:pPr>
      <w:r>
        <w:rPr>
          <w:spacing w:val="-2"/>
        </w:rPr>
        <w:t>五、我们在合同订立时已经知道您未如实告知的情况的，我们不得解除合同；发生保险事故的，我们承担给付保险金的责任。</w:t>
      </w:r>
    </w:p>
    <w:p>
      <w:pPr>
        <w:pStyle w:val="BodyText"/>
        <w:spacing w:before="2"/>
        <w:rPr>
          <w:sz w:val="15"/>
        </w:rPr>
      </w:pPr>
    </w:p>
    <w:p>
      <w:pPr>
        <w:spacing w:after="0"/>
        <w:rPr>
          <w:sz w:val="15"/>
        </w:rPr>
        <w:sectPr>
          <w:pgSz w:w="11910" w:h="16840"/>
          <w:pgMar w:header="0" w:footer="442" w:top="1100" w:bottom="640" w:left="720" w:right="720"/>
        </w:sectPr>
      </w:pPr>
    </w:p>
    <w:p>
      <w:pPr>
        <w:pStyle w:val="Heading5"/>
        <w:numPr>
          <w:ilvl w:val="1"/>
          <w:numId w:val="11"/>
        </w:numPr>
        <w:tabs>
          <w:tab w:pos="992" w:val="left" w:leader="none"/>
          <w:tab w:pos="993" w:val="left" w:leader="none"/>
        </w:tabs>
        <w:spacing w:line="240" w:lineRule="auto" w:before="35" w:after="0"/>
        <w:ind w:left="992" w:right="0" w:hanging="772"/>
        <w:jc w:val="left"/>
        <w:rPr>
          <w:rFonts w:ascii="宋体" w:eastAsia="宋体" w:hint="eastAsia"/>
        </w:rPr>
      </w:pPr>
      <w:r>
        <w:rPr>
          <w:rFonts w:ascii="宋体" w:eastAsia="宋体" w:hint="eastAsia"/>
          <w:w w:val="95"/>
        </w:rPr>
        <w:t>本公司合同解除权</w:t>
      </w:r>
    </w:p>
    <w:p>
      <w:pPr>
        <w:spacing w:before="36"/>
        <w:ind w:left="984" w:right="1044" w:firstLine="0"/>
        <w:jc w:val="center"/>
        <w:rPr>
          <w:b/>
          <w:sz w:val="21"/>
        </w:rPr>
      </w:pPr>
      <w:r>
        <w:rPr>
          <w:b/>
          <w:w w:val="95"/>
          <w:sz w:val="21"/>
        </w:rPr>
        <w:t>的限制</w:t>
      </w:r>
    </w:p>
    <w:p>
      <w:pPr>
        <w:pStyle w:val="BodyText"/>
        <w:spacing w:line="273" w:lineRule="auto" w:before="35"/>
        <w:ind w:left="212" w:right="287"/>
      </w:pPr>
      <w:r>
        <w:rPr/>
        <w:br w:type="column"/>
      </w:r>
      <w:r>
        <w:rPr>
          <w:spacing w:val="-3"/>
        </w:rPr>
        <w:t>前款约定的合同解除权，自我们知道有解除事由之日起，超过 </w:t>
      </w:r>
      <w:r>
        <w:rPr/>
        <w:t>30</w:t>
      </w:r>
      <w:r>
        <w:rPr>
          <w:spacing w:val="-11"/>
        </w:rPr>
        <w:t> 日不行使而消灭。</w:t>
      </w:r>
    </w:p>
    <w:p>
      <w:pPr>
        <w:spacing w:after="0" w:line="273" w:lineRule="auto"/>
        <w:sectPr>
          <w:type w:val="continuous"/>
          <w:pgSz w:w="11910" w:h="16840"/>
          <w:pgMar w:top="300" w:bottom="280" w:left="720" w:right="720"/>
          <w:cols w:num="2" w:equalWidth="0">
            <w:col w:w="2680" w:space="40"/>
            <w:col w:w="7750"/>
          </w:cols>
        </w:sectPr>
      </w:pPr>
    </w:p>
    <w:p>
      <w:pPr>
        <w:pStyle w:val="BodyText"/>
        <w:spacing w:before="1"/>
        <w:rPr>
          <w:sz w:val="19"/>
        </w:rPr>
      </w:pPr>
    </w:p>
    <w:p>
      <w:pPr>
        <w:pStyle w:val="Heading2"/>
        <w:tabs>
          <w:tab w:pos="992" w:val="left" w:leader="none"/>
        </w:tabs>
        <w:spacing w:line="556" w:lineRule="exact"/>
      </w:pPr>
      <w:r>
        <w:rPr/>
        <w:pict>
          <v:line style="position:absolute;mso-position-horizontal-relative:page;mso-position-vertical-relative:paragraph;z-index:1288;mso-wrap-distance-left:0;mso-wrap-distance-right:0" from="41.639999pt,31.638308pt" to="553.619999pt,31.638308pt" stroked="true" strokeweight=".95999pt" strokecolor="#000000">
            <v:stroke dashstyle="solid"/>
            <w10:wrap type="topAndBottom"/>
          </v:line>
        </w:pict>
      </w:r>
      <w:r>
        <w:rPr>
          <w:rFonts w:ascii="Yu Gothic" w:hAnsi="Yu Gothic" w:eastAsia="Yu Gothic" w:hint="eastAsia"/>
          <w:w w:val="135"/>
          <w:position w:val="-3"/>
          <w:sz w:val="40"/>
        </w:rPr>
        <w:t>®</w:t>
        <w:tab/>
      </w:r>
      <w:r>
        <w:rPr>
          <w:w w:val="95"/>
        </w:rPr>
        <w:t>其他需要关注的事项</w:t>
      </w:r>
    </w:p>
    <w:p>
      <w:pPr>
        <w:pStyle w:val="BodyText"/>
        <w:spacing w:before="11"/>
        <w:rPr>
          <w:b/>
          <w:sz w:val="9"/>
        </w:rPr>
      </w:pPr>
    </w:p>
    <w:p>
      <w:pPr>
        <w:pStyle w:val="ListParagraph"/>
        <w:numPr>
          <w:ilvl w:val="1"/>
          <w:numId w:val="12"/>
        </w:numPr>
        <w:tabs>
          <w:tab w:pos="991" w:val="left" w:leader="none"/>
          <w:tab w:pos="992" w:val="left" w:leader="none"/>
          <w:tab w:pos="2931" w:val="left" w:leader="none"/>
        </w:tabs>
        <w:spacing w:line="273" w:lineRule="auto" w:before="35" w:after="0"/>
        <w:ind w:left="2931" w:right="219" w:hanging="2711"/>
        <w:jc w:val="left"/>
        <w:rPr>
          <w:sz w:val="21"/>
        </w:rPr>
      </w:pPr>
      <w:r>
        <w:rPr>
          <w:b/>
          <w:sz w:val="21"/>
        </w:rPr>
        <w:t>年龄错误</w:t>
        <w:tab/>
      </w:r>
      <w:r>
        <w:rPr>
          <w:sz w:val="21"/>
        </w:rPr>
        <w:t>您在申请投保时</w:t>
      </w:r>
      <w:r>
        <w:rPr>
          <w:spacing w:val="-39"/>
          <w:sz w:val="21"/>
        </w:rPr>
        <w:t>，</w:t>
      </w:r>
      <w:r>
        <w:rPr>
          <w:sz w:val="21"/>
        </w:rPr>
        <w:t>应将与有效身份证件相符的被保险人的出生日期在投保单上填明，若发生错误按照下列方式办理：</w:t>
      </w:r>
    </w:p>
    <w:p>
      <w:pPr>
        <w:pStyle w:val="BodyText"/>
        <w:spacing w:line="273" w:lineRule="auto" w:before="7"/>
        <w:ind w:left="3386" w:right="113" w:hanging="455"/>
        <w:jc w:val="both"/>
      </w:pPr>
      <w:r>
        <w:rPr>
          <w:spacing w:val="-13"/>
        </w:rPr>
        <w:t>(一) 您申报的被保险人年龄不真实，并且其真实年龄不符合本合同约定的投保年</w:t>
      </w:r>
      <w:r>
        <w:rPr>
          <w:spacing w:val="-12"/>
        </w:rPr>
        <w:t>龄限制的，在保险事故发生之前我们有权解除合同，并向您退还本合同的未</w:t>
      </w:r>
      <w:r>
        <w:rPr>
          <w:spacing w:val="-13"/>
        </w:rPr>
        <w:t>满期净保费。我们行使合同解除权适用“本公司合同解除权的限制”的约定。</w:t>
      </w:r>
    </w:p>
    <w:p>
      <w:pPr>
        <w:pStyle w:val="BodyText"/>
        <w:spacing w:line="273" w:lineRule="auto" w:before="7"/>
        <w:ind w:left="3386" w:right="217" w:hanging="455"/>
        <w:jc w:val="both"/>
      </w:pPr>
      <w:r>
        <w:rPr>
          <w:spacing w:val="-12"/>
        </w:rPr>
        <w:t>(二) 您申报的被保险人年龄不真实，致使您实交保险费少于应交保险费的，我们</w:t>
      </w:r>
      <w:r>
        <w:rPr>
          <w:spacing w:val="-15"/>
        </w:rPr>
        <w:t>有权更正并要求您补交保险费。若已经发生保险事故，我们在给付保险金时按实交保险费与应交保险费的比例给付。</w:t>
      </w:r>
    </w:p>
    <w:p>
      <w:pPr>
        <w:pStyle w:val="BodyText"/>
        <w:spacing w:line="273" w:lineRule="auto" w:before="7"/>
        <w:ind w:left="3386" w:right="217" w:hanging="455"/>
        <w:jc w:val="both"/>
      </w:pPr>
      <w:r>
        <w:rPr>
          <w:spacing w:val="-12"/>
        </w:rPr>
        <w:t>(三) 您申报的被保险人年龄不真实，致使您实交保险费多于应交保险费的，我们会将多收的保险费退还给您。</w:t>
      </w:r>
    </w:p>
    <w:p>
      <w:pPr>
        <w:pStyle w:val="BodyText"/>
        <w:spacing w:before="12"/>
        <w:rPr>
          <w:sz w:val="17"/>
        </w:rPr>
      </w:pPr>
    </w:p>
    <w:p>
      <w:pPr>
        <w:pStyle w:val="ListParagraph"/>
        <w:numPr>
          <w:ilvl w:val="1"/>
          <w:numId w:val="12"/>
        </w:numPr>
        <w:tabs>
          <w:tab w:pos="991" w:val="left" w:leader="none"/>
          <w:tab w:pos="992" w:val="left" w:leader="none"/>
          <w:tab w:pos="2931" w:val="left" w:leader="none"/>
        </w:tabs>
        <w:spacing w:line="273" w:lineRule="auto" w:before="0" w:after="0"/>
        <w:ind w:left="2931" w:right="219" w:hanging="2711"/>
        <w:jc w:val="left"/>
        <w:rPr>
          <w:sz w:val="21"/>
        </w:rPr>
      </w:pPr>
      <w:r>
        <w:rPr>
          <w:b/>
          <w:sz w:val="21"/>
        </w:rPr>
        <w:t>争议处理</w:t>
        <w:tab/>
      </w:r>
      <w:r>
        <w:rPr>
          <w:sz w:val="21"/>
        </w:rPr>
        <w:t>在本合同履行过程中发生任何争议</w:t>
      </w:r>
      <w:r>
        <w:rPr>
          <w:spacing w:val="-39"/>
          <w:sz w:val="21"/>
        </w:rPr>
        <w:t>，</w:t>
      </w:r>
      <w:r>
        <w:rPr>
          <w:sz w:val="21"/>
        </w:rPr>
        <w:t>当事人应根据本合同约定选择下列两种方式之一予以解决：</w:t>
      </w:r>
    </w:p>
    <w:p>
      <w:pPr>
        <w:pStyle w:val="BodyText"/>
        <w:spacing w:line="273" w:lineRule="auto" w:before="7"/>
        <w:ind w:left="3390" w:right="217" w:hanging="459"/>
        <w:jc w:val="both"/>
      </w:pPr>
      <w:r>
        <w:rPr>
          <w:spacing w:val="-13"/>
        </w:rPr>
        <w:t>(一) 因履行本合同发生的争议，由当事人协商解决，协商不成的，提交双方共同选定的仲裁委员会，按其当时有效的仲裁规则仲裁解决。</w:t>
      </w:r>
    </w:p>
    <w:p>
      <w:pPr>
        <w:pStyle w:val="BodyText"/>
        <w:spacing w:line="273" w:lineRule="auto" w:before="7"/>
        <w:ind w:left="3390" w:right="217" w:hanging="459"/>
        <w:jc w:val="both"/>
      </w:pPr>
      <w:r>
        <w:rPr>
          <w:spacing w:val="-13"/>
        </w:rPr>
        <w:t>(二) 因履行本合同发生的争议，由当事人协商解决，协商不成的，依法向本合同签发地有管辖权的人民法院起诉。</w:t>
      </w:r>
    </w:p>
    <w:p>
      <w:pPr>
        <w:pStyle w:val="BodyText"/>
        <w:spacing w:before="1"/>
        <w:rPr>
          <w:sz w:val="19"/>
        </w:rPr>
      </w:pPr>
    </w:p>
    <w:p>
      <w:pPr>
        <w:pStyle w:val="Heading2"/>
        <w:numPr>
          <w:ilvl w:val="0"/>
          <w:numId w:val="13"/>
        </w:numPr>
        <w:tabs>
          <w:tab w:pos="992" w:val="left" w:leader="none"/>
          <w:tab w:pos="993" w:val="left" w:leader="none"/>
        </w:tabs>
        <w:spacing w:line="557" w:lineRule="exact" w:before="0" w:after="0"/>
        <w:ind w:left="992" w:right="0" w:hanging="772"/>
        <w:jc w:val="left"/>
      </w:pPr>
      <w:r>
        <w:rPr/>
        <w:pict>
          <v:line style="position:absolute;mso-position-horizontal-relative:page;mso-position-vertical-relative:paragraph;z-index:1312;mso-wrap-distance-left:0;mso-wrap-distance-right:0" from="41.639999pt,31.670063pt" to="553.619999pt,31.670063pt" stroked="true" strokeweight=".95999pt" strokecolor="#000000">
            <v:stroke dashstyle="solid"/>
            <w10:wrap type="topAndBottom"/>
          </v:line>
        </w:pict>
      </w:r>
      <w:r>
        <w:rPr/>
        <w:t>释义</w:t>
      </w:r>
    </w:p>
    <w:p>
      <w:pPr>
        <w:pStyle w:val="BodyText"/>
        <w:spacing w:before="10"/>
        <w:rPr>
          <w:b/>
          <w:sz w:val="9"/>
        </w:rPr>
      </w:pPr>
    </w:p>
    <w:p>
      <w:pPr>
        <w:pStyle w:val="ListParagraph"/>
        <w:numPr>
          <w:ilvl w:val="1"/>
          <w:numId w:val="14"/>
        </w:numPr>
        <w:tabs>
          <w:tab w:pos="992" w:val="left" w:leader="none"/>
          <w:tab w:pos="993" w:val="left" w:leader="none"/>
          <w:tab w:pos="2931" w:val="left" w:leader="none"/>
        </w:tabs>
        <w:spacing w:line="273" w:lineRule="auto" w:before="35" w:after="0"/>
        <w:ind w:left="2931" w:right="181" w:hanging="2711"/>
        <w:jc w:val="left"/>
        <w:rPr>
          <w:sz w:val="21"/>
        </w:rPr>
      </w:pPr>
      <w:r>
        <w:rPr>
          <w:b/>
          <w:sz w:val="21"/>
        </w:rPr>
        <w:t>周岁</w:t>
        <w:tab/>
      </w:r>
      <w:r>
        <w:rPr>
          <w:spacing w:val="-1"/>
          <w:sz w:val="21"/>
        </w:rPr>
        <w:t>指按法定身份证明文件中记载的出生日期计算的年龄，自出生之日起为零周岁，</w:t>
      </w:r>
      <w:r>
        <w:rPr>
          <w:sz w:val="21"/>
        </w:rPr>
        <w:t>每经过一年增加一岁，不足一年的不计。</w:t>
      </w:r>
    </w:p>
    <w:p>
      <w:pPr>
        <w:pStyle w:val="BodyText"/>
        <w:spacing w:before="1"/>
        <w:rPr>
          <w:sz w:val="19"/>
        </w:rPr>
      </w:pPr>
    </w:p>
    <w:p>
      <w:pPr>
        <w:pStyle w:val="ListParagraph"/>
        <w:numPr>
          <w:ilvl w:val="1"/>
          <w:numId w:val="14"/>
        </w:numPr>
        <w:tabs>
          <w:tab w:pos="992" w:val="left" w:leader="none"/>
          <w:tab w:pos="993" w:val="left" w:leader="none"/>
          <w:tab w:pos="2931" w:val="left" w:leader="none"/>
        </w:tabs>
        <w:spacing w:line="240" w:lineRule="auto" w:before="0" w:after="0"/>
        <w:ind w:left="992" w:right="0" w:hanging="772"/>
        <w:jc w:val="left"/>
        <w:rPr>
          <w:sz w:val="21"/>
        </w:rPr>
      </w:pPr>
      <w:r>
        <w:rPr>
          <w:b/>
          <w:sz w:val="21"/>
        </w:rPr>
        <w:t>意外伤害</w:t>
        <w:tab/>
      </w:r>
      <w:r>
        <w:rPr>
          <w:sz w:val="21"/>
        </w:rPr>
        <w:t>指遭受外来的</w:t>
      </w:r>
      <w:r>
        <w:rPr>
          <w:spacing w:val="-49"/>
          <w:sz w:val="21"/>
        </w:rPr>
        <w:t>、</w:t>
      </w:r>
      <w:r>
        <w:rPr>
          <w:sz w:val="21"/>
        </w:rPr>
        <w:t>突发的</w:t>
      </w:r>
      <w:r>
        <w:rPr>
          <w:spacing w:val="-47"/>
          <w:sz w:val="21"/>
        </w:rPr>
        <w:t>、</w:t>
      </w:r>
      <w:r>
        <w:rPr>
          <w:sz w:val="21"/>
        </w:rPr>
        <w:t>非本意的</w:t>
      </w:r>
      <w:r>
        <w:rPr>
          <w:spacing w:val="-49"/>
          <w:sz w:val="21"/>
        </w:rPr>
        <w:t>、</w:t>
      </w:r>
      <w:r>
        <w:rPr>
          <w:sz w:val="21"/>
        </w:rPr>
        <w:t>非疾病的客观事件直接致使身体受到的伤害。</w:t>
      </w:r>
    </w:p>
    <w:p>
      <w:pPr>
        <w:pStyle w:val="BodyText"/>
        <w:spacing w:before="12"/>
        <w:rPr>
          <w:sz w:val="15"/>
        </w:rPr>
      </w:pPr>
    </w:p>
    <w:p>
      <w:pPr>
        <w:spacing w:after="0"/>
        <w:rPr>
          <w:sz w:val="15"/>
        </w:rPr>
        <w:sectPr>
          <w:type w:val="continuous"/>
          <w:pgSz w:w="11910" w:h="16840"/>
          <w:pgMar w:top="300" w:bottom="280" w:left="720" w:right="720"/>
        </w:sectPr>
      </w:pPr>
    </w:p>
    <w:p>
      <w:pPr>
        <w:pStyle w:val="Heading5"/>
        <w:numPr>
          <w:ilvl w:val="1"/>
          <w:numId w:val="14"/>
        </w:numPr>
        <w:tabs>
          <w:tab w:pos="992" w:val="left" w:leader="none"/>
          <w:tab w:pos="993" w:val="left" w:leader="none"/>
        </w:tabs>
        <w:spacing w:line="273" w:lineRule="auto" w:before="55" w:after="0"/>
        <w:ind w:left="992" w:right="0" w:hanging="772"/>
        <w:jc w:val="left"/>
        <w:rPr>
          <w:rFonts w:ascii="宋体" w:eastAsia="宋体" w:hint="eastAsia"/>
        </w:rPr>
      </w:pPr>
      <w:r>
        <w:rPr>
          <w:rFonts w:ascii="宋体" w:eastAsia="宋体" w:hint="eastAsia"/>
        </w:rPr>
        <w:t>初次患本合同所列</w:t>
      </w:r>
      <w:r>
        <w:rPr>
          <w:rFonts w:ascii="宋体" w:eastAsia="宋体" w:hint="eastAsia"/>
          <w:w w:val="95"/>
        </w:rPr>
        <w:t>的重大疾病</w:t>
      </w:r>
    </w:p>
    <w:p>
      <w:pPr>
        <w:pStyle w:val="BodyText"/>
        <w:spacing w:line="274" w:lineRule="exact" w:before="35"/>
        <w:ind w:left="212"/>
      </w:pPr>
      <w:r>
        <w:rPr/>
        <w:br w:type="column"/>
      </w:r>
      <w:r>
        <w:rPr/>
        <w:t>指被保险人患同时符合以下条件的重大疾病：</w:t>
      </w:r>
    </w:p>
    <w:p>
      <w:pPr>
        <w:pStyle w:val="BodyText"/>
        <w:spacing w:line="272" w:lineRule="exact" w:before="0"/>
        <w:ind w:left="212"/>
      </w:pPr>
      <w:r>
        <w:rPr/>
        <w:t>（1）被保险人自出生后首次出现该重大疾病之症状体征；</w:t>
      </w:r>
    </w:p>
    <w:p>
      <w:pPr>
        <w:pStyle w:val="BodyText"/>
        <w:spacing w:line="274" w:lineRule="exact" w:before="0"/>
        <w:ind w:left="212"/>
      </w:pPr>
      <w:r>
        <w:rPr/>
        <w:t>（2）被保险人在本合同有效期间内首次出现该重大疾病之症状体征并被确诊患</w:t>
      </w:r>
    </w:p>
    <w:p>
      <w:pPr>
        <w:spacing w:after="0" w:line="274" w:lineRule="exact"/>
        <w:sectPr>
          <w:type w:val="continuous"/>
          <w:pgSz w:w="11910" w:h="16840"/>
          <w:pgMar w:top="300" w:bottom="280" w:left="720" w:right="720"/>
          <w:cols w:num="2" w:equalWidth="0">
            <w:col w:w="2680" w:space="40"/>
            <w:col w:w="7750"/>
          </w:cols>
        </w:sectPr>
      </w:pPr>
    </w:p>
    <w:p>
      <w:pPr>
        <w:pStyle w:val="BodyText"/>
        <w:spacing w:line="274" w:lineRule="exact" w:before="18"/>
        <w:ind w:left="3337"/>
      </w:pPr>
      <w:r>
        <w:rPr/>
        <w:t>该重大疾病；</w:t>
      </w:r>
    </w:p>
    <w:p>
      <w:pPr>
        <w:pStyle w:val="BodyText"/>
        <w:spacing w:line="272" w:lineRule="exact" w:before="0"/>
        <w:ind w:left="2811"/>
      </w:pPr>
      <w:r>
        <w:rPr/>
        <w:t>（3）该重大疾病之症状体征符合本合同的定义；</w:t>
      </w:r>
    </w:p>
    <w:p>
      <w:pPr>
        <w:pStyle w:val="BodyText"/>
        <w:spacing w:line="274" w:lineRule="exact" w:before="0"/>
        <w:ind w:left="2811"/>
      </w:pPr>
      <w:r>
        <w:rPr/>
        <w:t>（4）该重大疾病已在本合同中列明。</w:t>
      </w:r>
    </w:p>
    <w:p>
      <w:pPr>
        <w:spacing w:line="259" w:lineRule="auto" w:before="5"/>
        <w:ind w:left="2811" w:right="364" w:firstLine="0"/>
        <w:jc w:val="left"/>
        <w:rPr>
          <w:b/>
          <w:i/>
          <w:sz w:val="22"/>
        </w:rPr>
      </w:pPr>
      <w:r>
        <w:rPr>
          <w:b/>
          <w:i/>
          <w:w w:val="95"/>
          <w:sz w:val="22"/>
        </w:rPr>
        <w:t>对于被保险人在本合同生效日前出现的本合同所列的重大疾病之症状体征或者所患的重大疾病，我们不承担给付保险金责任。</w:t>
      </w:r>
    </w:p>
    <w:p>
      <w:pPr>
        <w:pStyle w:val="BodyText"/>
        <w:spacing w:before="8"/>
        <w:rPr>
          <w:b/>
          <w:i/>
          <w:sz w:val="18"/>
        </w:rPr>
      </w:pPr>
    </w:p>
    <w:p>
      <w:pPr>
        <w:pStyle w:val="ListParagraph"/>
        <w:numPr>
          <w:ilvl w:val="1"/>
          <w:numId w:val="14"/>
        </w:numPr>
        <w:tabs>
          <w:tab w:pos="872" w:val="left" w:leader="none"/>
          <w:tab w:pos="873" w:val="left" w:leader="none"/>
          <w:tab w:pos="2811" w:val="left" w:leader="none"/>
        </w:tabs>
        <w:spacing w:line="273" w:lineRule="auto" w:before="1" w:after="0"/>
        <w:ind w:left="2811" w:right="218" w:hanging="2711"/>
        <w:jc w:val="left"/>
        <w:rPr>
          <w:sz w:val="21"/>
        </w:rPr>
      </w:pPr>
      <w:r>
        <w:rPr>
          <w:b/>
          <w:sz w:val="21"/>
        </w:rPr>
        <w:t>重大疾病</w:t>
        <w:tab/>
      </w:r>
      <w:r>
        <w:rPr>
          <w:spacing w:val="2"/>
          <w:sz w:val="21"/>
        </w:rPr>
        <w:t>指被保</w:t>
      </w:r>
      <w:r>
        <w:rPr>
          <w:spacing w:val="5"/>
          <w:sz w:val="21"/>
        </w:rPr>
        <w:t>险人</w:t>
      </w:r>
      <w:r>
        <w:rPr>
          <w:spacing w:val="2"/>
          <w:sz w:val="21"/>
        </w:rPr>
        <w:t>发生符</w:t>
      </w:r>
      <w:r>
        <w:rPr>
          <w:spacing w:val="5"/>
          <w:sz w:val="21"/>
        </w:rPr>
        <w:t>合中</w:t>
      </w:r>
      <w:r>
        <w:rPr>
          <w:spacing w:val="2"/>
          <w:sz w:val="21"/>
        </w:rPr>
        <w:t>国保险</w:t>
      </w:r>
      <w:r>
        <w:rPr>
          <w:spacing w:val="5"/>
          <w:sz w:val="21"/>
        </w:rPr>
        <w:t>行业</w:t>
      </w:r>
      <w:r>
        <w:rPr>
          <w:spacing w:val="2"/>
          <w:sz w:val="21"/>
        </w:rPr>
        <w:t>协会与</w:t>
      </w:r>
      <w:r>
        <w:rPr>
          <w:spacing w:val="5"/>
          <w:sz w:val="21"/>
        </w:rPr>
        <w:t>中国</w:t>
      </w:r>
      <w:r>
        <w:rPr>
          <w:spacing w:val="2"/>
          <w:sz w:val="21"/>
        </w:rPr>
        <w:t>医师协</w:t>
      </w:r>
      <w:r>
        <w:rPr>
          <w:spacing w:val="5"/>
          <w:sz w:val="21"/>
        </w:rPr>
        <w:t>会共</w:t>
      </w:r>
      <w:r>
        <w:rPr>
          <w:spacing w:val="2"/>
          <w:sz w:val="21"/>
        </w:rPr>
        <w:t>同制定</w:t>
      </w:r>
      <w:r>
        <w:rPr>
          <w:spacing w:val="5"/>
          <w:sz w:val="21"/>
        </w:rPr>
        <w:t>的重</w:t>
      </w:r>
      <w:r>
        <w:rPr>
          <w:spacing w:val="2"/>
          <w:sz w:val="21"/>
        </w:rPr>
        <w:t>大疾</w:t>
      </w:r>
      <w:r>
        <w:rPr>
          <w:sz w:val="21"/>
        </w:rPr>
        <w:t>病保 险的疾病定义，应当由专科医生明确诊断。</w:t>
      </w:r>
    </w:p>
    <w:p>
      <w:pPr>
        <w:pStyle w:val="BodyText"/>
        <w:spacing w:before="11"/>
        <w:rPr>
          <w:sz w:val="13"/>
        </w:rPr>
      </w:pPr>
    </w:p>
    <w:p>
      <w:pPr>
        <w:pStyle w:val="ListParagraph"/>
        <w:numPr>
          <w:ilvl w:val="2"/>
          <w:numId w:val="14"/>
        </w:numPr>
        <w:tabs>
          <w:tab w:pos="1303" w:val="left" w:leader="none"/>
          <w:tab w:pos="1304" w:val="left" w:leader="none"/>
          <w:tab w:pos="2811" w:val="left" w:leader="none"/>
        </w:tabs>
        <w:spacing w:line="256" w:lineRule="auto" w:before="0" w:after="0"/>
        <w:ind w:left="2811" w:right="114" w:hanging="1928"/>
        <w:jc w:val="left"/>
        <w:rPr>
          <w:b/>
          <w:i/>
          <w:sz w:val="22"/>
        </w:rPr>
      </w:pPr>
      <w:r>
        <w:rPr>
          <w:rFonts w:ascii="Microsoft JhengHei" w:eastAsia="Microsoft JhengHei" w:hint="eastAsia"/>
          <w:b/>
          <w:sz w:val="21"/>
        </w:rPr>
        <w:t>恶性肿瘤</w:t>
        <w:tab/>
      </w:r>
      <w:r>
        <w:rPr>
          <w:position w:val="1"/>
          <w:sz w:val="21"/>
        </w:rPr>
        <w:t>指恶性细胞不受控制的进行性增长和扩散</w:t>
      </w:r>
      <w:r>
        <w:rPr>
          <w:spacing w:val="-20"/>
          <w:position w:val="1"/>
          <w:sz w:val="21"/>
        </w:rPr>
        <w:t>，</w:t>
      </w:r>
      <w:r>
        <w:rPr>
          <w:position w:val="1"/>
          <w:sz w:val="21"/>
        </w:rPr>
        <w:t>浸润和破坏周围正常组织</w:t>
      </w:r>
      <w:r>
        <w:rPr>
          <w:spacing w:val="-20"/>
          <w:position w:val="1"/>
          <w:sz w:val="21"/>
        </w:rPr>
        <w:t>，</w:t>
      </w:r>
      <w:r>
        <w:rPr>
          <w:position w:val="1"/>
          <w:sz w:val="21"/>
        </w:rPr>
        <w:t>可以经血</w:t>
      </w:r>
      <w:r>
        <w:rPr>
          <w:sz w:val="21"/>
        </w:rPr>
        <w:t>管</w:t>
      </w:r>
      <w:r>
        <w:rPr>
          <w:spacing w:val="-73"/>
          <w:sz w:val="21"/>
        </w:rPr>
        <w:t>、</w:t>
      </w:r>
      <w:r>
        <w:rPr>
          <w:sz w:val="21"/>
        </w:rPr>
        <w:t>淋巴管和体腔扩散转移到身体其它部位的疾病</w:t>
      </w:r>
      <w:r>
        <w:rPr>
          <w:spacing w:val="-73"/>
          <w:sz w:val="21"/>
        </w:rPr>
        <w:t>。</w:t>
      </w:r>
      <w:r>
        <w:rPr>
          <w:sz w:val="21"/>
        </w:rPr>
        <w:t>经病理学检查结果明确诊断， 临床诊断属于世界卫生组织《疾病和有关健康问题的国际统计分类</w:t>
      </w:r>
      <w:r>
        <w:rPr>
          <w:spacing w:val="-104"/>
          <w:sz w:val="21"/>
        </w:rPr>
        <w:t>》</w:t>
      </w:r>
      <w:r>
        <w:rPr>
          <w:sz w:val="21"/>
        </w:rPr>
        <w:t>（ICD-10） </w:t>
      </w:r>
      <w:r>
        <w:rPr>
          <w:w w:val="95"/>
          <w:sz w:val="21"/>
        </w:rPr>
        <w:t>的恶性肿瘤范畴。</w:t>
      </w:r>
      <w:r>
        <w:rPr>
          <w:b/>
          <w:i/>
          <w:w w:val="95"/>
          <w:sz w:val="22"/>
        </w:rPr>
        <w:t>下列疾病不在保障范围内：</w:t>
      </w:r>
    </w:p>
    <w:p>
      <w:pPr>
        <w:pStyle w:val="Heading3"/>
        <w:spacing w:before="8"/>
      </w:pPr>
      <w:r>
        <w:rPr>
          <w:w w:val="95"/>
        </w:rPr>
        <w:t>（1）原位癌；</w:t>
      </w:r>
    </w:p>
    <w:p>
      <w:pPr>
        <w:spacing w:before="23"/>
        <w:ind w:left="2811" w:right="0" w:firstLine="0"/>
        <w:jc w:val="left"/>
        <w:rPr>
          <w:b/>
          <w:i/>
          <w:sz w:val="22"/>
        </w:rPr>
      </w:pPr>
      <w:r>
        <w:rPr>
          <w:b/>
          <w:i/>
          <w:w w:val="95"/>
          <w:sz w:val="22"/>
        </w:rPr>
        <w:t>（2）相当于Binet 分期方案A 期程度的慢性淋巴细胞白血病；</w:t>
      </w:r>
    </w:p>
    <w:p>
      <w:pPr>
        <w:spacing w:before="23"/>
        <w:ind w:left="2811" w:right="0" w:firstLine="0"/>
        <w:jc w:val="left"/>
        <w:rPr>
          <w:b/>
          <w:i/>
          <w:sz w:val="22"/>
        </w:rPr>
      </w:pPr>
      <w:r>
        <w:rPr>
          <w:b/>
          <w:i/>
          <w:w w:val="95"/>
          <w:sz w:val="22"/>
        </w:rPr>
        <w:t>（3）相当于Ann Arbor 分期方案I 期程度的何杰金氏病；</w:t>
      </w:r>
    </w:p>
    <w:p>
      <w:pPr>
        <w:spacing w:before="23"/>
        <w:ind w:left="2811" w:right="0" w:firstLine="0"/>
        <w:jc w:val="left"/>
        <w:rPr>
          <w:b/>
          <w:i/>
          <w:sz w:val="22"/>
        </w:rPr>
      </w:pPr>
      <w:r>
        <w:rPr>
          <w:b/>
          <w:i/>
          <w:spacing w:val="0"/>
          <w:w w:val="95"/>
          <w:sz w:val="22"/>
        </w:rPr>
        <w:t>（4</w:t>
      </w:r>
      <w:r>
        <w:rPr>
          <w:b/>
          <w:i/>
          <w:w w:val="95"/>
          <w:sz w:val="22"/>
        </w:rPr>
        <w:t>）</w:t>
      </w:r>
      <w:r>
        <w:rPr>
          <w:b/>
          <w:i/>
          <w:w w:val="95"/>
          <w:sz w:val="22"/>
        </w:rPr>
        <w:t>皮肤癌</w:t>
      </w:r>
      <w:r>
        <w:rPr>
          <w:b/>
          <w:i/>
          <w:spacing w:val="0"/>
          <w:w w:val="95"/>
          <w:sz w:val="22"/>
        </w:rPr>
        <w:t>（</w:t>
      </w:r>
      <w:r>
        <w:rPr>
          <w:b/>
          <w:i/>
          <w:w w:val="95"/>
          <w:sz w:val="22"/>
        </w:rPr>
        <w:t>不包括恶性黑色素瘤及已发生转移的皮肤癌</w:t>
      </w:r>
      <w:r>
        <w:rPr>
          <w:b/>
          <w:i/>
          <w:spacing w:val="-106"/>
          <w:w w:val="95"/>
          <w:sz w:val="22"/>
        </w:rPr>
        <w:t>）</w:t>
      </w:r>
      <w:r>
        <w:rPr>
          <w:b/>
          <w:i/>
          <w:w w:val="95"/>
          <w:sz w:val="22"/>
        </w:rPr>
        <w:t>；</w:t>
      </w:r>
    </w:p>
    <w:p>
      <w:pPr>
        <w:spacing w:before="23"/>
        <w:ind w:left="2811" w:right="0" w:firstLine="0"/>
        <w:jc w:val="left"/>
        <w:rPr>
          <w:b/>
          <w:i/>
          <w:sz w:val="22"/>
        </w:rPr>
      </w:pPr>
      <w:r>
        <w:rPr>
          <w:b/>
          <w:i/>
          <w:w w:val="95"/>
          <w:position w:val="1"/>
          <w:sz w:val="22"/>
        </w:rPr>
        <w:t>（5）TNM 分期为T</w:t>
      </w:r>
      <w:r>
        <w:rPr>
          <w:b/>
          <w:i/>
          <w:w w:val="95"/>
          <w:sz w:val="11"/>
        </w:rPr>
        <w:t>1</w:t>
      </w:r>
      <w:r>
        <w:rPr>
          <w:b/>
          <w:i/>
          <w:w w:val="95"/>
          <w:position w:val="1"/>
          <w:sz w:val="22"/>
        </w:rPr>
        <w:t>N</w:t>
      </w:r>
      <w:r>
        <w:rPr>
          <w:b/>
          <w:i/>
          <w:w w:val="95"/>
          <w:sz w:val="11"/>
        </w:rPr>
        <w:t>0</w:t>
      </w:r>
      <w:r>
        <w:rPr>
          <w:b/>
          <w:i/>
          <w:w w:val="95"/>
          <w:position w:val="1"/>
          <w:sz w:val="22"/>
        </w:rPr>
        <w:t>M</w:t>
      </w:r>
      <w:r>
        <w:rPr>
          <w:b/>
          <w:i/>
          <w:w w:val="95"/>
          <w:sz w:val="11"/>
        </w:rPr>
        <w:t>0 </w:t>
      </w:r>
      <w:r>
        <w:rPr>
          <w:b/>
          <w:i/>
          <w:w w:val="95"/>
          <w:position w:val="1"/>
          <w:sz w:val="22"/>
        </w:rPr>
        <w:t>期或更轻分期的前列腺癌；</w:t>
      </w:r>
    </w:p>
    <w:p>
      <w:pPr>
        <w:spacing w:before="24"/>
        <w:ind w:left="2811" w:right="0" w:firstLine="0"/>
        <w:jc w:val="left"/>
        <w:rPr>
          <w:b/>
          <w:i/>
          <w:sz w:val="22"/>
        </w:rPr>
      </w:pPr>
      <w:r>
        <w:rPr>
          <w:b/>
          <w:i/>
          <w:w w:val="95"/>
          <w:sz w:val="22"/>
        </w:rPr>
        <w:t>（6）感染艾滋病病毒或患艾滋病期间所患恶性肿瘤。</w:t>
      </w:r>
    </w:p>
    <w:p>
      <w:pPr>
        <w:pStyle w:val="BodyText"/>
        <w:spacing w:before="12"/>
        <w:rPr>
          <w:b/>
          <w:i/>
          <w:sz w:val="15"/>
        </w:rPr>
      </w:pPr>
    </w:p>
    <w:p>
      <w:pPr>
        <w:pStyle w:val="ListParagraph"/>
        <w:numPr>
          <w:ilvl w:val="2"/>
          <w:numId w:val="14"/>
        </w:numPr>
        <w:tabs>
          <w:tab w:pos="1303" w:val="left" w:leader="none"/>
          <w:tab w:pos="1304" w:val="left" w:leader="none"/>
          <w:tab w:pos="2811" w:val="left" w:leader="none"/>
        </w:tabs>
        <w:spacing w:line="240" w:lineRule="auto" w:before="0" w:after="0"/>
        <w:ind w:left="2811" w:right="219" w:hanging="1928"/>
        <w:jc w:val="left"/>
        <w:rPr>
          <w:sz w:val="21"/>
        </w:rPr>
      </w:pPr>
      <w:r>
        <w:rPr>
          <w:rFonts w:ascii="Microsoft JhengHei" w:eastAsia="Microsoft JhengHei" w:hint="eastAsia"/>
          <w:b/>
          <w:sz w:val="21"/>
        </w:rPr>
        <w:t>急性心ft梗塞</w:t>
        <w:tab/>
      </w:r>
      <w:r>
        <w:rPr>
          <w:position w:val="1"/>
          <w:sz w:val="21"/>
        </w:rPr>
        <w:t>指因冠状动脉阻塞导致的相应区域供血不足造成部分心肌坏死</w:t>
      </w:r>
      <w:r>
        <w:rPr>
          <w:spacing w:val="-39"/>
          <w:position w:val="1"/>
          <w:sz w:val="21"/>
        </w:rPr>
        <w:t>。</w:t>
      </w:r>
      <w:r>
        <w:rPr>
          <w:position w:val="1"/>
          <w:sz w:val="21"/>
        </w:rPr>
        <w:t>须满足下列至少</w:t>
      </w:r>
      <w:r>
        <w:rPr>
          <w:sz w:val="21"/>
        </w:rPr>
        <w:t>三项条件：</w:t>
      </w:r>
    </w:p>
    <w:p>
      <w:pPr>
        <w:pStyle w:val="BodyText"/>
        <w:ind w:left="2811"/>
      </w:pPr>
      <w:r>
        <w:rPr/>
        <w:t>（1）典型临床表现，例如急性胸痛等；</w:t>
      </w:r>
    </w:p>
    <w:p>
      <w:pPr>
        <w:pStyle w:val="BodyText"/>
        <w:ind w:left="2811"/>
      </w:pPr>
      <w:r>
        <w:rPr/>
        <w:t>（2）新近的心电图改变提示急性心肌梗塞；</w:t>
      </w:r>
    </w:p>
    <w:p>
      <w:pPr>
        <w:pStyle w:val="BodyText"/>
        <w:spacing w:line="273" w:lineRule="auto"/>
        <w:ind w:left="3337" w:right="216" w:hanging="526"/>
      </w:pPr>
      <w:r>
        <w:rPr/>
        <w:t>（3）心肌酶或肌钙蛋白有诊断意义的升高，或呈符合急性心肌梗塞的动态性变化；</w:t>
      </w:r>
    </w:p>
    <w:p>
      <w:pPr>
        <w:pStyle w:val="BodyText"/>
        <w:spacing w:before="7"/>
        <w:ind w:left="2811"/>
      </w:pPr>
      <w:r>
        <w:rPr>
          <w:spacing w:val="-11"/>
        </w:rPr>
        <w:t>（4）</w:t>
      </w:r>
      <w:r>
        <w:rPr>
          <w:spacing w:val="-21"/>
        </w:rPr>
        <w:t>发病 </w:t>
      </w:r>
      <w:r>
        <w:rPr/>
        <w:t>90</w:t>
      </w:r>
      <w:r>
        <w:rPr>
          <w:spacing w:val="-15"/>
        </w:rPr>
        <w:t> 天后，经检查证实左心室功能降低的，如左心室射血分数低于 </w:t>
      </w:r>
      <w:r>
        <w:rPr/>
        <w:t>50%。</w:t>
      </w:r>
    </w:p>
    <w:p>
      <w:pPr>
        <w:pStyle w:val="BodyText"/>
        <w:spacing w:before="0"/>
        <w:rPr>
          <w:sz w:val="16"/>
        </w:rPr>
      </w:pPr>
    </w:p>
    <w:p>
      <w:pPr>
        <w:pStyle w:val="ListParagraph"/>
        <w:numPr>
          <w:ilvl w:val="2"/>
          <w:numId w:val="14"/>
        </w:numPr>
        <w:tabs>
          <w:tab w:pos="1304" w:val="left" w:leader="none"/>
        </w:tabs>
        <w:spacing w:line="254" w:lineRule="auto" w:before="1" w:after="0"/>
        <w:ind w:left="2811" w:right="219" w:hanging="1928"/>
        <w:jc w:val="both"/>
        <w:rPr>
          <w:sz w:val="21"/>
        </w:rPr>
      </w:pPr>
      <w:r>
        <w:rPr>
          <w:rFonts w:ascii="Microsoft JhengHei" w:eastAsia="Microsoft JhengHei" w:hint="eastAsia"/>
          <w:b/>
          <w:spacing w:val="5"/>
          <w:sz w:val="21"/>
        </w:rPr>
        <w:t>脑中风后遗症 </w:t>
      </w:r>
      <w:r>
        <w:rPr>
          <w:spacing w:val="-3"/>
          <w:position w:val="1"/>
          <w:sz w:val="21"/>
        </w:rPr>
        <w:t>指因脑血管的突发病变引起脑血管出血、栓塞或梗塞，并导致神经系统永久性功</w:t>
      </w:r>
      <w:r>
        <w:rPr>
          <w:spacing w:val="-9"/>
          <w:sz w:val="21"/>
        </w:rPr>
        <w:t>能障碍。神经系统永久性的功能障碍，指疾病确诊 </w:t>
      </w:r>
      <w:r>
        <w:rPr>
          <w:sz w:val="21"/>
        </w:rPr>
        <w:t>180</w:t>
      </w:r>
      <w:r>
        <w:rPr>
          <w:spacing w:val="-9"/>
          <w:sz w:val="21"/>
        </w:rPr>
        <w:t> 天后，仍遗留下列一种或一种以上障碍：</w:t>
      </w:r>
    </w:p>
    <w:p>
      <w:pPr>
        <w:pStyle w:val="BodyText"/>
        <w:spacing w:before="24"/>
        <w:ind w:left="2811"/>
      </w:pPr>
      <w:r>
        <w:rPr/>
        <w:t>（1）一肢或一肢以上肢体机能完全丧失；</w:t>
      </w:r>
    </w:p>
    <w:p>
      <w:pPr>
        <w:pStyle w:val="BodyText"/>
        <w:ind w:left="2811"/>
      </w:pPr>
      <w:r>
        <w:rPr/>
        <w:t>（2）语言能力或咀嚼吞咽能力完全丧失；</w:t>
      </w:r>
    </w:p>
    <w:p>
      <w:pPr>
        <w:pStyle w:val="BodyText"/>
        <w:spacing w:line="273" w:lineRule="auto"/>
        <w:ind w:left="3337" w:right="286" w:hanging="526"/>
      </w:pPr>
      <w:r>
        <w:rPr/>
        <w:t>（3）自主生活能力完全丧失，无法独立完成六项基本日常生活活动中的三项或三项以上。</w:t>
      </w:r>
    </w:p>
    <w:p>
      <w:pPr>
        <w:pStyle w:val="BodyText"/>
        <w:spacing w:before="3"/>
        <w:rPr>
          <w:sz w:val="15"/>
        </w:rPr>
      </w:pPr>
    </w:p>
    <w:p>
      <w:pPr>
        <w:spacing w:after="0"/>
        <w:rPr>
          <w:sz w:val="15"/>
        </w:rPr>
        <w:sectPr>
          <w:pgSz w:w="11910" w:h="16840"/>
          <w:pgMar w:header="0" w:footer="442" w:top="1080" w:bottom="640" w:left="840" w:right="720"/>
        </w:sectPr>
      </w:pPr>
    </w:p>
    <w:p>
      <w:pPr>
        <w:pStyle w:val="Heading5"/>
        <w:numPr>
          <w:ilvl w:val="2"/>
          <w:numId w:val="14"/>
        </w:numPr>
        <w:tabs>
          <w:tab w:pos="1304" w:val="left" w:leader="none"/>
        </w:tabs>
        <w:spacing w:line="232" w:lineRule="auto" w:before="0" w:after="0"/>
        <w:ind w:left="1303" w:right="0" w:hanging="420"/>
        <w:jc w:val="both"/>
      </w:pPr>
      <w:r>
        <w:rPr/>
        <w:t>重大器官移植术或造血干细胞移植术</w:t>
      </w:r>
    </w:p>
    <w:p>
      <w:pPr>
        <w:pStyle w:val="BodyText"/>
        <w:spacing w:line="273" w:lineRule="auto"/>
        <w:ind w:left="207" w:right="219"/>
        <w:jc w:val="both"/>
      </w:pPr>
      <w:r>
        <w:rPr/>
        <w:br w:type="column"/>
      </w:r>
      <w:r>
        <w:rPr>
          <w:spacing w:val="-5"/>
        </w:rPr>
        <w:t>重大器官移植术，指因相应器官功能衰竭，已经实施了肾脏、肝脏、心脏或肺脏的异体移植手术。</w:t>
      </w:r>
    </w:p>
    <w:p>
      <w:pPr>
        <w:pStyle w:val="BodyText"/>
        <w:spacing w:line="273" w:lineRule="auto" w:before="8"/>
        <w:ind w:left="207" w:right="219"/>
        <w:jc w:val="both"/>
      </w:pPr>
      <w:r>
        <w:rPr>
          <w:spacing w:val="-4"/>
        </w:rPr>
        <w:t>造血干细胞移植术，指因造血功能损害或造血系统恶性肿瘤，已经实施了造血干</w:t>
      </w:r>
      <w:r>
        <w:rPr>
          <w:spacing w:val="-9"/>
        </w:rPr>
        <w:t>细胞</w:t>
      </w:r>
      <w:r>
        <w:rPr/>
        <w:t>（</w:t>
      </w:r>
      <w:r>
        <w:rPr>
          <w:spacing w:val="-2"/>
        </w:rPr>
        <w:t>包括骨髓造血干细胞、外周血造血干细胞和脐血造血干细胞</w:t>
      </w:r>
      <w:r>
        <w:rPr>
          <w:spacing w:val="-14"/>
        </w:rPr>
        <w:t>）</w:t>
      </w:r>
      <w:r>
        <w:rPr/>
        <w:t>的异体移植手术。</w:t>
      </w:r>
    </w:p>
    <w:p>
      <w:pPr>
        <w:spacing w:after="0" w:line="273" w:lineRule="auto"/>
        <w:jc w:val="both"/>
        <w:sectPr>
          <w:type w:val="continuous"/>
          <w:pgSz w:w="11910" w:h="16840"/>
          <w:pgMar w:top="300" w:bottom="280" w:left="840" w:right="720"/>
          <w:cols w:num="2" w:equalWidth="0">
            <w:col w:w="2565" w:space="40"/>
            <w:col w:w="7745"/>
          </w:cols>
        </w:sectPr>
      </w:pPr>
    </w:p>
    <w:p>
      <w:pPr>
        <w:pStyle w:val="BodyText"/>
        <w:spacing w:before="3"/>
        <w:rPr>
          <w:sz w:val="15"/>
        </w:rPr>
      </w:pPr>
    </w:p>
    <w:p>
      <w:pPr>
        <w:spacing w:after="0"/>
        <w:rPr>
          <w:sz w:val="15"/>
        </w:rPr>
        <w:sectPr>
          <w:type w:val="continuous"/>
          <w:pgSz w:w="11910" w:h="16840"/>
          <w:pgMar w:top="300" w:bottom="280" w:left="840" w:right="720"/>
        </w:sectPr>
      </w:pPr>
    </w:p>
    <w:p>
      <w:pPr>
        <w:pStyle w:val="Heading5"/>
        <w:numPr>
          <w:ilvl w:val="2"/>
          <w:numId w:val="14"/>
        </w:numPr>
        <w:tabs>
          <w:tab w:pos="1303" w:val="left" w:leader="none"/>
          <w:tab w:pos="1304" w:val="left" w:leader="none"/>
        </w:tabs>
        <w:spacing w:line="230" w:lineRule="auto" w:before="0" w:after="0"/>
        <w:ind w:left="1303" w:right="0" w:hanging="420"/>
        <w:jc w:val="left"/>
      </w:pPr>
      <w:r>
        <w:rPr/>
        <w:t>冠状动脉搭桥术</w:t>
      </w:r>
    </w:p>
    <w:p>
      <w:pPr>
        <w:spacing w:line="261" w:lineRule="auto" w:before="35"/>
        <w:ind w:left="207" w:right="180" w:firstLine="0"/>
        <w:jc w:val="both"/>
        <w:rPr>
          <w:b/>
          <w:i/>
          <w:sz w:val="22"/>
        </w:rPr>
      </w:pPr>
      <w:r>
        <w:rPr/>
        <w:br w:type="column"/>
      </w:r>
      <w:r>
        <w:rPr>
          <w:sz w:val="21"/>
        </w:rPr>
        <w:t>指为治疗严重的冠心病，实际实施了开胸进行的冠状动脉血管旁路移植的手术。</w:t>
      </w:r>
      <w:r>
        <w:rPr>
          <w:b/>
          <w:i/>
          <w:w w:val="95"/>
          <w:sz w:val="22"/>
        </w:rPr>
        <w:t>冠状动脉支架植入手术、心导管球囊扩张术、激光射频技术及其他非开胸的介入手术、腔镜手术不在保障范围内。</w:t>
      </w:r>
    </w:p>
    <w:p>
      <w:pPr>
        <w:spacing w:after="0" w:line="261" w:lineRule="auto"/>
        <w:jc w:val="both"/>
        <w:rPr>
          <w:sz w:val="22"/>
        </w:rPr>
        <w:sectPr>
          <w:type w:val="continuous"/>
          <w:pgSz w:w="11910" w:h="16840"/>
          <w:pgMar w:top="300" w:bottom="280" w:left="840" w:right="720"/>
          <w:cols w:num="2" w:equalWidth="0">
            <w:col w:w="2565" w:space="40"/>
            <w:col w:w="7745"/>
          </w:cols>
        </w:sectPr>
      </w:pPr>
    </w:p>
    <w:p>
      <w:pPr>
        <w:pStyle w:val="BodyText"/>
        <w:spacing w:before="10"/>
        <w:rPr>
          <w:b/>
          <w:i/>
          <w:sz w:val="15"/>
        </w:rPr>
      </w:pPr>
    </w:p>
    <w:p>
      <w:pPr>
        <w:pStyle w:val="ListParagraph"/>
        <w:numPr>
          <w:ilvl w:val="2"/>
          <w:numId w:val="14"/>
        </w:numPr>
        <w:tabs>
          <w:tab w:pos="1303" w:val="left" w:leader="none"/>
          <w:tab w:pos="1304" w:val="left" w:leader="none"/>
          <w:tab w:pos="2811" w:val="left" w:leader="none"/>
        </w:tabs>
        <w:spacing w:line="298" w:lineRule="exact" w:before="56" w:after="0"/>
        <w:ind w:left="2811" w:right="285" w:hanging="1928"/>
        <w:jc w:val="left"/>
        <w:rPr>
          <w:sz w:val="21"/>
        </w:rPr>
      </w:pPr>
      <w:r>
        <w:rPr>
          <w:rFonts w:ascii="Microsoft JhengHei" w:eastAsia="Microsoft JhengHei" w:hint="eastAsia"/>
          <w:b/>
          <w:sz w:val="21"/>
        </w:rPr>
        <w:t>终末期肾病</w:t>
        <w:tab/>
      </w:r>
      <w:r>
        <w:rPr>
          <w:position w:val="1"/>
          <w:sz w:val="21"/>
        </w:rPr>
        <w:t>指双肾功能慢性不可逆性衰竭，达到尿毒症期，经诊断后已经进行了至少</w:t>
      </w:r>
      <w:r>
        <w:rPr>
          <w:spacing w:val="-69"/>
          <w:position w:val="1"/>
          <w:sz w:val="21"/>
        </w:rPr>
        <w:t> </w:t>
      </w:r>
      <w:r>
        <w:rPr>
          <w:position w:val="1"/>
          <w:sz w:val="21"/>
        </w:rPr>
        <w:t>90</w:t>
      </w:r>
      <w:r>
        <w:rPr>
          <w:spacing w:val="-69"/>
          <w:position w:val="1"/>
          <w:sz w:val="21"/>
        </w:rPr>
        <w:t> </w:t>
      </w:r>
      <w:r>
        <w:rPr>
          <w:position w:val="1"/>
          <w:sz w:val="21"/>
        </w:rPr>
        <w:t>天</w:t>
      </w:r>
      <w:r>
        <w:rPr>
          <w:sz w:val="21"/>
        </w:rPr>
        <w:t>的规律性透析治疗或实施了肾脏移植手术。</w:t>
      </w:r>
    </w:p>
    <w:p>
      <w:pPr>
        <w:spacing w:after="0" w:line="298" w:lineRule="exact"/>
        <w:jc w:val="left"/>
        <w:rPr>
          <w:sz w:val="21"/>
        </w:rPr>
        <w:sectPr>
          <w:type w:val="continuous"/>
          <w:pgSz w:w="11910" w:h="16840"/>
          <w:pgMar w:top="300" w:bottom="280" w:left="840" w:right="720"/>
        </w:sectPr>
      </w:pPr>
    </w:p>
    <w:p>
      <w:pPr>
        <w:pStyle w:val="ListParagraph"/>
        <w:numPr>
          <w:ilvl w:val="2"/>
          <w:numId w:val="14"/>
        </w:numPr>
        <w:tabs>
          <w:tab w:pos="523" w:val="left" w:leader="none"/>
          <w:tab w:pos="524" w:val="left" w:leader="none"/>
          <w:tab w:pos="2031" w:val="left" w:leader="none"/>
        </w:tabs>
        <w:spacing w:line="298" w:lineRule="exact" w:before="39" w:after="0"/>
        <w:ind w:left="2031" w:right="219" w:hanging="1928"/>
        <w:jc w:val="left"/>
        <w:rPr>
          <w:sz w:val="21"/>
        </w:rPr>
      </w:pPr>
      <w:r>
        <w:rPr>
          <w:rFonts w:ascii="Microsoft JhengHei" w:eastAsia="Microsoft JhengHei" w:hint="eastAsia"/>
          <w:b/>
          <w:sz w:val="21"/>
        </w:rPr>
        <w:t>多个肢体缺失</w:t>
        <w:tab/>
      </w:r>
      <w:r>
        <w:rPr>
          <w:position w:val="1"/>
          <w:sz w:val="21"/>
        </w:rPr>
        <w:t>指因疾病或意外伤害导致两个或两个以上肢体自腕关节或踝关节近</w:t>
      </w:r>
      <w:r>
        <w:rPr>
          <w:spacing w:val="-39"/>
          <w:position w:val="1"/>
          <w:sz w:val="21"/>
        </w:rPr>
        <w:t>端</w:t>
      </w:r>
      <w:r>
        <w:rPr>
          <w:position w:val="1"/>
          <w:sz w:val="21"/>
        </w:rPr>
        <w:t>（靠近躯干</w:t>
      </w:r>
      <w:r>
        <w:rPr>
          <w:sz w:val="21"/>
        </w:rPr>
        <w:t>端）以上完全性断离。</w:t>
      </w:r>
    </w:p>
    <w:p>
      <w:pPr>
        <w:pStyle w:val="BodyText"/>
        <w:spacing w:before="5"/>
        <w:rPr>
          <w:sz w:val="18"/>
        </w:rPr>
      </w:pPr>
    </w:p>
    <w:p>
      <w:pPr>
        <w:spacing w:after="0"/>
        <w:rPr>
          <w:sz w:val="18"/>
        </w:rPr>
        <w:sectPr>
          <w:pgSz w:w="11910" w:h="16840"/>
          <w:pgMar w:header="0" w:footer="442" w:top="1100" w:bottom="640" w:left="1620" w:right="720"/>
        </w:sectPr>
      </w:pPr>
    </w:p>
    <w:p>
      <w:pPr>
        <w:pStyle w:val="Heading5"/>
        <w:numPr>
          <w:ilvl w:val="2"/>
          <w:numId w:val="14"/>
        </w:numPr>
        <w:tabs>
          <w:tab w:pos="523" w:val="left" w:leader="none"/>
          <w:tab w:pos="524" w:val="left" w:leader="none"/>
        </w:tabs>
        <w:spacing w:line="230" w:lineRule="auto" w:before="0" w:after="0"/>
        <w:ind w:left="523" w:right="0" w:hanging="420"/>
        <w:jc w:val="left"/>
      </w:pPr>
      <w:r>
        <w:rPr/>
        <w:t>急性或亚急性重症肝炎</w:t>
      </w:r>
    </w:p>
    <w:p>
      <w:pPr>
        <w:pStyle w:val="BodyText"/>
        <w:spacing w:line="273" w:lineRule="auto" w:before="35"/>
        <w:ind w:left="103" w:right="163"/>
      </w:pPr>
      <w:r>
        <w:rPr/>
        <w:br w:type="column"/>
      </w:r>
      <w:r>
        <w:rPr/>
        <w:t>指因肝炎病毒感染引起肝脏组织弥漫性坏死，导致急性肝功能衰竭，且经血清学或病毒学检查证实，并须满足下列全部条件：</w:t>
      </w:r>
    </w:p>
    <w:p>
      <w:pPr>
        <w:pStyle w:val="BodyText"/>
        <w:spacing w:before="7"/>
        <w:ind w:left="103"/>
      </w:pPr>
      <w:r>
        <w:rPr/>
        <w:t>（1）重度黄疸或黄疸迅速加重；</w:t>
      </w:r>
    </w:p>
    <w:p>
      <w:pPr>
        <w:pStyle w:val="BodyText"/>
        <w:ind w:left="103"/>
      </w:pPr>
      <w:r>
        <w:rPr/>
        <w:t>（2）肝性脑病；</w:t>
      </w:r>
    </w:p>
    <w:p>
      <w:pPr>
        <w:pStyle w:val="BodyText"/>
        <w:ind w:left="103"/>
      </w:pPr>
      <w:r>
        <w:rPr/>
        <w:t>（3）B 超或其他影像学检查显示肝脏体积急速萎缩；</w:t>
      </w:r>
    </w:p>
    <w:p>
      <w:pPr>
        <w:pStyle w:val="BodyText"/>
        <w:ind w:left="103"/>
      </w:pPr>
      <w:r>
        <w:rPr/>
        <w:t>（4）肝功能指标进行性恶化。</w:t>
      </w:r>
    </w:p>
    <w:p>
      <w:pPr>
        <w:spacing w:after="0"/>
        <w:sectPr>
          <w:type w:val="continuous"/>
          <w:pgSz w:w="11910" w:h="16840"/>
          <w:pgMar w:top="300" w:bottom="280" w:left="1620" w:right="720"/>
          <w:cols w:num="2" w:equalWidth="0">
            <w:col w:w="1785" w:space="144"/>
            <w:col w:w="7641"/>
          </w:cols>
        </w:sectPr>
      </w:pPr>
    </w:p>
    <w:p>
      <w:pPr>
        <w:pStyle w:val="BodyText"/>
        <w:spacing w:before="0"/>
        <w:rPr>
          <w:sz w:val="16"/>
        </w:rPr>
      </w:pPr>
    </w:p>
    <w:p>
      <w:pPr>
        <w:pStyle w:val="ListParagraph"/>
        <w:numPr>
          <w:ilvl w:val="2"/>
          <w:numId w:val="14"/>
        </w:numPr>
        <w:tabs>
          <w:tab w:pos="523" w:val="left" w:leader="none"/>
          <w:tab w:pos="524" w:val="left" w:leader="none"/>
          <w:tab w:pos="2031" w:val="left" w:leader="none"/>
        </w:tabs>
        <w:spacing w:line="298" w:lineRule="exact" w:before="56" w:after="0"/>
        <w:ind w:left="2031" w:right="114" w:hanging="1928"/>
        <w:jc w:val="left"/>
        <w:rPr>
          <w:sz w:val="21"/>
        </w:rPr>
      </w:pPr>
      <w:r>
        <w:rPr>
          <w:rFonts w:ascii="Microsoft JhengHei" w:eastAsia="Microsoft JhengHei" w:hint="eastAsia"/>
          <w:b/>
          <w:sz w:val="21"/>
        </w:rPr>
        <w:t>良性脑肿瘤</w:t>
        <w:tab/>
      </w:r>
      <w:r>
        <w:rPr>
          <w:position w:val="1"/>
          <w:sz w:val="21"/>
        </w:rPr>
        <w:t>指脑的良性肿瘤</w:t>
      </w:r>
      <w:r>
        <w:rPr>
          <w:spacing w:val="-49"/>
          <w:position w:val="1"/>
          <w:sz w:val="21"/>
        </w:rPr>
        <w:t>，</w:t>
      </w:r>
      <w:r>
        <w:rPr>
          <w:position w:val="1"/>
          <w:sz w:val="21"/>
        </w:rPr>
        <w:t>已经引起颅内压增高</w:t>
      </w:r>
      <w:r>
        <w:rPr>
          <w:spacing w:val="-49"/>
          <w:position w:val="1"/>
          <w:sz w:val="21"/>
        </w:rPr>
        <w:t>，</w:t>
      </w:r>
      <w:r>
        <w:rPr>
          <w:position w:val="1"/>
          <w:sz w:val="21"/>
        </w:rPr>
        <w:t>临床表现为视神经乳头水肿</w:t>
      </w:r>
      <w:r>
        <w:rPr>
          <w:spacing w:val="-49"/>
          <w:position w:val="1"/>
          <w:sz w:val="21"/>
        </w:rPr>
        <w:t>、</w:t>
      </w:r>
      <w:r>
        <w:rPr>
          <w:position w:val="1"/>
          <w:sz w:val="21"/>
        </w:rPr>
        <w:t>精神症状、</w:t>
      </w:r>
      <w:r>
        <w:rPr>
          <w:spacing w:val="1"/>
          <w:sz w:val="21"/>
        </w:rPr>
        <w:t>癫痫及</w:t>
      </w:r>
      <w:r>
        <w:rPr>
          <w:spacing w:val="0"/>
          <w:sz w:val="21"/>
        </w:rPr>
        <w:t>运动</w:t>
      </w:r>
      <w:r>
        <w:rPr>
          <w:spacing w:val="1"/>
          <w:sz w:val="21"/>
        </w:rPr>
        <w:t>感觉障</w:t>
      </w:r>
      <w:r>
        <w:rPr>
          <w:spacing w:val="0"/>
          <w:sz w:val="21"/>
        </w:rPr>
        <w:t>碍等</w:t>
      </w:r>
      <w:r>
        <w:rPr>
          <w:spacing w:val="1"/>
          <w:sz w:val="21"/>
        </w:rPr>
        <w:t>，并危</w:t>
      </w:r>
      <w:r>
        <w:rPr>
          <w:spacing w:val="0"/>
          <w:sz w:val="21"/>
        </w:rPr>
        <w:t>及生</w:t>
      </w:r>
      <w:r>
        <w:rPr>
          <w:spacing w:val="1"/>
          <w:sz w:val="21"/>
        </w:rPr>
        <w:t>命。须</w:t>
      </w:r>
      <w:r>
        <w:rPr>
          <w:spacing w:val="0"/>
          <w:sz w:val="21"/>
        </w:rPr>
        <w:t>由头</w:t>
      </w:r>
      <w:r>
        <w:rPr>
          <w:spacing w:val="1"/>
          <w:sz w:val="21"/>
        </w:rPr>
        <w:t>颅断层</w:t>
      </w:r>
      <w:r>
        <w:rPr>
          <w:spacing w:val="0"/>
          <w:sz w:val="21"/>
        </w:rPr>
        <w:t>扫描</w:t>
      </w:r>
      <w:r>
        <w:rPr>
          <w:spacing w:val="1"/>
          <w:sz w:val="21"/>
        </w:rPr>
        <w:t>（</w:t>
      </w:r>
      <w:r>
        <w:rPr>
          <w:spacing w:val="-1"/>
          <w:sz w:val="21"/>
        </w:rPr>
        <w:t>C</w:t>
      </w:r>
      <w:r>
        <w:rPr>
          <w:spacing w:val="2"/>
          <w:sz w:val="21"/>
        </w:rPr>
        <w:t>T</w:t>
      </w:r>
      <w:r>
        <w:rPr>
          <w:spacing w:val="-104"/>
          <w:sz w:val="21"/>
        </w:rPr>
        <w:t>）</w:t>
      </w:r>
      <w:r>
        <w:rPr>
          <w:spacing w:val="1"/>
          <w:sz w:val="21"/>
        </w:rPr>
        <w:t>、</w:t>
      </w:r>
      <w:r>
        <w:rPr>
          <w:spacing w:val="0"/>
          <w:sz w:val="21"/>
        </w:rPr>
        <w:t>核磁</w:t>
      </w:r>
      <w:r>
        <w:rPr>
          <w:spacing w:val="1"/>
          <w:sz w:val="21"/>
        </w:rPr>
        <w:t>共振检查</w:t>
      </w:r>
    </w:p>
    <w:p>
      <w:pPr>
        <w:pStyle w:val="BodyText"/>
        <w:spacing w:line="273" w:lineRule="auto" w:before="7"/>
        <w:ind w:left="2031" w:right="162"/>
      </w:pPr>
      <w:r>
        <w:rPr/>
        <w:t>（MRI）或正电子发射断层扫描（PET）等影像学检查证实，并须满足下列至少一项条件：</w:t>
      </w:r>
    </w:p>
    <w:p>
      <w:pPr>
        <w:pStyle w:val="BodyText"/>
        <w:spacing w:before="7"/>
        <w:ind w:left="2031"/>
      </w:pPr>
      <w:r>
        <w:rPr/>
        <w:t>（1）实际实施了开颅进行的脑肿瘤完全切除或部分切除的手术；</w:t>
      </w:r>
    </w:p>
    <w:p>
      <w:pPr>
        <w:pStyle w:val="BodyText"/>
        <w:ind w:left="2031"/>
      </w:pPr>
      <w:r>
        <w:rPr/>
        <w:t>（2）实际实施了对脑肿瘤进行的放射治疗。</w:t>
      </w:r>
    </w:p>
    <w:p>
      <w:pPr>
        <w:pStyle w:val="Heading3"/>
        <w:spacing w:before="25"/>
        <w:ind w:left="2031"/>
      </w:pPr>
      <w:r>
        <w:rPr>
          <w:w w:val="95"/>
        </w:rPr>
        <w:t>脑垂体瘤、脑囊肿、脑血管性疾病不在保障范围内。</w:t>
      </w:r>
    </w:p>
    <w:p>
      <w:pPr>
        <w:pStyle w:val="BodyText"/>
        <w:spacing w:before="4"/>
        <w:rPr>
          <w:b/>
          <w:i/>
          <w:sz w:val="18"/>
        </w:rPr>
      </w:pPr>
    </w:p>
    <w:p>
      <w:pPr>
        <w:spacing w:after="0"/>
        <w:rPr>
          <w:sz w:val="18"/>
        </w:rPr>
        <w:sectPr>
          <w:type w:val="continuous"/>
          <w:pgSz w:w="11910" w:h="16840"/>
          <w:pgMar w:top="300" w:bottom="280" w:left="1620" w:right="720"/>
        </w:sectPr>
      </w:pPr>
    </w:p>
    <w:p>
      <w:pPr>
        <w:pStyle w:val="Heading5"/>
        <w:numPr>
          <w:ilvl w:val="2"/>
          <w:numId w:val="14"/>
        </w:numPr>
        <w:tabs>
          <w:tab w:pos="524" w:val="left" w:leader="none"/>
        </w:tabs>
        <w:spacing w:line="230" w:lineRule="auto" w:before="0" w:after="0"/>
        <w:ind w:left="523" w:right="0" w:hanging="420"/>
        <w:jc w:val="left"/>
      </w:pPr>
      <w:r>
        <w:rPr/>
        <w:t>慢性肝功能衰竭失代偿期</w:t>
      </w:r>
    </w:p>
    <w:p>
      <w:pPr>
        <w:pStyle w:val="BodyText"/>
        <w:ind w:left="103"/>
      </w:pPr>
      <w:r>
        <w:rPr/>
        <w:br w:type="column"/>
      </w:r>
      <w:r>
        <w:rPr/>
        <w:t>指因慢性肝脏疾病导致肝功能衰竭，须满足下列全部条件：</w:t>
      </w:r>
    </w:p>
    <w:p>
      <w:pPr>
        <w:pStyle w:val="BodyText"/>
        <w:spacing w:before="37"/>
        <w:ind w:left="103"/>
      </w:pPr>
      <w:r>
        <w:rPr/>
        <w:t>（1）持续性黄疸；</w:t>
      </w:r>
    </w:p>
    <w:p>
      <w:pPr>
        <w:pStyle w:val="BodyText"/>
        <w:spacing w:before="37"/>
        <w:ind w:left="103"/>
      </w:pPr>
      <w:r>
        <w:rPr/>
        <w:t>（2）腹水；</w:t>
      </w:r>
    </w:p>
    <w:p>
      <w:pPr>
        <w:pStyle w:val="BodyText"/>
        <w:ind w:left="103"/>
      </w:pPr>
      <w:r>
        <w:rPr/>
        <w:t>（3）肝性脑病；</w:t>
      </w:r>
    </w:p>
    <w:p>
      <w:pPr>
        <w:pStyle w:val="BodyText"/>
        <w:spacing w:before="37"/>
        <w:ind w:left="103"/>
      </w:pPr>
      <w:r>
        <w:rPr/>
        <w:t>（4）充血性脾肿大伴脾功能亢进或食管胃底静脉曲张。</w:t>
      </w:r>
    </w:p>
    <w:p>
      <w:pPr>
        <w:pStyle w:val="Heading3"/>
        <w:spacing w:before="25"/>
        <w:ind w:left="103"/>
      </w:pPr>
      <w:r>
        <w:rPr>
          <w:w w:val="95"/>
        </w:rPr>
        <w:t>因酗酒或药物滥用导致的肝功能衰竭不在保障范围内。</w:t>
      </w:r>
    </w:p>
    <w:p>
      <w:pPr>
        <w:spacing w:after="0"/>
        <w:sectPr>
          <w:type w:val="continuous"/>
          <w:pgSz w:w="11910" w:h="16840"/>
          <w:pgMar w:top="300" w:bottom="280" w:left="1620" w:right="720"/>
          <w:cols w:num="2" w:equalWidth="0">
            <w:col w:w="1785" w:space="144"/>
            <w:col w:w="7641"/>
          </w:cols>
        </w:sectPr>
      </w:pPr>
    </w:p>
    <w:p>
      <w:pPr>
        <w:pStyle w:val="BodyText"/>
        <w:spacing w:before="6"/>
        <w:rPr>
          <w:b/>
          <w:i/>
          <w:sz w:val="17"/>
        </w:rPr>
      </w:pPr>
    </w:p>
    <w:p>
      <w:pPr>
        <w:spacing w:after="0"/>
        <w:rPr>
          <w:sz w:val="17"/>
        </w:rPr>
        <w:sectPr>
          <w:type w:val="continuous"/>
          <w:pgSz w:w="11910" w:h="16840"/>
          <w:pgMar w:top="300" w:bottom="280" w:left="1620" w:right="720"/>
        </w:sectPr>
      </w:pPr>
    </w:p>
    <w:p>
      <w:pPr>
        <w:pStyle w:val="Heading5"/>
        <w:numPr>
          <w:ilvl w:val="2"/>
          <w:numId w:val="14"/>
        </w:numPr>
        <w:tabs>
          <w:tab w:pos="524" w:val="left" w:leader="none"/>
        </w:tabs>
        <w:spacing w:line="230" w:lineRule="auto" w:before="0" w:after="0"/>
        <w:ind w:left="523" w:right="0" w:hanging="420"/>
        <w:jc w:val="left"/>
      </w:pPr>
      <w:r>
        <w:rPr/>
        <w:t>脑炎后遗症或脑膜炎后遗症</w:t>
      </w:r>
    </w:p>
    <w:p>
      <w:pPr>
        <w:pStyle w:val="BodyText"/>
        <w:spacing w:line="273" w:lineRule="auto" w:before="35"/>
        <w:ind w:left="103" w:right="163"/>
      </w:pPr>
      <w:r>
        <w:rPr/>
        <w:br w:type="column"/>
      </w:r>
      <w:r>
        <w:rPr/>
        <w:t>指因患脑炎或脑膜炎导致的神经系统永久性的功能障碍。神经系统永久性的功能障碍，指疾病确诊 180 天后，仍残留下列一种或一种以上障碍：</w:t>
      </w:r>
    </w:p>
    <w:p>
      <w:pPr>
        <w:pStyle w:val="BodyText"/>
        <w:spacing w:before="7"/>
        <w:ind w:left="103"/>
      </w:pPr>
      <w:r>
        <w:rPr/>
        <w:t>（1）一肢或一肢以上肢体机能完全丧失；</w:t>
      </w:r>
    </w:p>
    <w:p>
      <w:pPr>
        <w:pStyle w:val="BodyText"/>
        <w:ind w:left="103"/>
      </w:pPr>
      <w:r>
        <w:rPr/>
        <w:t>（2）语言能力或咀嚼吞咽能力完全丧失；</w:t>
      </w:r>
    </w:p>
    <w:p>
      <w:pPr>
        <w:pStyle w:val="BodyText"/>
        <w:spacing w:line="273" w:lineRule="auto"/>
        <w:ind w:left="628" w:right="286" w:hanging="526"/>
      </w:pPr>
      <w:r>
        <w:rPr/>
        <w:t>（3）自主生活能力完全丧失，无法独立完成六项基本日常生活活动中的三项或三项以上。</w:t>
      </w:r>
    </w:p>
    <w:p>
      <w:pPr>
        <w:spacing w:after="0" w:line="273" w:lineRule="auto"/>
        <w:sectPr>
          <w:type w:val="continuous"/>
          <w:pgSz w:w="11910" w:h="16840"/>
          <w:pgMar w:top="300" w:bottom="280" w:left="1620" w:right="720"/>
          <w:cols w:num="2" w:equalWidth="0">
            <w:col w:w="1785" w:space="144"/>
            <w:col w:w="7641"/>
          </w:cols>
        </w:sectPr>
      </w:pPr>
    </w:p>
    <w:p>
      <w:pPr>
        <w:pStyle w:val="BodyText"/>
        <w:spacing w:before="2"/>
        <w:rPr>
          <w:sz w:val="15"/>
        </w:rPr>
      </w:pPr>
    </w:p>
    <w:p>
      <w:pPr>
        <w:pStyle w:val="ListParagraph"/>
        <w:numPr>
          <w:ilvl w:val="2"/>
          <w:numId w:val="14"/>
        </w:numPr>
        <w:tabs>
          <w:tab w:pos="524" w:val="left" w:leader="none"/>
          <w:tab w:pos="2031" w:val="left" w:leader="none"/>
        </w:tabs>
        <w:spacing w:line="298" w:lineRule="exact" w:before="55" w:after="0"/>
        <w:ind w:left="2031" w:right="218" w:hanging="1928"/>
        <w:jc w:val="left"/>
        <w:rPr>
          <w:sz w:val="21"/>
        </w:rPr>
      </w:pPr>
      <w:r>
        <w:rPr>
          <w:rFonts w:ascii="Microsoft JhengHei" w:eastAsia="Microsoft JhengHei" w:hint="eastAsia"/>
          <w:b/>
          <w:sz w:val="21"/>
        </w:rPr>
        <w:t>深度昏迷</w:t>
        <w:tab/>
      </w:r>
      <w:r>
        <w:rPr>
          <w:spacing w:val="-1"/>
          <w:position w:val="1"/>
          <w:sz w:val="21"/>
        </w:rPr>
        <w:t>指因</w:t>
      </w:r>
      <w:r>
        <w:rPr>
          <w:position w:val="1"/>
          <w:sz w:val="21"/>
        </w:rPr>
        <w:t>疾病或意外伤害导致意识丧失,对外界刺激和体内需求均无反应,昏迷程度</w:t>
      </w:r>
      <w:r>
        <w:rPr>
          <w:sz w:val="21"/>
        </w:rPr>
        <w:t>按照格拉斯哥昏迷分级（Glasgow</w:t>
      </w:r>
      <w:r>
        <w:rPr>
          <w:spacing w:val="-23"/>
          <w:sz w:val="21"/>
        </w:rPr>
        <w:t> </w:t>
      </w:r>
      <w:r>
        <w:rPr>
          <w:sz w:val="21"/>
        </w:rPr>
        <w:t>coma</w:t>
      </w:r>
      <w:r>
        <w:rPr>
          <w:spacing w:val="-23"/>
          <w:sz w:val="21"/>
        </w:rPr>
        <w:t> </w:t>
      </w:r>
      <w:r>
        <w:rPr>
          <w:sz w:val="21"/>
        </w:rPr>
        <w:t>scale）结果为5分或5分以下，且已经持</w:t>
      </w:r>
    </w:p>
    <w:p>
      <w:pPr>
        <w:pStyle w:val="BodyText"/>
        <w:spacing w:before="6"/>
        <w:ind w:left="2031"/>
      </w:pPr>
      <w:r>
        <w:rPr/>
        <w:t>续使用呼吸机及其它生命维持系统96 小时以上。</w:t>
      </w:r>
    </w:p>
    <w:p>
      <w:pPr>
        <w:pStyle w:val="Heading3"/>
        <w:spacing w:before="25"/>
        <w:ind w:left="2031"/>
      </w:pPr>
      <w:r>
        <w:rPr>
          <w:w w:val="95"/>
        </w:rPr>
        <w:t>因酗酒或药物滥用导致的深度昏迷不在保障范围内。</w:t>
      </w:r>
    </w:p>
    <w:p>
      <w:pPr>
        <w:pStyle w:val="BodyText"/>
        <w:spacing w:before="7"/>
        <w:rPr>
          <w:b/>
          <w:i/>
          <w:sz w:val="17"/>
        </w:rPr>
      </w:pPr>
    </w:p>
    <w:p>
      <w:pPr>
        <w:spacing w:after="0"/>
        <w:rPr>
          <w:sz w:val="17"/>
        </w:rPr>
        <w:sectPr>
          <w:type w:val="continuous"/>
          <w:pgSz w:w="11910" w:h="16840"/>
          <w:pgMar w:top="300" w:bottom="280" w:left="1620" w:right="720"/>
        </w:sectPr>
      </w:pPr>
    </w:p>
    <w:p>
      <w:pPr>
        <w:pStyle w:val="Heading5"/>
        <w:numPr>
          <w:ilvl w:val="2"/>
          <w:numId w:val="14"/>
        </w:numPr>
        <w:tabs>
          <w:tab w:pos="524" w:val="left" w:leader="none"/>
        </w:tabs>
        <w:spacing w:line="230" w:lineRule="auto" w:before="0" w:after="0"/>
        <w:ind w:left="523" w:right="0" w:hanging="420"/>
        <w:jc w:val="left"/>
      </w:pPr>
      <w:r>
        <w:rPr/>
        <w:t>双耳失聪－三周岁始理赔</w:t>
      </w:r>
    </w:p>
    <w:p>
      <w:pPr>
        <w:pStyle w:val="BodyText"/>
        <w:spacing w:before="35"/>
        <w:ind w:left="103"/>
      </w:pPr>
      <w:r>
        <w:rPr/>
        <w:br w:type="column"/>
      </w:r>
      <w:r>
        <w:rPr>
          <w:spacing w:val="-4"/>
        </w:rPr>
        <w:t>指因疾病或意外伤害导致双耳听力永久不可逆性丧失，在 </w:t>
      </w:r>
      <w:r>
        <w:rPr/>
        <w:t>500</w:t>
      </w:r>
      <w:r>
        <w:rPr>
          <w:spacing w:val="-25"/>
        </w:rPr>
        <w:t> 赫兹、</w:t>
      </w:r>
      <w:r>
        <w:rPr/>
        <w:t>1000</w:t>
      </w:r>
      <w:r>
        <w:rPr>
          <w:spacing w:val="-14"/>
        </w:rPr>
        <w:t> 赫兹和</w:t>
      </w:r>
    </w:p>
    <w:p>
      <w:pPr>
        <w:pStyle w:val="BodyText"/>
        <w:spacing w:line="273" w:lineRule="auto" w:before="37"/>
        <w:ind w:left="103" w:right="217"/>
      </w:pPr>
      <w:r>
        <w:rPr/>
        <w:t>2000</w:t>
      </w:r>
      <w:r>
        <w:rPr>
          <w:spacing w:val="-11"/>
        </w:rPr>
        <w:t> 赫兹语音频率下，平均听阈大于 </w:t>
      </w:r>
      <w:r>
        <w:rPr/>
        <w:t>90</w:t>
      </w:r>
      <w:r>
        <w:rPr>
          <w:spacing w:val="-8"/>
        </w:rPr>
        <w:t> 分贝，且经纯音听力测试、声导抗检测或听觉诱发电位检测等证实。</w:t>
      </w:r>
    </w:p>
    <w:p>
      <w:pPr>
        <w:pStyle w:val="Heading3"/>
        <w:spacing w:line="259" w:lineRule="auto"/>
        <w:ind w:left="103" w:right="166"/>
      </w:pPr>
      <w:r>
        <w:rPr>
          <w:w w:val="95"/>
        </w:rPr>
        <w:t>被保险人申请理赔时年龄必须在三周岁以上，并且提供理赔当时的听力丧失诊断及检查证据。</w:t>
      </w:r>
    </w:p>
    <w:p>
      <w:pPr>
        <w:spacing w:after="0" w:line="259" w:lineRule="auto"/>
        <w:sectPr>
          <w:type w:val="continuous"/>
          <w:pgSz w:w="11910" w:h="16840"/>
          <w:pgMar w:top="300" w:bottom="280" w:left="1620" w:right="720"/>
          <w:cols w:num="2" w:equalWidth="0">
            <w:col w:w="1785" w:space="144"/>
            <w:col w:w="7641"/>
          </w:cols>
        </w:sectPr>
      </w:pPr>
    </w:p>
    <w:p>
      <w:pPr>
        <w:pStyle w:val="Heading5"/>
        <w:numPr>
          <w:ilvl w:val="2"/>
          <w:numId w:val="14"/>
        </w:numPr>
        <w:tabs>
          <w:tab w:pos="524" w:val="left" w:leader="none"/>
        </w:tabs>
        <w:spacing w:line="324" w:lineRule="exact" w:before="0" w:after="0"/>
        <w:ind w:left="523" w:right="0" w:hanging="420"/>
        <w:jc w:val="left"/>
      </w:pPr>
      <w:r>
        <w:rPr/>
        <w:t>双目失明－三</w:t>
      </w:r>
    </w:p>
    <w:p>
      <w:pPr>
        <w:spacing w:line="359" w:lineRule="exact" w:before="0"/>
        <w:ind w:left="523" w:right="0" w:firstLine="0"/>
        <w:jc w:val="left"/>
        <w:rPr>
          <w:rFonts w:ascii="Microsoft JhengHei" w:eastAsia="Microsoft JhengHei" w:hint="eastAsia"/>
          <w:b/>
          <w:sz w:val="21"/>
        </w:rPr>
      </w:pPr>
      <w:r>
        <w:rPr>
          <w:rFonts w:ascii="Microsoft JhengHei" w:eastAsia="Microsoft JhengHei" w:hint="eastAsia"/>
          <w:b/>
          <w:sz w:val="21"/>
        </w:rPr>
        <w:t>周岁始理赔</w:t>
      </w:r>
    </w:p>
    <w:p>
      <w:pPr>
        <w:pStyle w:val="BodyText"/>
        <w:spacing w:line="273" w:lineRule="auto" w:before="19"/>
        <w:ind w:left="103" w:right="163"/>
      </w:pPr>
      <w:r>
        <w:rPr/>
        <w:br w:type="column"/>
      </w:r>
      <w:r>
        <w:rPr/>
        <w:t>指因疾病或意外伤害导致双眼视力永久不可逆性丧失，双眼中较好眼须满足下列至少一项条件：</w:t>
      </w:r>
    </w:p>
    <w:p>
      <w:pPr>
        <w:pStyle w:val="BodyText"/>
        <w:spacing w:before="7"/>
        <w:ind w:left="103"/>
      </w:pPr>
      <w:r>
        <w:rPr/>
        <w:t>（1）眼球缺失或摘除；</w:t>
      </w:r>
    </w:p>
    <w:p>
      <w:pPr>
        <w:pStyle w:val="BodyText"/>
        <w:ind w:left="103"/>
      </w:pPr>
      <w:r>
        <w:rPr/>
        <w:t>（2</w:t>
      </w:r>
      <w:r>
        <w:rPr>
          <w:spacing w:val="-65"/>
        </w:rPr>
        <w:t>）</w:t>
      </w:r>
      <w:r>
        <w:rPr>
          <w:spacing w:val="-9"/>
        </w:rPr>
        <w:t>矫正视力低于 </w:t>
      </w:r>
      <w:r>
        <w:rPr/>
        <w:t>0.0</w:t>
      </w:r>
      <w:r>
        <w:rPr>
          <w:spacing w:val="-66"/>
        </w:rPr>
        <w:t>2</w:t>
      </w:r>
      <w:r>
        <w:rPr/>
        <w:t>（</w:t>
      </w:r>
      <w:r>
        <w:rPr>
          <w:spacing w:val="-7"/>
        </w:rPr>
        <w:t>采用国际标准视力表，若使用其他视力表应进行换算</w:t>
      </w:r>
      <w:r>
        <w:rPr>
          <w:spacing w:val="-106"/>
        </w:rPr>
        <w:t>）</w:t>
      </w:r>
      <w:r>
        <w:rPr/>
        <w:t>；</w:t>
      </w:r>
    </w:p>
    <w:p>
      <w:pPr>
        <w:pStyle w:val="BodyText"/>
        <w:ind w:left="103"/>
      </w:pPr>
      <w:r>
        <w:rPr/>
        <w:t>（3）视野半径小于 5 度。</w:t>
      </w:r>
    </w:p>
    <w:p>
      <w:pPr>
        <w:pStyle w:val="Heading3"/>
        <w:spacing w:line="259" w:lineRule="auto" w:before="25"/>
        <w:ind w:left="103" w:right="167"/>
      </w:pPr>
      <w:r>
        <w:rPr>
          <w:w w:val="95"/>
        </w:rPr>
        <w:t>被保险人申请理赔时年龄必须在三周岁以上，并且提供理赔当时的视力丧失诊断及检查证据。</w:t>
      </w:r>
    </w:p>
    <w:p>
      <w:pPr>
        <w:spacing w:after="0" w:line="259" w:lineRule="auto"/>
        <w:sectPr>
          <w:pgSz w:w="11910" w:h="16840"/>
          <w:pgMar w:header="0" w:footer="442" w:top="1100" w:bottom="640" w:left="1620" w:right="720"/>
          <w:cols w:num="2" w:equalWidth="0">
            <w:col w:w="1785" w:space="143"/>
            <w:col w:w="7642"/>
          </w:cols>
        </w:sectPr>
      </w:pPr>
    </w:p>
    <w:p>
      <w:pPr>
        <w:pStyle w:val="BodyText"/>
        <w:spacing w:before="4"/>
        <w:rPr>
          <w:b/>
          <w:i/>
          <w:sz w:val="16"/>
        </w:rPr>
      </w:pPr>
    </w:p>
    <w:p>
      <w:pPr>
        <w:pStyle w:val="ListParagraph"/>
        <w:numPr>
          <w:ilvl w:val="2"/>
          <w:numId w:val="14"/>
        </w:numPr>
        <w:tabs>
          <w:tab w:pos="524" w:val="left" w:leader="none"/>
          <w:tab w:pos="2031" w:val="left" w:leader="none"/>
        </w:tabs>
        <w:spacing w:line="298" w:lineRule="exact" w:before="55" w:after="0"/>
        <w:ind w:left="2031" w:right="219" w:hanging="1928"/>
        <w:jc w:val="left"/>
        <w:rPr>
          <w:sz w:val="21"/>
        </w:rPr>
      </w:pPr>
      <w:r>
        <w:rPr>
          <w:rFonts w:ascii="Microsoft JhengHei" w:eastAsia="Microsoft JhengHei" w:hint="eastAsia"/>
          <w:b/>
          <w:sz w:val="21"/>
        </w:rPr>
        <w:t>瘫痪</w:t>
        <w:tab/>
      </w:r>
      <w:r>
        <w:rPr>
          <w:position w:val="1"/>
          <w:sz w:val="21"/>
        </w:rPr>
        <w:t>指因疾病或意外伤害导致两肢或两肢以上肢体机能永久完全丧失</w:t>
      </w:r>
      <w:r>
        <w:rPr>
          <w:spacing w:val="-39"/>
          <w:position w:val="1"/>
          <w:sz w:val="21"/>
        </w:rPr>
        <w:t>。</w:t>
      </w:r>
      <w:r>
        <w:rPr>
          <w:position w:val="1"/>
          <w:sz w:val="21"/>
        </w:rPr>
        <w:t>肢体机能永久</w:t>
      </w:r>
      <w:r>
        <w:rPr>
          <w:sz w:val="21"/>
        </w:rPr>
        <w:t>完全丧失</w:t>
      </w:r>
      <w:r>
        <w:rPr>
          <w:spacing w:val="-20"/>
          <w:sz w:val="21"/>
        </w:rPr>
        <w:t>，</w:t>
      </w:r>
      <w:r>
        <w:rPr>
          <w:sz w:val="21"/>
        </w:rPr>
        <w:t>指疾病确诊</w:t>
      </w:r>
      <w:r>
        <w:rPr>
          <w:spacing w:val="-54"/>
          <w:sz w:val="21"/>
        </w:rPr>
        <w:t> </w:t>
      </w:r>
      <w:r>
        <w:rPr>
          <w:sz w:val="21"/>
        </w:rPr>
        <w:t>180</w:t>
      </w:r>
      <w:r>
        <w:rPr>
          <w:spacing w:val="-53"/>
          <w:sz w:val="21"/>
        </w:rPr>
        <w:t> </w:t>
      </w:r>
      <w:r>
        <w:rPr>
          <w:sz w:val="21"/>
        </w:rPr>
        <w:t>天后或意外伤害发生</w:t>
      </w:r>
      <w:r>
        <w:rPr>
          <w:spacing w:val="-54"/>
          <w:sz w:val="21"/>
        </w:rPr>
        <w:t> </w:t>
      </w:r>
      <w:r>
        <w:rPr>
          <w:sz w:val="21"/>
        </w:rPr>
        <w:t>180</w:t>
      </w:r>
      <w:r>
        <w:rPr>
          <w:spacing w:val="-53"/>
          <w:sz w:val="21"/>
        </w:rPr>
        <w:t> </w:t>
      </w:r>
      <w:r>
        <w:rPr>
          <w:sz w:val="21"/>
        </w:rPr>
        <w:t>天后</w:t>
      </w:r>
      <w:r>
        <w:rPr>
          <w:spacing w:val="-20"/>
          <w:sz w:val="21"/>
        </w:rPr>
        <w:t>，</w:t>
      </w:r>
      <w:r>
        <w:rPr>
          <w:sz w:val="21"/>
        </w:rPr>
        <w:t>每肢三大关节中的两</w:t>
      </w:r>
    </w:p>
    <w:p>
      <w:pPr>
        <w:pStyle w:val="BodyText"/>
        <w:spacing w:before="6"/>
        <w:ind w:left="2031"/>
      </w:pPr>
      <w:r>
        <w:rPr/>
        <w:t>大关节仍然完全僵硬，或不能随意识活动。</w:t>
      </w:r>
    </w:p>
    <w:p>
      <w:pPr>
        <w:pStyle w:val="BodyText"/>
        <w:spacing w:before="0"/>
        <w:rPr>
          <w:sz w:val="16"/>
        </w:rPr>
      </w:pPr>
    </w:p>
    <w:p>
      <w:pPr>
        <w:pStyle w:val="ListParagraph"/>
        <w:numPr>
          <w:ilvl w:val="2"/>
          <w:numId w:val="14"/>
        </w:numPr>
        <w:tabs>
          <w:tab w:pos="524" w:val="left" w:leader="none"/>
          <w:tab w:pos="2031" w:val="left" w:leader="none"/>
        </w:tabs>
        <w:spacing w:line="240" w:lineRule="auto" w:before="0" w:after="0"/>
        <w:ind w:left="523" w:right="0" w:hanging="420"/>
        <w:jc w:val="left"/>
        <w:rPr>
          <w:sz w:val="21"/>
        </w:rPr>
      </w:pPr>
      <w:r>
        <w:rPr>
          <w:rFonts w:ascii="Microsoft JhengHei" w:eastAsia="Microsoft JhengHei" w:hint="eastAsia"/>
          <w:b/>
          <w:sz w:val="21"/>
        </w:rPr>
        <w:t>心脏瓣膜手术</w:t>
        <w:tab/>
      </w:r>
      <w:r>
        <w:rPr>
          <w:position w:val="1"/>
          <w:sz w:val="21"/>
        </w:rPr>
        <w:t>指为治疗心脏瓣膜疾病，实际实施了开胸进行的心脏瓣膜置换或修复的手术。</w:t>
      </w:r>
    </w:p>
    <w:p>
      <w:pPr>
        <w:pStyle w:val="BodyText"/>
        <w:spacing w:before="2"/>
        <w:rPr>
          <w:sz w:val="14"/>
        </w:rPr>
      </w:pPr>
    </w:p>
    <w:p>
      <w:pPr>
        <w:spacing w:after="0"/>
        <w:rPr>
          <w:sz w:val="14"/>
        </w:rPr>
        <w:sectPr>
          <w:type w:val="continuous"/>
          <w:pgSz w:w="11910" w:h="16840"/>
          <w:pgMar w:top="300" w:bottom="280" w:left="1620" w:right="720"/>
        </w:sectPr>
      </w:pPr>
    </w:p>
    <w:p>
      <w:pPr>
        <w:pStyle w:val="Heading5"/>
        <w:numPr>
          <w:ilvl w:val="2"/>
          <w:numId w:val="14"/>
        </w:numPr>
        <w:tabs>
          <w:tab w:pos="524" w:val="left" w:leader="none"/>
        </w:tabs>
        <w:spacing w:line="232" w:lineRule="auto" w:before="0" w:after="0"/>
        <w:ind w:left="523" w:right="0" w:hanging="420"/>
        <w:jc w:val="both"/>
      </w:pPr>
      <w:r>
        <w:rPr/>
        <w:t>严重阿尔茨海</w:t>
      </w:r>
      <w:r>
        <w:rPr>
          <w:w w:val="95"/>
        </w:rPr>
        <w:t>默病—限七十</w:t>
      </w:r>
      <w:r>
        <w:rPr/>
        <w:t>周岁前发病</w:t>
      </w:r>
    </w:p>
    <w:p>
      <w:pPr>
        <w:pStyle w:val="BodyText"/>
        <w:spacing w:line="273" w:lineRule="auto" w:before="35"/>
        <w:ind w:left="103" w:right="216"/>
        <w:jc w:val="both"/>
      </w:pPr>
      <w:r>
        <w:rPr/>
        <w:br w:type="column"/>
      </w:r>
      <w:r>
        <w:rPr>
          <w:spacing w:val="-4"/>
        </w:rPr>
        <w:t>指因大脑进行性、不可逆性改变导致智能严重衰退或丧失，临床表现为明显的认</w:t>
      </w:r>
      <w:r>
        <w:rPr>
          <w:spacing w:val="-8"/>
        </w:rPr>
        <w:t>知能力障碍、行为异常和社交能力减退，其日常生活必须持续受到他人监护。须</w:t>
      </w:r>
      <w:r>
        <w:rPr/>
        <w:t>由头颅断层扫描</w:t>
      </w:r>
      <w:r>
        <w:rPr>
          <w:spacing w:val="1"/>
        </w:rPr>
        <w:t>（</w:t>
      </w:r>
      <w:r>
        <w:rPr>
          <w:spacing w:val="-1"/>
        </w:rPr>
        <w:t>C</w:t>
      </w:r>
      <w:r>
        <w:rPr>
          <w:spacing w:val="1"/>
        </w:rPr>
        <w:t>T</w:t>
      </w:r>
      <w:r>
        <w:rPr>
          <w:spacing w:val="-104"/>
        </w:rPr>
        <w:t>）</w:t>
      </w:r>
      <w:r>
        <w:rPr/>
        <w:t>、核磁共振检查</w:t>
      </w:r>
      <w:r>
        <w:rPr>
          <w:spacing w:val="1"/>
        </w:rPr>
        <w:t>（</w:t>
      </w:r>
      <w:r>
        <w:rPr>
          <w:spacing w:val="-1"/>
        </w:rPr>
        <w:t>M</w:t>
      </w:r>
      <w:r>
        <w:rPr/>
        <w:t>R</w:t>
      </w:r>
      <w:r>
        <w:rPr>
          <w:spacing w:val="0"/>
        </w:rPr>
        <w:t>I</w:t>
      </w:r>
      <w:r>
        <w:rPr>
          <w:spacing w:val="1"/>
        </w:rPr>
        <w:t>）</w:t>
      </w:r>
      <w:r>
        <w:rPr/>
        <w:t>或正电子发射断层扫描</w:t>
      </w:r>
      <w:r>
        <w:rPr>
          <w:spacing w:val="1"/>
        </w:rPr>
        <w:t>（</w:t>
      </w:r>
      <w:r>
        <w:rPr>
          <w:spacing w:val="-1"/>
        </w:rPr>
        <w:t>P</w:t>
      </w:r>
      <w:r>
        <w:rPr/>
        <w:t>E</w:t>
      </w:r>
      <w:r>
        <w:rPr>
          <w:spacing w:val="0"/>
        </w:rPr>
        <w:t>T</w:t>
      </w:r>
      <w:r>
        <w:rPr>
          <w:spacing w:val="1"/>
        </w:rPr>
        <w:t>）等</w:t>
      </w:r>
      <w:r>
        <w:rPr>
          <w:spacing w:val="-4"/>
        </w:rPr>
        <w:t>影像学检查证实，且自主生活能力完全丧失，无法独立完成六项基本日常生活活动中的三项或三项以上。</w:t>
      </w:r>
    </w:p>
    <w:p>
      <w:pPr>
        <w:pStyle w:val="Heading3"/>
        <w:spacing w:line="284" w:lineRule="exact"/>
        <w:ind w:left="103"/>
        <w:jc w:val="both"/>
      </w:pPr>
      <w:r>
        <w:rPr>
          <w:w w:val="95"/>
        </w:rPr>
        <w:t>神经官能症和精神疾病不在保障范围内。</w:t>
      </w:r>
    </w:p>
    <w:p>
      <w:pPr>
        <w:spacing w:after="0" w:line="284" w:lineRule="exact"/>
        <w:jc w:val="both"/>
        <w:sectPr>
          <w:type w:val="continuous"/>
          <w:pgSz w:w="11910" w:h="16840"/>
          <w:pgMar w:top="300" w:bottom="280" w:left="1620" w:right="720"/>
          <w:cols w:num="2" w:equalWidth="0">
            <w:col w:w="1785" w:space="144"/>
            <w:col w:w="7641"/>
          </w:cols>
        </w:sectPr>
      </w:pPr>
    </w:p>
    <w:p>
      <w:pPr>
        <w:pStyle w:val="BodyText"/>
        <w:spacing w:before="0"/>
        <w:rPr>
          <w:b/>
          <w:i/>
          <w:sz w:val="16"/>
        </w:rPr>
      </w:pPr>
    </w:p>
    <w:p>
      <w:pPr>
        <w:pStyle w:val="ListParagraph"/>
        <w:numPr>
          <w:ilvl w:val="2"/>
          <w:numId w:val="14"/>
        </w:numPr>
        <w:tabs>
          <w:tab w:pos="524" w:val="left" w:leader="none"/>
          <w:tab w:pos="2031" w:val="left" w:leader="none"/>
        </w:tabs>
        <w:spacing w:line="298" w:lineRule="exact" w:before="55" w:after="0"/>
        <w:ind w:left="2031" w:right="112" w:hanging="1928"/>
        <w:jc w:val="left"/>
        <w:rPr>
          <w:sz w:val="21"/>
        </w:rPr>
      </w:pPr>
      <w:r>
        <w:rPr>
          <w:rFonts w:ascii="Microsoft JhengHei" w:eastAsia="Microsoft JhengHei" w:hint="eastAsia"/>
          <w:b/>
          <w:sz w:val="21"/>
        </w:rPr>
        <w:t>严重脑损伤</w:t>
        <w:tab/>
      </w:r>
      <w:r>
        <w:rPr>
          <w:position w:val="1"/>
          <w:sz w:val="21"/>
        </w:rPr>
        <w:t>指因头部遭受机械性外力</w:t>
      </w:r>
      <w:r>
        <w:rPr>
          <w:spacing w:val="-20"/>
          <w:position w:val="1"/>
          <w:sz w:val="21"/>
        </w:rPr>
        <w:t>，</w:t>
      </w:r>
      <w:r>
        <w:rPr>
          <w:position w:val="1"/>
          <w:sz w:val="21"/>
        </w:rPr>
        <w:t>引起脑重要部位损伤</w:t>
      </w:r>
      <w:r>
        <w:rPr>
          <w:spacing w:val="-20"/>
          <w:position w:val="1"/>
          <w:sz w:val="21"/>
        </w:rPr>
        <w:t>，</w:t>
      </w:r>
      <w:r>
        <w:rPr>
          <w:position w:val="1"/>
          <w:sz w:val="21"/>
        </w:rPr>
        <w:t>导致神经系统永久性的功能障</w:t>
      </w:r>
      <w:r>
        <w:rPr>
          <w:spacing w:val="-1"/>
          <w:sz w:val="21"/>
        </w:rPr>
        <w:t>碍</w:t>
      </w:r>
      <w:r>
        <w:rPr>
          <w:spacing w:val="-41"/>
          <w:sz w:val="21"/>
        </w:rPr>
        <w:t>。</w:t>
      </w:r>
      <w:r>
        <w:rPr>
          <w:spacing w:val="-1"/>
          <w:sz w:val="21"/>
        </w:rPr>
        <w:t>须由头颅断层扫</w:t>
      </w:r>
      <w:r>
        <w:rPr>
          <w:spacing w:val="-41"/>
          <w:sz w:val="21"/>
        </w:rPr>
        <w:t>描</w:t>
      </w:r>
      <w:r>
        <w:rPr>
          <w:spacing w:val="-1"/>
          <w:sz w:val="21"/>
        </w:rPr>
        <w:t>（CT</w:t>
      </w:r>
      <w:r>
        <w:rPr>
          <w:spacing w:val="-104"/>
          <w:sz w:val="21"/>
        </w:rPr>
        <w:t>）</w:t>
      </w:r>
      <w:r>
        <w:rPr>
          <w:spacing w:val="-41"/>
          <w:sz w:val="21"/>
        </w:rPr>
        <w:t>、</w:t>
      </w:r>
      <w:r>
        <w:rPr>
          <w:spacing w:val="-1"/>
          <w:sz w:val="21"/>
        </w:rPr>
        <w:t>核磁共</w:t>
      </w:r>
      <w:r>
        <w:rPr>
          <w:spacing w:val="-2"/>
          <w:sz w:val="21"/>
        </w:rPr>
        <w:t>振</w:t>
      </w:r>
      <w:r>
        <w:rPr>
          <w:spacing w:val="-1"/>
          <w:sz w:val="21"/>
        </w:rPr>
        <w:t>检</w:t>
      </w:r>
      <w:r>
        <w:rPr>
          <w:spacing w:val="-41"/>
          <w:sz w:val="21"/>
        </w:rPr>
        <w:t>查</w:t>
      </w:r>
      <w:r>
        <w:rPr>
          <w:spacing w:val="-1"/>
          <w:sz w:val="21"/>
        </w:rPr>
        <w:t>（MRI</w:t>
      </w:r>
      <w:r>
        <w:rPr>
          <w:spacing w:val="-42"/>
          <w:sz w:val="21"/>
        </w:rPr>
        <w:t>）</w:t>
      </w:r>
      <w:r>
        <w:rPr>
          <w:spacing w:val="-1"/>
          <w:sz w:val="21"/>
        </w:rPr>
        <w:t>或正电子发射断层扫</w:t>
      </w:r>
      <w:r>
        <w:rPr>
          <w:spacing w:val="-41"/>
          <w:sz w:val="21"/>
        </w:rPr>
        <w:t>描</w:t>
      </w:r>
      <w:r>
        <w:rPr>
          <w:spacing w:val="-1"/>
          <w:sz w:val="21"/>
        </w:rPr>
        <w:t>（PET）</w:t>
      </w:r>
    </w:p>
    <w:p>
      <w:pPr>
        <w:pStyle w:val="BodyText"/>
        <w:spacing w:line="273" w:lineRule="auto" w:before="6"/>
        <w:ind w:left="2031" w:right="220"/>
      </w:pPr>
      <w:r>
        <w:rPr>
          <w:spacing w:val="-5"/>
        </w:rPr>
        <w:t>等影像学检查证实。神经系统永久性的功能障碍，指脑损伤 </w:t>
      </w:r>
      <w:r>
        <w:rPr/>
        <w:t>180</w:t>
      </w:r>
      <w:r>
        <w:rPr>
          <w:spacing w:val="-10"/>
        </w:rPr>
        <w:t> 天后，仍遗留下列一种或一种以上障碍：</w:t>
      </w:r>
    </w:p>
    <w:p>
      <w:pPr>
        <w:pStyle w:val="BodyText"/>
        <w:spacing w:before="7"/>
        <w:ind w:left="2031"/>
      </w:pPr>
      <w:r>
        <w:rPr/>
        <w:t>（1）一肢或一肢以上肢体机能完全丧失；</w:t>
      </w:r>
    </w:p>
    <w:p>
      <w:pPr>
        <w:pStyle w:val="BodyText"/>
        <w:spacing w:before="37"/>
        <w:ind w:left="2031"/>
      </w:pPr>
      <w:r>
        <w:rPr/>
        <w:t>（2）语言能力或咀嚼吞咽能力完全丧失；</w:t>
      </w:r>
    </w:p>
    <w:p>
      <w:pPr>
        <w:pStyle w:val="BodyText"/>
        <w:spacing w:line="273" w:lineRule="auto" w:before="37"/>
        <w:ind w:left="2557" w:right="286" w:hanging="526"/>
      </w:pPr>
      <w:r>
        <w:rPr/>
        <w:t>（3）自主生活能力完全丧失，无法独立完成六项基本日常生活活动中的三项或三项以上。</w:t>
      </w:r>
    </w:p>
    <w:p>
      <w:pPr>
        <w:pStyle w:val="ListParagraph"/>
        <w:numPr>
          <w:ilvl w:val="2"/>
          <w:numId w:val="14"/>
        </w:numPr>
        <w:tabs>
          <w:tab w:pos="524" w:val="left" w:leader="none"/>
          <w:tab w:pos="2031" w:val="left" w:leader="none"/>
        </w:tabs>
        <w:spacing w:line="240" w:lineRule="auto" w:before="150" w:after="0"/>
        <w:ind w:left="2031" w:right="220" w:hanging="1928"/>
        <w:jc w:val="left"/>
        <w:rPr>
          <w:sz w:val="21"/>
        </w:rPr>
      </w:pPr>
      <w:r>
        <w:rPr>
          <w:rFonts w:ascii="Microsoft JhengHei" w:eastAsia="Microsoft JhengHei" w:hint="eastAsia"/>
          <w:b/>
          <w:sz w:val="21"/>
        </w:rPr>
        <w:t>严重帕金森病</w:t>
        <w:tab/>
      </w:r>
      <w:r>
        <w:rPr>
          <w:position w:val="1"/>
          <w:sz w:val="21"/>
        </w:rPr>
        <w:t>指一种中枢神经系统的退行性疾病</w:t>
      </w:r>
      <w:r>
        <w:rPr>
          <w:spacing w:val="-14"/>
          <w:position w:val="1"/>
          <w:sz w:val="21"/>
        </w:rPr>
        <w:t>，</w:t>
      </w:r>
      <w:r>
        <w:rPr>
          <w:position w:val="1"/>
          <w:sz w:val="21"/>
        </w:rPr>
        <w:t>临床表现为震颤麻痹</w:t>
      </w:r>
      <w:r>
        <w:rPr>
          <w:spacing w:val="-14"/>
          <w:position w:val="1"/>
          <w:sz w:val="21"/>
        </w:rPr>
        <w:t>、</w:t>
      </w:r>
      <w:r>
        <w:rPr>
          <w:position w:val="1"/>
          <w:sz w:val="21"/>
        </w:rPr>
        <w:t>共济失调等</w:t>
      </w:r>
      <w:r>
        <w:rPr>
          <w:spacing w:val="-14"/>
          <w:position w:val="1"/>
          <w:sz w:val="21"/>
        </w:rPr>
        <w:t>。</w:t>
      </w:r>
      <w:r>
        <w:rPr>
          <w:position w:val="1"/>
          <w:sz w:val="21"/>
        </w:rPr>
        <w:t>须满足</w:t>
      </w:r>
      <w:r>
        <w:rPr>
          <w:sz w:val="21"/>
        </w:rPr>
        <w:t>下列全部条件：</w:t>
      </w:r>
    </w:p>
    <w:p>
      <w:pPr>
        <w:pStyle w:val="BodyText"/>
        <w:ind w:left="2031"/>
      </w:pPr>
      <w:r>
        <w:rPr/>
        <w:t>（1）药物治疗无法控制病情；</w:t>
      </w:r>
    </w:p>
    <w:p>
      <w:pPr>
        <w:pStyle w:val="BodyText"/>
        <w:spacing w:line="273" w:lineRule="auto"/>
        <w:ind w:left="2557" w:right="216" w:hanging="526"/>
      </w:pPr>
      <w:r>
        <w:rPr/>
        <w:t>（2）自主生活能力完全丧失，无法独立完成六项基本日常生活活动中的三项或三项以上。</w:t>
      </w:r>
    </w:p>
    <w:p>
      <w:pPr>
        <w:pStyle w:val="Heading3"/>
        <w:spacing w:line="284" w:lineRule="exact"/>
        <w:ind w:left="2031"/>
      </w:pPr>
      <w:r>
        <w:rPr>
          <w:w w:val="95"/>
        </w:rPr>
        <w:t>继发性帕金森综合征不在保障范围内。</w:t>
      </w:r>
    </w:p>
    <w:p>
      <w:pPr>
        <w:pStyle w:val="ListParagraph"/>
        <w:numPr>
          <w:ilvl w:val="2"/>
          <w:numId w:val="14"/>
        </w:numPr>
        <w:tabs>
          <w:tab w:pos="524" w:val="left" w:leader="none"/>
          <w:tab w:pos="2031" w:val="left" w:leader="none"/>
        </w:tabs>
        <w:spacing w:line="240" w:lineRule="auto" w:before="175" w:after="0"/>
        <w:ind w:left="2031" w:right="286" w:hanging="1928"/>
        <w:jc w:val="left"/>
        <w:rPr>
          <w:sz w:val="21"/>
        </w:rPr>
      </w:pPr>
      <w:r>
        <w:rPr>
          <w:rFonts w:ascii="Microsoft JhengHei" w:hAnsi="Microsoft JhengHei" w:eastAsia="Microsoft JhengHei" w:hint="eastAsia"/>
          <w:b/>
          <w:sz w:val="21"/>
        </w:rPr>
        <w:t>严</w:t>
      </w:r>
      <w:r>
        <w:rPr>
          <w:rFonts w:ascii="Microsoft JhengHei" w:hAnsi="Microsoft JhengHei" w:eastAsia="Microsoft JhengHei" w:hint="eastAsia"/>
          <w:b/>
          <w:spacing w:val="25"/>
          <w:sz w:val="21"/>
        </w:rPr>
        <w:t>重</w:t>
      </w:r>
      <w:r>
        <w:rPr>
          <w:rFonts w:ascii="Microsoft JhengHei" w:hAnsi="Microsoft JhengHei" w:eastAsia="Microsoft JhengHei" w:hint="eastAsia"/>
          <w:b/>
          <w:sz w:val="21"/>
        </w:rPr>
        <w:t>III</w:t>
      </w:r>
      <w:r>
        <w:rPr>
          <w:rFonts w:ascii="Microsoft JhengHei" w:hAnsi="Microsoft JhengHei" w:eastAsia="Microsoft JhengHei" w:hint="eastAsia"/>
          <w:b/>
          <w:spacing w:val="-27"/>
          <w:sz w:val="21"/>
        </w:rPr>
        <w:t> </w:t>
      </w:r>
      <w:r>
        <w:rPr>
          <w:rFonts w:ascii="Microsoft JhengHei" w:hAnsi="Microsoft JhengHei" w:eastAsia="Microsoft JhengHei" w:hint="eastAsia"/>
          <w:b/>
          <w:sz w:val="21"/>
        </w:rPr>
        <w:t>度烧伤</w:t>
        <w:tab/>
      </w:r>
      <w:r>
        <w:rPr>
          <w:position w:val="1"/>
          <w:sz w:val="21"/>
        </w:rPr>
        <w:t>指烧伤程度为Ⅲ度，且Ⅲ度烧伤面积达到全身体表面积的</w:t>
      </w:r>
      <w:r>
        <w:rPr>
          <w:spacing w:val="-54"/>
          <w:position w:val="1"/>
          <w:sz w:val="21"/>
        </w:rPr>
        <w:t> </w:t>
      </w:r>
      <w:r>
        <w:rPr>
          <w:position w:val="1"/>
          <w:sz w:val="21"/>
        </w:rPr>
        <w:t>20％或</w:t>
      </w:r>
      <w:r>
        <w:rPr>
          <w:spacing w:val="-54"/>
          <w:position w:val="1"/>
          <w:sz w:val="21"/>
        </w:rPr>
        <w:t> </w:t>
      </w:r>
      <w:r>
        <w:rPr>
          <w:position w:val="1"/>
          <w:sz w:val="21"/>
        </w:rPr>
        <w:t>20％以上。体</w:t>
      </w:r>
      <w:r>
        <w:rPr>
          <w:sz w:val="21"/>
        </w:rPr>
        <w:t>表面积根据《中国新九分法》计算。</w:t>
      </w:r>
    </w:p>
    <w:p>
      <w:pPr>
        <w:pStyle w:val="BodyText"/>
        <w:spacing w:before="2"/>
        <w:rPr>
          <w:sz w:val="17"/>
        </w:rPr>
      </w:pPr>
    </w:p>
    <w:p>
      <w:pPr>
        <w:spacing w:after="0"/>
        <w:rPr>
          <w:sz w:val="17"/>
        </w:rPr>
        <w:sectPr>
          <w:type w:val="continuous"/>
          <w:pgSz w:w="11910" w:h="16840"/>
          <w:pgMar w:top="300" w:bottom="280" w:left="1620" w:right="720"/>
        </w:sectPr>
      </w:pPr>
    </w:p>
    <w:p>
      <w:pPr>
        <w:pStyle w:val="Heading5"/>
        <w:numPr>
          <w:ilvl w:val="2"/>
          <w:numId w:val="14"/>
        </w:numPr>
        <w:tabs>
          <w:tab w:pos="524" w:val="left" w:leader="none"/>
        </w:tabs>
        <w:spacing w:line="230" w:lineRule="auto" w:before="0" w:after="0"/>
        <w:ind w:left="523" w:right="0" w:hanging="420"/>
        <w:jc w:val="left"/>
      </w:pPr>
      <w:r>
        <w:rPr/>
        <w:t>严重原发性肺动脉高压</w:t>
      </w:r>
    </w:p>
    <w:p>
      <w:pPr>
        <w:pStyle w:val="BodyText"/>
        <w:spacing w:line="273" w:lineRule="auto"/>
        <w:ind w:left="103" w:right="216"/>
        <w:jc w:val="both"/>
      </w:pPr>
      <w:r>
        <w:rPr/>
        <w:br w:type="column"/>
      </w:r>
      <w:r>
        <w:rPr>
          <w:spacing w:val="-3"/>
        </w:rPr>
        <w:t>指不明原因的肺动脉压力持续性增高，进行性发展而导致的慢性疾病，已经造成</w:t>
      </w:r>
      <w:r>
        <w:rPr>
          <w:spacing w:val="-11"/>
        </w:rPr>
        <w:t>永久不可逆性的体力活动能力受限，达到美国纽约心脏病学会心功能状态分级 </w:t>
      </w:r>
      <w:r>
        <w:rPr/>
        <w:t>IV </w:t>
      </w:r>
      <w:r>
        <w:rPr>
          <w:spacing w:val="-4"/>
        </w:rPr>
        <w:t>级，且静息状态下肺动脉平均压超过 </w:t>
      </w:r>
      <w:r>
        <w:rPr/>
        <w:t>30mmHg。</w:t>
      </w:r>
    </w:p>
    <w:p>
      <w:pPr>
        <w:spacing w:after="0" w:line="273" w:lineRule="auto"/>
        <w:jc w:val="both"/>
        <w:sectPr>
          <w:type w:val="continuous"/>
          <w:pgSz w:w="11910" w:h="16840"/>
          <w:pgMar w:top="300" w:bottom="280" w:left="1620" w:right="720"/>
          <w:cols w:num="2" w:equalWidth="0">
            <w:col w:w="1785" w:space="144"/>
            <w:col w:w="7641"/>
          </w:cols>
        </w:sectPr>
      </w:pPr>
    </w:p>
    <w:p>
      <w:pPr>
        <w:pStyle w:val="BodyText"/>
        <w:spacing w:before="10"/>
        <w:rPr>
          <w:sz w:val="11"/>
        </w:rPr>
      </w:pPr>
    </w:p>
    <w:p>
      <w:pPr>
        <w:spacing w:after="0"/>
        <w:rPr>
          <w:sz w:val="11"/>
        </w:rPr>
        <w:sectPr>
          <w:type w:val="continuous"/>
          <w:pgSz w:w="11910" w:h="16840"/>
          <w:pgMar w:top="300" w:bottom="280" w:left="1620" w:right="720"/>
        </w:sectPr>
      </w:pPr>
    </w:p>
    <w:p>
      <w:pPr>
        <w:pStyle w:val="Heading5"/>
        <w:numPr>
          <w:ilvl w:val="2"/>
          <w:numId w:val="14"/>
        </w:numPr>
        <w:tabs>
          <w:tab w:pos="524" w:val="left" w:leader="none"/>
        </w:tabs>
        <w:spacing w:line="230" w:lineRule="auto" w:before="0" w:after="0"/>
        <w:ind w:left="523" w:right="0" w:hanging="420"/>
        <w:jc w:val="left"/>
      </w:pPr>
      <w:r>
        <w:rPr/>
        <w:t>严重运动神经元病</w:t>
      </w:r>
    </w:p>
    <w:p>
      <w:pPr>
        <w:pStyle w:val="BodyText"/>
        <w:spacing w:line="273" w:lineRule="auto"/>
        <w:ind w:left="103" w:right="219"/>
        <w:jc w:val="both"/>
      </w:pPr>
      <w:r>
        <w:rPr/>
        <w:br w:type="column"/>
      </w:r>
      <w:r>
        <w:rPr>
          <w:spacing w:val="-2"/>
        </w:rPr>
        <w:t>是一组中枢神经系统运动神经元的进行性变性疾病，包括进行性脊肌萎缩症、进</w:t>
      </w:r>
      <w:r>
        <w:rPr>
          <w:spacing w:val="-6"/>
        </w:rPr>
        <w:t>行性延髓麻痹症、原发性侧索硬化症、肌萎缩性侧索硬化症。须满足自主生活能力完全丧失，无法独立完成六项基本日常生活活动中的三项或三项以上。</w:t>
      </w:r>
    </w:p>
    <w:p>
      <w:pPr>
        <w:spacing w:after="0" w:line="273" w:lineRule="auto"/>
        <w:jc w:val="both"/>
        <w:sectPr>
          <w:type w:val="continuous"/>
          <w:pgSz w:w="11910" w:h="16840"/>
          <w:pgMar w:top="300" w:bottom="280" w:left="1620" w:right="720"/>
          <w:cols w:num="2" w:equalWidth="0">
            <w:col w:w="1785" w:space="144"/>
            <w:col w:w="7641"/>
          </w:cols>
        </w:sectPr>
      </w:pPr>
    </w:p>
    <w:p>
      <w:pPr>
        <w:pStyle w:val="Heading5"/>
        <w:numPr>
          <w:ilvl w:val="2"/>
          <w:numId w:val="14"/>
        </w:numPr>
        <w:tabs>
          <w:tab w:pos="1304" w:val="left" w:leader="none"/>
        </w:tabs>
        <w:spacing w:line="324" w:lineRule="exact" w:before="0" w:after="0"/>
        <w:ind w:left="2811" w:right="0" w:hanging="1928"/>
        <w:jc w:val="left"/>
      </w:pPr>
      <w:r>
        <w:rPr/>
        <w:t>语言能力丧失</w:t>
      </w:r>
    </w:p>
    <w:p>
      <w:pPr>
        <w:spacing w:line="359" w:lineRule="exact" w:before="0"/>
        <w:ind w:left="1303" w:right="0" w:firstLine="0"/>
        <w:jc w:val="left"/>
        <w:rPr>
          <w:rFonts w:ascii="Microsoft JhengHei" w:eastAsia="Microsoft JhengHei" w:hint="eastAsia"/>
          <w:b/>
          <w:sz w:val="21"/>
        </w:rPr>
      </w:pPr>
      <w:r>
        <w:rPr>
          <w:rFonts w:ascii="Microsoft JhengHei" w:eastAsia="Microsoft JhengHei" w:hint="eastAsia"/>
          <w:b/>
          <w:sz w:val="21"/>
        </w:rPr>
        <w:t>－三岁始理赔</w:t>
      </w:r>
    </w:p>
    <w:p>
      <w:pPr>
        <w:pStyle w:val="BodyText"/>
        <w:spacing w:line="273" w:lineRule="auto" w:before="19"/>
        <w:ind w:left="207" w:right="219"/>
      </w:pPr>
      <w:r>
        <w:rPr/>
        <w:br w:type="column"/>
      </w:r>
      <w:r>
        <w:rPr>
          <w:spacing w:val="-2"/>
        </w:rPr>
        <w:t>指因疾病或意外伤害导致完全丧失语言能力，经过积极治疗至少 </w:t>
      </w:r>
      <w:r>
        <w:rPr/>
        <w:t>12</w:t>
      </w:r>
      <w:r>
        <w:rPr>
          <w:spacing w:val="-11"/>
        </w:rPr>
        <w:t> 个月</w:t>
      </w:r>
      <w:r>
        <w:rPr/>
        <w:t>（声带完全切除不受此时间限制</w:t>
      </w:r>
      <w:r>
        <w:rPr>
          <w:spacing w:val="-105"/>
        </w:rPr>
        <w:t>）</w:t>
      </w:r>
      <w:r>
        <w:rPr>
          <w:spacing w:val="-1"/>
        </w:rPr>
        <w:t>，仍无法通过现有医疗手段恢复。</w:t>
      </w:r>
    </w:p>
    <w:p>
      <w:pPr>
        <w:pStyle w:val="Heading3"/>
        <w:spacing w:line="284" w:lineRule="exact"/>
        <w:ind w:left="207"/>
      </w:pPr>
      <w:r>
        <w:rPr>
          <w:w w:val="95"/>
        </w:rPr>
        <w:t>精神心理因素所致的语言能力丧失不在保障范围内。</w:t>
      </w:r>
    </w:p>
    <w:p>
      <w:pPr>
        <w:spacing w:line="259" w:lineRule="auto" w:before="24"/>
        <w:ind w:left="207" w:right="166" w:firstLine="0"/>
        <w:jc w:val="left"/>
        <w:rPr>
          <w:b/>
          <w:i/>
          <w:sz w:val="22"/>
        </w:rPr>
      </w:pPr>
      <w:r>
        <w:rPr>
          <w:b/>
          <w:i/>
          <w:w w:val="95"/>
          <w:sz w:val="22"/>
        </w:rPr>
        <w:t>被保险人申请理赔时年龄必须在三周岁以上，并且提供理赔当时的语言能力丧失诊断及检查证据。</w:t>
      </w:r>
    </w:p>
    <w:p>
      <w:pPr>
        <w:spacing w:after="0" w:line="259" w:lineRule="auto"/>
        <w:jc w:val="left"/>
        <w:rPr>
          <w:sz w:val="22"/>
        </w:rPr>
        <w:sectPr>
          <w:pgSz w:w="11910" w:h="16840"/>
          <w:pgMar w:header="0" w:footer="442" w:top="1100" w:bottom="640" w:left="840" w:right="720"/>
          <w:cols w:num="2" w:equalWidth="0">
            <w:col w:w="2565" w:space="40"/>
            <w:col w:w="7745"/>
          </w:cols>
        </w:sectPr>
      </w:pPr>
    </w:p>
    <w:p>
      <w:pPr>
        <w:pStyle w:val="BodyText"/>
        <w:spacing w:before="6"/>
        <w:rPr>
          <w:b/>
          <w:i/>
          <w:sz w:val="16"/>
        </w:rPr>
      </w:pPr>
    </w:p>
    <w:p>
      <w:pPr>
        <w:spacing w:after="0"/>
        <w:rPr>
          <w:sz w:val="16"/>
        </w:rPr>
        <w:sectPr>
          <w:type w:val="continuous"/>
          <w:pgSz w:w="11910" w:h="16840"/>
          <w:pgMar w:top="300" w:bottom="280" w:left="840" w:right="720"/>
        </w:sectPr>
      </w:pPr>
    </w:p>
    <w:p>
      <w:pPr>
        <w:pStyle w:val="Heading5"/>
        <w:numPr>
          <w:ilvl w:val="2"/>
          <w:numId w:val="14"/>
        </w:numPr>
        <w:tabs>
          <w:tab w:pos="1304" w:val="left" w:leader="none"/>
        </w:tabs>
        <w:spacing w:line="230" w:lineRule="auto" w:before="0" w:after="0"/>
        <w:ind w:left="1303" w:right="0" w:hanging="420"/>
        <w:jc w:val="left"/>
      </w:pPr>
      <w:r>
        <w:rPr/>
        <w:t>重型再生障碍性贫血</w:t>
      </w:r>
    </w:p>
    <w:p>
      <w:pPr>
        <w:pStyle w:val="BodyText"/>
        <w:spacing w:line="273" w:lineRule="auto" w:before="35"/>
        <w:ind w:left="207" w:right="180"/>
      </w:pPr>
      <w:r>
        <w:rPr/>
        <w:br w:type="column"/>
      </w:r>
      <w:r>
        <w:rPr/>
        <w:t>指因骨髓造血功能慢性持续性衰竭导致的贫血、中性粒细胞减少及血小板减少， 须满足下列全部条件：</w:t>
      </w:r>
    </w:p>
    <w:p>
      <w:pPr>
        <w:pStyle w:val="BodyText"/>
        <w:spacing w:before="7"/>
        <w:ind w:left="207"/>
      </w:pPr>
      <w:r>
        <w:rPr/>
        <w:t>（1）骨髓穿刺检查或骨髓活检结果支持诊断；</w:t>
      </w:r>
    </w:p>
    <w:p>
      <w:pPr>
        <w:pStyle w:val="BodyText"/>
        <w:ind w:left="207"/>
      </w:pPr>
      <w:r>
        <w:rPr/>
        <w:t>（2）外周血象必须具备以下三项条件：</w:t>
      </w:r>
    </w:p>
    <w:p>
      <w:pPr>
        <w:pStyle w:val="BodyText"/>
        <w:ind w:left="627"/>
      </w:pPr>
      <w:r>
        <w:rPr/>
        <w:t>①中性粒细胞绝对值≤0.5×10</w:t>
      </w:r>
      <w:r>
        <w:rPr>
          <w:position w:val="11"/>
          <w:sz w:val="11"/>
        </w:rPr>
        <w:t>9</w:t>
      </w:r>
      <w:r>
        <w:rPr/>
        <w:t>/L；</w:t>
      </w:r>
    </w:p>
    <w:p>
      <w:pPr>
        <w:pStyle w:val="BodyText"/>
        <w:ind w:left="627"/>
      </w:pPr>
      <w:r>
        <w:rPr/>
        <w:t>②网织红细胞＜1%；</w:t>
      </w:r>
    </w:p>
    <w:p>
      <w:pPr>
        <w:pStyle w:val="BodyText"/>
        <w:ind w:left="627"/>
      </w:pPr>
      <w:r>
        <w:rPr>
          <w:w w:val="95"/>
        </w:rPr>
        <w:t>③血小板绝对值≤20×</w:t>
      </w:r>
      <w:r>
        <w:rPr>
          <w:rFonts w:ascii="Times New Roman" w:hAnsi="Times New Roman" w:eastAsia="Times New Roman"/>
          <w:w w:val="95"/>
        </w:rPr>
        <w:t>10</w:t>
      </w:r>
      <w:r>
        <w:rPr>
          <w:rFonts w:ascii="Times New Roman" w:hAnsi="Times New Roman" w:eastAsia="Times New Roman"/>
          <w:w w:val="95"/>
          <w:vertAlign w:val="superscript"/>
        </w:rPr>
        <w:t>9</w:t>
      </w:r>
      <w:r>
        <w:rPr>
          <w:rFonts w:ascii="Times New Roman" w:hAnsi="Times New Roman" w:eastAsia="Times New Roman"/>
          <w:w w:val="95"/>
          <w:vertAlign w:val="baseline"/>
        </w:rPr>
      </w:r>
      <w:r>
        <w:rPr>
          <w:w w:val="95"/>
          <w:vertAlign w:val="baseline"/>
        </w:rPr>
        <w:t>/L。</w:t>
      </w:r>
    </w:p>
    <w:p>
      <w:pPr>
        <w:spacing w:after="0"/>
        <w:sectPr>
          <w:type w:val="continuous"/>
          <w:pgSz w:w="11910" w:h="16840"/>
          <w:pgMar w:top="300" w:bottom="280" w:left="840" w:right="720"/>
          <w:cols w:num="2" w:equalWidth="0">
            <w:col w:w="2565" w:space="40"/>
            <w:col w:w="7745"/>
          </w:cols>
        </w:sectPr>
      </w:pPr>
    </w:p>
    <w:p>
      <w:pPr>
        <w:pStyle w:val="BodyText"/>
        <w:spacing w:before="6"/>
        <w:rPr>
          <w:sz w:val="18"/>
        </w:rPr>
      </w:pPr>
    </w:p>
    <w:p>
      <w:pPr>
        <w:pStyle w:val="ListParagraph"/>
        <w:numPr>
          <w:ilvl w:val="2"/>
          <w:numId w:val="14"/>
        </w:numPr>
        <w:tabs>
          <w:tab w:pos="1304" w:val="left" w:leader="none"/>
          <w:tab w:pos="2811" w:val="left" w:leader="none"/>
        </w:tabs>
        <w:spacing w:line="298" w:lineRule="exact" w:before="56" w:after="0"/>
        <w:ind w:left="2811" w:right="219" w:hanging="1928"/>
        <w:jc w:val="left"/>
        <w:rPr>
          <w:sz w:val="21"/>
        </w:rPr>
      </w:pPr>
      <w:r>
        <w:rPr>
          <w:rFonts w:ascii="Microsoft JhengHei" w:eastAsia="Microsoft JhengHei" w:hint="eastAsia"/>
          <w:b/>
          <w:sz w:val="21"/>
        </w:rPr>
        <w:t>主动脉手术</w:t>
        <w:tab/>
      </w:r>
      <w:r>
        <w:rPr>
          <w:position w:val="1"/>
          <w:sz w:val="21"/>
        </w:rPr>
        <w:t>指为治疗主动脉疾病</w:t>
      </w:r>
      <w:r>
        <w:rPr>
          <w:spacing w:val="-14"/>
          <w:position w:val="1"/>
          <w:sz w:val="21"/>
        </w:rPr>
        <w:t>，</w:t>
      </w:r>
      <w:r>
        <w:rPr>
          <w:position w:val="1"/>
          <w:sz w:val="21"/>
        </w:rPr>
        <w:t>实际实施了开胸或开腹进行的切除</w:t>
      </w:r>
      <w:r>
        <w:rPr>
          <w:spacing w:val="-14"/>
          <w:position w:val="1"/>
          <w:sz w:val="21"/>
        </w:rPr>
        <w:t>、</w:t>
      </w:r>
      <w:r>
        <w:rPr>
          <w:position w:val="1"/>
          <w:sz w:val="21"/>
        </w:rPr>
        <w:t>置换</w:t>
      </w:r>
      <w:r>
        <w:rPr>
          <w:spacing w:val="-14"/>
          <w:position w:val="1"/>
          <w:sz w:val="21"/>
        </w:rPr>
        <w:t>、</w:t>
      </w:r>
      <w:r>
        <w:rPr>
          <w:position w:val="1"/>
          <w:sz w:val="21"/>
        </w:rPr>
        <w:t>修补病损主动</w:t>
      </w:r>
      <w:r>
        <w:rPr>
          <w:sz w:val="21"/>
        </w:rPr>
        <w:t>脉血管的手术</w:t>
      </w:r>
      <w:r>
        <w:rPr>
          <w:spacing w:val="-20"/>
          <w:sz w:val="21"/>
        </w:rPr>
        <w:t>。</w:t>
      </w:r>
      <w:r>
        <w:rPr>
          <w:sz w:val="21"/>
        </w:rPr>
        <w:t>主动脉指胸主动脉和腹主动脉</w:t>
      </w:r>
      <w:r>
        <w:rPr>
          <w:spacing w:val="-20"/>
          <w:sz w:val="21"/>
        </w:rPr>
        <w:t>，</w:t>
      </w:r>
      <w:r>
        <w:rPr>
          <w:sz w:val="21"/>
        </w:rPr>
        <w:t>不包括胸主动脉和腹主动脉的分</w:t>
      </w:r>
    </w:p>
    <w:p>
      <w:pPr>
        <w:pStyle w:val="BodyText"/>
        <w:spacing w:before="7"/>
        <w:ind w:left="2811"/>
      </w:pPr>
      <w:r>
        <w:rPr/>
        <w:t>支血管。</w:t>
      </w:r>
    </w:p>
    <w:p>
      <w:pPr>
        <w:pStyle w:val="Heading3"/>
        <w:spacing w:before="25"/>
      </w:pPr>
      <w:r>
        <w:rPr>
          <w:w w:val="95"/>
        </w:rPr>
        <w:t>动脉内血管成形术不在保障范围内。</w:t>
      </w:r>
    </w:p>
    <w:p>
      <w:pPr>
        <w:pStyle w:val="BodyText"/>
        <w:spacing w:before="11"/>
        <w:rPr>
          <w:b/>
          <w:i/>
          <w:sz w:val="16"/>
        </w:rPr>
      </w:pPr>
    </w:p>
    <w:p>
      <w:pPr>
        <w:pStyle w:val="BodyText"/>
        <w:tabs>
          <w:tab w:pos="2811" w:val="left" w:leader="none"/>
        </w:tabs>
        <w:spacing w:before="0"/>
        <w:ind w:left="2175"/>
      </w:pPr>
      <w:r>
        <w:rPr/>
        <w:t>注：</w:t>
        <w:tab/>
      </w:r>
      <w:r>
        <w:rPr>
          <w:spacing w:val="-1"/>
        </w:rPr>
        <w:t>1、</w:t>
      </w:r>
      <w:r>
        <w:rPr/>
        <w:t>六项基本日常生活活动</w:t>
      </w:r>
    </w:p>
    <w:p>
      <w:pPr>
        <w:pStyle w:val="BodyText"/>
        <w:spacing w:line="271" w:lineRule="auto"/>
        <w:ind w:left="2811" w:right="179"/>
        <w:jc w:val="both"/>
      </w:pPr>
      <w:r>
        <w:rPr>
          <w:spacing w:val="-9"/>
        </w:rPr>
        <w:t>六项基本日常生活活动是指：</w:t>
      </w:r>
      <w:r>
        <w:rPr>
          <w:spacing w:val="-1"/>
        </w:rPr>
        <w:t>（1</w:t>
      </w:r>
      <w:r>
        <w:rPr>
          <w:spacing w:val="-8"/>
        </w:rPr>
        <w:t>）</w:t>
      </w:r>
      <w:r>
        <w:rPr>
          <w:spacing w:val="-12"/>
        </w:rPr>
        <w:t>穿衣：自己能够穿衣及脱衣；</w:t>
      </w:r>
      <w:r>
        <w:rPr>
          <w:spacing w:val="-1"/>
        </w:rPr>
        <w:t>（2</w:t>
      </w:r>
      <w:r>
        <w:rPr>
          <w:spacing w:val="-8"/>
        </w:rPr>
        <w:t>）</w:t>
      </w:r>
      <w:r>
        <w:rPr>
          <w:spacing w:val="-3"/>
        </w:rPr>
        <w:t>移动：自己</w:t>
      </w:r>
      <w:r>
        <w:rPr>
          <w:spacing w:val="-10"/>
        </w:rPr>
        <w:t>从一个房间到另一个房间；</w:t>
      </w:r>
      <w:r>
        <w:rPr>
          <w:spacing w:val="-1"/>
        </w:rPr>
        <w:t>（3</w:t>
      </w:r>
      <w:r>
        <w:rPr>
          <w:spacing w:val="-7"/>
        </w:rPr>
        <w:t>）</w:t>
      </w:r>
      <w:r>
        <w:rPr>
          <w:spacing w:val="-12"/>
        </w:rPr>
        <w:t>行动：自己上下床或上下轮椅；</w:t>
      </w:r>
      <w:r>
        <w:rPr>
          <w:spacing w:val="-1"/>
        </w:rPr>
        <w:t>（4</w:t>
      </w:r>
      <w:r>
        <w:rPr>
          <w:spacing w:val="-8"/>
        </w:rPr>
        <w:t>）</w:t>
      </w:r>
      <w:r>
        <w:rPr>
          <w:spacing w:val="-3"/>
        </w:rPr>
        <w:t>如厕：自己</w:t>
      </w:r>
      <w:r>
        <w:rPr>
          <w:spacing w:val="-14"/>
        </w:rPr>
        <w:t>控制进行大小便；</w:t>
      </w:r>
      <w:r>
        <w:rPr/>
        <w:t>（5</w:t>
      </w:r>
      <w:r>
        <w:rPr>
          <w:spacing w:val="-2"/>
        </w:rPr>
        <w:t>）</w:t>
      </w:r>
      <w:r>
        <w:rPr>
          <w:spacing w:val="-5"/>
        </w:rPr>
        <w:t>进食：自己从已准备好的碗或碟中取食物放入口中；</w:t>
      </w:r>
      <w:r>
        <w:rPr/>
        <w:t>（6）</w:t>
      </w:r>
      <w:r>
        <w:rPr>
          <w:spacing w:val="-1"/>
        </w:rPr>
        <w:t>洗澡：自己进行淋浴或盆浴。</w:t>
      </w:r>
    </w:p>
    <w:p>
      <w:pPr>
        <w:pStyle w:val="BodyText"/>
        <w:spacing w:before="9"/>
        <w:ind w:left="2811"/>
      </w:pPr>
      <w:r>
        <w:rPr/>
        <w:t>2、肢体机能完全丧失</w:t>
      </w:r>
    </w:p>
    <w:p>
      <w:pPr>
        <w:pStyle w:val="BodyText"/>
        <w:spacing w:line="273" w:lineRule="auto"/>
        <w:ind w:left="2811" w:right="163"/>
      </w:pPr>
      <w:r>
        <w:rPr/>
        <w:t>指肢体的三大关节中的两大关节僵硬，或不能随意识活动。肢体是指包括肩关节的整个上肢或包括髋关节的整个下肢。</w:t>
      </w:r>
    </w:p>
    <w:p>
      <w:pPr>
        <w:pStyle w:val="BodyText"/>
        <w:spacing w:before="7"/>
        <w:ind w:left="2811"/>
      </w:pPr>
      <w:r>
        <w:rPr/>
        <w:t>3、语言能力或咀嚼吞咽能力完全丧失</w:t>
      </w:r>
    </w:p>
    <w:p>
      <w:pPr>
        <w:pStyle w:val="BodyText"/>
        <w:spacing w:line="273" w:lineRule="auto" w:before="37"/>
        <w:ind w:left="2811" w:right="218"/>
        <w:jc w:val="both"/>
      </w:pPr>
      <w:r>
        <w:rPr>
          <w:spacing w:val="-3"/>
        </w:rPr>
        <w:t>语言能力完全丧失，指无法发出四种语音</w:t>
      </w:r>
      <w:r>
        <w:rPr/>
        <w:t>（</w:t>
      </w:r>
      <w:r>
        <w:rPr>
          <w:spacing w:val="-3"/>
        </w:rPr>
        <w:t>包括口唇音、齿舌音、口盖音和喉头音</w:t>
      </w:r>
      <w:r>
        <w:rPr>
          <w:spacing w:val="-36"/>
        </w:rPr>
        <w:t>）</w:t>
      </w:r>
      <w:r>
        <w:rPr>
          <w:spacing w:val="-9"/>
        </w:rPr>
        <w:t>中的任何三种、或声带全部切除，或因大脑语言中枢受伤害而患失语症。 咀</w:t>
      </w:r>
      <w:r>
        <w:rPr>
          <w:spacing w:val="-11"/>
        </w:rPr>
        <w:t>嚼吞咽能力完全丧失，指因牙齿以外的原因导致器质障碍或机能障碍，以致不能</w:t>
      </w:r>
      <w:r>
        <w:rPr>
          <w:spacing w:val="-1"/>
        </w:rPr>
        <w:t>作咀嚼吞咽运动，除流质食物外不能摄取或吞咽的状态。</w:t>
      </w:r>
    </w:p>
    <w:p>
      <w:pPr>
        <w:pStyle w:val="BodyText"/>
        <w:spacing w:before="7"/>
        <w:ind w:left="2811"/>
      </w:pPr>
      <w:r>
        <w:rPr/>
        <w:t>4、永久不可逆</w:t>
      </w:r>
    </w:p>
    <w:p>
      <w:pPr>
        <w:pStyle w:val="BodyText"/>
        <w:spacing w:line="273" w:lineRule="auto"/>
        <w:ind w:left="2811" w:right="218"/>
      </w:pPr>
      <w:r>
        <w:rPr>
          <w:spacing w:val="-6"/>
        </w:rPr>
        <w:t>指自疾病确诊或意外伤害发生之日起，经过积极治疗 </w:t>
      </w:r>
      <w:r>
        <w:rPr/>
        <w:t>180</w:t>
      </w:r>
      <w:r>
        <w:rPr>
          <w:spacing w:val="-8"/>
        </w:rPr>
        <w:t> 天后，仍无法通过现有</w:t>
      </w:r>
      <w:r>
        <w:rPr>
          <w:spacing w:val="-1"/>
        </w:rPr>
        <w:t>医疗手段恢复。</w:t>
      </w:r>
    </w:p>
    <w:p>
      <w:pPr>
        <w:pStyle w:val="BodyText"/>
        <w:spacing w:before="7"/>
        <w:ind w:left="2811"/>
      </w:pPr>
      <w:r>
        <w:rPr/>
        <w:t>5、专科医生</w:t>
      </w:r>
    </w:p>
    <w:p>
      <w:pPr>
        <w:pStyle w:val="BodyText"/>
        <w:spacing w:line="273" w:lineRule="auto" w:before="37"/>
        <w:ind w:left="2811" w:right="219"/>
        <w:jc w:val="both"/>
      </w:pPr>
      <w:r>
        <w:rPr/>
        <w:t>专科医生应当同时满足以下四项资格条件</w:t>
      </w:r>
      <w:r>
        <w:rPr>
          <w:spacing w:val="-118"/>
        </w:rPr>
        <w:t>：</w:t>
      </w:r>
      <w:r>
        <w:rPr>
          <w:spacing w:val="-1"/>
        </w:rPr>
        <w:t>（1</w:t>
      </w:r>
      <w:r>
        <w:rPr>
          <w:spacing w:val="-14"/>
        </w:rPr>
        <w:t>）</w:t>
      </w:r>
      <w:r>
        <w:rPr>
          <w:spacing w:val="-3"/>
        </w:rPr>
        <w:t>具有有效的中华人民共和国《医</w:t>
      </w:r>
      <w:r>
        <w:rPr>
          <w:spacing w:val="-32"/>
        </w:rPr>
        <w:t>师资格证书》；</w:t>
      </w:r>
      <w:r>
        <w:rPr/>
        <w:t>（2</w:t>
      </w:r>
      <w:r>
        <w:rPr>
          <w:spacing w:val="-10"/>
        </w:rPr>
        <w:t>）</w:t>
      </w:r>
      <w:r>
        <w:rPr>
          <w:spacing w:val="-9"/>
        </w:rPr>
        <w:t>具有有效的中华人民共和国《医师执业证书》，并按期到相关</w:t>
      </w:r>
      <w:r>
        <w:rPr>
          <w:spacing w:val="-26"/>
        </w:rPr>
        <w:t>部门登记注册；</w:t>
      </w:r>
      <w:r>
        <w:rPr/>
        <w:t>（3</w:t>
      </w:r>
      <w:r>
        <w:rPr>
          <w:spacing w:val="-20"/>
        </w:rPr>
        <w:t>）</w:t>
      </w:r>
      <w:r>
        <w:rPr>
          <w:spacing w:val="-1"/>
        </w:rPr>
        <w:t>具有有效的中华人民共和国主治医师或主治医师以上职称的</w:t>
      </w:r>
    </w:p>
    <w:p>
      <w:pPr>
        <w:pStyle w:val="BodyText"/>
        <w:spacing w:line="273" w:lineRule="auto" w:before="8"/>
        <w:ind w:left="2811" w:right="286" w:hanging="1"/>
      </w:pPr>
      <w:r>
        <w:rPr>
          <w:spacing w:val="-25"/>
        </w:rPr>
        <w:t>《医师职称证书》；</w:t>
      </w:r>
      <w:r>
        <w:rPr>
          <w:spacing w:val="-2"/>
        </w:rPr>
        <w:t>（</w:t>
      </w:r>
      <w:r>
        <w:rPr/>
        <w:t>4</w:t>
      </w:r>
      <w:r>
        <w:rPr>
          <w:spacing w:val="-2"/>
        </w:rPr>
        <w:t>）</w:t>
      </w:r>
      <w:r>
        <w:rPr/>
        <w:t>在二级或二级以上医院的相应科室从事临床工作三年以上。</w:t>
      </w:r>
    </w:p>
    <w:p>
      <w:pPr>
        <w:pStyle w:val="BodyText"/>
        <w:spacing w:before="10"/>
        <w:rPr>
          <w:sz w:val="24"/>
        </w:rPr>
      </w:pPr>
    </w:p>
    <w:p>
      <w:pPr>
        <w:pStyle w:val="ListParagraph"/>
        <w:numPr>
          <w:ilvl w:val="1"/>
          <w:numId w:val="14"/>
        </w:numPr>
        <w:tabs>
          <w:tab w:pos="872" w:val="left" w:leader="none"/>
          <w:tab w:pos="873" w:val="left" w:leader="none"/>
          <w:tab w:pos="2811" w:val="left" w:leader="none"/>
        </w:tabs>
        <w:spacing w:line="273" w:lineRule="auto" w:before="0" w:after="0"/>
        <w:ind w:left="2811" w:right="113" w:hanging="2711"/>
        <w:jc w:val="left"/>
        <w:rPr>
          <w:sz w:val="21"/>
        </w:rPr>
      </w:pPr>
      <w:r>
        <w:rPr>
          <w:b/>
          <w:sz w:val="21"/>
        </w:rPr>
        <w:t>毒品</w:t>
        <w:tab/>
      </w:r>
      <w:r>
        <w:rPr>
          <w:spacing w:val="-1"/>
          <w:sz w:val="21"/>
        </w:rPr>
        <w:t>指中</w:t>
      </w:r>
      <w:r>
        <w:rPr>
          <w:sz w:val="21"/>
        </w:rPr>
        <w:t>华人民共和国刑法规定的鸦片</w:t>
      </w:r>
      <w:r>
        <w:rPr>
          <w:spacing w:val="-8"/>
          <w:sz w:val="21"/>
        </w:rPr>
        <w:t>、</w:t>
      </w:r>
      <w:r>
        <w:rPr>
          <w:sz w:val="21"/>
        </w:rPr>
        <w:t>海洛因</w:t>
      </w:r>
      <w:r>
        <w:rPr>
          <w:spacing w:val="-9"/>
          <w:sz w:val="21"/>
        </w:rPr>
        <w:t>、</w:t>
      </w:r>
      <w:r>
        <w:rPr>
          <w:sz w:val="21"/>
        </w:rPr>
        <w:t>甲基苯丙</w:t>
      </w:r>
      <w:r>
        <w:rPr>
          <w:spacing w:val="-8"/>
          <w:sz w:val="21"/>
        </w:rPr>
        <w:t>胺</w:t>
      </w:r>
      <w:r>
        <w:rPr>
          <w:sz w:val="21"/>
        </w:rPr>
        <w:t>（冰毒</w:t>
      </w:r>
      <w:r>
        <w:rPr>
          <w:spacing w:val="-105"/>
          <w:sz w:val="21"/>
        </w:rPr>
        <w:t>）</w:t>
      </w:r>
      <w:r>
        <w:rPr>
          <w:spacing w:val="-8"/>
          <w:sz w:val="21"/>
        </w:rPr>
        <w:t>、</w:t>
      </w:r>
      <w:r>
        <w:rPr>
          <w:sz w:val="21"/>
        </w:rPr>
        <w:t>吗啡</w:t>
      </w:r>
      <w:r>
        <w:rPr>
          <w:spacing w:val="-8"/>
          <w:sz w:val="21"/>
        </w:rPr>
        <w:t>、</w:t>
      </w:r>
      <w:r>
        <w:rPr>
          <w:sz w:val="21"/>
        </w:rPr>
        <w:t>大麻、可卡因以及国家规定管制的其他能够使人形成瘾癖的麻醉药品和精神药品</w:t>
      </w:r>
      <w:r>
        <w:rPr>
          <w:spacing w:val="-39"/>
          <w:sz w:val="21"/>
        </w:rPr>
        <w:t>，</w:t>
      </w:r>
      <w:r>
        <w:rPr>
          <w:sz w:val="21"/>
        </w:rPr>
        <w:t>但不包括由医生开具并遵医嘱使用的用于治疗疾病但含有毒品成分的处方药品。</w:t>
      </w:r>
    </w:p>
    <w:p>
      <w:pPr>
        <w:pStyle w:val="BodyText"/>
        <w:spacing w:before="11"/>
        <w:rPr>
          <w:sz w:val="17"/>
        </w:rPr>
      </w:pPr>
    </w:p>
    <w:p>
      <w:pPr>
        <w:pStyle w:val="ListParagraph"/>
        <w:numPr>
          <w:ilvl w:val="1"/>
          <w:numId w:val="14"/>
        </w:numPr>
        <w:tabs>
          <w:tab w:pos="872" w:val="left" w:leader="none"/>
          <w:tab w:pos="873" w:val="left" w:leader="none"/>
          <w:tab w:pos="2811" w:val="left" w:leader="none"/>
        </w:tabs>
        <w:spacing w:line="240" w:lineRule="auto" w:before="0" w:after="0"/>
        <w:ind w:left="872" w:right="0" w:hanging="772"/>
        <w:jc w:val="left"/>
        <w:rPr>
          <w:sz w:val="21"/>
        </w:rPr>
      </w:pPr>
      <w:r>
        <w:rPr>
          <w:b/>
          <w:sz w:val="21"/>
        </w:rPr>
        <w:t>酒后驾驶</w:t>
        <w:tab/>
      </w:r>
      <w:r>
        <w:rPr>
          <w:sz w:val="21"/>
        </w:rPr>
        <w:t>指经检测或鉴定</w:t>
      </w:r>
      <w:r>
        <w:rPr>
          <w:spacing w:val="-39"/>
          <w:sz w:val="21"/>
        </w:rPr>
        <w:t>，</w:t>
      </w:r>
      <w:r>
        <w:rPr>
          <w:sz w:val="21"/>
        </w:rPr>
        <w:t>发生事故时车辆驾驶人员每百毫升血液中的酒精含量达到或超</w:t>
      </w:r>
    </w:p>
    <w:p>
      <w:pPr>
        <w:spacing w:after="0" w:line="240" w:lineRule="auto"/>
        <w:jc w:val="left"/>
        <w:rPr>
          <w:sz w:val="21"/>
        </w:rPr>
        <w:sectPr>
          <w:type w:val="continuous"/>
          <w:pgSz w:w="11910" w:h="16840"/>
          <w:pgMar w:top="300" w:bottom="280" w:left="840" w:right="72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5"/>
        <w:gridCol w:w="2040"/>
        <w:gridCol w:w="7487"/>
      </w:tblGrid>
      <w:tr>
        <w:trPr>
          <w:trHeight w:val="686" w:hRule="atLeast"/>
        </w:trPr>
        <w:tc>
          <w:tcPr>
            <w:tcW w:w="2635" w:type="dxa"/>
            <w:gridSpan w:val="2"/>
          </w:tcPr>
          <w:p>
            <w:pPr>
              <w:pStyle w:val="TableParagraph"/>
              <w:rPr>
                <w:rFonts w:ascii="Times New Roman"/>
                <w:sz w:val="20"/>
              </w:rPr>
            </w:pPr>
          </w:p>
        </w:tc>
        <w:tc>
          <w:tcPr>
            <w:tcW w:w="7487" w:type="dxa"/>
          </w:tcPr>
          <w:p>
            <w:pPr>
              <w:pStyle w:val="TableParagraph"/>
              <w:spacing w:line="210" w:lineRule="exact"/>
              <w:ind w:left="125"/>
              <w:rPr>
                <w:sz w:val="21"/>
              </w:rPr>
            </w:pPr>
            <w:r>
              <w:rPr>
                <w:sz w:val="21"/>
              </w:rPr>
              <w:t>过一定的标准，公安机关交通管理部门依据《道路交通安全法》的规定认定为饮</w:t>
            </w:r>
          </w:p>
          <w:p>
            <w:pPr>
              <w:pStyle w:val="TableParagraph"/>
              <w:spacing w:before="37"/>
              <w:ind w:left="125"/>
              <w:rPr>
                <w:sz w:val="21"/>
              </w:rPr>
            </w:pPr>
            <w:r>
              <w:rPr>
                <w:sz w:val="21"/>
              </w:rPr>
              <w:t>酒后驾驶或醉酒后驾驶。</w:t>
            </w:r>
          </w:p>
        </w:tc>
      </w:tr>
      <w:tr>
        <w:trPr>
          <w:trHeight w:val="425" w:hRule="atLeast"/>
        </w:trPr>
        <w:tc>
          <w:tcPr>
            <w:tcW w:w="595" w:type="dxa"/>
          </w:tcPr>
          <w:p>
            <w:pPr>
              <w:pStyle w:val="TableParagraph"/>
              <w:spacing w:before="99"/>
              <w:ind w:left="50"/>
              <w:rPr>
                <w:b/>
                <w:sz w:val="21"/>
              </w:rPr>
            </w:pPr>
            <w:r>
              <w:rPr>
                <w:b/>
                <w:sz w:val="21"/>
              </w:rPr>
              <w:t>9.7</w:t>
            </w:r>
          </w:p>
        </w:tc>
        <w:tc>
          <w:tcPr>
            <w:tcW w:w="2040" w:type="dxa"/>
          </w:tcPr>
          <w:p>
            <w:pPr>
              <w:pStyle w:val="TableParagraph"/>
              <w:spacing w:before="99"/>
              <w:ind w:left="226"/>
              <w:rPr>
                <w:b/>
                <w:sz w:val="21"/>
              </w:rPr>
            </w:pPr>
            <w:r>
              <w:rPr>
                <w:b/>
                <w:w w:val="95"/>
                <w:sz w:val="21"/>
              </w:rPr>
              <w:t>无合法有效驾驶证</w:t>
            </w:r>
          </w:p>
        </w:tc>
        <w:tc>
          <w:tcPr>
            <w:tcW w:w="7487" w:type="dxa"/>
          </w:tcPr>
          <w:p>
            <w:pPr>
              <w:pStyle w:val="TableParagraph"/>
              <w:spacing w:before="99"/>
              <w:ind w:left="125"/>
              <w:rPr>
                <w:sz w:val="21"/>
              </w:rPr>
            </w:pPr>
            <w:r>
              <w:rPr>
                <w:sz w:val="21"/>
              </w:rPr>
              <w:t>指下列情形之一：</w:t>
            </w:r>
          </w:p>
        </w:tc>
      </w:tr>
      <w:tr>
        <w:trPr>
          <w:trHeight w:val="311" w:hRule="atLeast"/>
        </w:trPr>
        <w:tc>
          <w:tcPr>
            <w:tcW w:w="595" w:type="dxa"/>
          </w:tcPr>
          <w:p>
            <w:pPr>
              <w:pStyle w:val="TableParagraph"/>
              <w:rPr>
                <w:rFonts w:ascii="Times New Roman"/>
                <w:sz w:val="20"/>
              </w:rPr>
            </w:pPr>
          </w:p>
        </w:tc>
        <w:tc>
          <w:tcPr>
            <w:tcW w:w="2040" w:type="dxa"/>
          </w:tcPr>
          <w:p>
            <w:pPr>
              <w:pStyle w:val="TableParagraph"/>
              <w:spacing w:line="261" w:lineRule="exact"/>
              <w:ind w:left="226"/>
              <w:rPr>
                <w:b/>
                <w:sz w:val="21"/>
              </w:rPr>
            </w:pPr>
            <w:r>
              <w:rPr>
                <w:b/>
                <w:w w:val="95"/>
                <w:sz w:val="21"/>
              </w:rPr>
              <w:t>驾驶</w:t>
            </w:r>
          </w:p>
        </w:tc>
        <w:tc>
          <w:tcPr>
            <w:tcW w:w="7487" w:type="dxa"/>
          </w:tcPr>
          <w:p>
            <w:pPr>
              <w:pStyle w:val="TableParagraph"/>
              <w:spacing w:line="261" w:lineRule="exact"/>
              <w:ind w:left="125"/>
              <w:rPr>
                <w:sz w:val="21"/>
              </w:rPr>
            </w:pPr>
            <w:r>
              <w:rPr>
                <w:sz w:val="21"/>
              </w:rPr>
              <w:t>（1）没有驾驶证驾驶；</w:t>
            </w:r>
          </w:p>
        </w:tc>
      </w:tr>
      <w:tr>
        <w:trPr>
          <w:trHeight w:val="311" w:hRule="atLeast"/>
        </w:trPr>
        <w:tc>
          <w:tcPr>
            <w:tcW w:w="2635" w:type="dxa"/>
            <w:gridSpan w:val="2"/>
            <w:vMerge w:val="restart"/>
          </w:tcPr>
          <w:p>
            <w:pPr>
              <w:pStyle w:val="TableParagraph"/>
              <w:rPr>
                <w:rFonts w:ascii="Times New Roman"/>
                <w:sz w:val="20"/>
              </w:rPr>
            </w:pPr>
          </w:p>
        </w:tc>
        <w:tc>
          <w:tcPr>
            <w:tcW w:w="7487" w:type="dxa"/>
          </w:tcPr>
          <w:p>
            <w:pPr>
              <w:pStyle w:val="TableParagraph"/>
              <w:spacing w:line="261" w:lineRule="exact"/>
              <w:ind w:left="125"/>
              <w:rPr>
                <w:sz w:val="21"/>
              </w:rPr>
            </w:pPr>
            <w:r>
              <w:rPr>
                <w:sz w:val="21"/>
              </w:rPr>
              <w:t>（2）驾驶与驾驶证准驾车型不相符合的车辆；</w:t>
            </w:r>
          </w:p>
        </w:tc>
      </w:tr>
      <w:tr>
        <w:trPr>
          <w:trHeight w:val="311" w:hRule="atLeast"/>
        </w:trPr>
        <w:tc>
          <w:tcPr>
            <w:tcW w:w="2635" w:type="dxa"/>
            <w:gridSpan w:val="2"/>
            <w:vMerge/>
            <w:tcBorders>
              <w:top w:val="nil"/>
            </w:tcBorders>
          </w:tcPr>
          <w:p>
            <w:pPr>
              <w:rPr>
                <w:sz w:val="2"/>
                <w:szCs w:val="2"/>
              </w:rPr>
            </w:pPr>
          </w:p>
        </w:tc>
        <w:tc>
          <w:tcPr>
            <w:tcW w:w="7487" w:type="dxa"/>
          </w:tcPr>
          <w:p>
            <w:pPr>
              <w:pStyle w:val="TableParagraph"/>
              <w:spacing w:line="261" w:lineRule="exact"/>
              <w:ind w:left="125"/>
              <w:rPr>
                <w:sz w:val="21"/>
              </w:rPr>
            </w:pPr>
            <w:r>
              <w:rPr>
                <w:sz w:val="21"/>
              </w:rPr>
              <w:t>（3）持审验不合格的驾驶证驾驶；</w:t>
            </w:r>
          </w:p>
        </w:tc>
      </w:tr>
      <w:tr>
        <w:trPr>
          <w:trHeight w:val="260" w:hRule="atLeast"/>
        </w:trPr>
        <w:tc>
          <w:tcPr>
            <w:tcW w:w="2635" w:type="dxa"/>
            <w:gridSpan w:val="2"/>
            <w:vMerge/>
            <w:tcBorders>
              <w:top w:val="nil"/>
            </w:tcBorders>
          </w:tcPr>
          <w:p>
            <w:pPr>
              <w:rPr>
                <w:sz w:val="2"/>
                <w:szCs w:val="2"/>
              </w:rPr>
            </w:pPr>
          </w:p>
        </w:tc>
        <w:tc>
          <w:tcPr>
            <w:tcW w:w="7487" w:type="dxa"/>
          </w:tcPr>
          <w:p>
            <w:pPr>
              <w:pStyle w:val="TableParagraph"/>
              <w:spacing w:line="241" w:lineRule="exact"/>
              <w:ind w:left="125"/>
              <w:rPr>
                <w:sz w:val="21"/>
              </w:rPr>
            </w:pPr>
            <w:r>
              <w:rPr>
                <w:sz w:val="21"/>
              </w:rPr>
              <w:t>（4）持学习驾驶证学习驾车时，无教练员随车指导，或不按指定时间、路线学</w:t>
            </w:r>
          </w:p>
        </w:tc>
      </w:tr>
    </w:tbl>
    <w:p>
      <w:pPr>
        <w:pStyle w:val="BodyText"/>
        <w:spacing w:before="41"/>
        <w:ind w:left="3375"/>
      </w:pPr>
      <w:r>
        <w:rPr/>
        <w:t>习驾车。</w:t>
      </w:r>
    </w:p>
    <w:p>
      <w:pPr>
        <w:pStyle w:val="BodyText"/>
        <w:spacing w:before="2"/>
        <w:rPr>
          <w:sz w:val="20"/>
        </w:rPr>
      </w:pPr>
    </w:p>
    <w:p>
      <w:pPr>
        <w:pStyle w:val="ListParagraph"/>
        <w:numPr>
          <w:ilvl w:val="1"/>
          <w:numId w:val="15"/>
        </w:numPr>
        <w:tabs>
          <w:tab w:pos="932" w:val="left" w:leader="none"/>
          <w:tab w:pos="933" w:val="left" w:leader="none"/>
          <w:tab w:pos="2871" w:val="left" w:leader="none"/>
        </w:tabs>
        <w:spacing w:line="240" w:lineRule="auto" w:before="0" w:after="0"/>
        <w:ind w:left="2871" w:right="0" w:hanging="2711"/>
        <w:jc w:val="left"/>
        <w:rPr>
          <w:sz w:val="21"/>
        </w:rPr>
      </w:pPr>
      <w:r>
        <w:rPr>
          <w:b/>
          <w:sz w:val="21"/>
        </w:rPr>
        <w:t>无有效行驶证</w:t>
        <w:tab/>
      </w:r>
      <w:r>
        <w:rPr>
          <w:sz w:val="21"/>
        </w:rPr>
        <w:t>指下列情形之一：</w:t>
      </w:r>
    </w:p>
    <w:p>
      <w:pPr>
        <w:pStyle w:val="BodyText"/>
        <w:spacing w:before="37"/>
        <w:ind w:left="2871"/>
      </w:pPr>
      <w:r>
        <w:rPr/>
        <w:t>（1）机动车被依法注销登记的；</w:t>
      </w:r>
    </w:p>
    <w:p>
      <w:pPr>
        <w:pStyle w:val="BodyText"/>
        <w:spacing w:before="37"/>
        <w:ind w:left="2871"/>
      </w:pPr>
      <w:r>
        <w:rPr/>
        <w:t>（2）未依法按时进行或通过机动车安全技术检验。</w:t>
      </w:r>
    </w:p>
    <w:p>
      <w:pPr>
        <w:pStyle w:val="BodyText"/>
        <w:spacing w:before="2"/>
        <w:rPr>
          <w:sz w:val="20"/>
        </w:rPr>
      </w:pPr>
    </w:p>
    <w:p>
      <w:pPr>
        <w:pStyle w:val="ListParagraph"/>
        <w:numPr>
          <w:ilvl w:val="1"/>
          <w:numId w:val="15"/>
        </w:numPr>
        <w:tabs>
          <w:tab w:pos="932" w:val="left" w:leader="none"/>
          <w:tab w:pos="933" w:val="left" w:leader="none"/>
          <w:tab w:pos="2871" w:val="left" w:leader="none"/>
        </w:tabs>
        <w:spacing w:line="273" w:lineRule="auto" w:before="0" w:after="0"/>
        <w:ind w:left="2871" w:right="219" w:hanging="2711"/>
        <w:jc w:val="left"/>
        <w:rPr>
          <w:sz w:val="21"/>
        </w:rPr>
      </w:pPr>
      <w:r>
        <w:rPr>
          <w:b/>
          <w:sz w:val="21"/>
        </w:rPr>
        <w:t>机动车</w:t>
        <w:tab/>
      </w:r>
      <w:r>
        <w:rPr>
          <w:sz w:val="21"/>
        </w:rPr>
        <w:t>指以动力装置驱动或牵引</w:t>
      </w:r>
      <w:r>
        <w:rPr>
          <w:spacing w:val="-39"/>
          <w:sz w:val="21"/>
        </w:rPr>
        <w:t>，</w:t>
      </w:r>
      <w:r>
        <w:rPr>
          <w:sz w:val="21"/>
        </w:rPr>
        <w:t>上道路行驶的供人员乘用或用于运送物品以及进行工程专项作业的轮式车辆。</w:t>
      </w:r>
    </w:p>
    <w:p>
      <w:pPr>
        <w:pStyle w:val="BodyText"/>
        <w:spacing w:before="10"/>
        <w:rPr>
          <w:sz w:val="14"/>
        </w:rPr>
      </w:pPr>
    </w:p>
    <w:p>
      <w:pPr>
        <w:spacing w:after="0"/>
        <w:rPr>
          <w:sz w:val="14"/>
        </w:rPr>
        <w:sectPr>
          <w:pgSz w:w="11910" w:h="16840"/>
          <w:pgMar w:header="0" w:footer="442" w:top="1180" w:bottom="640" w:left="780" w:right="720"/>
        </w:sectPr>
      </w:pPr>
    </w:p>
    <w:p>
      <w:pPr>
        <w:pStyle w:val="Heading5"/>
        <w:numPr>
          <w:ilvl w:val="1"/>
          <w:numId w:val="15"/>
        </w:numPr>
        <w:tabs>
          <w:tab w:pos="932" w:val="left" w:leader="none"/>
          <w:tab w:pos="933" w:val="left" w:leader="none"/>
        </w:tabs>
        <w:spacing w:line="273" w:lineRule="auto" w:before="42" w:after="0"/>
        <w:ind w:left="932" w:right="0" w:hanging="772"/>
        <w:jc w:val="left"/>
        <w:rPr>
          <w:rFonts w:ascii="宋体" w:eastAsia="宋体" w:hint="eastAsia"/>
        </w:rPr>
      </w:pPr>
      <w:r>
        <w:rPr>
          <w:rFonts w:ascii="宋体" w:eastAsia="宋体" w:hint="eastAsia"/>
        </w:rPr>
        <w:t>感染艾滋病病毒或</w:t>
      </w:r>
      <w:r>
        <w:rPr>
          <w:rFonts w:ascii="宋体" w:eastAsia="宋体" w:hint="eastAsia"/>
          <w:w w:val="95"/>
        </w:rPr>
        <w:t>患艾滋病</w:t>
      </w:r>
    </w:p>
    <w:p>
      <w:pPr>
        <w:pStyle w:val="BodyText"/>
        <w:spacing w:line="261" w:lineRule="auto" w:before="42"/>
        <w:ind w:left="160" w:right="218"/>
        <w:jc w:val="both"/>
      </w:pPr>
      <w:r>
        <w:rPr/>
        <w:br w:type="column"/>
      </w:r>
      <w:r>
        <w:rPr>
          <w:spacing w:val="-5"/>
        </w:rPr>
        <w:t>艾滋病病毒指人类免疫缺陷病毒，英文缩写为 </w:t>
      </w:r>
      <w:r>
        <w:rPr>
          <w:rFonts w:ascii="Times New Roman" w:eastAsia="Times New Roman"/>
        </w:rPr>
        <w:t>HIV</w:t>
      </w:r>
      <w:r>
        <w:rPr>
          <w:spacing w:val="-5"/>
        </w:rPr>
        <w:t>。艾滋病指人类免疫缺陷病毒</w:t>
      </w:r>
      <w:r>
        <w:rPr>
          <w:spacing w:val="-8"/>
        </w:rPr>
        <w:t>引起的获得性免疫缺陷综合征，英文缩写为 </w:t>
      </w:r>
      <w:r>
        <w:rPr>
          <w:rFonts w:ascii="Times New Roman" w:eastAsia="Times New Roman"/>
        </w:rPr>
        <w:t>AIDS</w:t>
      </w:r>
      <w:r>
        <w:rPr/>
        <w:t>。在人体血液或其他样本中检</w:t>
      </w:r>
      <w:r>
        <w:rPr>
          <w:spacing w:val="-3"/>
        </w:rPr>
        <w:t>测到艾滋病病毒或其抗体呈阳性，没有出现临床症状或体征的，为感染艾滋病病毒；若同时出现了明显临床症状或体征的，为患艾滋病。</w:t>
      </w:r>
    </w:p>
    <w:p>
      <w:pPr>
        <w:spacing w:after="0" w:line="261" w:lineRule="auto"/>
        <w:jc w:val="both"/>
        <w:sectPr>
          <w:type w:val="continuous"/>
          <w:pgSz w:w="11910" w:h="16840"/>
          <w:pgMar w:top="300" w:bottom="280" w:left="780" w:right="720"/>
          <w:cols w:num="2" w:equalWidth="0">
            <w:col w:w="2620" w:space="91"/>
            <w:col w:w="7699"/>
          </w:cols>
        </w:sectPr>
      </w:pPr>
    </w:p>
    <w:p>
      <w:pPr>
        <w:pStyle w:val="BodyText"/>
        <w:spacing w:before="0"/>
        <w:rPr>
          <w:sz w:val="16"/>
        </w:rPr>
      </w:pPr>
    </w:p>
    <w:p>
      <w:pPr>
        <w:pStyle w:val="ListParagraph"/>
        <w:numPr>
          <w:ilvl w:val="1"/>
          <w:numId w:val="15"/>
        </w:numPr>
        <w:tabs>
          <w:tab w:pos="932" w:val="left" w:leader="none"/>
          <w:tab w:pos="933" w:val="left" w:leader="none"/>
          <w:tab w:pos="2871" w:val="left" w:leader="none"/>
        </w:tabs>
        <w:spacing w:line="273" w:lineRule="auto" w:before="35" w:after="0"/>
        <w:ind w:left="2871" w:right="114" w:hanging="2711"/>
        <w:jc w:val="left"/>
        <w:rPr>
          <w:sz w:val="21"/>
        </w:rPr>
      </w:pPr>
      <w:r>
        <w:rPr>
          <w:b/>
          <w:sz w:val="21"/>
        </w:rPr>
        <w:t>遗传性疾病</w:t>
        <w:tab/>
      </w:r>
      <w:r>
        <w:rPr>
          <w:sz w:val="21"/>
        </w:rPr>
        <w:t>指生殖细胞或受精卵的遗传物</w:t>
      </w:r>
      <w:r>
        <w:rPr>
          <w:spacing w:val="-73"/>
          <w:sz w:val="21"/>
        </w:rPr>
        <w:t>质</w:t>
      </w:r>
      <w:r>
        <w:rPr>
          <w:sz w:val="21"/>
        </w:rPr>
        <w:t>（染色体和基因</w:t>
      </w:r>
      <w:r>
        <w:rPr>
          <w:spacing w:val="-73"/>
          <w:sz w:val="21"/>
        </w:rPr>
        <w:t>）</w:t>
      </w:r>
      <w:r>
        <w:rPr>
          <w:sz w:val="21"/>
        </w:rPr>
        <w:t>发生突变或畸变所引起的疾病，通常具有亲代传至后代的垂直传递的特征。</w:t>
      </w:r>
    </w:p>
    <w:p>
      <w:pPr>
        <w:pStyle w:val="BodyText"/>
        <w:spacing w:before="2"/>
        <w:rPr>
          <w:sz w:val="15"/>
        </w:rPr>
      </w:pPr>
    </w:p>
    <w:p>
      <w:pPr>
        <w:spacing w:after="0"/>
        <w:rPr>
          <w:sz w:val="15"/>
        </w:rPr>
        <w:sectPr>
          <w:type w:val="continuous"/>
          <w:pgSz w:w="11910" w:h="16840"/>
          <w:pgMar w:top="300" w:bottom="280" w:left="780" w:right="720"/>
        </w:sectPr>
      </w:pPr>
    </w:p>
    <w:p>
      <w:pPr>
        <w:pStyle w:val="Heading5"/>
        <w:numPr>
          <w:ilvl w:val="1"/>
          <w:numId w:val="15"/>
        </w:numPr>
        <w:tabs>
          <w:tab w:pos="932" w:val="left" w:leader="none"/>
          <w:tab w:pos="933" w:val="left" w:leader="none"/>
        </w:tabs>
        <w:spacing w:line="240" w:lineRule="auto" w:before="36" w:after="0"/>
        <w:ind w:left="932" w:right="0" w:hanging="772"/>
        <w:jc w:val="left"/>
        <w:rPr>
          <w:rFonts w:ascii="宋体" w:eastAsia="宋体" w:hint="eastAsia"/>
        </w:rPr>
      </w:pPr>
      <w:r>
        <w:rPr>
          <w:rFonts w:ascii="宋体" w:eastAsia="宋体" w:hint="eastAsia"/>
          <w:w w:val="95"/>
        </w:rPr>
        <w:t>先天性畸形、变形</w:t>
      </w:r>
    </w:p>
    <w:p>
      <w:pPr>
        <w:spacing w:before="37"/>
        <w:ind w:left="932" w:right="0" w:firstLine="0"/>
        <w:jc w:val="left"/>
        <w:rPr>
          <w:b/>
          <w:sz w:val="21"/>
        </w:rPr>
      </w:pPr>
      <w:r>
        <w:rPr>
          <w:b/>
          <w:w w:val="95"/>
          <w:sz w:val="21"/>
        </w:rPr>
        <w:t>或染色体异常</w:t>
      </w:r>
    </w:p>
    <w:p>
      <w:pPr>
        <w:pStyle w:val="BodyText"/>
        <w:spacing w:line="273" w:lineRule="auto"/>
        <w:ind w:left="160" w:right="220"/>
        <w:jc w:val="both"/>
      </w:pPr>
      <w:r>
        <w:rPr/>
        <w:br w:type="column"/>
      </w:r>
      <w:r>
        <w:rPr>
          <w:spacing w:val="-3"/>
        </w:rPr>
        <w:t>指被保险人出生时就具有的畸形、变形或染色体异常。先天性畸形、变形或染色</w:t>
      </w:r>
      <w:r>
        <w:rPr>
          <w:spacing w:val="-7"/>
        </w:rPr>
        <w:t>体异常按照世界卫生组织《疾病和有关健康问题的国际统计分类》</w:t>
      </w:r>
      <w:r>
        <w:rPr/>
        <w:t>（ICD-10）确定。</w:t>
      </w:r>
    </w:p>
    <w:p>
      <w:pPr>
        <w:spacing w:after="0" w:line="273" w:lineRule="auto"/>
        <w:jc w:val="both"/>
        <w:sectPr>
          <w:type w:val="continuous"/>
          <w:pgSz w:w="11910" w:h="16840"/>
          <w:pgMar w:top="300" w:bottom="280" w:left="780" w:right="720"/>
          <w:cols w:num="2" w:equalWidth="0">
            <w:col w:w="2620" w:space="91"/>
            <w:col w:w="7699"/>
          </w:cols>
        </w:sectPr>
      </w:pPr>
    </w:p>
    <w:p>
      <w:pPr>
        <w:pStyle w:val="BodyText"/>
        <w:spacing w:before="3"/>
        <w:rPr>
          <w:sz w:val="15"/>
        </w:rPr>
      </w:pPr>
    </w:p>
    <w:p>
      <w:pPr>
        <w:pStyle w:val="ListParagraph"/>
        <w:numPr>
          <w:ilvl w:val="1"/>
          <w:numId w:val="15"/>
        </w:numPr>
        <w:tabs>
          <w:tab w:pos="933" w:val="left" w:leader="none"/>
        </w:tabs>
        <w:spacing w:line="273" w:lineRule="auto" w:before="35" w:after="0"/>
        <w:ind w:left="2871" w:right="218" w:hanging="2711"/>
        <w:jc w:val="both"/>
        <w:rPr>
          <w:sz w:val="21"/>
        </w:rPr>
      </w:pPr>
      <w:r>
        <w:rPr>
          <w:b/>
          <w:spacing w:val="2"/>
          <w:sz w:val="21"/>
        </w:rPr>
        <w:t>未满期净保费     </w:t>
      </w:r>
      <w:r>
        <w:rPr>
          <w:spacing w:val="-1"/>
          <w:sz w:val="21"/>
        </w:rPr>
        <w:t>等于已交保险费×</w:t>
      </w:r>
      <w:r>
        <w:rPr>
          <w:spacing w:val="-3"/>
          <w:sz w:val="21"/>
        </w:rPr>
        <w:t>（1-25%）×（1-</w:t>
      </w:r>
      <w:r>
        <w:rPr>
          <w:sz w:val="21"/>
        </w:rPr>
        <w:t>经过天数/</w:t>
      </w:r>
      <w:r>
        <w:rPr>
          <w:spacing w:val="-2"/>
          <w:sz w:val="21"/>
        </w:rPr>
        <w:t>保险期间的天数) ，经过天数不足一天的按一天计算。</w:t>
      </w:r>
    </w:p>
    <w:p>
      <w:pPr>
        <w:pStyle w:val="BodyText"/>
        <w:spacing w:before="11"/>
        <w:rPr>
          <w:sz w:val="17"/>
        </w:rPr>
      </w:pPr>
    </w:p>
    <w:p>
      <w:pPr>
        <w:pStyle w:val="ListParagraph"/>
        <w:numPr>
          <w:ilvl w:val="1"/>
          <w:numId w:val="15"/>
        </w:numPr>
        <w:tabs>
          <w:tab w:pos="933" w:val="left" w:leader="none"/>
        </w:tabs>
        <w:spacing w:line="273" w:lineRule="auto" w:before="1" w:after="0"/>
        <w:ind w:left="2871" w:right="220" w:hanging="2711"/>
        <w:jc w:val="both"/>
        <w:rPr>
          <w:sz w:val="21"/>
        </w:rPr>
      </w:pPr>
      <w:r>
        <w:rPr>
          <w:b/>
          <w:spacing w:val="2"/>
          <w:sz w:val="21"/>
        </w:rPr>
        <w:t>有效身份证件     </w:t>
      </w:r>
      <w:r>
        <w:rPr>
          <w:spacing w:val="-3"/>
          <w:sz w:val="21"/>
        </w:rPr>
        <w:t>指由政府主管部门规定的证明其身份的证件，如：居民身份证、按规定可使用的有效护照、军官证、警官证、士兵证、户口簿等证件。</w:t>
      </w:r>
    </w:p>
    <w:p>
      <w:pPr>
        <w:pStyle w:val="BodyText"/>
        <w:spacing w:before="1"/>
        <w:rPr>
          <w:sz w:val="17"/>
        </w:rPr>
      </w:pPr>
    </w:p>
    <w:p>
      <w:pPr>
        <w:pStyle w:val="ListParagraph"/>
        <w:numPr>
          <w:ilvl w:val="1"/>
          <w:numId w:val="15"/>
        </w:numPr>
        <w:tabs>
          <w:tab w:pos="933" w:val="left" w:leader="none"/>
        </w:tabs>
        <w:spacing w:line="273" w:lineRule="auto" w:before="0" w:after="0"/>
        <w:ind w:left="2871" w:right="180" w:hanging="2711"/>
        <w:jc w:val="both"/>
        <w:rPr>
          <w:sz w:val="21"/>
        </w:rPr>
      </w:pPr>
      <w:r>
        <w:rPr>
          <w:b/>
          <w:spacing w:val="1"/>
          <w:sz w:val="21"/>
        </w:rPr>
        <w:t>医疗机构         </w:t>
      </w:r>
      <w:r>
        <w:rPr>
          <w:spacing w:val="-2"/>
          <w:sz w:val="21"/>
        </w:rPr>
        <w:t>指经中华人民共和国卫生部门正式评定的二级或以上之公立医院，但不包括上述医院的分院、联合病房或联合病床，精神病院，专供康复、休养、戒毒、戒酒、护理、养老等非以直接诊治病人为目的之医疗机构。</w:t>
      </w:r>
    </w:p>
    <w:p>
      <w:pPr>
        <w:pStyle w:val="BodyText"/>
        <w:spacing w:before="11"/>
        <w:rPr>
          <w:sz w:val="17"/>
        </w:rPr>
      </w:pPr>
    </w:p>
    <w:p>
      <w:pPr>
        <w:pStyle w:val="ListParagraph"/>
        <w:numPr>
          <w:ilvl w:val="1"/>
          <w:numId w:val="15"/>
        </w:numPr>
        <w:tabs>
          <w:tab w:pos="933" w:val="left" w:leader="none"/>
        </w:tabs>
        <w:spacing w:line="273" w:lineRule="auto" w:before="0" w:after="0"/>
        <w:ind w:left="2871" w:right="219" w:hanging="2711"/>
        <w:jc w:val="both"/>
        <w:rPr>
          <w:sz w:val="21"/>
        </w:rPr>
      </w:pPr>
      <w:r>
        <w:rPr>
          <w:b/>
          <w:w w:val="99"/>
          <w:sz w:val="21"/>
        </w:rPr>
        <w:t>未满期保险费</w:t>
      </w:r>
      <w:r>
        <w:rPr>
          <w:b/>
          <w:spacing w:val="5"/>
          <w:sz w:val="21"/>
        </w:rPr>
        <w:t>      </w:t>
      </w:r>
      <w:r>
        <w:rPr>
          <w:spacing w:val="-3"/>
          <w:sz w:val="21"/>
        </w:rPr>
        <w:t>等于已交保险费×</w:t>
      </w:r>
      <w:r>
        <w:rPr>
          <w:sz w:val="21"/>
        </w:rPr>
        <w:t>（1-经过天数/</w:t>
      </w:r>
      <w:r>
        <w:rPr>
          <w:spacing w:val="-1"/>
          <w:sz w:val="21"/>
        </w:rPr>
        <w:t>保险期间的天数</w:t>
      </w:r>
      <w:r>
        <w:rPr>
          <w:spacing w:val="-105"/>
          <w:sz w:val="21"/>
        </w:rPr>
        <w:t>）</w:t>
      </w:r>
      <w:r>
        <w:rPr>
          <w:spacing w:val="-5"/>
          <w:sz w:val="21"/>
        </w:rPr>
        <w:t>，经过天数不足一天的按一天计算。</w:t>
      </w:r>
    </w:p>
    <w:sectPr>
      <w:type w:val="continuous"/>
      <w:pgSz w:w="11910" w:h="16840"/>
      <w:pgMar w:top="300" w:bottom="280" w:left="78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S UI Gothic">
    <w:altName w:val="MS UI Gothic"/>
    <w:charset w:val="0"/>
    <w:family w:val="swiss"/>
    <w:pitch w:val="variable"/>
  </w:font>
  <w:font w:name="宋体">
    <w:altName w:val="宋体"/>
    <w:charset w:val="86"/>
    <w:family w:val="auto"/>
    <w:pitch w:val="variable"/>
  </w:font>
  <w:font w:name="Yu Gothic">
    <w:altName w:val="Yu Gothic"/>
    <w:charset w:val="0"/>
    <w:family w:val="swiss"/>
    <w:pitch w:val="variable"/>
  </w:font>
  <w:font w:name="仿宋">
    <w:altName w:val="仿宋"/>
    <w:charset w:val="86"/>
    <w:family w:val="modern"/>
    <w:pitch w:val="fixed"/>
  </w:font>
  <w:font w:name="Microsoft JhengHei">
    <w:altName w:val="Microsoft JhengHei"/>
    <w:charset w:val="0"/>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58.38031pt;margin-top:808.899658pt;width:78.5pt;height:12pt;mso-position-horizontal-relative:page;mso-position-vertical-relative:page;z-index:-19720"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 共 </w:t>
                </w:r>
                <w:r>
                  <w:rPr>
                    <w:rFonts w:ascii="Times New Roman" w:eastAsia="Times New Roman"/>
                    <w:sz w:val="18"/>
                  </w:rPr>
                  <w:t>10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9"/>
      <w:numFmt w:val="decimal"/>
      <w:lvlText w:val="%1"/>
      <w:lvlJc w:val="left"/>
      <w:pPr>
        <w:ind w:left="2871" w:hanging="772"/>
        <w:jc w:val="left"/>
      </w:pPr>
      <w:rPr>
        <w:rFonts w:hint="default"/>
      </w:rPr>
    </w:lvl>
    <w:lvl w:ilvl="1">
      <w:start w:val="8"/>
      <w:numFmt w:val="decimal"/>
      <w:lvlText w:val="%1.%2"/>
      <w:lvlJc w:val="left"/>
      <w:pPr>
        <w:ind w:left="2871" w:hanging="772"/>
        <w:jc w:val="left"/>
      </w:pPr>
      <w:rPr>
        <w:rFonts w:hint="default" w:ascii="宋体" w:hAnsi="宋体" w:eastAsia="宋体" w:cs="宋体"/>
        <w:b/>
        <w:bCs/>
        <w:w w:val="99"/>
        <w:sz w:val="21"/>
        <w:szCs w:val="21"/>
      </w:rPr>
    </w:lvl>
    <w:lvl w:ilvl="2">
      <w:start w:val="0"/>
      <w:numFmt w:val="bullet"/>
      <w:lvlText w:val="•"/>
      <w:lvlJc w:val="left"/>
      <w:pPr>
        <w:ind w:left="4384" w:hanging="772"/>
      </w:pPr>
      <w:rPr>
        <w:rFonts w:hint="default"/>
      </w:rPr>
    </w:lvl>
    <w:lvl w:ilvl="3">
      <w:start w:val="0"/>
      <w:numFmt w:val="bullet"/>
      <w:lvlText w:val="•"/>
      <w:lvlJc w:val="left"/>
      <w:pPr>
        <w:ind w:left="5137" w:hanging="772"/>
      </w:pPr>
      <w:rPr>
        <w:rFonts w:hint="default"/>
      </w:rPr>
    </w:lvl>
    <w:lvl w:ilvl="4">
      <w:start w:val="0"/>
      <w:numFmt w:val="bullet"/>
      <w:lvlText w:val="•"/>
      <w:lvlJc w:val="left"/>
      <w:pPr>
        <w:ind w:left="5889" w:hanging="772"/>
      </w:pPr>
      <w:rPr>
        <w:rFonts w:hint="default"/>
      </w:rPr>
    </w:lvl>
    <w:lvl w:ilvl="5">
      <w:start w:val="0"/>
      <w:numFmt w:val="bullet"/>
      <w:lvlText w:val="•"/>
      <w:lvlJc w:val="left"/>
      <w:pPr>
        <w:ind w:left="6642" w:hanging="772"/>
      </w:pPr>
      <w:rPr>
        <w:rFonts w:hint="default"/>
      </w:rPr>
    </w:lvl>
    <w:lvl w:ilvl="6">
      <w:start w:val="0"/>
      <w:numFmt w:val="bullet"/>
      <w:lvlText w:val="•"/>
      <w:lvlJc w:val="left"/>
      <w:pPr>
        <w:ind w:left="7394" w:hanging="772"/>
      </w:pPr>
      <w:rPr>
        <w:rFonts w:hint="default"/>
      </w:rPr>
    </w:lvl>
    <w:lvl w:ilvl="7">
      <w:start w:val="0"/>
      <w:numFmt w:val="bullet"/>
      <w:lvlText w:val="•"/>
      <w:lvlJc w:val="left"/>
      <w:pPr>
        <w:ind w:left="8147" w:hanging="772"/>
      </w:pPr>
      <w:rPr>
        <w:rFonts w:hint="default"/>
      </w:rPr>
    </w:lvl>
    <w:lvl w:ilvl="8">
      <w:start w:val="0"/>
      <w:numFmt w:val="bullet"/>
      <w:lvlText w:val="•"/>
      <w:lvlJc w:val="left"/>
      <w:pPr>
        <w:ind w:left="8899" w:hanging="772"/>
      </w:pPr>
      <w:rPr>
        <w:rFonts w:hint="default"/>
      </w:rPr>
    </w:lvl>
  </w:abstractNum>
  <w:abstractNum w:abstractNumId="13">
    <w:multiLevelType w:val="hybridMultilevel"/>
    <w:lvl w:ilvl="0">
      <w:start w:val="9"/>
      <w:numFmt w:val="decimal"/>
      <w:lvlText w:val="%1"/>
      <w:lvlJc w:val="left"/>
      <w:pPr>
        <w:ind w:left="2931" w:hanging="773"/>
        <w:jc w:val="left"/>
      </w:pPr>
      <w:rPr>
        <w:rFonts w:hint="default"/>
      </w:rPr>
    </w:lvl>
    <w:lvl w:ilvl="1">
      <w:start w:val="1"/>
      <w:numFmt w:val="decimal"/>
      <w:lvlText w:val="%1.%2"/>
      <w:lvlJc w:val="left"/>
      <w:pPr>
        <w:ind w:left="2931" w:hanging="773"/>
        <w:jc w:val="right"/>
      </w:pPr>
      <w:rPr>
        <w:rFonts w:hint="default" w:ascii="宋体" w:hAnsi="宋体" w:eastAsia="宋体" w:cs="宋体"/>
        <w:b/>
        <w:bCs/>
        <w:w w:val="99"/>
        <w:sz w:val="21"/>
        <w:szCs w:val="21"/>
      </w:rPr>
    </w:lvl>
    <w:lvl w:ilvl="2">
      <w:start w:val="1"/>
      <w:numFmt w:val="decimal"/>
      <w:lvlText w:val="%3."/>
      <w:lvlJc w:val="left"/>
      <w:pPr>
        <w:ind w:left="2811" w:hanging="420"/>
        <w:jc w:val="right"/>
      </w:pPr>
      <w:rPr>
        <w:rFonts w:hint="default" w:ascii="宋体" w:hAnsi="宋体" w:eastAsia="宋体" w:cs="宋体"/>
        <w:b/>
        <w:bCs/>
        <w:w w:val="99"/>
        <w:sz w:val="21"/>
        <w:szCs w:val="21"/>
      </w:rPr>
    </w:lvl>
    <w:lvl w:ilvl="3">
      <w:start w:val="0"/>
      <w:numFmt w:val="bullet"/>
      <w:lvlText w:val="•"/>
      <w:lvlJc w:val="left"/>
      <w:pPr>
        <w:ind w:left="4215" w:hanging="420"/>
      </w:pPr>
      <w:rPr>
        <w:rFonts w:hint="default"/>
      </w:rPr>
    </w:lvl>
    <w:lvl w:ilvl="4">
      <w:start w:val="0"/>
      <w:numFmt w:val="bullet"/>
      <w:lvlText w:val="•"/>
      <w:lvlJc w:val="left"/>
      <w:pPr>
        <w:ind w:left="5091" w:hanging="420"/>
      </w:pPr>
      <w:rPr>
        <w:rFonts w:hint="default"/>
      </w:rPr>
    </w:lvl>
    <w:lvl w:ilvl="5">
      <w:start w:val="0"/>
      <w:numFmt w:val="bullet"/>
      <w:lvlText w:val="•"/>
      <w:lvlJc w:val="left"/>
      <w:pPr>
        <w:ind w:left="5966" w:hanging="420"/>
      </w:pPr>
      <w:rPr>
        <w:rFonts w:hint="default"/>
      </w:rPr>
    </w:lvl>
    <w:lvl w:ilvl="6">
      <w:start w:val="0"/>
      <w:numFmt w:val="bullet"/>
      <w:lvlText w:val="•"/>
      <w:lvlJc w:val="left"/>
      <w:pPr>
        <w:ind w:left="6842" w:hanging="420"/>
      </w:pPr>
      <w:rPr>
        <w:rFonts w:hint="default"/>
      </w:rPr>
    </w:lvl>
    <w:lvl w:ilvl="7">
      <w:start w:val="0"/>
      <w:numFmt w:val="bullet"/>
      <w:lvlText w:val="•"/>
      <w:lvlJc w:val="left"/>
      <w:pPr>
        <w:ind w:left="7717" w:hanging="420"/>
      </w:pPr>
      <w:rPr>
        <w:rFonts w:hint="default"/>
      </w:rPr>
    </w:lvl>
    <w:lvl w:ilvl="8">
      <w:start w:val="0"/>
      <w:numFmt w:val="bullet"/>
      <w:lvlText w:val="•"/>
      <w:lvlJc w:val="left"/>
      <w:pPr>
        <w:ind w:left="8593" w:hanging="420"/>
      </w:pPr>
      <w:rPr>
        <w:rFonts w:hint="default"/>
      </w:rPr>
    </w:lvl>
  </w:abstractNum>
  <w:abstractNum w:abstractNumId="12">
    <w:multiLevelType w:val="hybridMultilevel"/>
    <w:lvl w:ilvl="0">
      <w:start w:val="0"/>
      <w:numFmt w:val="bullet"/>
      <w:lvlText w:val="◉"/>
      <w:lvlJc w:val="left"/>
      <w:pPr>
        <w:ind w:left="992" w:hanging="772"/>
      </w:pPr>
      <w:rPr>
        <w:rFonts w:hint="default" w:ascii="Yu Gothic" w:hAnsi="Yu Gothic" w:eastAsia="Yu Gothic" w:cs="Yu Gothic"/>
        <w:b/>
        <w:bCs/>
        <w:w w:val="89"/>
        <w:position w:val="-3"/>
        <w:sz w:val="40"/>
        <w:szCs w:val="40"/>
      </w:rPr>
    </w:lvl>
    <w:lvl w:ilvl="1">
      <w:start w:val="0"/>
      <w:numFmt w:val="bullet"/>
      <w:lvlText w:val="•"/>
      <w:lvlJc w:val="left"/>
      <w:pPr>
        <w:ind w:left="1946" w:hanging="772"/>
      </w:pPr>
      <w:rPr>
        <w:rFonts w:hint="default"/>
      </w:rPr>
    </w:lvl>
    <w:lvl w:ilvl="2">
      <w:start w:val="0"/>
      <w:numFmt w:val="bullet"/>
      <w:lvlText w:val="•"/>
      <w:lvlJc w:val="left"/>
      <w:pPr>
        <w:ind w:left="2892" w:hanging="772"/>
      </w:pPr>
      <w:rPr>
        <w:rFonts w:hint="default"/>
      </w:rPr>
    </w:lvl>
    <w:lvl w:ilvl="3">
      <w:start w:val="0"/>
      <w:numFmt w:val="bullet"/>
      <w:lvlText w:val="•"/>
      <w:lvlJc w:val="left"/>
      <w:pPr>
        <w:ind w:left="3839" w:hanging="772"/>
      </w:pPr>
      <w:rPr>
        <w:rFonts w:hint="default"/>
      </w:rPr>
    </w:lvl>
    <w:lvl w:ilvl="4">
      <w:start w:val="0"/>
      <w:numFmt w:val="bullet"/>
      <w:lvlText w:val="•"/>
      <w:lvlJc w:val="left"/>
      <w:pPr>
        <w:ind w:left="4785" w:hanging="772"/>
      </w:pPr>
      <w:rPr>
        <w:rFonts w:hint="default"/>
      </w:rPr>
    </w:lvl>
    <w:lvl w:ilvl="5">
      <w:start w:val="0"/>
      <w:numFmt w:val="bullet"/>
      <w:lvlText w:val="•"/>
      <w:lvlJc w:val="left"/>
      <w:pPr>
        <w:ind w:left="5732" w:hanging="772"/>
      </w:pPr>
      <w:rPr>
        <w:rFonts w:hint="default"/>
      </w:rPr>
    </w:lvl>
    <w:lvl w:ilvl="6">
      <w:start w:val="0"/>
      <w:numFmt w:val="bullet"/>
      <w:lvlText w:val="•"/>
      <w:lvlJc w:val="left"/>
      <w:pPr>
        <w:ind w:left="6678" w:hanging="772"/>
      </w:pPr>
      <w:rPr>
        <w:rFonts w:hint="default"/>
      </w:rPr>
    </w:lvl>
    <w:lvl w:ilvl="7">
      <w:start w:val="0"/>
      <w:numFmt w:val="bullet"/>
      <w:lvlText w:val="•"/>
      <w:lvlJc w:val="left"/>
      <w:pPr>
        <w:ind w:left="7625" w:hanging="772"/>
      </w:pPr>
      <w:rPr>
        <w:rFonts w:hint="default"/>
      </w:rPr>
    </w:lvl>
    <w:lvl w:ilvl="8">
      <w:start w:val="0"/>
      <w:numFmt w:val="bullet"/>
      <w:lvlText w:val="•"/>
      <w:lvlJc w:val="left"/>
      <w:pPr>
        <w:ind w:left="8571" w:hanging="772"/>
      </w:pPr>
      <w:rPr>
        <w:rFonts w:hint="default"/>
      </w:rPr>
    </w:lvl>
  </w:abstractNum>
  <w:abstractNum w:abstractNumId="11">
    <w:multiLevelType w:val="hybridMultilevel"/>
    <w:lvl w:ilvl="0">
      <w:start w:val="8"/>
      <w:numFmt w:val="decimal"/>
      <w:lvlText w:val="%1"/>
      <w:lvlJc w:val="left"/>
      <w:pPr>
        <w:ind w:left="2931" w:hanging="771"/>
        <w:jc w:val="left"/>
      </w:pPr>
      <w:rPr>
        <w:rFonts w:hint="default"/>
      </w:rPr>
    </w:lvl>
    <w:lvl w:ilvl="1">
      <w:start w:val="1"/>
      <w:numFmt w:val="decimal"/>
      <w:lvlText w:val="%1.%2"/>
      <w:lvlJc w:val="left"/>
      <w:pPr>
        <w:ind w:left="2931" w:hanging="771"/>
        <w:jc w:val="left"/>
      </w:pPr>
      <w:rPr>
        <w:rFonts w:hint="default" w:ascii="宋体" w:hAnsi="宋体" w:eastAsia="宋体" w:cs="宋体"/>
        <w:b/>
        <w:bCs/>
        <w:w w:val="99"/>
        <w:sz w:val="21"/>
        <w:szCs w:val="21"/>
      </w:rPr>
    </w:lvl>
    <w:lvl w:ilvl="2">
      <w:start w:val="0"/>
      <w:numFmt w:val="bullet"/>
      <w:lvlText w:val="•"/>
      <w:lvlJc w:val="left"/>
      <w:pPr>
        <w:ind w:left="4444" w:hanging="771"/>
      </w:pPr>
      <w:rPr>
        <w:rFonts w:hint="default"/>
      </w:rPr>
    </w:lvl>
    <w:lvl w:ilvl="3">
      <w:start w:val="0"/>
      <w:numFmt w:val="bullet"/>
      <w:lvlText w:val="•"/>
      <w:lvlJc w:val="left"/>
      <w:pPr>
        <w:ind w:left="5197" w:hanging="771"/>
      </w:pPr>
      <w:rPr>
        <w:rFonts w:hint="default"/>
      </w:rPr>
    </w:lvl>
    <w:lvl w:ilvl="4">
      <w:start w:val="0"/>
      <w:numFmt w:val="bullet"/>
      <w:lvlText w:val="•"/>
      <w:lvlJc w:val="left"/>
      <w:pPr>
        <w:ind w:left="5949" w:hanging="771"/>
      </w:pPr>
      <w:rPr>
        <w:rFonts w:hint="default"/>
      </w:rPr>
    </w:lvl>
    <w:lvl w:ilvl="5">
      <w:start w:val="0"/>
      <w:numFmt w:val="bullet"/>
      <w:lvlText w:val="•"/>
      <w:lvlJc w:val="left"/>
      <w:pPr>
        <w:ind w:left="6702" w:hanging="771"/>
      </w:pPr>
      <w:rPr>
        <w:rFonts w:hint="default"/>
      </w:rPr>
    </w:lvl>
    <w:lvl w:ilvl="6">
      <w:start w:val="0"/>
      <w:numFmt w:val="bullet"/>
      <w:lvlText w:val="•"/>
      <w:lvlJc w:val="left"/>
      <w:pPr>
        <w:ind w:left="7454" w:hanging="771"/>
      </w:pPr>
      <w:rPr>
        <w:rFonts w:hint="default"/>
      </w:rPr>
    </w:lvl>
    <w:lvl w:ilvl="7">
      <w:start w:val="0"/>
      <w:numFmt w:val="bullet"/>
      <w:lvlText w:val="•"/>
      <w:lvlJc w:val="left"/>
      <w:pPr>
        <w:ind w:left="8207" w:hanging="771"/>
      </w:pPr>
      <w:rPr>
        <w:rFonts w:hint="default"/>
      </w:rPr>
    </w:lvl>
    <w:lvl w:ilvl="8">
      <w:start w:val="0"/>
      <w:numFmt w:val="bullet"/>
      <w:lvlText w:val="•"/>
      <w:lvlJc w:val="left"/>
      <w:pPr>
        <w:ind w:left="8959" w:hanging="771"/>
      </w:pPr>
      <w:rPr>
        <w:rFonts w:hint="default"/>
      </w:rPr>
    </w:lvl>
  </w:abstractNum>
  <w:abstractNum w:abstractNumId="10">
    <w:multiLevelType w:val="hybridMultilevel"/>
    <w:lvl w:ilvl="0">
      <w:start w:val="7"/>
      <w:numFmt w:val="decimal"/>
      <w:lvlText w:val="%1"/>
      <w:lvlJc w:val="left"/>
      <w:pPr>
        <w:ind w:left="991" w:hanging="771"/>
        <w:jc w:val="left"/>
      </w:pPr>
      <w:rPr>
        <w:rFonts w:hint="default"/>
      </w:rPr>
    </w:lvl>
    <w:lvl w:ilvl="1">
      <w:start w:val="1"/>
      <w:numFmt w:val="decimal"/>
      <w:lvlText w:val="%1.%2"/>
      <w:lvlJc w:val="left"/>
      <w:pPr>
        <w:ind w:left="991" w:hanging="771"/>
        <w:jc w:val="left"/>
      </w:pPr>
      <w:rPr>
        <w:rFonts w:hint="default" w:ascii="宋体" w:hAnsi="宋体" w:eastAsia="宋体" w:cs="宋体"/>
        <w:b/>
        <w:bCs/>
        <w:w w:val="99"/>
        <w:sz w:val="21"/>
        <w:szCs w:val="21"/>
      </w:rPr>
    </w:lvl>
    <w:lvl w:ilvl="2">
      <w:start w:val="0"/>
      <w:numFmt w:val="bullet"/>
      <w:lvlText w:val="•"/>
      <w:lvlJc w:val="left"/>
      <w:pPr>
        <w:ind w:left="2892" w:hanging="771"/>
      </w:pPr>
      <w:rPr>
        <w:rFonts w:hint="default"/>
      </w:rPr>
    </w:lvl>
    <w:lvl w:ilvl="3">
      <w:start w:val="0"/>
      <w:numFmt w:val="bullet"/>
      <w:lvlText w:val="•"/>
      <w:lvlJc w:val="left"/>
      <w:pPr>
        <w:ind w:left="3839" w:hanging="771"/>
      </w:pPr>
      <w:rPr>
        <w:rFonts w:hint="default"/>
      </w:rPr>
    </w:lvl>
    <w:lvl w:ilvl="4">
      <w:start w:val="0"/>
      <w:numFmt w:val="bullet"/>
      <w:lvlText w:val="•"/>
      <w:lvlJc w:val="left"/>
      <w:pPr>
        <w:ind w:left="4785" w:hanging="771"/>
      </w:pPr>
      <w:rPr>
        <w:rFonts w:hint="default"/>
      </w:rPr>
    </w:lvl>
    <w:lvl w:ilvl="5">
      <w:start w:val="0"/>
      <w:numFmt w:val="bullet"/>
      <w:lvlText w:val="•"/>
      <w:lvlJc w:val="left"/>
      <w:pPr>
        <w:ind w:left="5732" w:hanging="771"/>
      </w:pPr>
      <w:rPr>
        <w:rFonts w:hint="default"/>
      </w:rPr>
    </w:lvl>
    <w:lvl w:ilvl="6">
      <w:start w:val="0"/>
      <w:numFmt w:val="bullet"/>
      <w:lvlText w:val="•"/>
      <w:lvlJc w:val="left"/>
      <w:pPr>
        <w:ind w:left="6678" w:hanging="771"/>
      </w:pPr>
      <w:rPr>
        <w:rFonts w:hint="default"/>
      </w:rPr>
    </w:lvl>
    <w:lvl w:ilvl="7">
      <w:start w:val="0"/>
      <w:numFmt w:val="bullet"/>
      <w:lvlText w:val="•"/>
      <w:lvlJc w:val="left"/>
      <w:pPr>
        <w:ind w:left="7625" w:hanging="771"/>
      </w:pPr>
      <w:rPr>
        <w:rFonts w:hint="default"/>
      </w:rPr>
    </w:lvl>
    <w:lvl w:ilvl="8">
      <w:start w:val="0"/>
      <w:numFmt w:val="bullet"/>
      <w:lvlText w:val="•"/>
      <w:lvlJc w:val="left"/>
      <w:pPr>
        <w:ind w:left="8571" w:hanging="771"/>
      </w:pPr>
      <w:rPr>
        <w:rFonts w:hint="default"/>
      </w:rPr>
    </w:lvl>
  </w:abstractNum>
  <w:abstractNum w:abstractNumId="9">
    <w:multiLevelType w:val="hybridMultilevel"/>
    <w:lvl w:ilvl="0">
      <w:start w:val="6"/>
      <w:numFmt w:val="decimal"/>
      <w:lvlText w:val="%1"/>
      <w:lvlJc w:val="left"/>
      <w:pPr>
        <w:ind w:left="2931" w:hanging="772"/>
        <w:jc w:val="left"/>
      </w:pPr>
      <w:rPr>
        <w:rFonts w:hint="default"/>
      </w:rPr>
    </w:lvl>
    <w:lvl w:ilvl="1">
      <w:start w:val="2"/>
      <w:numFmt w:val="decimal"/>
      <w:lvlText w:val="%1.%2"/>
      <w:lvlJc w:val="left"/>
      <w:pPr>
        <w:ind w:left="2931" w:hanging="772"/>
        <w:jc w:val="left"/>
      </w:pPr>
      <w:rPr>
        <w:rFonts w:hint="default" w:ascii="宋体" w:hAnsi="宋体" w:eastAsia="宋体" w:cs="宋体"/>
        <w:b/>
        <w:bCs/>
        <w:spacing w:val="0"/>
        <w:w w:val="99"/>
        <w:sz w:val="21"/>
        <w:szCs w:val="21"/>
      </w:rPr>
    </w:lvl>
    <w:lvl w:ilvl="2">
      <w:start w:val="0"/>
      <w:numFmt w:val="bullet"/>
      <w:lvlText w:val="•"/>
      <w:lvlJc w:val="left"/>
      <w:pPr>
        <w:ind w:left="4444" w:hanging="772"/>
      </w:pPr>
      <w:rPr>
        <w:rFonts w:hint="default"/>
      </w:rPr>
    </w:lvl>
    <w:lvl w:ilvl="3">
      <w:start w:val="0"/>
      <w:numFmt w:val="bullet"/>
      <w:lvlText w:val="•"/>
      <w:lvlJc w:val="left"/>
      <w:pPr>
        <w:ind w:left="5197" w:hanging="772"/>
      </w:pPr>
      <w:rPr>
        <w:rFonts w:hint="default"/>
      </w:rPr>
    </w:lvl>
    <w:lvl w:ilvl="4">
      <w:start w:val="0"/>
      <w:numFmt w:val="bullet"/>
      <w:lvlText w:val="•"/>
      <w:lvlJc w:val="left"/>
      <w:pPr>
        <w:ind w:left="5949" w:hanging="772"/>
      </w:pPr>
      <w:rPr>
        <w:rFonts w:hint="default"/>
      </w:rPr>
    </w:lvl>
    <w:lvl w:ilvl="5">
      <w:start w:val="0"/>
      <w:numFmt w:val="bullet"/>
      <w:lvlText w:val="•"/>
      <w:lvlJc w:val="left"/>
      <w:pPr>
        <w:ind w:left="6702" w:hanging="772"/>
      </w:pPr>
      <w:rPr>
        <w:rFonts w:hint="default"/>
      </w:rPr>
    </w:lvl>
    <w:lvl w:ilvl="6">
      <w:start w:val="0"/>
      <w:numFmt w:val="bullet"/>
      <w:lvlText w:val="•"/>
      <w:lvlJc w:val="left"/>
      <w:pPr>
        <w:ind w:left="7454" w:hanging="772"/>
      </w:pPr>
      <w:rPr>
        <w:rFonts w:hint="default"/>
      </w:rPr>
    </w:lvl>
    <w:lvl w:ilvl="7">
      <w:start w:val="0"/>
      <w:numFmt w:val="bullet"/>
      <w:lvlText w:val="•"/>
      <w:lvlJc w:val="left"/>
      <w:pPr>
        <w:ind w:left="8207" w:hanging="772"/>
      </w:pPr>
      <w:rPr>
        <w:rFonts w:hint="default"/>
      </w:rPr>
    </w:lvl>
    <w:lvl w:ilvl="8">
      <w:start w:val="0"/>
      <w:numFmt w:val="bullet"/>
      <w:lvlText w:val="•"/>
      <w:lvlJc w:val="left"/>
      <w:pPr>
        <w:ind w:left="8959" w:hanging="772"/>
      </w:pPr>
      <w:rPr>
        <w:rFonts w:hint="default"/>
      </w:rPr>
    </w:lvl>
  </w:abstractNum>
  <w:abstractNum w:abstractNumId="8">
    <w:multiLevelType w:val="hybridMultilevel"/>
    <w:lvl w:ilvl="0">
      <w:start w:val="2"/>
      <w:numFmt w:val="decimal"/>
      <w:lvlText w:val="%1"/>
      <w:lvlJc w:val="left"/>
      <w:pPr>
        <w:ind w:left="2951" w:hanging="771"/>
        <w:jc w:val="left"/>
      </w:pPr>
      <w:rPr>
        <w:rFonts w:hint="default"/>
      </w:rPr>
    </w:lvl>
    <w:lvl w:ilvl="1">
      <w:start w:val="1"/>
      <w:numFmt w:val="decimal"/>
      <w:lvlText w:val="%1.%2"/>
      <w:lvlJc w:val="left"/>
      <w:pPr>
        <w:ind w:left="2951" w:hanging="771"/>
        <w:jc w:val="left"/>
      </w:pPr>
      <w:rPr>
        <w:rFonts w:hint="default"/>
        <w:b/>
        <w:bCs/>
        <w:w w:val="99"/>
      </w:rPr>
    </w:lvl>
    <w:lvl w:ilvl="2">
      <w:start w:val="0"/>
      <w:numFmt w:val="bullet"/>
      <w:lvlText w:val="•"/>
      <w:lvlJc w:val="left"/>
      <w:pPr>
        <w:ind w:left="4464" w:hanging="771"/>
      </w:pPr>
      <w:rPr>
        <w:rFonts w:hint="default"/>
      </w:rPr>
    </w:lvl>
    <w:lvl w:ilvl="3">
      <w:start w:val="0"/>
      <w:numFmt w:val="bullet"/>
      <w:lvlText w:val="•"/>
      <w:lvlJc w:val="left"/>
      <w:pPr>
        <w:ind w:left="5217" w:hanging="771"/>
      </w:pPr>
      <w:rPr>
        <w:rFonts w:hint="default"/>
      </w:rPr>
    </w:lvl>
    <w:lvl w:ilvl="4">
      <w:start w:val="0"/>
      <w:numFmt w:val="bullet"/>
      <w:lvlText w:val="•"/>
      <w:lvlJc w:val="left"/>
      <w:pPr>
        <w:ind w:left="5969" w:hanging="771"/>
      </w:pPr>
      <w:rPr>
        <w:rFonts w:hint="default"/>
      </w:rPr>
    </w:lvl>
    <w:lvl w:ilvl="5">
      <w:start w:val="0"/>
      <w:numFmt w:val="bullet"/>
      <w:lvlText w:val="•"/>
      <w:lvlJc w:val="left"/>
      <w:pPr>
        <w:ind w:left="6722" w:hanging="771"/>
      </w:pPr>
      <w:rPr>
        <w:rFonts w:hint="default"/>
      </w:rPr>
    </w:lvl>
    <w:lvl w:ilvl="6">
      <w:start w:val="0"/>
      <w:numFmt w:val="bullet"/>
      <w:lvlText w:val="•"/>
      <w:lvlJc w:val="left"/>
      <w:pPr>
        <w:ind w:left="7474" w:hanging="771"/>
      </w:pPr>
      <w:rPr>
        <w:rFonts w:hint="default"/>
      </w:rPr>
    </w:lvl>
    <w:lvl w:ilvl="7">
      <w:start w:val="0"/>
      <w:numFmt w:val="bullet"/>
      <w:lvlText w:val="•"/>
      <w:lvlJc w:val="left"/>
      <w:pPr>
        <w:ind w:left="8227" w:hanging="771"/>
      </w:pPr>
      <w:rPr>
        <w:rFonts w:hint="default"/>
      </w:rPr>
    </w:lvl>
    <w:lvl w:ilvl="8">
      <w:start w:val="0"/>
      <w:numFmt w:val="bullet"/>
      <w:lvlText w:val="•"/>
      <w:lvlJc w:val="left"/>
      <w:pPr>
        <w:ind w:left="8979" w:hanging="771"/>
      </w:pPr>
      <w:rPr>
        <w:rFonts w:hint="default"/>
      </w:rPr>
    </w:lvl>
  </w:abstractNum>
  <w:abstractNum w:abstractNumId="7">
    <w:multiLevelType w:val="hybridMultilevel"/>
    <w:lvl w:ilvl="0">
      <w:start w:val="1"/>
      <w:numFmt w:val="decimal"/>
      <w:lvlText w:val="%1"/>
      <w:lvlJc w:val="left"/>
      <w:pPr>
        <w:ind w:left="2951" w:hanging="771"/>
        <w:jc w:val="left"/>
      </w:pPr>
      <w:rPr>
        <w:rFonts w:hint="default"/>
      </w:rPr>
    </w:lvl>
    <w:lvl w:ilvl="1">
      <w:start w:val="1"/>
      <w:numFmt w:val="decimal"/>
      <w:lvlText w:val="%1.%2"/>
      <w:lvlJc w:val="left"/>
      <w:pPr>
        <w:ind w:left="2951" w:hanging="771"/>
        <w:jc w:val="left"/>
      </w:pPr>
      <w:rPr>
        <w:rFonts w:hint="default" w:ascii="宋体" w:hAnsi="宋体" w:eastAsia="宋体" w:cs="宋体"/>
        <w:b/>
        <w:bCs/>
        <w:w w:val="99"/>
        <w:sz w:val="21"/>
        <w:szCs w:val="21"/>
      </w:rPr>
    </w:lvl>
    <w:lvl w:ilvl="2">
      <w:start w:val="0"/>
      <w:numFmt w:val="bullet"/>
      <w:lvlText w:val="•"/>
      <w:lvlJc w:val="left"/>
      <w:pPr>
        <w:ind w:left="4464" w:hanging="771"/>
      </w:pPr>
      <w:rPr>
        <w:rFonts w:hint="default"/>
      </w:rPr>
    </w:lvl>
    <w:lvl w:ilvl="3">
      <w:start w:val="0"/>
      <w:numFmt w:val="bullet"/>
      <w:lvlText w:val="•"/>
      <w:lvlJc w:val="left"/>
      <w:pPr>
        <w:ind w:left="5217" w:hanging="771"/>
      </w:pPr>
      <w:rPr>
        <w:rFonts w:hint="default"/>
      </w:rPr>
    </w:lvl>
    <w:lvl w:ilvl="4">
      <w:start w:val="0"/>
      <w:numFmt w:val="bullet"/>
      <w:lvlText w:val="•"/>
      <w:lvlJc w:val="left"/>
      <w:pPr>
        <w:ind w:left="5969" w:hanging="771"/>
      </w:pPr>
      <w:rPr>
        <w:rFonts w:hint="default"/>
      </w:rPr>
    </w:lvl>
    <w:lvl w:ilvl="5">
      <w:start w:val="0"/>
      <w:numFmt w:val="bullet"/>
      <w:lvlText w:val="•"/>
      <w:lvlJc w:val="left"/>
      <w:pPr>
        <w:ind w:left="6722" w:hanging="771"/>
      </w:pPr>
      <w:rPr>
        <w:rFonts w:hint="default"/>
      </w:rPr>
    </w:lvl>
    <w:lvl w:ilvl="6">
      <w:start w:val="0"/>
      <w:numFmt w:val="bullet"/>
      <w:lvlText w:val="•"/>
      <w:lvlJc w:val="left"/>
      <w:pPr>
        <w:ind w:left="7474" w:hanging="771"/>
      </w:pPr>
      <w:rPr>
        <w:rFonts w:hint="default"/>
      </w:rPr>
    </w:lvl>
    <w:lvl w:ilvl="7">
      <w:start w:val="0"/>
      <w:numFmt w:val="bullet"/>
      <w:lvlText w:val="•"/>
      <w:lvlJc w:val="left"/>
      <w:pPr>
        <w:ind w:left="8227" w:hanging="771"/>
      </w:pPr>
      <w:rPr>
        <w:rFonts w:hint="default"/>
      </w:rPr>
    </w:lvl>
    <w:lvl w:ilvl="8">
      <w:start w:val="0"/>
      <w:numFmt w:val="bullet"/>
      <w:lvlText w:val="•"/>
      <w:lvlJc w:val="left"/>
      <w:pPr>
        <w:ind w:left="8979" w:hanging="771"/>
      </w:pPr>
      <w:rPr>
        <w:rFonts w:hint="default"/>
      </w:rPr>
    </w:lvl>
  </w:abstractNum>
  <w:abstractNum w:abstractNumId="6">
    <w:multiLevelType w:val="hybridMultilevel"/>
    <w:lvl w:ilvl="0">
      <w:start w:val="8"/>
      <w:numFmt w:val="decimal"/>
      <w:lvlText w:val="%1"/>
      <w:lvlJc w:val="left"/>
      <w:pPr>
        <w:ind w:left="1000" w:hanging="421"/>
        <w:jc w:val="left"/>
      </w:pPr>
      <w:rPr>
        <w:rFonts w:hint="default"/>
      </w:rPr>
    </w:lvl>
    <w:lvl w:ilvl="1">
      <w:start w:val="1"/>
      <w:numFmt w:val="decimal"/>
      <w:lvlText w:val="%1.%2"/>
      <w:lvlJc w:val="left"/>
      <w:pPr>
        <w:ind w:left="1000" w:hanging="421"/>
        <w:jc w:val="left"/>
      </w:pPr>
      <w:rPr>
        <w:rFonts w:hint="default" w:ascii="宋体" w:hAnsi="宋体" w:eastAsia="宋体" w:cs="宋体"/>
        <w:spacing w:val="-1"/>
        <w:w w:val="99"/>
        <w:sz w:val="21"/>
        <w:szCs w:val="21"/>
      </w:rPr>
    </w:lvl>
    <w:lvl w:ilvl="2">
      <w:start w:val="0"/>
      <w:numFmt w:val="bullet"/>
      <w:lvlText w:val="•"/>
      <w:lvlJc w:val="left"/>
      <w:pPr>
        <w:ind w:left="2293" w:hanging="421"/>
      </w:pPr>
      <w:rPr>
        <w:rFonts w:hint="default"/>
      </w:rPr>
    </w:lvl>
    <w:lvl w:ilvl="3">
      <w:start w:val="0"/>
      <w:numFmt w:val="bullet"/>
      <w:lvlText w:val="•"/>
      <w:lvlJc w:val="left"/>
      <w:pPr>
        <w:ind w:left="2940" w:hanging="421"/>
      </w:pPr>
      <w:rPr>
        <w:rFonts w:hint="default"/>
      </w:rPr>
    </w:lvl>
    <w:lvl w:ilvl="4">
      <w:start w:val="0"/>
      <w:numFmt w:val="bullet"/>
      <w:lvlText w:val="•"/>
      <w:lvlJc w:val="left"/>
      <w:pPr>
        <w:ind w:left="3586" w:hanging="421"/>
      </w:pPr>
      <w:rPr>
        <w:rFonts w:hint="default"/>
      </w:rPr>
    </w:lvl>
    <w:lvl w:ilvl="5">
      <w:start w:val="0"/>
      <w:numFmt w:val="bullet"/>
      <w:lvlText w:val="•"/>
      <w:lvlJc w:val="left"/>
      <w:pPr>
        <w:ind w:left="4233" w:hanging="421"/>
      </w:pPr>
      <w:rPr>
        <w:rFonts w:hint="default"/>
      </w:rPr>
    </w:lvl>
    <w:lvl w:ilvl="6">
      <w:start w:val="0"/>
      <w:numFmt w:val="bullet"/>
      <w:lvlText w:val="•"/>
      <w:lvlJc w:val="left"/>
      <w:pPr>
        <w:ind w:left="4880" w:hanging="421"/>
      </w:pPr>
      <w:rPr>
        <w:rFonts w:hint="default"/>
      </w:rPr>
    </w:lvl>
    <w:lvl w:ilvl="7">
      <w:start w:val="0"/>
      <w:numFmt w:val="bullet"/>
      <w:lvlText w:val="•"/>
      <w:lvlJc w:val="left"/>
      <w:pPr>
        <w:ind w:left="5526" w:hanging="421"/>
      </w:pPr>
      <w:rPr>
        <w:rFonts w:hint="default"/>
      </w:rPr>
    </w:lvl>
    <w:lvl w:ilvl="8">
      <w:start w:val="0"/>
      <w:numFmt w:val="bullet"/>
      <w:lvlText w:val="•"/>
      <w:lvlJc w:val="left"/>
      <w:pPr>
        <w:ind w:left="6173" w:hanging="421"/>
      </w:pPr>
      <w:rPr>
        <w:rFonts w:hint="default"/>
      </w:rPr>
    </w:lvl>
  </w:abstractNum>
  <w:abstractNum w:abstractNumId="5">
    <w:multiLevelType w:val="hybridMultilevel"/>
    <w:lvl w:ilvl="0">
      <w:start w:val="7"/>
      <w:numFmt w:val="decimal"/>
      <w:lvlText w:val="%1"/>
      <w:lvlJc w:val="left"/>
      <w:pPr>
        <w:ind w:left="1630" w:hanging="420"/>
        <w:jc w:val="left"/>
      </w:pPr>
      <w:rPr>
        <w:rFonts w:hint="default"/>
      </w:rPr>
    </w:lvl>
    <w:lvl w:ilvl="1">
      <w:start w:val="1"/>
      <w:numFmt w:val="decimal"/>
      <w:lvlText w:val="%1.%2"/>
      <w:lvlJc w:val="left"/>
      <w:pPr>
        <w:ind w:left="1630" w:hanging="420"/>
        <w:jc w:val="left"/>
      </w:pPr>
      <w:rPr>
        <w:rFonts w:hint="default" w:ascii="宋体" w:hAnsi="宋体" w:eastAsia="宋体" w:cs="宋体"/>
        <w:spacing w:val="-1"/>
        <w:w w:val="99"/>
        <w:sz w:val="21"/>
        <w:szCs w:val="21"/>
      </w:rPr>
    </w:lvl>
    <w:lvl w:ilvl="2">
      <w:start w:val="0"/>
      <w:numFmt w:val="bullet"/>
      <w:lvlText w:val="•"/>
      <w:lvlJc w:val="left"/>
      <w:pPr>
        <w:ind w:left="2805" w:hanging="420"/>
      </w:pPr>
      <w:rPr>
        <w:rFonts w:hint="default"/>
      </w:rPr>
    </w:lvl>
    <w:lvl w:ilvl="3">
      <w:start w:val="0"/>
      <w:numFmt w:val="bullet"/>
      <w:lvlText w:val="•"/>
      <w:lvlJc w:val="left"/>
      <w:pPr>
        <w:ind w:left="3388" w:hanging="420"/>
      </w:pPr>
      <w:rPr>
        <w:rFonts w:hint="default"/>
      </w:rPr>
    </w:lvl>
    <w:lvl w:ilvl="4">
      <w:start w:val="0"/>
      <w:numFmt w:val="bullet"/>
      <w:lvlText w:val="•"/>
      <w:lvlJc w:val="left"/>
      <w:pPr>
        <w:ind w:left="3970" w:hanging="420"/>
      </w:pPr>
      <w:rPr>
        <w:rFonts w:hint="default"/>
      </w:rPr>
    </w:lvl>
    <w:lvl w:ilvl="5">
      <w:start w:val="0"/>
      <w:numFmt w:val="bullet"/>
      <w:lvlText w:val="•"/>
      <w:lvlJc w:val="left"/>
      <w:pPr>
        <w:ind w:left="4553" w:hanging="420"/>
      </w:pPr>
      <w:rPr>
        <w:rFonts w:hint="default"/>
      </w:rPr>
    </w:lvl>
    <w:lvl w:ilvl="6">
      <w:start w:val="0"/>
      <w:numFmt w:val="bullet"/>
      <w:lvlText w:val="•"/>
      <w:lvlJc w:val="left"/>
      <w:pPr>
        <w:ind w:left="5136" w:hanging="420"/>
      </w:pPr>
      <w:rPr>
        <w:rFonts w:hint="default"/>
      </w:rPr>
    </w:lvl>
    <w:lvl w:ilvl="7">
      <w:start w:val="0"/>
      <w:numFmt w:val="bullet"/>
      <w:lvlText w:val="•"/>
      <w:lvlJc w:val="left"/>
      <w:pPr>
        <w:ind w:left="5718" w:hanging="420"/>
      </w:pPr>
      <w:rPr>
        <w:rFonts w:hint="default"/>
      </w:rPr>
    </w:lvl>
    <w:lvl w:ilvl="8">
      <w:start w:val="0"/>
      <w:numFmt w:val="bullet"/>
      <w:lvlText w:val="•"/>
      <w:lvlJc w:val="left"/>
      <w:pPr>
        <w:ind w:left="6301" w:hanging="420"/>
      </w:pPr>
      <w:rPr>
        <w:rFonts w:hint="default"/>
      </w:rPr>
    </w:lvl>
  </w:abstractNum>
  <w:abstractNum w:abstractNumId="4">
    <w:multiLevelType w:val="hybridMultilevel"/>
    <w:lvl w:ilvl="0">
      <w:start w:val="6"/>
      <w:numFmt w:val="decimal"/>
      <w:lvlText w:val="%1"/>
      <w:lvlJc w:val="left"/>
      <w:pPr>
        <w:ind w:left="1577" w:hanging="368"/>
        <w:jc w:val="left"/>
      </w:pPr>
      <w:rPr>
        <w:rFonts w:hint="default"/>
      </w:rPr>
    </w:lvl>
    <w:lvl w:ilvl="1">
      <w:start w:val="1"/>
      <w:numFmt w:val="decimal"/>
      <w:lvlText w:val="%1.%2"/>
      <w:lvlJc w:val="left"/>
      <w:pPr>
        <w:ind w:left="1577" w:hanging="368"/>
        <w:jc w:val="left"/>
      </w:pPr>
      <w:rPr>
        <w:rFonts w:hint="default" w:ascii="宋体" w:hAnsi="宋体" w:eastAsia="宋体" w:cs="宋体"/>
        <w:spacing w:val="-1"/>
        <w:w w:val="99"/>
        <w:sz w:val="21"/>
        <w:szCs w:val="21"/>
      </w:rPr>
    </w:lvl>
    <w:lvl w:ilvl="2">
      <w:start w:val="0"/>
      <w:numFmt w:val="bullet"/>
      <w:lvlText w:val="•"/>
      <w:lvlJc w:val="left"/>
      <w:pPr>
        <w:ind w:left="2757" w:hanging="368"/>
      </w:pPr>
      <w:rPr>
        <w:rFonts w:hint="default"/>
      </w:rPr>
    </w:lvl>
    <w:lvl w:ilvl="3">
      <w:start w:val="0"/>
      <w:numFmt w:val="bullet"/>
      <w:lvlText w:val="•"/>
      <w:lvlJc w:val="left"/>
      <w:pPr>
        <w:ind w:left="3346" w:hanging="368"/>
      </w:pPr>
      <w:rPr>
        <w:rFonts w:hint="default"/>
      </w:rPr>
    </w:lvl>
    <w:lvl w:ilvl="4">
      <w:start w:val="0"/>
      <w:numFmt w:val="bullet"/>
      <w:lvlText w:val="•"/>
      <w:lvlJc w:val="left"/>
      <w:pPr>
        <w:ind w:left="3934" w:hanging="368"/>
      </w:pPr>
      <w:rPr>
        <w:rFonts w:hint="default"/>
      </w:rPr>
    </w:lvl>
    <w:lvl w:ilvl="5">
      <w:start w:val="0"/>
      <w:numFmt w:val="bullet"/>
      <w:lvlText w:val="•"/>
      <w:lvlJc w:val="left"/>
      <w:pPr>
        <w:ind w:left="4523" w:hanging="368"/>
      </w:pPr>
      <w:rPr>
        <w:rFonts w:hint="default"/>
      </w:rPr>
    </w:lvl>
    <w:lvl w:ilvl="6">
      <w:start w:val="0"/>
      <w:numFmt w:val="bullet"/>
      <w:lvlText w:val="•"/>
      <w:lvlJc w:val="left"/>
      <w:pPr>
        <w:ind w:left="5112" w:hanging="368"/>
      </w:pPr>
      <w:rPr>
        <w:rFonts w:hint="default"/>
      </w:rPr>
    </w:lvl>
    <w:lvl w:ilvl="7">
      <w:start w:val="0"/>
      <w:numFmt w:val="bullet"/>
      <w:lvlText w:val="•"/>
      <w:lvlJc w:val="left"/>
      <w:pPr>
        <w:ind w:left="5700" w:hanging="368"/>
      </w:pPr>
      <w:rPr>
        <w:rFonts w:hint="default"/>
      </w:rPr>
    </w:lvl>
    <w:lvl w:ilvl="8">
      <w:start w:val="0"/>
      <w:numFmt w:val="bullet"/>
      <w:lvlText w:val="•"/>
      <w:lvlJc w:val="left"/>
      <w:pPr>
        <w:ind w:left="6289" w:hanging="368"/>
      </w:pPr>
      <w:rPr>
        <w:rFonts w:hint="default"/>
      </w:rPr>
    </w:lvl>
  </w:abstractNum>
  <w:abstractNum w:abstractNumId="3">
    <w:multiLevelType w:val="hybridMultilevel"/>
    <w:lvl w:ilvl="0">
      <w:start w:val="3"/>
      <w:numFmt w:val="decimal"/>
      <w:lvlText w:val="%1"/>
      <w:lvlJc w:val="left"/>
      <w:pPr>
        <w:ind w:left="2159" w:hanging="420"/>
        <w:jc w:val="left"/>
      </w:pPr>
      <w:rPr>
        <w:rFonts w:hint="default"/>
      </w:rPr>
    </w:lvl>
    <w:lvl w:ilvl="1">
      <w:start w:val="1"/>
      <w:numFmt w:val="decimal"/>
      <w:lvlText w:val="%1.%2"/>
      <w:lvlJc w:val="left"/>
      <w:pPr>
        <w:ind w:left="2159" w:hanging="420"/>
        <w:jc w:val="left"/>
      </w:pPr>
      <w:rPr>
        <w:rFonts w:hint="default" w:ascii="宋体" w:hAnsi="宋体" w:eastAsia="宋体" w:cs="宋体"/>
        <w:spacing w:val="-1"/>
        <w:w w:val="99"/>
        <w:sz w:val="21"/>
        <w:szCs w:val="21"/>
      </w:rPr>
    </w:lvl>
    <w:lvl w:ilvl="2">
      <w:start w:val="0"/>
      <w:numFmt w:val="bullet"/>
      <w:lvlText w:val="•"/>
      <w:lvlJc w:val="left"/>
      <w:pPr>
        <w:ind w:left="2455" w:hanging="420"/>
      </w:pPr>
      <w:rPr>
        <w:rFonts w:hint="default"/>
      </w:rPr>
    </w:lvl>
    <w:lvl w:ilvl="3">
      <w:start w:val="0"/>
      <w:numFmt w:val="bullet"/>
      <w:lvlText w:val="•"/>
      <w:lvlJc w:val="left"/>
      <w:pPr>
        <w:ind w:left="2603" w:hanging="420"/>
      </w:pPr>
      <w:rPr>
        <w:rFonts w:hint="default"/>
      </w:rPr>
    </w:lvl>
    <w:lvl w:ilvl="4">
      <w:start w:val="0"/>
      <w:numFmt w:val="bullet"/>
      <w:lvlText w:val="•"/>
      <w:lvlJc w:val="left"/>
      <w:pPr>
        <w:ind w:left="2751" w:hanging="420"/>
      </w:pPr>
      <w:rPr>
        <w:rFonts w:hint="default"/>
      </w:rPr>
    </w:lvl>
    <w:lvl w:ilvl="5">
      <w:start w:val="0"/>
      <w:numFmt w:val="bullet"/>
      <w:lvlText w:val="•"/>
      <w:lvlJc w:val="left"/>
      <w:pPr>
        <w:ind w:left="2898" w:hanging="420"/>
      </w:pPr>
      <w:rPr>
        <w:rFonts w:hint="default"/>
      </w:rPr>
    </w:lvl>
    <w:lvl w:ilvl="6">
      <w:start w:val="0"/>
      <w:numFmt w:val="bullet"/>
      <w:lvlText w:val="•"/>
      <w:lvlJc w:val="left"/>
      <w:pPr>
        <w:ind w:left="3046" w:hanging="420"/>
      </w:pPr>
      <w:rPr>
        <w:rFonts w:hint="default"/>
      </w:rPr>
    </w:lvl>
    <w:lvl w:ilvl="7">
      <w:start w:val="0"/>
      <w:numFmt w:val="bullet"/>
      <w:lvlText w:val="•"/>
      <w:lvlJc w:val="left"/>
      <w:pPr>
        <w:ind w:left="3194" w:hanging="420"/>
      </w:pPr>
      <w:rPr>
        <w:rFonts w:hint="default"/>
      </w:rPr>
    </w:lvl>
    <w:lvl w:ilvl="8">
      <w:start w:val="0"/>
      <w:numFmt w:val="bullet"/>
      <w:lvlText w:val="•"/>
      <w:lvlJc w:val="left"/>
      <w:pPr>
        <w:ind w:left="3342" w:hanging="420"/>
      </w:pPr>
      <w:rPr>
        <w:rFonts w:hint="default"/>
      </w:rPr>
    </w:lvl>
  </w:abstractNum>
  <w:abstractNum w:abstractNumId="2">
    <w:multiLevelType w:val="hybridMultilevel"/>
    <w:lvl w:ilvl="0">
      <w:start w:val="2"/>
      <w:numFmt w:val="decimal"/>
      <w:lvlText w:val="%1"/>
      <w:lvlJc w:val="left"/>
      <w:pPr>
        <w:ind w:left="2159" w:hanging="420"/>
        <w:jc w:val="left"/>
      </w:pPr>
      <w:rPr>
        <w:rFonts w:hint="default"/>
      </w:rPr>
    </w:lvl>
    <w:lvl w:ilvl="1">
      <w:start w:val="1"/>
      <w:numFmt w:val="decimal"/>
      <w:lvlText w:val="%1.%2"/>
      <w:lvlJc w:val="left"/>
      <w:pPr>
        <w:ind w:left="2159" w:hanging="420"/>
        <w:jc w:val="left"/>
      </w:pPr>
      <w:rPr>
        <w:rFonts w:hint="default" w:ascii="宋体" w:hAnsi="宋体" w:eastAsia="宋体" w:cs="宋体"/>
        <w:spacing w:val="-1"/>
        <w:w w:val="99"/>
        <w:sz w:val="21"/>
        <w:szCs w:val="21"/>
      </w:rPr>
    </w:lvl>
    <w:lvl w:ilvl="2">
      <w:start w:val="0"/>
      <w:numFmt w:val="bullet"/>
      <w:lvlText w:val="•"/>
      <w:lvlJc w:val="left"/>
      <w:pPr>
        <w:ind w:left="2455" w:hanging="420"/>
      </w:pPr>
      <w:rPr>
        <w:rFonts w:hint="default"/>
      </w:rPr>
    </w:lvl>
    <w:lvl w:ilvl="3">
      <w:start w:val="0"/>
      <w:numFmt w:val="bullet"/>
      <w:lvlText w:val="•"/>
      <w:lvlJc w:val="left"/>
      <w:pPr>
        <w:ind w:left="2603" w:hanging="420"/>
      </w:pPr>
      <w:rPr>
        <w:rFonts w:hint="default"/>
      </w:rPr>
    </w:lvl>
    <w:lvl w:ilvl="4">
      <w:start w:val="0"/>
      <w:numFmt w:val="bullet"/>
      <w:lvlText w:val="•"/>
      <w:lvlJc w:val="left"/>
      <w:pPr>
        <w:ind w:left="2751" w:hanging="420"/>
      </w:pPr>
      <w:rPr>
        <w:rFonts w:hint="default"/>
      </w:rPr>
    </w:lvl>
    <w:lvl w:ilvl="5">
      <w:start w:val="0"/>
      <w:numFmt w:val="bullet"/>
      <w:lvlText w:val="•"/>
      <w:lvlJc w:val="left"/>
      <w:pPr>
        <w:ind w:left="2898" w:hanging="420"/>
      </w:pPr>
      <w:rPr>
        <w:rFonts w:hint="default"/>
      </w:rPr>
    </w:lvl>
    <w:lvl w:ilvl="6">
      <w:start w:val="0"/>
      <w:numFmt w:val="bullet"/>
      <w:lvlText w:val="•"/>
      <w:lvlJc w:val="left"/>
      <w:pPr>
        <w:ind w:left="3046" w:hanging="420"/>
      </w:pPr>
      <w:rPr>
        <w:rFonts w:hint="default"/>
      </w:rPr>
    </w:lvl>
    <w:lvl w:ilvl="7">
      <w:start w:val="0"/>
      <w:numFmt w:val="bullet"/>
      <w:lvlText w:val="•"/>
      <w:lvlJc w:val="left"/>
      <w:pPr>
        <w:ind w:left="3194" w:hanging="420"/>
      </w:pPr>
      <w:rPr>
        <w:rFonts w:hint="default"/>
      </w:rPr>
    </w:lvl>
    <w:lvl w:ilvl="8">
      <w:start w:val="0"/>
      <w:numFmt w:val="bullet"/>
      <w:lvlText w:val="•"/>
      <w:lvlJc w:val="left"/>
      <w:pPr>
        <w:ind w:left="3342" w:hanging="420"/>
      </w:pPr>
      <w:rPr>
        <w:rFonts w:hint="default"/>
      </w:rPr>
    </w:lvl>
  </w:abstractNum>
  <w:abstractNum w:abstractNumId="1">
    <w:multiLevelType w:val="hybridMultilevel"/>
    <w:lvl w:ilvl="0">
      <w:start w:val="1"/>
      <w:numFmt w:val="decimal"/>
      <w:lvlText w:val="%1"/>
      <w:lvlJc w:val="left"/>
      <w:pPr>
        <w:ind w:left="2159" w:hanging="420"/>
        <w:jc w:val="left"/>
      </w:pPr>
      <w:rPr>
        <w:rFonts w:hint="default"/>
      </w:rPr>
    </w:lvl>
    <w:lvl w:ilvl="1">
      <w:start w:val="1"/>
      <w:numFmt w:val="decimal"/>
      <w:lvlText w:val="%1.%2"/>
      <w:lvlJc w:val="left"/>
      <w:pPr>
        <w:ind w:left="2159" w:hanging="420"/>
        <w:jc w:val="left"/>
      </w:pPr>
      <w:rPr>
        <w:rFonts w:hint="default" w:ascii="宋体" w:hAnsi="宋体" w:eastAsia="宋体" w:cs="宋体"/>
        <w:spacing w:val="-1"/>
        <w:w w:val="99"/>
        <w:sz w:val="21"/>
        <w:szCs w:val="21"/>
      </w:rPr>
    </w:lvl>
    <w:lvl w:ilvl="2">
      <w:start w:val="0"/>
      <w:numFmt w:val="bullet"/>
      <w:lvlText w:val="•"/>
      <w:lvlJc w:val="left"/>
      <w:pPr>
        <w:ind w:left="2455" w:hanging="420"/>
      </w:pPr>
      <w:rPr>
        <w:rFonts w:hint="default"/>
      </w:rPr>
    </w:lvl>
    <w:lvl w:ilvl="3">
      <w:start w:val="0"/>
      <w:numFmt w:val="bullet"/>
      <w:lvlText w:val="•"/>
      <w:lvlJc w:val="left"/>
      <w:pPr>
        <w:ind w:left="2603" w:hanging="420"/>
      </w:pPr>
      <w:rPr>
        <w:rFonts w:hint="default"/>
      </w:rPr>
    </w:lvl>
    <w:lvl w:ilvl="4">
      <w:start w:val="0"/>
      <w:numFmt w:val="bullet"/>
      <w:lvlText w:val="•"/>
      <w:lvlJc w:val="left"/>
      <w:pPr>
        <w:ind w:left="2751" w:hanging="420"/>
      </w:pPr>
      <w:rPr>
        <w:rFonts w:hint="default"/>
      </w:rPr>
    </w:lvl>
    <w:lvl w:ilvl="5">
      <w:start w:val="0"/>
      <w:numFmt w:val="bullet"/>
      <w:lvlText w:val="•"/>
      <w:lvlJc w:val="left"/>
      <w:pPr>
        <w:ind w:left="2898" w:hanging="420"/>
      </w:pPr>
      <w:rPr>
        <w:rFonts w:hint="default"/>
      </w:rPr>
    </w:lvl>
    <w:lvl w:ilvl="6">
      <w:start w:val="0"/>
      <w:numFmt w:val="bullet"/>
      <w:lvlText w:val="•"/>
      <w:lvlJc w:val="left"/>
      <w:pPr>
        <w:ind w:left="3046" w:hanging="420"/>
      </w:pPr>
      <w:rPr>
        <w:rFonts w:hint="default"/>
      </w:rPr>
    </w:lvl>
    <w:lvl w:ilvl="7">
      <w:start w:val="0"/>
      <w:numFmt w:val="bullet"/>
      <w:lvlText w:val="•"/>
      <w:lvlJc w:val="left"/>
      <w:pPr>
        <w:ind w:left="3194" w:hanging="420"/>
      </w:pPr>
      <w:rPr>
        <w:rFonts w:hint="default"/>
      </w:rPr>
    </w:lvl>
    <w:lvl w:ilvl="8">
      <w:start w:val="0"/>
      <w:numFmt w:val="bullet"/>
      <w:lvlText w:val="•"/>
      <w:lvlJc w:val="left"/>
      <w:pPr>
        <w:ind w:left="3342" w:hanging="420"/>
      </w:pPr>
      <w:rPr>
        <w:rFonts w:hint="default"/>
      </w:rPr>
    </w:lvl>
  </w:abstractNum>
  <w:abstractNum w:abstractNumId="0">
    <w:multiLevelType w:val="hybridMultilevel"/>
    <w:lvl w:ilvl="0">
      <w:start w:val="0"/>
      <w:numFmt w:val="bullet"/>
      <w:lvlText w:val="❖"/>
      <w:lvlJc w:val="left"/>
      <w:pPr>
        <w:ind w:left="1660" w:hanging="423"/>
      </w:pPr>
      <w:rPr>
        <w:rFonts w:hint="default" w:ascii="MS UI Gothic" w:hAnsi="MS UI Gothic" w:eastAsia="MS UI Gothic" w:cs="MS UI Gothic"/>
        <w:w w:val="89"/>
        <w:sz w:val="21"/>
        <w:szCs w:val="21"/>
      </w:rPr>
    </w:lvl>
    <w:lvl w:ilvl="1">
      <w:start w:val="0"/>
      <w:numFmt w:val="bullet"/>
      <w:lvlText w:val="•"/>
      <w:lvlJc w:val="left"/>
      <w:pPr>
        <w:ind w:left="2608" w:hanging="423"/>
      </w:pPr>
      <w:rPr>
        <w:rFonts w:hint="default"/>
      </w:rPr>
    </w:lvl>
    <w:lvl w:ilvl="2">
      <w:start w:val="0"/>
      <w:numFmt w:val="bullet"/>
      <w:lvlText w:val="•"/>
      <w:lvlJc w:val="left"/>
      <w:pPr>
        <w:ind w:left="3556" w:hanging="423"/>
      </w:pPr>
      <w:rPr>
        <w:rFonts w:hint="default"/>
      </w:rPr>
    </w:lvl>
    <w:lvl w:ilvl="3">
      <w:start w:val="0"/>
      <w:numFmt w:val="bullet"/>
      <w:lvlText w:val="•"/>
      <w:lvlJc w:val="left"/>
      <w:pPr>
        <w:ind w:left="4505" w:hanging="423"/>
      </w:pPr>
      <w:rPr>
        <w:rFonts w:hint="default"/>
      </w:rPr>
    </w:lvl>
    <w:lvl w:ilvl="4">
      <w:start w:val="0"/>
      <w:numFmt w:val="bullet"/>
      <w:lvlText w:val="•"/>
      <w:lvlJc w:val="left"/>
      <w:pPr>
        <w:ind w:left="5453" w:hanging="423"/>
      </w:pPr>
      <w:rPr>
        <w:rFonts w:hint="default"/>
      </w:rPr>
    </w:lvl>
    <w:lvl w:ilvl="5">
      <w:start w:val="0"/>
      <w:numFmt w:val="bullet"/>
      <w:lvlText w:val="•"/>
      <w:lvlJc w:val="left"/>
      <w:pPr>
        <w:ind w:left="6402" w:hanging="423"/>
      </w:pPr>
      <w:rPr>
        <w:rFonts w:hint="default"/>
      </w:rPr>
    </w:lvl>
    <w:lvl w:ilvl="6">
      <w:start w:val="0"/>
      <w:numFmt w:val="bullet"/>
      <w:lvlText w:val="•"/>
      <w:lvlJc w:val="left"/>
      <w:pPr>
        <w:ind w:left="7350" w:hanging="423"/>
      </w:pPr>
      <w:rPr>
        <w:rFonts w:hint="default"/>
      </w:rPr>
    </w:lvl>
    <w:lvl w:ilvl="7">
      <w:start w:val="0"/>
      <w:numFmt w:val="bullet"/>
      <w:lvlText w:val="•"/>
      <w:lvlJc w:val="left"/>
      <w:pPr>
        <w:ind w:left="8299" w:hanging="423"/>
      </w:pPr>
      <w:rPr>
        <w:rFonts w:hint="default"/>
      </w:rPr>
    </w:lvl>
    <w:lvl w:ilvl="8">
      <w:start w:val="0"/>
      <w:numFmt w:val="bullet"/>
      <w:lvlText w:val="•"/>
      <w:lvlJc w:val="left"/>
      <w:pPr>
        <w:ind w:left="9247" w:hanging="423"/>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6"/>
    </w:pPr>
    <w:rPr>
      <w:rFonts w:ascii="宋体" w:hAnsi="宋体" w:eastAsia="宋体" w:cs="宋体"/>
      <w:sz w:val="21"/>
      <w:szCs w:val="21"/>
    </w:rPr>
  </w:style>
  <w:style w:styleId="Heading1" w:type="paragraph">
    <w:name w:val="Heading 1"/>
    <w:basedOn w:val="Normal"/>
    <w:uiPriority w:val="1"/>
    <w:qFormat/>
    <w:pPr>
      <w:outlineLvl w:val="1"/>
    </w:pPr>
    <w:rPr>
      <w:rFonts w:ascii="宋体" w:hAnsi="宋体" w:eastAsia="宋体" w:cs="宋体"/>
      <w:b/>
      <w:bCs/>
      <w:sz w:val="44"/>
      <w:szCs w:val="44"/>
    </w:rPr>
  </w:style>
  <w:style w:styleId="Heading2" w:type="paragraph">
    <w:name w:val="Heading 2"/>
    <w:basedOn w:val="Normal"/>
    <w:uiPriority w:val="1"/>
    <w:qFormat/>
    <w:pPr>
      <w:ind w:left="220"/>
      <w:outlineLvl w:val="2"/>
    </w:pPr>
    <w:rPr>
      <w:rFonts w:ascii="宋体" w:hAnsi="宋体" w:eastAsia="宋体" w:cs="宋体"/>
      <w:b/>
      <w:bCs/>
      <w:sz w:val="24"/>
      <w:szCs w:val="24"/>
    </w:rPr>
  </w:style>
  <w:style w:styleId="Heading3" w:type="paragraph">
    <w:name w:val="Heading 3"/>
    <w:basedOn w:val="Normal"/>
    <w:uiPriority w:val="1"/>
    <w:qFormat/>
    <w:pPr>
      <w:ind w:left="2811"/>
      <w:outlineLvl w:val="3"/>
    </w:pPr>
    <w:rPr>
      <w:rFonts w:ascii="宋体" w:hAnsi="宋体" w:eastAsia="宋体" w:cs="宋体"/>
      <w:b/>
      <w:bCs/>
      <w:i/>
      <w:sz w:val="22"/>
      <w:szCs w:val="22"/>
    </w:rPr>
  </w:style>
  <w:style w:styleId="Heading4" w:type="paragraph">
    <w:name w:val="Heading 4"/>
    <w:basedOn w:val="Normal"/>
    <w:uiPriority w:val="1"/>
    <w:qFormat/>
    <w:pPr>
      <w:spacing w:before="23"/>
      <w:ind w:left="3161"/>
      <w:outlineLvl w:val="4"/>
    </w:pPr>
    <w:rPr>
      <w:rFonts w:ascii="黑体" w:hAnsi="黑体" w:eastAsia="黑体" w:cs="黑体"/>
      <w:i/>
      <w:sz w:val="22"/>
      <w:szCs w:val="22"/>
    </w:rPr>
  </w:style>
  <w:style w:styleId="Heading5" w:type="paragraph">
    <w:name w:val="Heading 5"/>
    <w:basedOn w:val="Normal"/>
    <w:uiPriority w:val="1"/>
    <w:qFormat/>
    <w:pPr>
      <w:ind w:left="523"/>
      <w:outlineLvl w:val="5"/>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ind w:left="2159"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footer" Target="footer1.xm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dufuqu</dc:creator>
  <dc:title>&lt;4D6963726F736F667420576F7264202D2030325FBBAACFC4B9D8B0AEB1A6D6D8B4F3BCB2B2A1B1A3CFD5A3A841BFEEA3A9CCF5BFEE&gt;</dc:title>
  <dcterms:created xsi:type="dcterms:W3CDTF">2018-10-20T02:46:34Z</dcterms:created>
  <dcterms:modified xsi:type="dcterms:W3CDTF">2018-10-20T02:46:34Z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2014-12-29T00:00:00Z</vt:filetime>
  </property>
  <property fmtid="{D5CDD505-2E9C-101B-9397-08002B2CF9AE}" pid="3" name="Creator">
    <vt:lpwstr>PScript5.dll Version 5.2</vt:lpwstr>
  </property>
  <property fmtid="{D5CDD505-2E9C-101B-9397-08002B2CF9AE}" pid="4" name="LastSaved">
    <vt:filetime>2018-10-19T00:00:00Z</vt:filetime>
  </property>
</Properties>
</file>