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rPr>
          <w:rFonts w:ascii="Times New Roman"/>
          <w:sz w:val="17"/>
        </w:rPr>
      </w:pPr>
    </w:p>
    <w:p>
      <w:pPr>
        <w:pStyle w:val="BodyText"/>
        <w:spacing w:line="240" w:lineRule="auto"/>
        <w:ind w:left="34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spacing w:line="206" w:lineRule="exact" w:before="0"/>
        <w:ind w:left="8908" w:right="0" w:firstLine="0"/>
        <w:jc w:val="left"/>
        <w:rPr>
          <w:sz w:val="20"/>
        </w:rPr>
      </w:pPr>
      <w:r>
        <w:rPr/>
        <w:drawing>
          <wp:anchor distT="0" distB="0" distL="0" distR="0" allowOverlap="1" layoutInCell="1" locked="0" behindDoc="0" simplePos="0" relativeHeight="1048">
            <wp:simplePos x="0" y="0"/>
            <wp:positionH relativeFrom="page">
              <wp:posOffset>6192011</wp:posOffset>
            </wp:positionH>
            <wp:positionV relativeFrom="paragraph">
              <wp:posOffset>-516255</wp:posOffset>
            </wp:positionV>
            <wp:extent cx="723899" cy="6477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899" cy="647700"/>
                    </a:xfrm>
                    <a:prstGeom prst="rect">
                      <a:avLst/>
                    </a:prstGeom>
                  </pic:spPr>
                </pic:pic>
              </a:graphicData>
            </a:graphic>
          </wp:anchor>
        </w:drawing>
      </w:r>
      <w:r>
        <w:rPr>
          <w:w w:val="99"/>
          <w:sz w:val="20"/>
        </w:rPr>
        <w:t> </w:t>
      </w:r>
    </w:p>
    <w:p>
      <w:pPr>
        <w:spacing w:line="184" w:lineRule="auto" w:before="53"/>
        <w:ind w:left="8224" w:right="254" w:hanging="802"/>
        <w:jc w:val="right"/>
        <w:rPr>
          <w:sz w:val="20"/>
        </w:rPr>
      </w:pPr>
      <w:r>
        <w:rPr>
          <w:sz w:val="20"/>
        </w:rPr>
        <w:t>嘉禾人寿[2009]疾病保险 079 号</w:t>
      </w:r>
      <w:r>
        <w:rPr>
          <w:w w:val="99"/>
          <w:sz w:val="20"/>
        </w:rPr>
        <w:t> </w:t>
      </w:r>
      <w:r>
        <w:rPr>
          <w:w w:val="95"/>
          <w:sz w:val="20"/>
        </w:rPr>
        <w:t>请扫描以查询验证条款 </w:t>
      </w:r>
    </w:p>
    <w:p>
      <w:pPr>
        <w:pStyle w:val="Heading1"/>
        <w:spacing w:line="514" w:lineRule="exact"/>
        <w:ind w:left="1877"/>
      </w:pPr>
      <w:r>
        <w:rPr/>
        <w:t>嘉禾附加珍爱一生终身重大疾病保险条款</w:t>
      </w:r>
    </w:p>
    <w:p>
      <w:pPr>
        <w:spacing w:before="71"/>
        <w:ind w:left="1875" w:right="1871"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1978" w:right="1871"/>
        <w:jc w:val="center"/>
      </w:pPr>
      <w:r>
        <w:rPr/>
        <w:drawing>
          <wp:anchor distT="0" distB="0" distL="0" distR="0" allowOverlap="1" layoutInCell="1" locked="0" behindDoc="1" simplePos="0" relativeHeight="268357415">
            <wp:simplePos x="0" y="0"/>
            <wp:positionH relativeFrom="page">
              <wp:posOffset>490727</wp:posOffset>
            </wp:positionH>
            <wp:positionV relativeFrom="paragraph">
              <wp:posOffset>318562</wp:posOffset>
            </wp:positionV>
            <wp:extent cx="6576060" cy="765352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76060" cy="765352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264" w:val="left" w:leader="none"/>
        </w:tabs>
        <w:spacing w:before="86"/>
        <w:ind w:left="256"/>
      </w:pPr>
      <w:r>
        <w:rPr>
          <w:rFonts w:ascii="Times New Roman" w:eastAsia="Times New Roman"/>
          <w:position w:val="-11"/>
          <w:sz w:val="52"/>
        </w:rPr>
        <w:t>C</w:t>
        <w:tab/>
      </w:r>
      <w:r>
        <w:rPr>
          <w:spacing w:val="-1"/>
        </w:rPr>
        <w:t>您拥有的重要权益</w:t>
      </w:r>
    </w:p>
    <w:p>
      <w:pPr>
        <w:pStyle w:val="ListParagraph"/>
        <w:numPr>
          <w:ilvl w:val="0"/>
          <w:numId w:val="1"/>
        </w:numPr>
        <w:tabs>
          <w:tab w:pos="1646" w:val="left" w:leader="none"/>
          <w:tab w:pos="1647" w:val="left" w:leader="none"/>
        </w:tabs>
        <w:spacing w:line="284" w:lineRule="exact" w:before="13" w:after="0"/>
        <w:ind w:left="1646" w:right="0" w:hanging="422"/>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6" w:val="left" w:leader="none"/>
          <w:tab w:pos="1647" w:val="left" w:leader="none"/>
          <w:tab w:pos="9837" w:val="right" w:leader="dot"/>
        </w:tabs>
        <w:spacing w:line="280" w:lineRule="exact" w:before="0" w:after="0"/>
        <w:ind w:left="1646" w:right="0" w:hanging="422"/>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46" w:val="left" w:leader="none"/>
          <w:tab w:pos="1647" w:val="left" w:leader="none"/>
          <w:tab w:pos="9631" w:val="right" w:leader="dot"/>
        </w:tabs>
        <w:spacing w:line="285" w:lineRule="exact" w:before="0" w:after="0"/>
        <w:ind w:left="1646"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64" w:val="left" w:leader="none"/>
        </w:tabs>
        <w:spacing w:before="2"/>
        <w:ind w:left="256"/>
      </w:pPr>
      <w:r>
        <w:rPr>
          <w:rFonts w:ascii="Times New Roman" w:eastAsia="Times New Roman"/>
          <w:position w:val="-11"/>
          <w:sz w:val="52"/>
        </w:rPr>
        <w:t>C</w:t>
        <w:tab/>
      </w:r>
      <w:r>
        <w:rPr>
          <w:spacing w:val="-1"/>
        </w:rPr>
        <w:t>您应当特别注意的事项</w:t>
      </w:r>
    </w:p>
    <w:p>
      <w:pPr>
        <w:pStyle w:val="ListParagraph"/>
        <w:numPr>
          <w:ilvl w:val="0"/>
          <w:numId w:val="2"/>
        </w:numPr>
        <w:tabs>
          <w:tab w:pos="1646" w:val="left" w:leader="none"/>
          <w:tab w:pos="1647" w:val="left" w:leader="none"/>
          <w:tab w:pos="9837" w:val="right" w:leader="dot"/>
        </w:tabs>
        <w:spacing w:line="284" w:lineRule="exact" w:before="13" w:after="0"/>
        <w:ind w:left="1646"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6" w:val="left" w:leader="none"/>
          <w:tab w:pos="1647" w:val="left" w:leader="none"/>
          <w:tab w:pos="9837" w:val="right" w:leader="dot"/>
        </w:tabs>
        <w:spacing w:line="280" w:lineRule="exact" w:before="0" w:after="0"/>
        <w:ind w:left="1646"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6" w:val="left" w:leader="none"/>
          <w:tab w:pos="1647" w:val="left" w:leader="none"/>
          <w:tab w:pos="9837" w:val="right" w:leader="dot"/>
        </w:tabs>
        <w:spacing w:line="281" w:lineRule="exact" w:before="0" w:after="0"/>
        <w:ind w:left="1646"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6" w:val="left" w:leader="none"/>
          <w:tab w:pos="1647" w:val="left" w:leader="none"/>
          <w:tab w:pos="9631" w:val="right" w:leader="dot"/>
        </w:tabs>
        <w:spacing w:line="280" w:lineRule="exact" w:before="0" w:after="0"/>
        <w:ind w:left="1646"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6" w:val="left" w:leader="none"/>
          <w:tab w:pos="1647" w:val="left" w:leader="none"/>
          <w:tab w:pos="9837" w:val="right" w:leader="dot"/>
        </w:tabs>
        <w:spacing w:line="280" w:lineRule="exact" w:before="0" w:after="0"/>
        <w:ind w:left="1646"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6" w:val="left" w:leader="none"/>
          <w:tab w:pos="1647" w:val="left" w:leader="none"/>
          <w:tab w:pos="9837" w:val="right" w:leader="dot"/>
        </w:tabs>
        <w:spacing w:line="281" w:lineRule="exact" w:before="0" w:after="0"/>
        <w:ind w:left="1646" w:right="0" w:hanging="422"/>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46" w:val="left" w:leader="none"/>
          <w:tab w:pos="1647" w:val="left" w:leader="none"/>
        </w:tabs>
        <w:spacing w:line="280" w:lineRule="exact" w:before="0" w:after="0"/>
        <w:ind w:left="1646"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6" w:val="left" w:leader="none"/>
          <w:tab w:pos="1647" w:val="left" w:leader="none"/>
          <w:tab w:pos="9945" w:val="right" w:leader="dot"/>
        </w:tabs>
        <w:spacing w:line="284" w:lineRule="exact" w:before="0" w:after="0"/>
        <w:ind w:left="1646"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64" w:val="left" w:leader="none"/>
        </w:tabs>
        <w:spacing w:before="3"/>
        <w:ind w:left="256"/>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4" w:val="left" w:leader="none"/>
        </w:tabs>
        <w:spacing w:before="25" w:after="41"/>
        <w:ind w:left="256"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198"/>
        <w:gridCol w:w="970"/>
        <w:gridCol w:w="3225"/>
      </w:tblGrid>
      <w:tr>
        <w:trPr>
          <w:trHeight w:val="769" w:hRule="atLeast"/>
        </w:trPr>
        <w:tc>
          <w:tcPr>
            <w:tcW w:w="2359" w:type="dxa"/>
            <w:tcBorders>
              <w:top w:val="single" w:sz="4" w:space="0" w:color="000000"/>
              <w:left w:val="single" w:sz="4" w:space="0" w:color="000000"/>
            </w:tcBorders>
          </w:tcPr>
          <w:p>
            <w:pPr>
              <w:pStyle w:val="TableParagraph"/>
              <w:spacing w:before="83"/>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p>
            <w:pPr>
              <w:pStyle w:val="TableParagraph"/>
              <w:ind w:left="316"/>
              <w:rPr>
                <w:rFonts w:ascii="仿宋" w:eastAsia="仿宋" w:hint="eastAsia"/>
                <w:sz w:val="21"/>
              </w:rPr>
            </w:pPr>
            <w:r>
              <w:rPr>
                <w:rFonts w:ascii="仿宋" w:eastAsia="仿宋" w:hint="eastAsia"/>
                <w:sz w:val="21"/>
              </w:rPr>
              <w:t>1.1 合同构成</w:t>
            </w:r>
          </w:p>
        </w:tc>
        <w:tc>
          <w:tcPr>
            <w:tcW w:w="3198" w:type="dxa"/>
            <w:tcBorders>
              <w:top w:val="single" w:sz="4" w:space="0" w:color="000000"/>
            </w:tcBorders>
          </w:tcPr>
          <w:p>
            <w:pPr>
              <w:pStyle w:val="TableParagraph"/>
              <w:spacing w:before="83"/>
              <w:ind w:left="14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ind w:left="357"/>
              <w:rPr>
                <w:rFonts w:ascii="仿宋" w:eastAsia="仿宋" w:hint="eastAsia"/>
                <w:sz w:val="21"/>
              </w:rPr>
            </w:pPr>
            <w:r>
              <w:rPr>
                <w:rFonts w:ascii="仿宋" w:eastAsia="仿宋" w:hint="eastAsia"/>
                <w:sz w:val="21"/>
              </w:rPr>
              <w:t>5.1 现金价值</w:t>
            </w:r>
          </w:p>
        </w:tc>
        <w:tc>
          <w:tcPr>
            <w:tcW w:w="970" w:type="dxa"/>
            <w:tcBorders>
              <w:top w:val="single" w:sz="4" w:space="0" w:color="000000"/>
            </w:tcBorders>
          </w:tcPr>
          <w:p>
            <w:pPr>
              <w:pStyle w:val="TableParagraph"/>
              <w:spacing w:before="83"/>
              <w:ind w:left="11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p>
            <w:pPr>
              <w:pStyle w:val="TableParagraph"/>
              <w:ind w:left="394"/>
              <w:rPr>
                <w:rFonts w:ascii="仿宋"/>
                <w:sz w:val="21"/>
              </w:rPr>
            </w:pPr>
            <w:r>
              <w:rPr>
                <w:rFonts w:ascii="仿宋"/>
                <w:sz w:val="21"/>
              </w:rPr>
              <w:t>10.1</w:t>
            </w:r>
          </w:p>
        </w:tc>
        <w:tc>
          <w:tcPr>
            <w:tcW w:w="3225" w:type="dxa"/>
            <w:tcBorders>
              <w:top w:val="single" w:sz="4" w:space="0" w:color="000000"/>
              <w:right w:val="single" w:sz="4" w:space="0" w:color="000000"/>
            </w:tcBorders>
          </w:tcPr>
          <w:p>
            <w:pPr>
              <w:pStyle w:val="TableParagraph"/>
              <w:rPr>
                <w:sz w:val="20"/>
              </w:rPr>
            </w:pPr>
          </w:p>
          <w:p>
            <w:pPr>
              <w:pStyle w:val="TableParagraph"/>
              <w:spacing w:before="5"/>
              <w:rPr>
                <w:sz w:val="14"/>
              </w:rPr>
            </w:pPr>
          </w:p>
          <w:p>
            <w:pPr>
              <w:pStyle w:val="TableParagraph"/>
              <w:ind w:left="56"/>
              <w:rPr>
                <w:rFonts w:ascii="仿宋" w:eastAsia="仿宋" w:hint="eastAsia"/>
                <w:sz w:val="21"/>
              </w:rPr>
            </w:pPr>
            <w:r>
              <w:rPr>
                <w:rFonts w:ascii="仿宋" w:eastAsia="仿宋" w:hint="eastAsia"/>
                <w:sz w:val="21"/>
              </w:rPr>
              <w:t>周岁</w:t>
            </w:r>
          </w:p>
        </w:tc>
      </w:tr>
      <w:tr>
        <w:trPr>
          <w:trHeight w:val="300"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1.2 合同成立与生效</w:t>
            </w:r>
          </w:p>
        </w:tc>
        <w:tc>
          <w:tcPr>
            <w:tcW w:w="3198" w:type="dxa"/>
          </w:tcPr>
          <w:p>
            <w:pPr>
              <w:pStyle w:val="TableParagraph"/>
              <w:spacing w:line="255" w:lineRule="exact"/>
              <w:ind w:left="357"/>
              <w:rPr>
                <w:rFonts w:ascii="仿宋" w:eastAsia="仿宋" w:hint="eastAsia"/>
                <w:sz w:val="21"/>
              </w:rPr>
            </w:pPr>
            <w:r>
              <w:rPr>
                <w:rFonts w:ascii="仿宋" w:eastAsia="仿宋" w:hint="eastAsia"/>
                <w:sz w:val="21"/>
              </w:rPr>
              <w:t>5.2 保险费自动垫交</w:t>
            </w:r>
          </w:p>
        </w:tc>
        <w:tc>
          <w:tcPr>
            <w:tcW w:w="970" w:type="dxa"/>
          </w:tcPr>
          <w:p>
            <w:pPr>
              <w:pStyle w:val="TableParagraph"/>
              <w:spacing w:line="255" w:lineRule="exact"/>
              <w:ind w:left="394"/>
              <w:rPr>
                <w:rFonts w:ascii="仿宋"/>
                <w:sz w:val="21"/>
              </w:rPr>
            </w:pPr>
            <w:r>
              <w:rPr>
                <w:rFonts w:ascii="仿宋"/>
                <w:sz w:val="21"/>
              </w:rPr>
              <w:t>10.2</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有效身份证件</w:t>
            </w:r>
          </w:p>
        </w:tc>
      </w:tr>
      <w:tr>
        <w:trPr>
          <w:trHeight w:val="300"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1.3 投保年龄</w:t>
            </w:r>
          </w:p>
        </w:tc>
        <w:tc>
          <w:tcPr>
            <w:tcW w:w="3198" w:type="dxa"/>
          </w:tcPr>
          <w:p>
            <w:pPr>
              <w:pStyle w:val="TableParagraph"/>
              <w:spacing w:line="255" w:lineRule="exact"/>
              <w:ind w:left="357"/>
              <w:rPr>
                <w:rFonts w:ascii="仿宋" w:eastAsia="仿宋" w:hint="eastAsia"/>
                <w:sz w:val="21"/>
              </w:rPr>
            </w:pPr>
            <w:r>
              <w:rPr>
                <w:rFonts w:ascii="仿宋" w:eastAsia="仿宋" w:hint="eastAsia"/>
                <w:sz w:val="21"/>
              </w:rPr>
              <w:t>5.3 减额交清</w:t>
            </w:r>
          </w:p>
        </w:tc>
        <w:tc>
          <w:tcPr>
            <w:tcW w:w="970" w:type="dxa"/>
          </w:tcPr>
          <w:p>
            <w:pPr>
              <w:pStyle w:val="TableParagraph"/>
              <w:spacing w:line="255" w:lineRule="exact"/>
              <w:ind w:left="394"/>
              <w:rPr>
                <w:rFonts w:ascii="仿宋"/>
                <w:sz w:val="21"/>
              </w:rPr>
            </w:pPr>
            <w:r>
              <w:rPr>
                <w:rFonts w:ascii="仿宋"/>
                <w:sz w:val="21"/>
              </w:rPr>
              <w:t>10.3</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医疗机构</w:t>
            </w:r>
          </w:p>
        </w:tc>
      </w:tr>
      <w:tr>
        <w:trPr>
          <w:trHeight w:val="316"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1.4 犹豫期</w:t>
            </w:r>
          </w:p>
        </w:tc>
        <w:tc>
          <w:tcPr>
            <w:tcW w:w="3198" w:type="dxa"/>
          </w:tcPr>
          <w:p>
            <w:pPr>
              <w:pStyle w:val="TableParagraph"/>
              <w:spacing w:line="279"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970" w:type="dxa"/>
          </w:tcPr>
          <w:p>
            <w:pPr>
              <w:pStyle w:val="TableParagraph"/>
              <w:spacing w:line="255" w:lineRule="exact"/>
              <w:ind w:left="394"/>
              <w:rPr>
                <w:rFonts w:ascii="仿宋"/>
                <w:sz w:val="21"/>
              </w:rPr>
            </w:pPr>
            <w:r>
              <w:rPr>
                <w:rFonts w:ascii="仿宋"/>
                <w:sz w:val="21"/>
              </w:rPr>
              <w:t>10.4</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重大疾病</w:t>
            </w:r>
          </w:p>
        </w:tc>
      </w:tr>
      <w:tr>
        <w:trPr>
          <w:trHeight w:val="300" w:hRule="atLeast"/>
        </w:trPr>
        <w:tc>
          <w:tcPr>
            <w:tcW w:w="2359" w:type="dxa"/>
            <w:tcBorders>
              <w:left w:val="single" w:sz="4" w:space="0" w:color="000000"/>
            </w:tcBorders>
          </w:tcPr>
          <w:p>
            <w:pPr>
              <w:pStyle w:val="TableParagraph"/>
              <w:spacing w:line="262"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198" w:type="dxa"/>
          </w:tcPr>
          <w:p>
            <w:pPr>
              <w:pStyle w:val="TableParagraph"/>
              <w:spacing w:line="239" w:lineRule="exact"/>
              <w:ind w:left="357"/>
              <w:rPr>
                <w:rFonts w:ascii="仿宋" w:eastAsia="仿宋" w:hint="eastAsia"/>
                <w:sz w:val="21"/>
              </w:rPr>
            </w:pPr>
            <w:r>
              <w:rPr>
                <w:rFonts w:ascii="仿宋" w:eastAsia="仿宋" w:hint="eastAsia"/>
                <w:sz w:val="21"/>
              </w:rPr>
              <w:t>6.1 效力中止</w:t>
            </w:r>
          </w:p>
        </w:tc>
        <w:tc>
          <w:tcPr>
            <w:tcW w:w="970" w:type="dxa"/>
          </w:tcPr>
          <w:p>
            <w:pPr>
              <w:pStyle w:val="TableParagraph"/>
              <w:spacing w:line="239" w:lineRule="exact"/>
              <w:ind w:left="394"/>
              <w:rPr>
                <w:rFonts w:ascii="仿宋"/>
                <w:sz w:val="21"/>
              </w:rPr>
            </w:pPr>
            <w:r>
              <w:rPr>
                <w:rFonts w:ascii="仿宋"/>
                <w:sz w:val="21"/>
              </w:rPr>
              <w:t>10.5</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毒品</w:t>
            </w:r>
          </w:p>
        </w:tc>
      </w:tr>
      <w:tr>
        <w:trPr>
          <w:trHeight w:val="283" w:hRule="atLeast"/>
        </w:trPr>
        <w:tc>
          <w:tcPr>
            <w:tcW w:w="2359"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2.1 保险金额</w:t>
            </w:r>
          </w:p>
        </w:tc>
        <w:tc>
          <w:tcPr>
            <w:tcW w:w="3198" w:type="dxa"/>
          </w:tcPr>
          <w:p>
            <w:pPr>
              <w:pStyle w:val="TableParagraph"/>
              <w:spacing w:line="239" w:lineRule="exact"/>
              <w:ind w:left="357"/>
              <w:rPr>
                <w:rFonts w:ascii="仿宋" w:eastAsia="仿宋" w:hint="eastAsia"/>
                <w:sz w:val="21"/>
              </w:rPr>
            </w:pPr>
            <w:r>
              <w:rPr>
                <w:rFonts w:ascii="仿宋" w:eastAsia="仿宋" w:hint="eastAsia"/>
                <w:sz w:val="21"/>
              </w:rPr>
              <w:t>6.2 效力恢复</w:t>
            </w:r>
          </w:p>
        </w:tc>
        <w:tc>
          <w:tcPr>
            <w:tcW w:w="970" w:type="dxa"/>
          </w:tcPr>
          <w:p>
            <w:pPr>
              <w:pStyle w:val="TableParagraph"/>
              <w:spacing w:line="239" w:lineRule="exact"/>
              <w:ind w:left="394"/>
              <w:rPr>
                <w:rFonts w:ascii="仿宋"/>
                <w:sz w:val="21"/>
              </w:rPr>
            </w:pPr>
            <w:r>
              <w:rPr>
                <w:rFonts w:ascii="仿宋"/>
                <w:sz w:val="21"/>
              </w:rPr>
              <w:t>10.6</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酒后驾驶</w:t>
            </w:r>
          </w:p>
        </w:tc>
      </w:tr>
      <w:tr>
        <w:trPr>
          <w:trHeight w:val="316"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2.2 保险期间</w:t>
            </w:r>
          </w:p>
        </w:tc>
        <w:tc>
          <w:tcPr>
            <w:tcW w:w="3198" w:type="dxa"/>
          </w:tcPr>
          <w:p>
            <w:pPr>
              <w:pStyle w:val="TableParagraph"/>
              <w:spacing w:line="279"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970" w:type="dxa"/>
          </w:tcPr>
          <w:p>
            <w:pPr>
              <w:pStyle w:val="TableParagraph"/>
              <w:spacing w:line="255" w:lineRule="exact"/>
              <w:ind w:left="394"/>
              <w:rPr>
                <w:rFonts w:ascii="仿宋"/>
                <w:sz w:val="21"/>
              </w:rPr>
            </w:pPr>
            <w:r>
              <w:rPr>
                <w:rFonts w:ascii="仿宋"/>
                <w:sz w:val="21"/>
              </w:rPr>
              <w:t>10.7</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无合法有效驾驶证驾驶</w:t>
            </w:r>
          </w:p>
        </w:tc>
      </w:tr>
      <w:tr>
        <w:trPr>
          <w:trHeight w:val="283" w:hRule="atLeast"/>
        </w:trPr>
        <w:tc>
          <w:tcPr>
            <w:tcW w:w="2359"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2.3 保险责任</w:t>
            </w:r>
          </w:p>
        </w:tc>
        <w:tc>
          <w:tcPr>
            <w:tcW w:w="3198" w:type="dxa"/>
          </w:tcPr>
          <w:p>
            <w:pPr>
              <w:pStyle w:val="TableParagraph"/>
              <w:spacing w:line="239" w:lineRule="exact"/>
              <w:ind w:right="104"/>
              <w:jc w:val="right"/>
              <w:rPr>
                <w:rFonts w:ascii="仿宋" w:eastAsia="仿宋" w:hint="eastAsia"/>
                <w:sz w:val="21"/>
              </w:rPr>
            </w:pPr>
            <w:r>
              <w:rPr>
                <w:rFonts w:ascii="仿宋" w:eastAsia="仿宋" w:hint="eastAsia"/>
                <w:sz w:val="21"/>
              </w:rPr>
              <w:t>投保人解除合同的手续及风险</w:t>
            </w:r>
          </w:p>
        </w:tc>
        <w:tc>
          <w:tcPr>
            <w:tcW w:w="970" w:type="dxa"/>
          </w:tcPr>
          <w:p>
            <w:pPr>
              <w:pStyle w:val="TableParagraph"/>
              <w:spacing w:line="239" w:lineRule="exact"/>
              <w:ind w:left="394"/>
              <w:rPr>
                <w:rFonts w:ascii="仿宋"/>
                <w:sz w:val="21"/>
              </w:rPr>
            </w:pPr>
            <w:r>
              <w:rPr>
                <w:rFonts w:ascii="仿宋"/>
                <w:sz w:val="21"/>
              </w:rPr>
              <w:t>10.8</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无有效行驶证</w:t>
            </w:r>
          </w:p>
        </w:tc>
      </w:tr>
      <w:tr>
        <w:trPr>
          <w:trHeight w:val="316"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2.4 责任免除</w:t>
            </w:r>
          </w:p>
        </w:tc>
        <w:tc>
          <w:tcPr>
            <w:tcW w:w="3198" w:type="dxa"/>
          </w:tcPr>
          <w:p>
            <w:pPr>
              <w:pStyle w:val="TableParagraph"/>
              <w:spacing w:line="279"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970" w:type="dxa"/>
          </w:tcPr>
          <w:p>
            <w:pPr>
              <w:pStyle w:val="TableParagraph"/>
              <w:spacing w:line="255" w:lineRule="exact"/>
              <w:ind w:left="394"/>
              <w:rPr>
                <w:rFonts w:ascii="仿宋"/>
                <w:sz w:val="21"/>
              </w:rPr>
            </w:pPr>
            <w:r>
              <w:rPr>
                <w:rFonts w:ascii="仿宋"/>
                <w:sz w:val="21"/>
              </w:rPr>
              <w:t>10.9</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机动车</w:t>
            </w:r>
          </w:p>
        </w:tc>
      </w:tr>
      <w:tr>
        <w:trPr>
          <w:trHeight w:val="300" w:hRule="atLeast"/>
        </w:trPr>
        <w:tc>
          <w:tcPr>
            <w:tcW w:w="2359" w:type="dxa"/>
            <w:tcBorders>
              <w:left w:val="single" w:sz="4" w:space="0" w:color="000000"/>
            </w:tcBorders>
          </w:tcPr>
          <w:p>
            <w:pPr>
              <w:pStyle w:val="TableParagraph"/>
              <w:spacing w:line="262"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198" w:type="dxa"/>
          </w:tcPr>
          <w:p>
            <w:pPr>
              <w:pStyle w:val="TableParagraph"/>
              <w:spacing w:line="239" w:lineRule="exact"/>
              <w:ind w:left="357"/>
              <w:rPr>
                <w:rFonts w:ascii="仿宋" w:eastAsia="仿宋" w:hint="eastAsia"/>
                <w:sz w:val="21"/>
              </w:rPr>
            </w:pPr>
            <w:r>
              <w:rPr>
                <w:rFonts w:ascii="仿宋" w:eastAsia="仿宋" w:hint="eastAsia"/>
                <w:sz w:val="21"/>
              </w:rPr>
              <w:t>8.1 明确说明和如实告知</w:t>
            </w:r>
          </w:p>
        </w:tc>
        <w:tc>
          <w:tcPr>
            <w:tcW w:w="970" w:type="dxa"/>
          </w:tcPr>
          <w:p>
            <w:pPr>
              <w:pStyle w:val="TableParagraph"/>
              <w:spacing w:line="239" w:lineRule="exact"/>
              <w:ind w:left="394"/>
              <w:rPr>
                <w:rFonts w:ascii="仿宋"/>
                <w:sz w:val="21"/>
              </w:rPr>
            </w:pPr>
            <w:r>
              <w:rPr>
                <w:rFonts w:ascii="仿宋"/>
                <w:sz w:val="21"/>
              </w:rPr>
              <w:t>10.10</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先天性畸形、变形或染色体异常</w:t>
            </w:r>
          </w:p>
        </w:tc>
      </w:tr>
      <w:tr>
        <w:trPr>
          <w:trHeight w:val="283" w:hRule="atLeast"/>
        </w:trPr>
        <w:tc>
          <w:tcPr>
            <w:tcW w:w="2359"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3.1 受益人</w:t>
            </w:r>
          </w:p>
        </w:tc>
        <w:tc>
          <w:tcPr>
            <w:tcW w:w="3198" w:type="dxa"/>
          </w:tcPr>
          <w:p>
            <w:pPr>
              <w:pStyle w:val="TableParagraph"/>
              <w:spacing w:line="239" w:lineRule="exact"/>
              <w:ind w:right="108"/>
              <w:jc w:val="right"/>
              <w:rPr>
                <w:rFonts w:ascii="仿宋" w:eastAsia="仿宋" w:hint="eastAsia"/>
                <w:sz w:val="21"/>
              </w:rPr>
            </w:pPr>
            <w:r>
              <w:rPr>
                <w:rFonts w:ascii="仿宋" w:eastAsia="仿宋" w:hint="eastAsia"/>
                <w:sz w:val="21"/>
              </w:rPr>
              <w:t>8.2 本公司合同解除权的限制</w:t>
            </w:r>
          </w:p>
        </w:tc>
        <w:tc>
          <w:tcPr>
            <w:tcW w:w="970" w:type="dxa"/>
          </w:tcPr>
          <w:p>
            <w:pPr>
              <w:pStyle w:val="TableParagraph"/>
              <w:spacing w:line="239" w:lineRule="exact"/>
              <w:ind w:left="394"/>
              <w:rPr>
                <w:rFonts w:ascii="仿宋"/>
                <w:sz w:val="21"/>
              </w:rPr>
            </w:pPr>
            <w:r>
              <w:rPr>
                <w:rFonts w:ascii="仿宋"/>
                <w:sz w:val="21"/>
              </w:rPr>
              <w:t>10.11</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遗传性疾病</w:t>
            </w:r>
          </w:p>
        </w:tc>
      </w:tr>
      <w:tr>
        <w:trPr>
          <w:trHeight w:val="316"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3.2 保险事故通知</w:t>
            </w:r>
          </w:p>
        </w:tc>
        <w:tc>
          <w:tcPr>
            <w:tcW w:w="3198" w:type="dxa"/>
          </w:tcPr>
          <w:p>
            <w:pPr>
              <w:pStyle w:val="TableParagraph"/>
              <w:spacing w:line="279"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970" w:type="dxa"/>
          </w:tcPr>
          <w:p>
            <w:pPr>
              <w:pStyle w:val="TableParagraph"/>
              <w:spacing w:line="255" w:lineRule="exact"/>
              <w:ind w:left="394"/>
              <w:rPr>
                <w:rFonts w:ascii="仿宋"/>
                <w:sz w:val="21"/>
              </w:rPr>
            </w:pPr>
            <w:r>
              <w:rPr>
                <w:rFonts w:ascii="仿宋"/>
                <w:sz w:val="21"/>
              </w:rPr>
              <w:t>10.12</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现金价值</w:t>
            </w:r>
          </w:p>
        </w:tc>
      </w:tr>
      <w:tr>
        <w:trPr>
          <w:trHeight w:val="283" w:hRule="atLeast"/>
        </w:trPr>
        <w:tc>
          <w:tcPr>
            <w:tcW w:w="2359"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3.3 保险金申请</w:t>
            </w:r>
          </w:p>
        </w:tc>
        <w:tc>
          <w:tcPr>
            <w:tcW w:w="3198" w:type="dxa"/>
          </w:tcPr>
          <w:p>
            <w:pPr>
              <w:pStyle w:val="TableParagraph"/>
              <w:spacing w:line="239" w:lineRule="exact"/>
              <w:ind w:left="357"/>
              <w:rPr>
                <w:rFonts w:ascii="仿宋" w:eastAsia="仿宋" w:hint="eastAsia"/>
                <w:sz w:val="21"/>
              </w:rPr>
            </w:pPr>
            <w:r>
              <w:rPr>
                <w:rFonts w:ascii="仿宋" w:eastAsia="仿宋" w:hint="eastAsia"/>
                <w:sz w:val="21"/>
              </w:rPr>
              <w:t>9.1 年龄错误</w:t>
            </w:r>
          </w:p>
        </w:tc>
        <w:tc>
          <w:tcPr>
            <w:tcW w:w="970" w:type="dxa"/>
          </w:tcPr>
          <w:p>
            <w:pPr>
              <w:pStyle w:val="TableParagraph"/>
              <w:spacing w:line="239" w:lineRule="exact"/>
              <w:ind w:left="394"/>
              <w:rPr>
                <w:rFonts w:ascii="仿宋"/>
                <w:sz w:val="21"/>
              </w:rPr>
            </w:pPr>
            <w:r>
              <w:rPr>
                <w:rFonts w:ascii="仿宋"/>
                <w:sz w:val="21"/>
              </w:rPr>
              <w:t>10.13</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净保险费</w:t>
            </w:r>
          </w:p>
        </w:tc>
      </w:tr>
      <w:tr>
        <w:trPr>
          <w:trHeight w:val="300"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3.4 保险金给付</w:t>
            </w:r>
          </w:p>
        </w:tc>
        <w:tc>
          <w:tcPr>
            <w:tcW w:w="3198" w:type="dxa"/>
          </w:tcPr>
          <w:p>
            <w:pPr>
              <w:pStyle w:val="TableParagraph"/>
              <w:spacing w:line="255" w:lineRule="exact"/>
              <w:ind w:left="357"/>
              <w:rPr>
                <w:rFonts w:ascii="仿宋" w:eastAsia="仿宋" w:hint="eastAsia"/>
                <w:sz w:val="21"/>
              </w:rPr>
            </w:pPr>
            <w:r>
              <w:rPr>
                <w:rFonts w:ascii="仿宋" w:eastAsia="仿宋" w:hint="eastAsia"/>
                <w:sz w:val="21"/>
              </w:rPr>
              <w:t>9.2 未还款项</w:t>
            </w:r>
          </w:p>
        </w:tc>
        <w:tc>
          <w:tcPr>
            <w:tcW w:w="970" w:type="dxa"/>
          </w:tcPr>
          <w:p>
            <w:pPr>
              <w:pStyle w:val="TableParagraph"/>
              <w:spacing w:line="255" w:lineRule="exact"/>
              <w:ind w:left="394"/>
              <w:rPr>
                <w:rFonts w:ascii="仿宋"/>
                <w:sz w:val="21"/>
              </w:rPr>
            </w:pPr>
            <w:r>
              <w:rPr>
                <w:rFonts w:ascii="仿宋"/>
                <w:sz w:val="21"/>
              </w:rPr>
              <w:t>10.14</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利息</w:t>
            </w:r>
          </w:p>
        </w:tc>
      </w:tr>
      <w:tr>
        <w:trPr>
          <w:trHeight w:val="300"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3.5 诉讼时效</w:t>
            </w:r>
          </w:p>
        </w:tc>
        <w:tc>
          <w:tcPr>
            <w:tcW w:w="3198" w:type="dxa"/>
          </w:tcPr>
          <w:p>
            <w:pPr>
              <w:pStyle w:val="TableParagraph"/>
              <w:spacing w:line="255" w:lineRule="exact"/>
              <w:ind w:left="357"/>
              <w:rPr>
                <w:rFonts w:ascii="仿宋" w:eastAsia="仿宋" w:hint="eastAsia"/>
                <w:sz w:val="21"/>
              </w:rPr>
            </w:pPr>
            <w:r>
              <w:rPr>
                <w:rFonts w:ascii="仿宋" w:eastAsia="仿宋" w:hint="eastAsia"/>
                <w:sz w:val="21"/>
              </w:rPr>
              <w:t>9.3 合同内容变更</w:t>
            </w:r>
          </w:p>
        </w:tc>
        <w:tc>
          <w:tcPr>
            <w:tcW w:w="970" w:type="dxa"/>
          </w:tcPr>
          <w:p>
            <w:pPr>
              <w:pStyle w:val="TableParagraph"/>
              <w:spacing w:line="255" w:lineRule="exact"/>
              <w:ind w:left="394"/>
              <w:rPr>
                <w:rFonts w:ascii="仿宋"/>
                <w:sz w:val="21"/>
              </w:rPr>
            </w:pPr>
            <w:r>
              <w:rPr>
                <w:rFonts w:ascii="仿宋"/>
                <w:sz w:val="21"/>
              </w:rPr>
              <w:t>10.15</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专科医生</w:t>
            </w:r>
          </w:p>
        </w:tc>
      </w:tr>
      <w:tr>
        <w:trPr>
          <w:trHeight w:val="316" w:hRule="atLeast"/>
        </w:trPr>
        <w:tc>
          <w:tcPr>
            <w:tcW w:w="2359" w:type="dxa"/>
            <w:tcBorders>
              <w:left w:val="single" w:sz="4" w:space="0" w:color="000000"/>
            </w:tcBorders>
          </w:tcPr>
          <w:p>
            <w:pPr>
              <w:pStyle w:val="TableParagraph"/>
              <w:spacing w:line="279"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198" w:type="dxa"/>
          </w:tcPr>
          <w:p>
            <w:pPr>
              <w:pStyle w:val="TableParagraph"/>
              <w:spacing w:line="255" w:lineRule="exact"/>
              <w:ind w:left="357"/>
              <w:rPr>
                <w:rFonts w:ascii="仿宋" w:eastAsia="仿宋" w:hint="eastAsia"/>
                <w:sz w:val="21"/>
              </w:rPr>
            </w:pPr>
            <w:r>
              <w:rPr>
                <w:rFonts w:ascii="仿宋" w:eastAsia="仿宋" w:hint="eastAsia"/>
                <w:sz w:val="21"/>
              </w:rPr>
              <w:t>9.4 联系方式变更</w:t>
            </w:r>
          </w:p>
        </w:tc>
        <w:tc>
          <w:tcPr>
            <w:tcW w:w="970" w:type="dxa"/>
          </w:tcPr>
          <w:p>
            <w:pPr>
              <w:pStyle w:val="TableParagraph"/>
              <w:spacing w:line="255" w:lineRule="exact"/>
              <w:ind w:left="394"/>
              <w:rPr>
                <w:rFonts w:ascii="仿宋"/>
                <w:sz w:val="21"/>
              </w:rPr>
            </w:pPr>
            <w:r>
              <w:rPr>
                <w:rFonts w:ascii="仿宋"/>
                <w:sz w:val="21"/>
              </w:rPr>
              <w:t>10.16</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肢体机能完全丧失</w:t>
            </w:r>
          </w:p>
        </w:tc>
      </w:tr>
      <w:tr>
        <w:trPr>
          <w:trHeight w:val="283" w:hRule="atLeast"/>
        </w:trPr>
        <w:tc>
          <w:tcPr>
            <w:tcW w:w="2359"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4.1 保险费的支付</w:t>
            </w:r>
          </w:p>
        </w:tc>
        <w:tc>
          <w:tcPr>
            <w:tcW w:w="3198" w:type="dxa"/>
          </w:tcPr>
          <w:p>
            <w:pPr>
              <w:pStyle w:val="TableParagraph"/>
              <w:spacing w:line="239" w:lineRule="exact"/>
              <w:ind w:right="104"/>
              <w:jc w:val="right"/>
              <w:rPr>
                <w:rFonts w:ascii="仿宋" w:eastAsia="仿宋" w:hint="eastAsia"/>
                <w:sz w:val="21"/>
              </w:rPr>
            </w:pPr>
            <w:r>
              <w:rPr>
                <w:rFonts w:ascii="仿宋" w:eastAsia="仿宋" w:hint="eastAsia"/>
                <w:sz w:val="21"/>
              </w:rPr>
              <w:t>9.5 合同效力终止的其它情况</w:t>
            </w:r>
          </w:p>
        </w:tc>
        <w:tc>
          <w:tcPr>
            <w:tcW w:w="970" w:type="dxa"/>
          </w:tcPr>
          <w:p>
            <w:pPr>
              <w:pStyle w:val="TableParagraph"/>
              <w:spacing w:line="239" w:lineRule="exact"/>
              <w:ind w:left="394"/>
              <w:rPr>
                <w:rFonts w:ascii="仿宋"/>
                <w:sz w:val="21"/>
              </w:rPr>
            </w:pPr>
            <w:r>
              <w:rPr>
                <w:rFonts w:ascii="仿宋"/>
                <w:sz w:val="21"/>
              </w:rPr>
              <w:t>10.17</w:t>
            </w:r>
          </w:p>
        </w:tc>
        <w:tc>
          <w:tcPr>
            <w:tcW w:w="3225" w:type="dxa"/>
            <w:tcBorders>
              <w:right w:val="single" w:sz="4" w:space="0" w:color="000000"/>
            </w:tcBorders>
          </w:tcPr>
          <w:p>
            <w:pPr>
              <w:pStyle w:val="TableParagraph"/>
              <w:spacing w:line="239" w:lineRule="exact"/>
              <w:ind w:left="56"/>
              <w:rPr>
                <w:rFonts w:ascii="仿宋" w:eastAsia="仿宋" w:hint="eastAsia"/>
                <w:sz w:val="21"/>
              </w:rPr>
            </w:pPr>
            <w:r>
              <w:rPr>
                <w:rFonts w:ascii="仿宋" w:eastAsia="仿宋" w:hint="eastAsia"/>
                <w:sz w:val="21"/>
              </w:rPr>
              <w:t>语言能力或咀嚼吞咽能力完全丧失</w:t>
            </w:r>
          </w:p>
        </w:tc>
      </w:tr>
      <w:tr>
        <w:trPr>
          <w:trHeight w:val="300" w:hRule="atLeast"/>
        </w:trPr>
        <w:tc>
          <w:tcPr>
            <w:tcW w:w="2359"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4.2 宽限期</w:t>
            </w:r>
          </w:p>
        </w:tc>
        <w:tc>
          <w:tcPr>
            <w:tcW w:w="3198" w:type="dxa"/>
          </w:tcPr>
          <w:p>
            <w:pPr>
              <w:pStyle w:val="TableParagraph"/>
              <w:spacing w:line="255" w:lineRule="exact"/>
              <w:ind w:left="357"/>
              <w:rPr>
                <w:rFonts w:ascii="仿宋" w:eastAsia="仿宋" w:hint="eastAsia"/>
                <w:sz w:val="21"/>
              </w:rPr>
            </w:pPr>
            <w:r>
              <w:rPr>
                <w:rFonts w:ascii="仿宋" w:eastAsia="仿宋" w:hint="eastAsia"/>
                <w:sz w:val="21"/>
              </w:rPr>
              <w:t>9.6 争议处理</w:t>
            </w:r>
          </w:p>
        </w:tc>
        <w:tc>
          <w:tcPr>
            <w:tcW w:w="970" w:type="dxa"/>
          </w:tcPr>
          <w:p>
            <w:pPr>
              <w:pStyle w:val="TableParagraph"/>
              <w:spacing w:line="255" w:lineRule="exact"/>
              <w:ind w:left="395"/>
              <w:rPr>
                <w:rFonts w:ascii="仿宋"/>
                <w:sz w:val="21"/>
              </w:rPr>
            </w:pPr>
            <w:r>
              <w:rPr>
                <w:rFonts w:ascii="仿宋"/>
                <w:sz w:val="21"/>
              </w:rPr>
              <w:t>10.18</w:t>
            </w:r>
          </w:p>
        </w:tc>
        <w:tc>
          <w:tcPr>
            <w:tcW w:w="3225"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六项基本日常生活活动</w:t>
            </w:r>
          </w:p>
        </w:tc>
      </w:tr>
      <w:tr>
        <w:trPr>
          <w:trHeight w:val="285" w:hRule="atLeast"/>
        </w:trPr>
        <w:tc>
          <w:tcPr>
            <w:tcW w:w="2359" w:type="dxa"/>
            <w:tcBorders>
              <w:left w:val="single" w:sz="4" w:space="0" w:color="000000"/>
              <w:bottom w:val="single" w:sz="4" w:space="0" w:color="000000"/>
            </w:tcBorders>
          </w:tcPr>
          <w:p>
            <w:pPr>
              <w:pStyle w:val="TableParagraph"/>
              <w:rPr>
                <w:rFonts w:ascii="Times New Roman"/>
                <w:sz w:val="20"/>
              </w:rPr>
            </w:pPr>
          </w:p>
        </w:tc>
        <w:tc>
          <w:tcPr>
            <w:tcW w:w="3198" w:type="dxa"/>
            <w:tcBorders>
              <w:bottom w:val="single" w:sz="4" w:space="0" w:color="000000"/>
            </w:tcBorders>
          </w:tcPr>
          <w:p>
            <w:pPr>
              <w:pStyle w:val="TableParagraph"/>
              <w:rPr>
                <w:rFonts w:ascii="Times New Roman"/>
                <w:sz w:val="20"/>
              </w:rPr>
            </w:pPr>
          </w:p>
        </w:tc>
        <w:tc>
          <w:tcPr>
            <w:tcW w:w="970" w:type="dxa"/>
            <w:tcBorders>
              <w:bottom w:val="single" w:sz="4" w:space="0" w:color="000000"/>
            </w:tcBorders>
          </w:tcPr>
          <w:p>
            <w:pPr>
              <w:pStyle w:val="TableParagraph"/>
              <w:spacing w:line="255" w:lineRule="exact"/>
              <w:ind w:left="395"/>
              <w:rPr>
                <w:rFonts w:ascii="仿宋"/>
                <w:sz w:val="21"/>
              </w:rPr>
            </w:pPr>
            <w:r>
              <w:rPr>
                <w:rFonts w:ascii="仿宋"/>
                <w:sz w:val="21"/>
              </w:rPr>
              <w:t>10.19</w:t>
            </w:r>
          </w:p>
        </w:tc>
        <w:tc>
          <w:tcPr>
            <w:tcW w:w="3225" w:type="dxa"/>
            <w:tcBorders>
              <w:bottom w:val="single" w:sz="4" w:space="0" w:color="000000"/>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永久不可逆</w:t>
            </w:r>
          </w:p>
        </w:tc>
      </w:tr>
    </w:tbl>
    <w:p>
      <w:pPr>
        <w:spacing w:after="0" w:line="255" w:lineRule="exact"/>
        <w:rPr>
          <w:rFonts w:ascii="仿宋" w:eastAsia="仿宋" w:hint="eastAsia"/>
          <w:sz w:val="21"/>
        </w:rPr>
        <w:sectPr>
          <w:type w:val="continuous"/>
          <w:pgSz w:w="11900" w:h="16840"/>
          <w:pgMar w:top="360" w:bottom="280" w:left="660" w:right="660"/>
        </w:sectPr>
      </w:pPr>
    </w:p>
    <w:p>
      <w:pPr>
        <w:pStyle w:val="Heading1"/>
        <w:spacing w:line="478" w:lineRule="exact"/>
        <w:ind w:left="2329" w:right="0"/>
        <w:jc w:val="left"/>
      </w:pPr>
      <w:r>
        <w:rPr/>
        <w:t>嘉禾附加珍爱一生终身重大疾病保险条款</w:t>
      </w:r>
    </w:p>
    <w:p>
      <w:pPr>
        <w:pStyle w:val="BodyText"/>
        <w:spacing w:line="273" w:lineRule="auto" w:before="107"/>
        <w:ind w:left="102" w:right="105" w:firstLine="420"/>
      </w:pPr>
      <w:r>
        <w:rPr>
          <w:spacing w:val="-7"/>
          <w:w w:val="100"/>
        </w:rPr>
        <w:t>在本条款中，“您”指投保人，“我们”指嘉禾人寿保险股份有限公司，“本附加险合同”指您与我们之间</w:t>
      </w:r>
      <w:r>
        <w:rPr>
          <w:spacing w:val="-5"/>
        </w:rPr>
        <w:t>订立的“嘉禾附加珍爱一生终身重大疾病保险合同”。</w:t>
      </w:r>
      <w:r>
        <w:rPr/>
        <w:t> </w:t>
      </w:r>
    </w:p>
    <w:p>
      <w:pPr>
        <w:pStyle w:val="BodyText"/>
        <w:spacing w:line="269" w:lineRule="exact" w:before="7"/>
        <w:ind w:left="280"/>
      </w:pPr>
      <w:r>
        <w:rPr>
          <w:w w:val="100"/>
        </w:rPr>
        <w:t> </w:t>
      </w:r>
    </w:p>
    <w:p>
      <w:pPr>
        <w:pStyle w:val="Heading2"/>
        <w:tabs>
          <w:tab w:pos="1035" w:val="left" w:leader="none"/>
        </w:tabs>
        <w:spacing w:line="429" w:lineRule="exact"/>
        <w:ind w:left="283"/>
      </w:pPr>
      <w:r>
        <w:rPr>
          <w:rFonts w:ascii="Times New Roman" w:eastAsia="Times New Roman"/>
          <w:position w:val="-3"/>
          <w:sz w:val="40"/>
        </w:rPr>
        <w:t>u</w:t>
        <w:tab/>
      </w:r>
      <w:r>
        <w:rPr/>
        <w:t>您与我们订立的合同</w:t>
      </w:r>
    </w:p>
    <w:p>
      <w:pPr>
        <w:pStyle w:val="BodyText"/>
        <w:tabs>
          <w:tab w:pos="1035" w:val="left" w:leader="none"/>
          <w:tab w:pos="2994" w:val="left" w:leader="none"/>
        </w:tabs>
        <w:spacing w:line="177" w:lineRule="exact"/>
        <w:ind w:left="280"/>
      </w:pPr>
      <w:r>
        <w:rPr/>
        <w:pict>
          <v:group style="position:absolute;margin-left:45.599998pt;margin-top:2.428745pt;width:504pt;height:1pt;mso-position-horizontal-relative:page;mso-position-vertical-relative:paragraph;z-index:-77896" coordorigin="912,49" coordsize="10080,20">
            <v:line style="position:absolute" from="912,58" to="1668,58" stroked="true" strokeweight=".96pt" strokecolor="#000000">
              <v:stroke dashstyle="solid"/>
            </v:line>
            <v:rect style="position:absolute;left:1668;top:48;width:20;height:20" filled="true" fillcolor="#000000" stroked="false">
              <v:fill type="solid"/>
            </v:rect>
            <v:line style="position:absolute" from="1687,58" to="3624,58" stroked="true" strokeweight=".96pt" strokecolor="#000000">
              <v:stroke dashstyle="solid"/>
            </v:line>
            <v:rect style="position:absolute;left:3624;top:48;width:20;height:20" filled="true" fillcolor="#000000" stroked="false">
              <v:fill type="solid"/>
            </v:rect>
            <v:line style="position:absolute" from="3643,58" to="10992,58"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3"/>
        </w:numPr>
        <w:tabs>
          <w:tab w:pos="1035" w:val="left" w:leader="none"/>
          <w:tab w:pos="1036" w:val="left" w:leader="none"/>
          <w:tab w:pos="2994" w:val="left" w:leader="none"/>
        </w:tabs>
        <w:spacing w:line="303" w:lineRule="exact" w:before="0" w:after="0"/>
        <w:ind w:left="1036" w:right="0" w:hanging="756"/>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 </w:t>
      </w:r>
      <w:r>
        <w:rPr>
          <w:sz w:val="21"/>
        </w:rPr>
        <w:t>款</w:t>
      </w:r>
      <w:r>
        <w:rPr>
          <w:spacing w:val="-3"/>
          <w:sz w:val="21"/>
        </w:rPr>
        <w:t>、保</w:t>
      </w:r>
    </w:p>
    <w:p>
      <w:pPr>
        <w:pStyle w:val="BodyText"/>
        <w:spacing w:line="237" w:lineRule="auto"/>
        <w:ind w:left="2994" w:right="261"/>
        <w:jc w:val="both"/>
      </w:pPr>
      <w:r>
        <w:rPr/>
        <w:t>险单或其他保险凭证、投保单、与本附加险合同有关的投保文件、合法有效的声明、批注、批单及其他您与我们共同认可的书面协议。 </w:t>
      </w:r>
    </w:p>
    <w:p>
      <w:pPr>
        <w:pStyle w:val="BodyText"/>
        <w:spacing w:line="230" w:lineRule="exact" w:before="9"/>
        <w:ind w:left="2994"/>
      </w:pPr>
      <w:r>
        <w:rPr/>
        <w:t>若主险合同的规定与本附加险合同的规定相抵触，以本附加险合同的规定为准。 </w:t>
      </w:r>
    </w:p>
    <w:p>
      <w:pPr>
        <w:pStyle w:val="BodyText"/>
        <w:tabs>
          <w:tab w:pos="1035" w:val="left" w:leader="none"/>
          <w:tab w:pos="2994" w:val="left" w:leader="none"/>
        </w:tabs>
        <w:spacing w:line="183" w:lineRule="exact"/>
        <w:ind w:left="280"/>
      </w:pPr>
      <w:r>
        <w:rPr>
          <w:w w:val="100"/>
        </w:rPr>
        <w:t> </w:t>
      </w:r>
      <w:r>
        <w:rPr/>
        <w:tab/>
      </w:r>
      <w:r>
        <w:rPr>
          <w:w w:val="100"/>
        </w:rPr>
        <w:t> </w:t>
      </w:r>
      <w:r>
        <w:rPr/>
        <w:tab/>
      </w:r>
      <w:r>
        <w:rPr>
          <w:w w:val="100"/>
        </w:rPr>
        <w:t> </w:t>
      </w:r>
    </w:p>
    <w:p>
      <w:pPr>
        <w:pStyle w:val="ListParagraph"/>
        <w:numPr>
          <w:ilvl w:val="1"/>
          <w:numId w:val="3"/>
        </w:numPr>
        <w:tabs>
          <w:tab w:pos="1035" w:val="left" w:leader="none"/>
          <w:tab w:pos="1036" w:val="left" w:leader="none"/>
          <w:tab w:pos="2994" w:val="left" w:leader="none"/>
        </w:tabs>
        <w:spacing w:line="303" w:lineRule="exact" w:before="0" w:after="0"/>
        <w:ind w:left="1036" w:right="0" w:hanging="756"/>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w:t>
      </w:r>
      <w:r>
        <w:rPr>
          <w:sz w:val="21"/>
        </w:rPr>
        <w:t>加 </w:t>
      </w:r>
      <w:r>
        <w:rPr>
          <w:spacing w:val="-3"/>
          <w:sz w:val="21"/>
        </w:rPr>
        <w:t>险</w:t>
      </w:r>
      <w:r>
        <w:rPr>
          <w:sz w:val="21"/>
        </w:rPr>
        <w:t>合</w:t>
      </w:r>
      <w:r>
        <w:rPr>
          <w:spacing w:val="-3"/>
          <w:sz w:val="21"/>
        </w:rPr>
        <w:t>同</w:t>
      </w:r>
      <w:r>
        <w:rPr>
          <w:sz w:val="21"/>
        </w:rPr>
        <w:t>成</w:t>
      </w:r>
      <w:r>
        <w:rPr>
          <w:spacing w:val="-3"/>
          <w:sz w:val="21"/>
        </w:rPr>
        <w:t>立、</w:t>
      </w:r>
    </w:p>
    <w:p>
      <w:pPr>
        <w:pStyle w:val="BodyText"/>
        <w:spacing w:line="274" w:lineRule="exact" w:before="11"/>
        <w:ind w:left="2994" w:right="261"/>
        <w:jc w:val="both"/>
      </w:pPr>
      <w:r>
        <w:rPr/>
        <w:t>我们收取首期保险费并签发保险单或在保险单中批注的次日零时起本附加险合同生效。</w:t>
      </w:r>
    </w:p>
    <w:p>
      <w:pPr>
        <w:pStyle w:val="BodyText"/>
        <w:spacing w:line="245" w:lineRule="exact"/>
        <w:ind w:left="2994"/>
      </w:pPr>
      <w:r>
        <w:rPr/>
        <w:t>若您在投保主险合同时，同时投保本附加险合同，则本附加险合同的成立日和</w:t>
      </w:r>
    </w:p>
    <w:p>
      <w:pPr>
        <w:pStyle w:val="BodyText"/>
        <w:spacing w:line="237" w:lineRule="auto" w:before="2"/>
        <w:ind w:left="2994" w:right="261"/>
        <w:jc w:val="both"/>
      </w:pPr>
      <w:r>
        <w:rPr/>
        <w:t>生效日与主险合同相同；若您在主险合同有效期内投保本附加险合同，则本附加险合同的成立日和生效日以我们在保险单中批注的为准。</w:t>
      </w:r>
    </w:p>
    <w:p>
      <w:pPr>
        <w:pStyle w:val="BodyText"/>
        <w:spacing w:line="237" w:lineRule="auto" w:before="1"/>
        <w:ind w:left="2994" w:right="258"/>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1035" w:val="left" w:leader="none"/>
        </w:tabs>
        <w:spacing w:line="139" w:lineRule="exact"/>
        <w:ind w:left="280"/>
      </w:pPr>
      <w:r>
        <w:rPr>
          <w:w w:val="100"/>
        </w:rPr>
        <w:t> </w:t>
      </w:r>
      <w:r>
        <w:rPr/>
        <w:tab/>
      </w:r>
      <w:r>
        <w:rPr>
          <w:w w:val="100"/>
        </w:rPr>
        <w:t> </w:t>
      </w:r>
    </w:p>
    <w:p>
      <w:pPr>
        <w:pStyle w:val="ListParagraph"/>
        <w:numPr>
          <w:ilvl w:val="1"/>
          <w:numId w:val="3"/>
        </w:numPr>
        <w:tabs>
          <w:tab w:pos="1035" w:val="left" w:leader="none"/>
          <w:tab w:pos="1036" w:val="left" w:leader="none"/>
          <w:tab w:pos="2994" w:val="left" w:leader="none"/>
        </w:tabs>
        <w:spacing w:line="303" w:lineRule="exact" w:before="0" w:after="0"/>
        <w:ind w:left="1036" w:right="0" w:hanging="756"/>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w:t>
      </w:r>
    </w:p>
    <w:p>
      <w:pPr>
        <w:pStyle w:val="BodyText"/>
        <w:spacing w:line="240" w:lineRule="exact"/>
        <w:ind w:left="2994"/>
      </w:pPr>
      <w:r>
        <w:rPr/>
        <w:t>受的投保年龄为 0 周岁（指出生满 30 日的婴儿）至 60 周岁。 </w:t>
      </w:r>
    </w:p>
    <w:p>
      <w:pPr>
        <w:pStyle w:val="BodyText"/>
        <w:tabs>
          <w:tab w:pos="1035" w:val="left" w:leader="none"/>
        </w:tabs>
        <w:spacing w:line="161" w:lineRule="exact"/>
        <w:ind w:left="280"/>
      </w:pPr>
      <w:r>
        <w:rPr>
          <w:w w:val="100"/>
        </w:rPr>
        <w:t> </w:t>
      </w:r>
      <w:r>
        <w:rPr/>
        <w:tab/>
      </w:r>
      <w:r>
        <w:rPr>
          <w:w w:val="100"/>
        </w:rPr>
        <w:t> </w:t>
      </w:r>
    </w:p>
    <w:p>
      <w:pPr>
        <w:pStyle w:val="ListParagraph"/>
        <w:numPr>
          <w:ilvl w:val="1"/>
          <w:numId w:val="3"/>
        </w:numPr>
        <w:tabs>
          <w:tab w:pos="1035" w:val="left" w:leader="none"/>
          <w:tab w:pos="1036" w:val="left" w:leader="none"/>
          <w:tab w:pos="2994" w:val="left" w:leader="none"/>
        </w:tabs>
        <w:spacing w:line="303" w:lineRule="exact" w:before="0" w:after="0"/>
        <w:ind w:left="1036" w:right="0" w:hanging="756"/>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p>
    <w:p>
      <w:pPr>
        <w:pStyle w:val="BodyText"/>
        <w:spacing w:line="211" w:lineRule="auto" w:before="20"/>
        <w:ind w:left="2994" w:right="159"/>
        <w:rPr>
          <w:rFonts w:ascii="Microsoft JhengHei" w:eastAsia="Microsoft JhengHei" w:hint="eastAsia"/>
          <w:b/>
        </w:rPr>
      </w:pPr>
      <w:r>
        <w:rPr>
          <w:spacing w:val="-3"/>
        </w:rPr>
        <w:t>如果您认为本附加险合同与您的需求不相符，您可以在此期间提出解除本附加险合同，我们将退还您所支付的全部保险费。                           </w:t>
      </w:r>
      <w:r>
        <w:rPr>
          <w:spacing w:val="98"/>
        </w:rPr>
        <w:t> </w:t>
      </w:r>
      <w:r>
        <w:rPr>
          <w:spacing w:val="-3"/>
        </w:rPr>
        <w:t>解除本附加险合同时，您需要填写申请书，并提供您的保险合同及</w:t>
      </w:r>
      <w:r>
        <w:rPr>
          <w:rFonts w:ascii="Microsoft JhengHei" w:eastAsia="Microsoft JhengHei" w:hint="eastAsia"/>
          <w:b/>
          <w:spacing w:val="-2"/>
        </w:rPr>
        <w:t>有效身份证</w:t>
      </w:r>
    </w:p>
    <w:p>
      <w:pPr>
        <w:pStyle w:val="Heading3"/>
        <w:spacing w:line="180" w:lineRule="auto"/>
        <w:ind w:left="2994" w:right="297"/>
      </w:pPr>
      <w:r>
        <w:rPr>
          <w:w w:val="100"/>
        </w:rPr>
        <w:t>件</w:t>
      </w:r>
      <w:r>
        <w:rPr>
          <w:rFonts w:ascii="宋体" w:eastAsia="宋体" w:hint="eastAsia"/>
          <w:b w:val="0"/>
          <w:w w:val="100"/>
        </w:rPr>
        <w:t>（见</w:t>
      </w:r>
      <w:r>
        <w:rPr>
          <w:rFonts w:ascii="宋体" w:eastAsia="宋体" w:hint="eastAsia"/>
          <w:b w:val="0"/>
          <w:spacing w:val="-55"/>
        </w:rPr>
        <w:t> </w:t>
      </w:r>
      <w:r>
        <w:rPr>
          <w:rFonts w:ascii="宋体" w:eastAsia="宋体" w:hint="eastAsia"/>
          <w:b w:val="0"/>
          <w:w w:val="100"/>
        </w:rPr>
        <w:t>10.2</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自我们收到您解除合同的书面申请时起，本附加险合同即被解</w:t>
      </w:r>
      <w:r>
        <w:rPr>
          <w:spacing w:val="-3"/>
        </w:rPr>
        <w:t>除，合同解除前发生的保险事故我们不承担保险责任。</w:t>
      </w:r>
    </w:p>
    <w:p>
      <w:pPr>
        <w:pStyle w:val="BodyText"/>
        <w:tabs>
          <w:tab w:pos="1035" w:val="left" w:leader="none"/>
          <w:tab w:pos="2994" w:val="left" w:leader="none"/>
        </w:tabs>
        <w:spacing w:line="135" w:lineRule="exact" w:before="3"/>
        <w:ind w:left="280"/>
      </w:pPr>
      <w:r>
        <w:rPr>
          <w:w w:val="100"/>
        </w:rPr>
        <w:t> </w:t>
      </w:r>
      <w:r>
        <w:rPr/>
        <w:tab/>
      </w:r>
      <w:r>
        <w:rPr>
          <w:w w:val="100"/>
        </w:rPr>
        <w:t> </w:t>
      </w:r>
      <w:r>
        <w:rPr/>
        <w:tab/>
      </w:r>
      <w:r>
        <w:rPr>
          <w:w w:val="100"/>
        </w:rPr>
        <w:t> </w:t>
      </w:r>
    </w:p>
    <w:p>
      <w:pPr>
        <w:tabs>
          <w:tab w:pos="1035" w:val="left" w:leader="none"/>
        </w:tabs>
        <w:spacing w:line="420" w:lineRule="exact" w:before="0"/>
        <w:ind w:left="283" w:right="0" w:firstLine="0"/>
        <w:jc w:val="left"/>
        <w:rPr>
          <w:rFonts w:ascii="Microsoft JhengHei" w:eastAsia="Microsoft JhengHei" w:hint="eastAsia"/>
          <w:b/>
          <w:sz w:val="24"/>
        </w:rPr>
      </w:pPr>
      <w:r>
        <w:rPr/>
        <w:pict>
          <v:group style="position:absolute;margin-left:45.599998pt;margin-top:22.758537pt;width:504pt;height:1pt;mso-position-horizontal-relative:page;mso-position-vertical-relative:paragraph;z-index:1072;mso-wrap-distance-left:0;mso-wrap-distance-right:0" coordorigin="912,455" coordsize="10080,20">
            <v:line style="position:absolute" from="912,465" to="1668,465" stroked="true" strokeweight=".96pt" strokecolor="#000000">
              <v:stroke dashstyle="solid"/>
            </v:line>
            <v:rect style="position:absolute;left:1668;top:455;width:20;height:20" filled="true" fillcolor="#000000" stroked="false">
              <v:fill type="solid"/>
            </v:rect>
            <v:line style="position:absolute" from="1687,465" to="3624,465" stroked="true" strokeweight=".96pt" strokecolor="#000000">
              <v:stroke dashstyle="solid"/>
            </v:line>
            <v:rect style="position:absolute;left:3624;top:455;width:20;height:20" filled="true" fillcolor="#000000" stroked="false">
              <v:fill type="solid"/>
            </v:rect>
            <v:line style="position:absolute" from="3643,465" to="10992,465"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163" w:lineRule="exact"/>
        <w:ind w:left="2994"/>
      </w:pPr>
      <w:r>
        <w:rPr>
          <w:w w:val="100"/>
        </w:rPr>
        <w:t> </w:t>
      </w:r>
    </w:p>
    <w:p>
      <w:pPr>
        <w:tabs>
          <w:tab w:pos="1035" w:val="left" w:leader="none"/>
          <w:tab w:pos="2994" w:val="left" w:leader="none"/>
        </w:tabs>
        <w:spacing w:line="303" w:lineRule="exact" w:before="0"/>
        <w:ind w:left="28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4" w:lineRule="exact" w:before="12"/>
        <w:ind w:left="2994" w:right="251"/>
      </w:pPr>
      <w:r>
        <w:rPr/>
        <w:t>本附加险合同的基本保险金额由您在投保时与我们约定并在保险单上载明。若该金额发生变更，则以变更后的金额为基本保险金额。 </w:t>
      </w:r>
    </w:p>
    <w:p>
      <w:pPr>
        <w:pStyle w:val="BodyText"/>
        <w:spacing w:line="244" w:lineRule="exact"/>
        <w:ind w:left="2994"/>
      </w:pPr>
      <w:r>
        <w:rPr/>
        <w:t>（2）保险金额 </w:t>
      </w:r>
    </w:p>
    <w:p>
      <w:pPr>
        <w:pStyle w:val="BodyText"/>
        <w:ind w:left="2994"/>
      </w:pPr>
      <w:r>
        <w:rPr/>
        <w:t>保险金额是指我们根据本附加险合同承担赔偿或者给付保险金责任的最高限</w:t>
      </w:r>
    </w:p>
    <w:p>
      <w:pPr>
        <w:pStyle w:val="BodyText"/>
        <w:spacing w:line="274" w:lineRule="exact"/>
        <w:ind w:left="2994"/>
      </w:pPr>
      <w:r>
        <w:rPr/>
        <w:pict>
          <v:shape style="position:absolute;margin-left:48.5pt;margin-top:12.518554pt;width:498.45pt;height:191.4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5"/>
                    <w:gridCol w:w="7448"/>
                  </w:tblGrid>
                  <w:tr>
                    <w:trPr>
                      <w:trHeight w:val="452" w:hRule="atLeast"/>
                    </w:trPr>
                    <w:tc>
                      <w:tcPr>
                        <w:tcW w:w="576" w:type="dxa"/>
                      </w:tcPr>
                      <w:p>
                        <w:pPr>
                          <w:pStyle w:val="TableParagraph"/>
                          <w:spacing w:line="163" w:lineRule="exact"/>
                          <w:ind w:left="50"/>
                          <w:rPr>
                            <w:sz w:val="21"/>
                          </w:rPr>
                        </w:pPr>
                        <w:r>
                          <w:rPr>
                            <w:w w:val="100"/>
                            <w:sz w:val="21"/>
                          </w:rPr>
                          <w:t> </w:t>
                        </w:r>
                      </w:p>
                      <w:p>
                        <w:pPr>
                          <w:pStyle w:val="TableParagraph"/>
                          <w:spacing w:line="270" w:lineRule="exact"/>
                          <w:ind w:left="50"/>
                          <w:rPr>
                            <w:rFonts w:ascii="Microsoft JhengHei"/>
                            <w:b/>
                            <w:sz w:val="21"/>
                          </w:rPr>
                        </w:pPr>
                        <w:r>
                          <w:rPr>
                            <w:rFonts w:ascii="Microsoft JhengHei"/>
                            <w:b/>
                            <w:w w:val="90"/>
                            <w:sz w:val="21"/>
                          </w:rPr>
                          <w:t>2. 2</w:t>
                        </w:r>
                      </w:p>
                    </w:tc>
                    <w:tc>
                      <w:tcPr>
                        <w:tcW w:w="1945" w:type="dxa"/>
                      </w:tcPr>
                      <w:p>
                        <w:pPr>
                          <w:pStyle w:val="TableParagraph"/>
                          <w:spacing w:line="163" w:lineRule="exact"/>
                          <w:ind w:left="230"/>
                          <w:rPr>
                            <w:sz w:val="21"/>
                          </w:rPr>
                        </w:pPr>
                        <w:r>
                          <w:rPr>
                            <w:w w:val="100"/>
                            <w:sz w:val="21"/>
                          </w:rPr>
                          <w:t> </w:t>
                        </w:r>
                      </w:p>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448" w:type="dxa"/>
                      </w:tcPr>
                      <w:p>
                        <w:pPr>
                          <w:pStyle w:val="TableParagraph"/>
                          <w:spacing w:line="196" w:lineRule="exact"/>
                          <w:ind w:left="243"/>
                          <w:rPr>
                            <w:sz w:val="21"/>
                          </w:rPr>
                        </w:pPr>
                        <w:r>
                          <w:rPr>
                            <w:w w:val="100"/>
                            <w:sz w:val="21"/>
                          </w:rPr>
                          <w:t> </w:t>
                        </w:r>
                      </w:p>
                      <w:p>
                        <w:pPr>
                          <w:pStyle w:val="TableParagraph"/>
                          <w:spacing w:line="237" w:lineRule="exact"/>
                          <w:ind w:left="243"/>
                          <w:rPr>
                            <w:sz w:val="21"/>
                          </w:rPr>
                        </w:pPr>
                        <w:r>
                          <w:rPr>
                            <w:sz w:val="21"/>
                          </w:rPr>
                          <w:t>本附加险合同的保险期间为终身。 </w:t>
                        </w:r>
                      </w:p>
                    </w:tc>
                  </w:tr>
                  <w:tr>
                    <w:trPr>
                      <w:trHeight w:val="203" w:hRule="atLeast"/>
                    </w:trPr>
                    <w:tc>
                      <w:tcPr>
                        <w:tcW w:w="576" w:type="dxa"/>
                      </w:tcPr>
                      <w:p>
                        <w:pPr>
                          <w:pStyle w:val="TableParagraph"/>
                          <w:spacing w:line="184" w:lineRule="exact"/>
                          <w:ind w:left="50"/>
                          <w:rPr>
                            <w:sz w:val="21"/>
                          </w:rPr>
                        </w:pPr>
                        <w:r>
                          <w:rPr>
                            <w:w w:val="100"/>
                            <w:sz w:val="21"/>
                          </w:rPr>
                          <w:t> </w:t>
                        </w:r>
                      </w:p>
                    </w:tc>
                    <w:tc>
                      <w:tcPr>
                        <w:tcW w:w="1945" w:type="dxa"/>
                      </w:tcPr>
                      <w:p>
                        <w:pPr>
                          <w:pStyle w:val="TableParagraph"/>
                          <w:spacing w:line="184" w:lineRule="exact"/>
                          <w:ind w:left="230"/>
                          <w:rPr>
                            <w:sz w:val="21"/>
                          </w:rPr>
                        </w:pPr>
                        <w:r>
                          <w:rPr>
                            <w:w w:val="100"/>
                            <w:sz w:val="21"/>
                          </w:rPr>
                          <w:t> </w:t>
                        </w:r>
                      </w:p>
                    </w:tc>
                    <w:tc>
                      <w:tcPr>
                        <w:tcW w:w="7448" w:type="dxa"/>
                      </w:tcPr>
                      <w:p>
                        <w:pPr>
                          <w:pStyle w:val="TableParagraph"/>
                          <w:spacing w:line="184" w:lineRule="exact"/>
                          <w:ind w:left="243"/>
                          <w:rPr>
                            <w:sz w:val="21"/>
                          </w:rPr>
                        </w:pPr>
                        <w:r>
                          <w:rPr>
                            <w:w w:val="100"/>
                            <w:sz w:val="21"/>
                          </w:rPr>
                          <w:t> </w:t>
                        </w:r>
                      </w:p>
                    </w:tc>
                  </w:tr>
                  <w:tr>
                    <w:trPr>
                      <w:trHeight w:val="228" w:hRule="atLeast"/>
                    </w:trPr>
                    <w:tc>
                      <w:tcPr>
                        <w:tcW w:w="576" w:type="dxa"/>
                      </w:tcPr>
                      <w:p>
                        <w:pPr>
                          <w:pStyle w:val="TableParagraph"/>
                          <w:spacing w:line="208" w:lineRule="exact"/>
                          <w:ind w:left="50"/>
                          <w:rPr>
                            <w:rFonts w:ascii="Microsoft JhengHei"/>
                            <w:b/>
                            <w:sz w:val="21"/>
                          </w:rPr>
                        </w:pPr>
                        <w:r>
                          <w:rPr>
                            <w:rFonts w:ascii="Microsoft JhengHei"/>
                            <w:b/>
                            <w:w w:val="90"/>
                            <w:sz w:val="21"/>
                          </w:rPr>
                          <w:t>2. 3</w:t>
                        </w:r>
                      </w:p>
                    </w:tc>
                    <w:tc>
                      <w:tcPr>
                        <w:tcW w:w="1945" w:type="dxa"/>
                      </w:tcPr>
                      <w:p>
                        <w:pPr>
                          <w:pStyle w:val="TableParagraph"/>
                          <w:spacing w:line="208"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448" w:type="dxa"/>
                      </w:tcPr>
                      <w:p>
                        <w:pPr>
                          <w:pStyle w:val="TableParagraph"/>
                          <w:spacing w:line="208" w:lineRule="exact"/>
                          <w:ind w:left="243"/>
                          <w:rPr>
                            <w:sz w:val="21"/>
                          </w:rPr>
                        </w:pPr>
                        <w:r>
                          <w:rPr>
                            <w:sz w:val="21"/>
                          </w:rPr>
                          <w:t>在保险期间内，我们承担下列保险责任： </w:t>
                        </w:r>
                      </w:p>
                    </w:tc>
                  </w:tr>
                  <w:tr>
                    <w:trPr>
                      <w:trHeight w:val="205" w:hRule="atLeast"/>
                    </w:trPr>
                    <w:tc>
                      <w:tcPr>
                        <w:tcW w:w="576" w:type="dxa"/>
                      </w:tcPr>
                      <w:p>
                        <w:pPr>
                          <w:pStyle w:val="TableParagraph"/>
                          <w:spacing w:line="185" w:lineRule="exact"/>
                          <w:ind w:left="50"/>
                          <w:rPr>
                            <w:sz w:val="21"/>
                          </w:rPr>
                        </w:pPr>
                        <w:r>
                          <w:rPr>
                            <w:w w:val="100"/>
                            <w:sz w:val="21"/>
                          </w:rPr>
                          <w:t> </w:t>
                        </w:r>
                      </w:p>
                    </w:tc>
                    <w:tc>
                      <w:tcPr>
                        <w:tcW w:w="1945" w:type="dxa"/>
                      </w:tcPr>
                      <w:p>
                        <w:pPr>
                          <w:pStyle w:val="TableParagraph"/>
                          <w:spacing w:line="185" w:lineRule="exact"/>
                          <w:ind w:left="230"/>
                          <w:rPr>
                            <w:sz w:val="21"/>
                          </w:rPr>
                        </w:pPr>
                        <w:r>
                          <w:rPr>
                            <w:w w:val="100"/>
                            <w:sz w:val="21"/>
                          </w:rPr>
                          <w:t> </w:t>
                        </w:r>
                      </w:p>
                    </w:tc>
                    <w:tc>
                      <w:tcPr>
                        <w:tcW w:w="7448" w:type="dxa"/>
                      </w:tcPr>
                      <w:p>
                        <w:pPr>
                          <w:pStyle w:val="TableParagraph"/>
                          <w:spacing w:line="185" w:lineRule="exact"/>
                          <w:ind w:left="243"/>
                          <w:rPr>
                            <w:sz w:val="21"/>
                          </w:rPr>
                        </w:pPr>
                        <w:r>
                          <w:rPr>
                            <w:w w:val="100"/>
                            <w:sz w:val="21"/>
                          </w:rPr>
                          <w:t> </w:t>
                        </w:r>
                      </w:p>
                    </w:tc>
                  </w:tr>
                  <w:tr>
                    <w:trPr>
                      <w:trHeight w:val="260" w:hRule="atLeast"/>
                    </w:trPr>
                    <w:tc>
                      <w:tcPr>
                        <w:tcW w:w="576" w:type="dxa"/>
                      </w:tcPr>
                      <w:p>
                        <w:pPr>
                          <w:pStyle w:val="TableParagraph"/>
                          <w:rPr>
                            <w:rFonts w:ascii="Times New Roman"/>
                            <w:sz w:val="18"/>
                          </w:rPr>
                        </w:pPr>
                      </w:p>
                    </w:tc>
                    <w:tc>
                      <w:tcPr>
                        <w:tcW w:w="1945" w:type="dxa"/>
                      </w:tcPr>
                      <w:p>
                        <w:pPr>
                          <w:pStyle w:val="TableParagraph"/>
                          <w:spacing w:line="235"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448" w:type="dxa"/>
                      </w:tcPr>
                      <w:p>
                        <w:pPr>
                          <w:pStyle w:val="TableParagraph"/>
                          <w:spacing w:line="230" w:lineRule="exact"/>
                          <w:ind w:left="243"/>
                          <w:rPr>
                            <w:sz w:val="21"/>
                          </w:rPr>
                        </w:pPr>
                        <w:r>
                          <w:rPr>
                            <w:sz w:val="21"/>
                          </w:rPr>
                          <w:t>自本附加险合同生效日或最后复效日（以较迟者为准）起的首个保单周年日之</w:t>
                        </w:r>
                      </w:p>
                    </w:tc>
                  </w:tr>
                  <w:tr>
                    <w:trPr>
                      <w:trHeight w:val="272" w:hRule="atLeast"/>
                    </w:trPr>
                    <w:tc>
                      <w:tcPr>
                        <w:tcW w:w="2521" w:type="dxa"/>
                        <w:gridSpan w:val="2"/>
                        <w:vMerge w:val="restart"/>
                      </w:tcPr>
                      <w:p>
                        <w:pPr>
                          <w:pStyle w:val="TableParagraph"/>
                          <w:rPr>
                            <w:rFonts w:ascii="Times New Roman"/>
                            <w:sz w:val="20"/>
                          </w:rPr>
                        </w:pPr>
                      </w:p>
                    </w:tc>
                    <w:tc>
                      <w:tcPr>
                        <w:tcW w:w="7448" w:type="dxa"/>
                      </w:tcPr>
                      <w:p>
                        <w:pPr>
                          <w:pStyle w:val="TableParagraph"/>
                          <w:spacing w:line="252" w:lineRule="exact"/>
                          <w:ind w:left="243"/>
                          <w:rPr>
                            <w:sz w:val="21"/>
                          </w:rPr>
                        </w:pPr>
                        <w:r>
                          <w:rPr>
                            <w:w w:val="100"/>
                            <w:sz w:val="21"/>
                          </w:rPr>
                          <w:t>前（</w:t>
                        </w:r>
                        <w:r>
                          <w:rPr>
                            <w:spacing w:val="-3"/>
                            <w:w w:val="100"/>
                            <w:sz w:val="21"/>
                          </w:rPr>
                          <w:t>包括首个保单周年日</w:t>
                        </w:r>
                        <w:r>
                          <w:rPr>
                            <w:spacing w:val="-108"/>
                            <w:w w:val="100"/>
                            <w:sz w:val="21"/>
                          </w:rPr>
                          <w:t>）</w:t>
                        </w:r>
                        <w:r>
                          <w:rPr>
                            <w:spacing w:val="-3"/>
                            <w:w w:val="100"/>
                            <w:sz w:val="21"/>
                          </w:rPr>
                          <w:t>，若被保险人经</w:t>
                        </w:r>
                        <w:r>
                          <w:rPr>
                            <w:rFonts w:ascii="Microsoft JhengHei" w:eastAsia="Microsoft JhengHei" w:hint="eastAsia"/>
                            <w:b/>
                            <w:w w:val="100"/>
                            <w:sz w:val="21"/>
                          </w:rPr>
                          <w:t>医疗机构</w:t>
                        </w:r>
                        <w:r>
                          <w:rPr>
                            <w:w w:val="100"/>
                            <w:sz w:val="21"/>
                          </w:rPr>
                          <w:t>（见</w:t>
                        </w:r>
                        <w:r>
                          <w:rPr>
                            <w:sz w:val="21"/>
                          </w:rPr>
                          <w:t> </w:t>
                        </w:r>
                        <w:r>
                          <w:rPr>
                            <w:w w:val="100"/>
                            <w:sz w:val="21"/>
                          </w:rPr>
                          <w:t>1</w:t>
                        </w:r>
                        <w:r>
                          <w:rPr>
                            <w:spacing w:val="-3"/>
                            <w:w w:val="100"/>
                            <w:sz w:val="21"/>
                          </w:rPr>
                          <w:t>0</w:t>
                        </w:r>
                        <w:r>
                          <w:rPr>
                            <w:w w:val="100"/>
                            <w:sz w:val="21"/>
                          </w:rPr>
                          <w:t>.3</w:t>
                        </w:r>
                        <w:r>
                          <w:rPr>
                            <w:spacing w:val="-3"/>
                            <w:w w:val="100"/>
                            <w:sz w:val="21"/>
                          </w:rPr>
                          <w:t>）</w:t>
                        </w:r>
                        <w:r>
                          <w:rPr>
                            <w:spacing w:val="-2"/>
                            <w:w w:val="100"/>
                            <w:sz w:val="21"/>
                          </w:rPr>
                          <w:t>确诊，首次患</w:t>
                        </w:r>
                      </w:p>
                    </w:tc>
                  </w:tr>
                  <w:tr>
                    <w:trPr>
                      <w:trHeight w:val="274" w:hRule="atLeast"/>
                    </w:trPr>
                    <w:tc>
                      <w:tcPr>
                        <w:tcW w:w="2521" w:type="dxa"/>
                        <w:gridSpan w:val="2"/>
                        <w:vMerge/>
                        <w:tcBorders>
                          <w:top w:val="nil"/>
                        </w:tcBorders>
                      </w:tcPr>
                      <w:p>
                        <w:pPr>
                          <w:rPr>
                            <w:sz w:val="2"/>
                            <w:szCs w:val="2"/>
                          </w:rPr>
                        </w:pPr>
                      </w:p>
                    </w:tc>
                    <w:tc>
                      <w:tcPr>
                        <w:tcW w:w="7448" w:type="dxa"/>
                      </w:tcPr>
                      <w:p>
                        <w:pPr>
                          <w:pStyle w:val="TableParagraph"/>
                          <w:spacing w:line="254" w:lineRule="exact"/>
                          <w:ind w:left="243"/>
                          <w:rPr>
                            <w:sz w:val="21"/>
                          </w:rPr>
                        </w:pPr>
                        <w:r>
                          <w:rPr>
                            <w:spacing w:val="-3"/>
                            <w:w w:val="100"/>
                            <w:sz w:val="21"/>
                          </w:rPr>
                          <w:t>上符合本条款定义的</w:t>
                        </w:r>
                        <w:r>
                          <w:rPr>
                            <w:rFonts w:ascii="Microsoft JhengHei" w:eastAsia="Microsoft JhengHei" w:hint="eastAsia"/>
                            <w:b/>
                            <w:w w:val="100"/>
                            <w:sz w:val="21"/>
                          </w:rPr>
                          <w:t>重大疾病</w:t>
                        </w:r>
                        <w:r>
                          <w:rPr>
                            <w:spacing w:val="-3"/>
                            <w:w w:val="100"/>
                            <w:sz w:val="21"/>
                          </w:rPr>
                          <w:t>（</w:t>
                        </w:r>
                        <w:r>
                          <w:rPr>
                            <w:w w:val="100"/>
                            <w:sz w:val="21"/>
                          </w:rPr>
                          <w:t>见</w:t>
                        </w:r>
                        <w:r>
                          <w:rPr>
                            <w:sz w:val="21"/>
                          </w:rPr>
                          <w:t> </w:t>
                        </w:r>
                        <w:r>
                          <w:rPr>
                            <w:spacing w:val="-3"/>
                            <w:w w:val="100"/>
                            <w:sz w:val="21"/>
                          </w:rPr>
                          <w:t>1</w:t>
                        </w:r>
                        <w:r>
                          <w:rPr>
                            <w:w w:val="100"/>
                            <w:sz w:val="21"/>
                          </w:rPr>
                          <w:t>0.4</w:t>
                        </w:r>
                        <w:r>
                          <w:rPr>
                            <w:spacing w:val="-106"/>
                            <w:w w:val="100"/>
                            <w:sz w:val="21"/>
                          </w:rPr>
                          <w:t>）</w:t>
                        </w:r>
                        <w:r>
                          <w:rPr>
                            <w:spacing w:val="-3"/>
                            <w:w w:val="100"/>
                            <w:sz w:val="21"/>
                          </w:rPr>
                          <w:t>，我们将退还您所支付的全部保险费</w:t>
                        </w:r>
                      </w:p>
                    </w:tc>
                  </w:tr>
                  <w:tr>
                    <w:trPr>
                      <w:trHeight w:val="272" w:hRule="atLeast"/>
                    </w:trPr>
                    <w:tc>
                      <w:tcPr>
                        <w:tcW w:w="2521" w:type="dxa"/>
                        <w:gridSpan w:val="2"/>
                        <w:vMerge/>
                        <w:tcBorders>
                          <w:top w:val="nil"/>
                        </w:tcBorders>
                      </w:tcPr>
                      <w:p>
                        <w:pPr>
                          <w:rPr>
                            <w:sz w:val="2"/>
                            <w:szCs w:val="2"/>
                          </w:rPr>
                        </w:pPr>
                      </w:p>
                    </w:tc>
                    <w:tc>
                      <w:tcPr>
                        <w:tcW w:w="7448" w:type="dxa"/>
                      </w:tcPr>
                      <w:p>
                        <w:pPr>
                          <w:pStyle w:val="TableParagraph"/>
                          <w:spacing w:line="242" w:lineRule="exact"/>
                          <w:ind w:left="243"/>
                          <w:rPr>
                            <w:sz w:val="21"/>
                          </w:rPr>
                        </w:pPr>
                        <w:r>
                          <w:rPr>
                            <w:sz w:val="21"/>
                          </w:rPr>
                          <w:t>的 110%，本附加险合同终止。 </w:t>
                        </w:r>
                      </w:p>
                    </w:tc>
                  </w:tr>
                  <w:tr>
                    <w:trPr>
                      <w:trHeight w:val="272" w:hRule="atLeast"/>
                    </w:trPr>
                    <w:tc>
                      <w:tcPr>
                        <w:tcW w:w="2521" w:type="dxa"/>
                        <w:gridSpan w:val="2"/>
                        <w:vMerge/>
                        <w:tcBorders>
                          <w:top w:val="nil"/>
                        </w:tcBorders>
                      </w:tcPr>
                      <w:p>
                        <w:pPr>
                          <w:rPr>
                            <w:sz w:val="2"/>
                            <w:szCs w:val="2"/>
                          </w:rPr>
                        </w:pPr>
                      </w:p>
                    </w:tc>
                    <w:tc>
                      <w:tcPr>
                        <w:tcW w:w="7448" w:type="dxa"/>
                      </w:tcPr>
                      <w:p>
                        <w:pPr>
                          <w:pStyle w:val="TableParagraph"/>
                          <w:spacing w:line="241" w:lineRule="exact"/>
                          <w:ind w:left="243"/>
                          <w:rPr>
                            <w:sz w:val="21"/>
                          </w:rPr>
                        </w:pPr>
                        <w:r>
                          <w:rPr>
                            <w:sz w:val="21"/>
                          </w:rPr>
                          <w:t>自本附加险合同生效日或最后复效日（以较迟者为准）起的首个保单周年日之</w:t>
                        </w:r>
                      </w:p>
                    </w:tc>
                  </w:tr>
                  <w:tr>
                    <w:trPr>
                      <w:trHeight w:val="270" w:hRule="atLeast"/>
                    </w:trPr>
                    <w:tc>
                      <w:tcPr>
                        <w:tcW w:w="2521" w:type="dxa"/>
                        <w:gridSpan w:val="2"/>
                        <w:vMerge/>
                        <w:tcBorders>
                          <w:top w:val="nil"/>
                        </w:tcBorders>
                      </w:tcPr>
                      <w:p>
                        <w:pPr>
                          <w:rPr>
                            <w:sz w:val="2"/>
                            <w:szCs w:val="2"/>
                          </w:rPr>
                        </w:pPr>
                      </w:p>
                    </w:tc>
                    <w:tc>
                      <w:tcPr>
                        <w:tcW w:w="7448" w:type="dxa"/>
                      </w:tcPr>
                      <w:p>
                        <w:pPr>
                          <w:pStyle w:val="TableParagraph"/>
                          <w:spacing w:line="242" w:lineRule="exact"/>
                          <w:ind w:left="243"/>
                          <w:rPr>
                            <w:sz w:val="21"/>
                          </w:rPr>
                        </w:pPr>
                        <w:r>
                          <w:rPr>
                            <w:spacing w:val="-8"/>
                            <w:sz w:val="21"/>
                          </w:rPr>
                          <w:t>后，若被保险人于 </w:t>
                        </w:r>
                        <w:r>
                          <w:rPr>
                            <w:sz w:val="21"/>
                          </w:rPr>
                          <w:t>3</w:t>
                        </w:r>
                        <w:r>
                          <w:rPr>
                            <w:spacing w:val="-8"/>
                            <w:sz w:val="21"/>
                          </w:rPr>
                          <w:t> 周岁后的首个保单周年日之前</w:t>
                        </w:r>
                        <w:r>
                          <w:rPr>
                            <w:sz w:val="21"/>
                          </w:rPr>
                          <w:t>（</w:t>
                        </w:r>
                        <w:r>
                          <w:rPr>
                            <w:spacing w:val="-14"/>
                            <w:sz w:val="21"/>
                          </w:rPr>
                          <w:t>包括 </w:t>
                        </w:r>
                        <w:r>
                          <w:rPr>
                            <w:sz w:val="21"/>
                          </w:rPr>
                          <w:t>3</w:t>
                        </w:r>
                        <w:r>
                          <w:rPr>
                            <w:spacing w:val="-9"/>
                            <w:sz w:val="21"/>
                          </w:rPr>
                          <w:t> 周岁后的首个保单</w:t>
                        </w:r>
                      </w:p>
                    </w:tc>
                  </w:tr>
                  <w:tr>
                    <w:trPr>
                      <w:trHeight w:val="274" w:hRule="atLeast"/>
                    </w:trPr>
                    <w:tc>
                      <w:tcPr>
                        <w:tcW w:w="2521" w:type="dxa"/>
                        <w:gridSpan w:val="2"/>
                        <w:vMerge/>
                        <w:tcBorders>
                          <w:top w:val="nil"/>
                        </w:tcBorders>
                      </w:tcPr>
                      <w:p>
                        <w:pPr>
                          <w:rPr>
                            <w:sz w:val="2"/>
                            <w:szCs w:val="2"/>
                          </w:rPr>
                        </w:pPr>
                      </w:p>
                    </w:tc>
                    <w:tc>
                      <w:tcPr>
                        <w:tcW w:w="7448" w:type="dxa"/>
                      </w:tcPr>
                      <w:p>
                        <w:pPr>
                          <w:pStyle w:val="TableParagraph"/>
                          <w:spacing w:line="254" w:lineRule="exact"/>
                          <w:ind w:left="243"/>
                          <w:rPr>
                            <w:sz w:val="21"/>
                          </w:rPr>
                        </w:pPr>
                        <w:r>
                          <w:rPr>
                            <w:sz w:val="21"/>
                          </w:rPr>
                          <w:t>周年日）经医疗机构确诊，首次患上符合本条款定义的</w:t>
                        </w:r>
                        <w:r>
                          <w:rPr>
                            <w:rFonts w:ascii="Microsoft JhengHei" w:eastAsia="Microsoft JhengHei" w:hint="eastAsia"/>
                            <w:b/>
                            <w:sz w:val="21"/>
                          </w:rPr>
                          <w:t>少儿阶段重大疾病</w:t>
                        </w:r>
                        <w:r>
                          <w:rPr>
                            <w:sz w:val="21"/>
                          </w:rPr>
                          <w:t>（见</w:t>
                        </w:r>
                      </w:p>
                    </w:tc>
                  </w:tr>
                  <w:tr>
                    <w:trPr>
                      <w:trHeight w:val="272" w:hRule="atLeast"/>
                    </w:trPr>
                    <w:tc>
                      <w:tcPr>
                        <w:tcW w:w="2521" w:type="dxa"/>
                        <w:gridSpan w:val="2"/>
                        <w:vMerge/>
                        <w:tcBorders>
                          <w:top w:val="nil"/>
                        </w:tcBorders>
                      </w:tcPr>
                      <w:p>
                        <w:pPr>
                          <w:rPr>
                            <w:sz w:val="2"/>
                            <w:szCs w:val="2"/>
                          </w:rPr>
                        </w:pPr>
                      </w:p>
                    </w:tc>
                    <w:tc>
                      <w:tcPr>
                        <w:tcW w:w="7448" w:type="dxa"/>
                      </w:tcPr>
                      <w:p>
                        <w:pPr>
                          <w:pStyle w:val="TableParagraph"/>
                          <w:spacing w:line="242" w:lineRule="exact"/>
                          <w:ind w:left="243"/>
                          <w:rPr>
                            <w:sz w:val="21"/>
                          </w:rPr>
                        </w:pPr>
                        <w:r>
                          <w:rPr>
                            <w:w w:val="100"/>
                            <w:sz w:val="21"/>
                          </w:rPr>
                          <w:t>10.4</w:t>
                        </w:r>
                        <w:r>
                          <w:rPr>
                            <w:spacing w:val="-106"/>
                            <w:w w:val="100"/>
                            <w:sz w:val="21"/>
                          </w:rPr>
                          <w:t>）</w:t>
                        </w:r>
                        <w:r>
                          <w:rPr>
                            <w:spacing w:val="-11"/>
                            <w:w w:val="100"/>
                            <w:sz w:val="21"/>
                          </w:rPr>
                          <w:t>，我们将根据被保险人的年龄按下表所示给付比例乘以基本保险金额的金</w:t>
                        </w:r>
                      </w:p>
                    </w:tc>
                  </w:tr>
                  <w:tr>
                    <w:trPr>
                      <w:trHeight w:val="273" w:hRule="atLeast"/>
                    </w:trPr>
                    <w:tc>
                      <w:tcPr>
                        <w:tcW w:w="2521" w:type="dxa"/>
                        <w:gridSpan w:val="2"/>
                        <w:vMerge/>
                        <w:tcBorders>
                          <w:top w:val="nil"/>
                        </w:tcBorders>
                      </w:tcPr>
                      <w:p>
                        <w:pPr>
                          <w:rPr>
                            <w:sz w:val="2"/>
                            <w:szCs w:val="2"/>
                          </w:rPr>
                        </w:pPr>
                      </w:p>
                    </w:tc>
                    <w:tc>
                      <w:tcPr>
                        <w:tcW w:w="7448" w:type="dxa"/>
                        <w:tcBorders>
                          <w:bottom w:val="single" w:sz="4" w:space="0" w:color="000000"/>
                        </w:tcBorders>
                      </w:tcPr>
                      <w:p>
                        <w:pPr>
                          <w:pStyle w:val="TableParagraph"/>
                          <w:spacing w:line="241" w:lineRule="exact"/>
                          <w:ind w:left="243"/>
                          <w:rPr>
                            <w:sz w:val="21"/>
                          </w:rPr>
                        </w:pPr>
                        <w:r>
                          <w:rPr>
                            <w:sz w:val="21"/>
                          </w:rPr>
                          <w:t>额给付重大疾病保险金，本附加险合同终止。 </w:t>
                        </w:r>
                      </w:p>
                    </w:tc>
                  </w:tr>
                  <w:tr>
                    <w:trPr>
                      <w:trHeight w:val="270" w:hRule="atLeast"/>
                    </w:trPr>
                    <w:tc>
                      <w:tcPr>
                        <w:tcW w:w="2521" w:type="dxa"/>
                        <w:gridSpan w:val="2"/>
                        <w:vMerge/>
                        <w:tcBorders>
                          <w:top w:val="nil"/>
                        </w:tcBorders>
                      </w:tcPr>
                      <w:p>
                        <w:pPr>
                          <w:rPr>
                            <w:sz w:val="2"/>
                            <w:szCs w:val="2"/>
                          </w:rPr>
                        </w:pPr>
                      </w:p>
                    </w:tc>
                    <w:tc>
                      <w:tcPr>
                        <w:tcW w:w="7448" w:type="dxa"/>
                        <w:tcBorders>
                          <w:top w:val="single" w:sz="4" w:space="0" w:color="000000"/>
                          <w:bottom w:val="single" w:sz="4" w:space="0" w:color="000000"/>
                        </w:tcBorders>
                      </w:tcPr>
                      <w:p>
                        <w:pPr>
                          <w:pStyle w:val="TableParagraph"/>
                          <w:tabs>
                            <w:tab w:pos="4661" w:val="left" w:leader="none"/>
                          </w:tabs>
                          <w:spacing w:line="241" w:lineRule="exact"/>
                          <w:ind w:left="1316"/>
                          <w:rPr>
                            <w:sz w:val="21"/>
                          </w:rPr>
                        </w:pPr>
                        <w:r>
                          <w:rPr>
                            <w:sz w:val="21"/>
                          </w:rPr>
                          <w:t>被保</w:t>
                        </w:r>
                        <w:r>
                          <w:rPr>
                            <w:spacing w:val="-3"/>
                            <w:sz w:val="21"/>
                          </w:rPr>
                          <w:t>险</w:t>
                        </w:r>
                        <w:r>
                          <w:rPr>
                            <w:sz w:val="21"/>
                          </w:rPr>
                          <w:t>人</w:t>
                        </w:r>
                        <w:r>
                          <w:rPr>
                            <w:spacing w:val="-3"/>
                            <w:sz w:val="21"/>
                          </w:rPr>
                          <w:t>首</w:t>
                        </w:r>
                        <w:r>
                          <w:rPr>
                            <w:sz w:val="21"/>
                          </w:rPr>
                          <w:t>次</w:t>
                        </w:r>
                        <w:r>
                          <w:rPr>
                            <w:spacing w:val="-3"/>
                            <w:sz w:val="21"/>
                          </w:rPr>
                          <w:t>患</w:t>
                        </w:r>
                        <w:r>
                          <w:rPr>
                            <w:sz w:val="21"/>
                          </w:rPr>
                          <w:t>上</w:t>
                        </w:r>
                        <w:r>
                          <w:rPr>
                            <w:spacing w:val="-3"/>
                            <w:sz w:val="21"/>
                          </w:rPr>
                          <w:t>重</w:t>
                        </w:r>
                        <w:r>
                          <w:rPr>
                            <w:sz w:val="21"/>
                          </w:rPr>
                          <w:t>大疾</w:t>
                          <w:tab/>
                          <w:t>给付</w:t>
                        </w:r>
                        <w:r>
                          <w:rPr>
                            <w:spacing w:val="-3"/>
                            <w:sz w:val="21"/>
                          </w:rPr>
                          <w:t>比例</w:t>
                        </w:r>
                        <w:r>
                          <w:rPr>
                            <w:sz w:val="21"/>
                          </w:rPr>
                          <w:t> </w:t>
                        </w:r>
                      </w:p>
                    </w:tc>
                  </w:tr>
                </w:tbl>
                <w:p>
                  <w:pPr>
                    <w:pStyle w:val="BodyText"/>
                    <w:spacing w:line="240" w:lineRule="auto"/>
                    <w:ind w:left="0"/>
                  </w:pPr>
                </w:p>
              </w:txbxContent>
            </v:textbox>
            <w10:wrap type="none"/>
          </v:shape>
        </w:pict>
      </w:r>
      <w:r>
        <w:rPr/>
        <w:t>额。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24"/>
        </w:rPr>
      </w:pPr>
      <w:r>
        <w:rPr/>
        <w:pict>
          <v:line style="position:absolute;mso-position-horizontal-relative:page;mso-position-vertical-relative:paragraph;z-index:1096;mso-wrap-distance-left:0;mso-wrap-distance-right:0" from="231pt,18.388453pt" to="231pt,32.428453pt" stroked="true" strokeweight=".48pt" strokecolor="#000000">
            <v:stroke dashstyle="solid"/>
            <w10:wrap type="topAndBottom"/>
          </v:line>
        </w:pict>
      </w:r>
      <w:r>
        <w:rPr/>
        <w:pict>
          <v:line style="position:absolute;mso-position-horizontal-relative:page;mso-position-vertical-relative:paragraph;z-index:1120;mso-wrap-distance-left:0;mso-wrap-distance-right:0" from="365.399994pt,18.388453pt" to="365.399994pt,32.428453pt" stroked="true" strokeweight=".48pt" strokecolor="#000000">
            <v:stroke dashstyle="solid"/>
            <w10:wrap type="topAndBottom"/>
          </v:line>
        </w:pict>
      </w:r>
      <w:r>
        <w:rPr/>
        <w:pict>
          <v:line style="position:absolute;mso-position-horizontal-relative:page;mso-position-vertical-relative:paragraph;z-index:1144;mso-wrap-distance-left:0;mso-wrap-distance-right:0" from="492pt,18.388453pt" to="492pt,32.428453pt" stroked="true" strokeweight=".48pt" strokecolor="#000000">
            <v:stroke dashstyle="solid"/>
            <w10:wrap type="topAndBottom"/>
          </v:line>
        </w:pict>
      </w:r>
    </w:p>
    <w:p>
      <w:pPr>
        <w:spacing w:after="0" w:line="240" w:lineRule="auto"/>
        <w:rPr>
          <w:sz w:val="24"/>
        </w:rPr>
        <w:sectPr>
          <w:footerReference w:type="default" r:id="rId8"/>
          <w:pgSz w:w="11900" w:h="16840"/>
          <w:pgMar w:footer="457" w:header="0" w:top="1160" w:bottom="640" w:left="740" w:right="760"/>
          <w:pgNumType w:start="1"/>
        </w:sectPr>
      </w:pPr>
    </w:p>
    <w:tbl>
      <w:tblPr>
        <w:tblW w:w="0" w:type="auto"/>
        <w:jc w:val="left"/>
        <w:tblInd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2532"/>
      </w:tblGrid>
      <w:tr>
        <w:trPr>
          <w:trHeight w:val="273" w:hRule="atLeast"/>
        </w:trPr>
        <w:tc>
          <w:tcPr>
            <w:tcW w:w="2688" w:type="dxa"/>
          </w:tcPr>
          <w:p>
            <w:pPr>
              <w:pStyle w:val="TableParagraph"/>
              <w:spacing w:line="237" w:lineRule="exact"/>
              <w:ind w:left="115"/>
              <w:jc w:val="center"/>
              <w:rPr>
                <w:sz w:val="21"/>
              </w:rPr>
            </w:pPr>
            <w:r>
              <w:rPr>
                <w:sz w:val="21"/>
              </w:rPr>
              <w:t>病时的年龄 </w:t>
            </w:r>
          </w:p>
        </w:tc>
        <w:tc>
          <w:tcPr>
            <w:tcW w:w="2532" w:type="dxa"/>
          </w:tcPr>
          <w:p>
            <w:pPr>
              <w:pStyle w:val="TableParagraph"/>
              <w:rPr>
                <w:rFonts w:ascii="Times New Roman"/>
                <w:sz w:val="20"/>
              </w:rPr>
            </w:pPr>
          </w:p>
        </w:tc>
      </w:tr>
      <w:tr>
        <w:trPr>
          <w:trHeight w:val="273" w:hRule="atLeast"/>
        </w:trPr>
        <w:tc>
          <w:tcPr>
            <w:tcW w:w="2688" w:type="dxa"/>
          </w:tcPr>
          <w:p>
            <w:pPr>
              <w:pStyle w:val="TableParagraph"/>
              <w:spacing w:line="235" w:lineRule="exact"/>
              <w:ind w:left="115" w:right="3"/>
              <w:jc w:val="center"/>
              <w:rPr>
                <w:sz w:val="21"/>
              </w:rPr>
            </w:pPr>
            <w:r>
              <w:rPr>
                <w:sz w:val="21"/>
              </w:rPr>
              <w:t>1 至 2 周岁（含 1 周岁） </w:t>
            </w:r>
          </w:p>
        </w:tc>
        <w:tc>
          <w:tcPr>
            <w:tcW w:w="2532" w:type="dxa"/>
          </w:tcPr>
          <w:p>
            <w:pPr>
              <w:pStyle w:val="TableParagraph"/>
              <w:spacing w:line="235" w:lineRule="exact"/>
              <w:ind w:right="938"/>
              <w:jc w:val="right"/>
              <w:rPr>
                <w:sz w:val="21"/>
              </w:rPr>
            </w:pPr>
            <w:r>
              <w:rPr>
                <w:sz w:val="21"/>
              </w:rPr>
              <w:t>50％ </w:t>
            </w:r>
          </w:p>
        </w:tc>
      </w:tr>
      <w:tr>
        <w:trPr>
          <w:trHeight w:val="273" w:hRule="atLeast"/>
        </w:trPr>
        <w:tc>
          <w:tcPr>
            <w:tcW w:w="2688" w:type="dxa"/>
          </w:tcPr>
          <w:p>
            <w:pPr>
              <w:pStyle w:val="TableParagraph"/>
              <w:spacing w:line="235" w:lineRule="exact"/>
              <w:ind w:left="115" w:right="3"/>
              <w:jc w:val="center"/>
              <w:rPr>
                <w:sz w:val="21"/>
              </w:rPr>
            </w:pPr>
            <w:r>
              <w:rPr>
                <w:sz w:val="21"/>
              </w:rPr>
              <w:t>2 至 3 周岁（含 2 周岁） </w:t>
            </w:r>
          </w:p>
        </w:tc>
        <w:tc>
          <w:tcPr>
            <w:tcW w:w="2532" w:type="dxa"/>
          </w:tcPr>
          <w:p>
            <w:pPr>
              <w:pStyle w:val="TableParagraph"/>
              <w:spacing w:line="235" w:lineRule="exact"/>
              <w:ind w:right="938"/>
              <w:jc w:val="right"/>
              <w:rPr>
                <w:sz w:val="21"/>
              </w:rPr>
            </w:pPr>
            <w:r>
              <w:rPr>
                <w:sz w:val="21"/>
              </w:rPr>
              <w:t>80％ </w:t>
            </w:r>
          </w:p>
        </w:tc>
      </w:tr>
    </w:tbl>
    <w:p>
      <w:pPr>
        <w:pStyle w:val="BodyText"/>
        <w:spacing w:line="233" w:lineRule="exact"/>
        <w:ind w:left="2934"/>
      </w:pPr>
      <w:r>
        <w:rPr/>
        <w:t>自本附加险合同生效日或最后复效日（以较迟者为准）起的首个保单周年日之</w:t>
      </w:r>
    </w:p>
    <w:p>
      <w:pPr>
        <w:pStyle w:val="BodyText"/>
        <w:spacing w:line="237" w:lineRule="auto" w:before="1"/>
        <w:ind w:left="2934" w:right="271"/>
        <w:jc w:val="both"/>
      </w:pPr>
      <w:r>
        <w:rPr>
          <w:spacing w:val="-10"/>
        </w:rPr>
        <w:t>后，若被保险人于 </w:t>
      </w:r>
      <w:r>
        <w:rPr/>
        <w:t>3</w:t>
      </w:r>
      <w:r>
        <w:rPr>
          <w:spacing w:val="-8"/>
        </w:rPr>
        <w:t> 周岁后的首个保单周年日之后，18</w:t>
      </w:r>
      <w:r>
        <w:rPr>
          <w:spacing w:val="-7"/>
        </w:rPr>
        <w:t> 周岁后的首个保单周年</w:t>
      </w:r>
      <w:r>
        <w:rPr>
          <w:spacing w:val="-12"/>
        </w:rPr>
        <w:t>日之前</w:t>
      </w:r>
      <w:r>
        <w:rPr/>
        <w:t>（</w:t>
      </w:r>
      <w:r>
        <w:rPr>
          <w:spacing w:val="-14"/>
        </w:rPr>
        <w:t>包括 </w:t>
      </w:r>
      <w:r>
        <w:rPr/>
        <w:t>18</w:t>
      </w:r>
      <w:r>
        <w:rPr>
          <w:spacing w:val="-8"/>
        </w:rPr>
        <w:t> 周岁后的首个保单周年日</w:t>
      </w:r>
      <w:r>
        <w:rPr>
          <w:spacing w:val="-32"/>
        </w:rPr>
        <w:t>）</w:t>
      </w:r>
      <w:r>
        <w:rPr>
          <w:spacing w:val="-7"/>
        </w:rPr>
        <w:t>经医疗机构确诊，首次患上符合本</w:t>
      </w:r>
      <w:r>
        <w:rPr>
          <w:spacing w:val="-3"/>
        </w:rPr>
        <w:t>条款定义的少儿阶段重大疾病，我们将按基本保险金额给付重大疾病保险金， 本合同终止。</w:t>
      </w:r>
      <w:r>
        <w:rPr/>
        <w:t> </w:t>
      </w:r>
    </w:p>
    <w:p>
      <w:pPr>
        <w:pStyle w:val="BodyText"/>
        <w:spacing w:line="211" w:lineRule="auto" w:before="29"/>
        <w:ind w:left="2934" w:right="269"/>
        <w:jc w:val="both"/>
      </w:pPr>
      <w:r>
        <w:rPr>
          <w:spacing w:val="-3"/>
        </w:rPr>
        <w:t>自本附加险合同生效日或最后复效日</w:t>
      </w:r>
      <w:r>
        <w:rPr/>
        <w:t>（</w:t>
      </w:r>
      <w:r>
        <w:rPr>
          <w:spacing w:val="-3"/>
        </w:rPr>
        <w:t>以较迟者为准</w:t>
      </w:r>
      <w:r>
        <w:rPr/>
        <w:t>）</w:t>
      </w:r>
      <w:r>
        <w:rPr>
          <w:spacing w:val="-3"/>
        </w:rPr>
        <w:t>起的首个保单周年日之</w:t>
      </w:r>
      <w:r>
        <w:rPr>
          <w:spacing w:val="-13"/>
        </w:rPr>
        <w:t>后，若被保险人于 </w:t>
      </w:r>
      <w:r>
        <w:rPr/>
        <w:t>18</w:t>
      </w:r>
      <w:r>
        <w:rPr>
          <w:spacing w:val="-9"/>
        </w:rPr>
        <w:t> 周岁后的首个保单周年日之后经医疗机构确诊，首次患上</w:t>
      </w:r>
      <w:r>
        <w:rPr>
          <w:spacing w:val="-5"/>
          <w:w w:val="100"/>
        </w:rPr>
        <w:t>符合本条款定义的</w:t>
      </w:r>
      <w:r>
        <w:rPr>
          <w:rFonts w:ascii="Microsoft JhengHei" w:eastAsia="Microsoft JhengHei" w:hint="eastAsia"/>
          <w:b/>
          <w:spacing w:val="-1"/>
          <w:w w:val="100"/>
        </w:rPr>
        <w:t>成人阶段重大疾病</w:t>
      </w:r>
      <w:r>
        <w:rPr>
          <w:w w:val="100"/>
        </w:rPr>
        <w:t>（见</w:t>
      </w:r>
      <w:r>
        <w:rPr/>
        <w:t> </w:t>
      </w:r>
      <w:r>
        <w:rPr>
          <w:w w:val="100"/>
        </w:rPr>
        <w:t>10.</w:t>
      </w:r>
      <w:r>
        <w:rPr>
          <w:spacing w:val="-3"/>
          <w:w w:val="100"/>
        </w:rPr>
        <w:t>4</w:t>
      </w:r>
      <w:r>
        <w:rPr>
          <w:spacing w:val="-106"/>
          <w:w w:val="100"/>
        </w:rPr>
        <w:t>）</w:t>
      </w:r>
      <w:r>
        <w:rPr>
          <w:spacing w:val="-3"/>
          <w:w w:val="100"/>
        </w:rPr>
        <w:t>，我们将按基本保险金额给付</w:t>
      </w:r>
    </w:p>
    <w:p>
      <w:pPr>
        <w:pStyle w:val="BodyText"/>
        <w:spacing w:line="247" w:lineRule="exact"/>
        <w:ind w:left="2934"/>
      </w:pPr>
      <w:r>
        <w:rPr/>
        <w:t>重大疾病保险金。 </w:t>
      </w:r>
    </w:p>
    <w:p>
      <w:pPr>
        <w:pStyle w:val="BodyText"/>
        <w:spacing w:line="237" w:lineRule="auto" w:before="2"/>
        <w:ind w:left="2934" w:right="271"/>
      </w:pPr>
      <w:r>
        <w:rPr/>
        <w:t>被保险人经医疗机构确诊首次患上多种重大疾病的，重大疾病保险金的给付以基本保险金额为限。 </w:t>
      </w:r>
    </w:p>
    <w:p>
      <w:pPr>
        <w:pStyle w:val="Heading3"/>
        <w:spacing w:line="177" w:lineRule="auto" w:before="26"/>
        <w:ind w:right="263"/>
      </w:pPr>
      <w:r>
        <w:rPr/>
        <w:t>重大疾病保险金一经给付，将按给付的金额相应降低主险合同的基本保险金额。</w:t>
      </w:r>
    </w:p>
    <w:p>
      <w:pPr>
        <w:pStyle w:val="BodyText"/>
        <w:tabs>
          <w:tab w:pos="975" w:val="left" w:leader="none"/>
          <w:tab w:pos="2934" w:val="left" w:leader="none"/>
        </w:tabs>
        <w:spacing w:line="116" w:lineRule="exact"/>
        <w:ind w:left="220"/>
      </w:pPr>
      <w:r>
        <w:rPr>
          <w:w w:val="100"/>
        </w:rPr>
        <w:t> </w:t>
      </w:r>
      <w:r>
        <w:rPr/>
        <w:tab/>
      </w:r>
      <w:r>
        <w:rPr>
          <w:w w:val="100"/>
        </w:rPr>
        <w:t> </w:t>
      </w:r>
      <w:r>
        <w:rPr/>
        <w:tab/>
      </w:r>
      <w:r>
        <w:rPr>
          <w:w w:val="100"/>
        </w:rPr>
        <w:t> </w:t>
      </w:r>
    </w:p>
    <w:p>
      <w:pPr>
        <w:pStyle w:val="Heading3"/>
        <w:tabs>
          <w:tab w:pos="975" w:val="left" w:leader="none"/>
          <w:tab w:pos="2934" w:val="left" w:leader="none"/>
        </w:tabs>
        <w:spacing w:line="180" w:lineRule="auto" w:before="42"/>
        <w:ind w:right="275" w:hanging="2715"/>
      </w:pPr>
      <w:r>
        <w:rPr/>
        <w:t>2.</w:t>
      </w:r>
      <w:r>
        <w:rPr>
          <w:spacing w:val="-33"/>
        </w:rPr>
        <w:t> </w:t>
      </w:r>
      <w:r>
        <w:rPr/>
        <w:t>4</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 </w:t>
      </w:r>
      <w:r>
        <w:rPr/>
        <w:t>承担给付保险金的</w:t>
      </w:r>
      <w:r>
        <w:rPr>
          <w:spacing w:val="-3"/>
        </w:rPr>
        <w:t>责</w:t>
      </w:r>
      <w:r>
        <w:rPr/>
        <w:t>任：</w:t>
      </w:r>
    </w:p>
    <w:p>
      <w:pPr>
        <w:spacing w:line="225" w:lineRule="exact" w:before="0"/>
        <w:ind w:left="2934" w:right="0" w:firstLine="0"/>
        <w:jc w:val="both"/>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4" w:right="0" w:firstLine="0"/>
        <w:jc w:val="both"/>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4" w:right="0" w:firstLine="0"/>
        <w:jc w:val="both"/>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p>
      <w:pPr>
        <w:spacing w:line="272" w:lineRule="exact" w:before="0"/>
        <w:ind w:left="2934"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spacing w:line="272" w:lineRule="exact" w:before="0"/>
        <w:ind w:left="3440" w:right="0" w:firstLine="0"/>
        <w:jc w:val="left"/>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p>
      <w:pPr>
        <w:spacing w:line="272" w:lineRule="exact" w:before="0"/>
        <w:ind w:left="2934"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p>
      <w:pPr>
        <w:spacing w:line="272" w:lineRule="exact" w:before="0"/>
        <w:ind w:left="2934" w:right="0" w:firstLine="0"/>
        <w:jc w:val="both"/>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4" w:right="0" w:firstLine="0"/>
        <w:jc w:val="both"/>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4"/>
        <w:ind w:left="2934" w:right="275" w:firstLine="0"/>
        <w:jc w:val="left"/>
        <w:rPr>
          <w:sz w:val="21"/>
        </w:rPr>
      </w:pPr>
      <w:r>
        <w:rPr/>
        <w:pict>
          <v:shape style="position:absolute;margin-left:45.799999pt;margin-top:27.200562pt;width:506.45pt;height:333.25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932"/>
                    <w:gridCol w:w="7567"/>
                  </w:tblGrid>
                  <w:tr>
                    <w:trPr>
                      <w:trHeight w:val="620" w:hRule="atLeast"/>
                    </w:trPr>
                    <w:tc>
                      <w:tcPr>
                        <w:tcW w:w="630" w:type="dxa"/>
                      </w:tcPr>
                      <w:p>
                        <w:pPr>
                          <w:pStyle w:val="TableParagraph"/>
                          <w:spacing w:line="194" w:lineRule="exact"/>
                          <w:ind w:left="104"/>
                          <w:rPr>
                            <w:sz w:val="21"/>
                          </w:rPr>
                        </w:pPr>
                        <w:r>
                          <w:rPr>
                            <w:w w:val="100"/>
                            <w:sz w:val="21"/>
                          </w:rPr>
                          <w:t> </w:t>
                        </w:r>
                      </w:p>
                      <w:p>
                        <w:pPr>
                          <w:pStyle w:val="TableParagraph"/>
                          <w:spacing w:line="406" w:lineRule="exact"/>
                          <w:ind w:left="105"/>
                          <w:rPr>
                            <w:rFonts w:ascii="Times New Roman"/>
                            <w:b/>
                            <w:sz w:val="40"/>
                          </w:rPr>
                        </w:pPr>
                        <w:r>
                          <w:rPr>
                            <w:rFonts w:ascii="Times New Roman"/>
                            <w:b/>
                            <w:w w:val="100"/>
                            <w:sz w:val="40"/>
                          </w:rPr>
                          <w:t>w</w:t>
                        </w:r>
                      </w:p>
                    </w:tc>
                    <w:tc>
                      <w:tcPr>
                        <w:tcW w:w="1932" w:type="dxa"/>
                      </w:tcPr>
                      <w:p>
                        <w:pPr>
                          <w:pStyle w:val="TableParagraph"/>
                          <w:spacing w:line="182" w:lineRule="exact"/>
                          <w:ind w:left="230"/>
                          <w:rPr>
                            <w:sz w:val="21"/>
                          </w:rPr>
                        </w:pPr>
                        <w:r>
                          <w:rPr>
                            <w:w w:val="100"/>
                            <w:sz w:val="21"/>
                          </w:rPr>
                          <w:t> </w:t>
                        </w:r>
                      </w:p>
                      <w:p>
                        <w:pPr>
                          <w:pStyle w:val="TableParagraph"/>
                          <w:spacing w:line="389" w:lineRule="exact"/>
                          <w:ind w:left="230"/>
                          <w:rPr>
                            <w:rFonts w:ascii="Microsoft JhengHei" w:eastAsia="Microsoft JhengHei" w:hint="eastAsia"/>
                            <w:b/>
                            <w:sz w:val="24"/>
                          </w:rPr>
                        </w:pPr>
                        <w:r>
                          <w:rPr>
                            <w:rFonts w:ascii="Microsoft JhengHei" w:eastAsia="Microsoft JhengHei" w:hint="eastAsia"/>
                            <w:b/>
                            <w:sz w:val="24"/>
                          </w:rPr>
                          <w:t>保险金的申请</w:t>
                        </w:r>
                      </w:p>
                    </w:tc>
                    <w:tc>
                      <w:tcPr>
                        <w:tcW w:w="7567" w:type="dxa"/>
                      </w:tcPr>
                      <w:p>
                        <w:pPr>
                          <w:pStyle w:val="TableParagraph"/>
                          <w:spacing w:line="211" w:lineRule="exact"/>
                          <w:ind w:left="256"/>
                          <w:rPr>
                            <w:sz w:val="21"/>
                          </w:rPr>
                        </w:pPr>
                        <w:r>
                          <w:rPr>
                            <w:w w:val="100"/>
                            <w:sz w:val="21"/>
                          </w:rPr>
                          <w:t> </w:t>
                        </w:r>
                      </w:p>
                      <w:p>
                        <w:pPr>
                          <w:pStyle w:val="TableParagraph"/>
                          <w:spacing w:before="54"/>
                          <w:ind w:right="487"/>
                          <w:jc w:val="right"/>
                          <w:rPr>
                            <w:sz w:val="21"/>
                          </w:rPr>
                        </w:pPr>
                        <w:r>
                          <w:rPr>
                            <w:w w:val="100"/>
                            <w:sz w:val="21"/>
                          </w:rPr>
                          <w:t> </w:t>
                        </w:r>
                      </w:p>
                    </w:tc>
                  </w:tr>
                  <w:tr>
                    <w:trPr>
                      <w:trHeight w:val="205" w:hRule="atLeast"/>
                    </w:trPr>
                    <w:tc>
                      <w:tcPr>
                        <w:tcW w:w="630" w:type="dxa"/>
                      </w:tcPr>
                      <w:p>
                        <w:pPr>
                          <w:pStyle w:val="TableParagraph"/>
                          <w:spacing w:line="185" w:lineRule="exact"/>
                          <w:ind w:left="104"/>
                          <w:rPr>
                            <w:sz w:val="21"/>
                          </w:rPr>
                        </w:pPr>
                        <w:r>
                          <w:rPr>
                            <w:w w:val="100"/>
                            <w:sz w:val="21"/>
                          </w:rPr>
                          <w:t> </w:t>
                        </w:r>
                      </w:p>
                    </w:tc>
                    <w:tc>
                      <w:tcPr>
                        <w:tcW w:w="1932" w:type="dxa"/>
                      </w:tcPr>
                      <w:p>
                        <w:pPr>
                          <w:pStyle w:val="TableParagraph"/>
                          <w:spacing w:line="185" w:lineRule="exact"/>
                          <w:ind w:left="230"/>
                          <w:rPr>
                            <w:sz w:val="21"/>
                          </w:rPr>
                        </w:pPr>
                        <w:r>
                          <w:rPr>
                            <w:w w:val="100"/>
                            <w:sz w:val="21"/>
                          </w:rPr>
                          <w:t> </w:t>
                        </w:r>
                      </w:p>
                    </w:tc>
                    <w:tc>
                      <w:tcPr>
                        <w:tcW w:w="7567" w:type="dxa"/>
                      </w:tcPr>
                      <w:p>
                        <w:pPr>
                          <w:pStyle w:val="TableParagraph"/>
                          <w:spacing w:line="185" w:lineRule="exact"/>
                          <w:ind w:left="256"/>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3. 1</w:t>
                        </w:r>
                      </w:p>
                    </w:tc>
                    <w:tc>
                      <w:tcPr>
                        <w:tcW w:w="1932"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受益人</w:t>
                        </w:r>
                      </w:p>
                    </w:tc>
                    <w:tc>
                      <w:tcPr>
                        <w:tcW w:w="7567" w:type="dxa"/>
                      </w:tcPr>
                      <w:p>
                        <w:pPr>
                          <w:pStyle w:val="TableParagraph"/>
                          <w:spacing w:line="233" w:lineRule="exact"/>
                          <w:ind w:left="256"/>
                          <w:rPr>
                            <w:sz w:val="21"/>
                          </w:rPr>
                        </w:pPr>
                        <w:r>
                          <w:rPr>
                            <w:sz w:val="21"/>
                          </w:rPr>
                          <w:t>除本附加险合同另有指定外，重大疾病保险金的受益人为被保险人本人。</w:t>
                        </w:r>
                      </w:p>
                    </w:tc>
                  </w:tr>
                  <w:tr>
                    <w:trPr>
                      <w:trHeight w:val="263" w:hRule="atLeast"/>
                    </w:trPr>
                    <w:tc>
                      <w:tcPr>
                        <w:tcW w:w="630" w:type="dxa"/>
                      </w:tcPr>
                      <w:p>
                        <w:pPr>
                          <w:pStyle w:val="TableParagraph"/>
                          <w:rPr>
                            <w:rFonts w:ascii="Times New Roman"/>
                            <w:sz w:val="18"/>
                          </w:rPr>
                        </w:pPr>
                      </w:p>
                    </w:tc>
                    <w:tc>
                      <w:tcPr>
                        <w:tcW w:w="1932" w:type="dxa"/>
                      </w:tcPr>
                      <w:p>
                        <w:pPr>
                          <w:pStyle w:val="TableParagraph"/>
                          <w:rPr>
                            <w:rFonts w:ascii="Times New Roman"/>
                            <w:sz w:val="18"/>
                          </w:rPr>
                        </w:pPr>
                      </w:p>
                    </w:tc>
                    <w:tc>
                      <w:tcPr>
                        <w:tcW w:w="7567" w:type="dxa"/>
                      </w:tcPr>
                      <w:p>
                        <w:pPr>
                          <w:pStyle w:val="TableParagraph"/>
                          <w:spacing w:line="234" w:lineRule="exact"/>
                          <w:ind w:left="256"/>
                          <w:rPr>
                            <w:sz w:val="21"/>
                          </w:rPr>
                        </w:pPr>
                        <w:r>
                          <w:rPr>
                            <w:sz w:val="21"/>
                          </w:rPr>
                          <w:t>被保险人为无民事行为能力人或限制民事行为能力人的，可以由其监护人指定</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受益人。</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2" w:lineRule="exact"/>
                          <w:ind w:left="256"/>
                          <w:rPr>
                            <w:sz w:val="21"/>
                          </w:rPr>
                        </w:pPr>
                        <w:r>
                          <w:rPr>
                            <w:sz w:val="21"/>
                          </w:rPr>
                          <w:t>受益人为数人的，被保险人或者投保人可以确定受益顺序和受益份额；未确定</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受益份额的，受益人按照相等份额享有受益权。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2" w:lineRule="exact"/>
                          <w:ind w:left="256"/>
                          <w:rPr>
                            <w:sz w:val="21"/>
                          </w:rPr>
                        </w:pPr>
                        <w:r>
                          <w:rPr>
                            <w:sz w:val="21"/>
                          </w:rPr>
                          <w:t>您或者被保险人可以变更受益人并书面通知我们。我们收到变更受益人的书面</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通知后，在保险单或者其他保险凭证上批注或者附贴批单。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2" w:lineRule="exact"/>
                          <w:ind w:left="256"/>
                          <w:rPr>
                            <w:sz w:val="21"/>
                          </w:rPr>
                        </w:pPr>
                        <w:r>
                          <w:rPr>
                            <w:sz w:val="21"/>
                          </w:rPr>
                          <w:t>您指定或变更受益人时须经被保险人同意。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被保险人身故后，遇有下列情形之一的，保险金作为被保险人的遗产，由我们</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2" w:lineRule="exact"/>
                          <w:ind w:left="256"/>
                          <w:rPr>
                            <w:sz w:val="21"/>
                          </w:rPr>
                        </w:pPr>
                        <w:r>
                          <w:rPr>
                            <w:sz w:val="21"/>
                          </w:rPr>
                          <w:t>依照《中华人民共和国继承法》的规定履行给付保险金的义务：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（1）没有指定受益人，或者受益人指定不明无法确定的；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2" w:lineRule="exact"/>
                          <w:ind w:left="256"/>
                          <w:rPr>
                            <w:sz w:val="21"/>
                          </w:rPr>
                        </w:pPr>
                        <w:r>
                          <w:rPr>
                            <w:sz w:val="21"/>
                          </w:rPr>
                          <w:t>（2）受益人先于被保险人身故，没有其他受益人的；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（3）受益人依法丧失受益权或者放弃受益权，没有其他受益人的。 </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2" w:lineRule="exact"/>
                          <w:ind w:left="256"/>
                          <w:rPr>
                            <w:sz w:val="21"/>
                          </w:rPr>
                        </w:pPr>
                        <w:r>
                          <w:rPr>
                            <w:sz w:val="21"/>
                          </w:rPr>
                          <w:t>受益人与被保险人在同一事件中身故，且不能确定身故顺序的，推定受益人身</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41" w:lineRule="exact"/>
                          <w:ind w:left="256"/>
                          <w:rPr>
                            <w:sz w:val="21"/>
                          </w:rPr>
                        </w:pPr>
                        <w:r>
                          <w:rPr>
                            <w:sz w:val="21"/>
                          </w:rPr>
                          <w:t>故在先。 </w:t>
                        </w:r>
                      </w:p>
                    </w:tc>
                  </w:tr>
                  <w:tr>
                    <w:trPr>
                      <w:trHeight w:val="242" w:hRule="atLeast"/>
                    </w:trPr>
                    <w:tc>
                      <w:tcPr>
                        <w:tcW w:w="630" w:type="dxa"/>
                      </w:tcPr>
                      <w:p>
                        <w:pPr>
                          <w:pStyle w:val="TableParagraph"/>
                          <w:rPr>
                            <w:rFonts w:ascii="Times New Roman"/>
                            <w:sz w:val="16"/>
                          </w:rPr>
                        </w:pPr>
                      </w:p>
                    </w:tc>
                    <w:tc>
                      <w:tcPr>
                        <w:tcW w:w="1932" w:type="dxa"/>
                      </w:tcPr>
                      <w:p>
                        <w:pPr>
                          <w:pStyle w:val="TableParagraph"/>
                          <w:rPr>
                            <w:rFonts w:ascii="Times New Roman"/>
                            <w:sz w:val="16"/>
                          </w:rPr>
                        </w:pPr>
                      </w:p>
                    </w:tc>
                    <w:tc>
                      <w:tcPr>
                        <w:tcW w:w="7567" w:type="dxa"/>
                      </w:tcPr>
                      <w:p>
                        <w:pPr>
                          <w:pStyle w:val="TableParagraph"/>
                          <w:spacing w:line="222" w:lineRule="exact"/>
                          <w:ind w:left="256"/>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0" w:hRule="atLeast"/>
                    </w:trPr>
                    <w:tc>
                      <w:tcPr>
                        <w:tcW w:w="630" w:type="dxa"/>
                      </w:tcPr>
                      <w:p>
                        <w:pPr>
                          <w:pStyle w:val="TableParagraph"/>
                          <w:rPr>
                            <w:rFonts w:ascii="Times New Roman"/>
                            <w:sz w:val="18"/>
                          </w:rPr>
                        </w:pPr>
                      </w:p>
                    </w:tc>
                    <w:tc>
                      <w:tcPr>
                        <w:tcW w:w="1932" w:type="dxa"/>
                      </w:tcPr>
                      <w:p>
                        <w:pPr>
                          <w:pStyle w:val="TableParagraph"/>
                          <w:rPr>
                            <w:rFonts w:ascii="Times New Roman"/>
                            <w:sz w:val="18"/>
                          </w:rPr>
                        </w:pPr>
                      </w:p>
                    </w:tc>
                    <w:tc>
                      <w:tcPr>
                        <w:tcW w:w="7567" w:type="dxa"/>
                      </w:tcPr>
                      <w:p>
                        <w:pPr>
                          <w:pStyle w:val="TableParagraph"/>
                          <w:spacing w:line="240" w:lineRule="exact"/>
                          <w:ind w:left="256"/>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30" w:type="dxa"/>
                      </w:tcPr>
                      <w:p>
                        <w:pPr>
                          <w:pStyle w:val="TableParagraph"/>
                          <w:spacing w:line="202" w:lineRule="exact"/>
                          <w:ind w:left="104"/>
                          <w:rPr>
                            <w:sz w:val="21"/>
                          </w:rPr>
                        </w:pPr>
                        <w:r>
                          <w:rPr>
                            <w:w w:val="100"/>
                            <w:sz w:val="21"/>
                          </w:rPr>
                          <w:t> </w:t>
                        </w:r>
                      </w:p>
                    </w:tc>
                    <w:tc>
                      <w:tcPr>
                        <w:tcW w:w="1932" w:type="dxa"/>
                      </w:tcPr>
                      <w:p>
                        <w:pPr>
                          <w:pStyle w:val="TableParagraph"/>
                          <w:spacing w:line="202" w:lineRule="exact"/>
                          <w:ind w:left="230"/>
                          <w:rPr>
                            <w:sz w:val="21"/>
                          </w:rPr>
                        </w:pPr>
                        <w:r>
                          <w:rPr>
                            <w:w w:val="100"/>
                            <w:sz w:val="21"/>
                          </w:rPr>
                          <w:t> </w:t>
                        </w:r>
                      </w:p>
                    </w:tc>
                    <w:tc>
                      <w:tcPr>
                        <w:tcW w:w="7567" w:type="dxa"/>
                      </w:tcPr>
                      <w:p>
                        <w:pPr>
                          <w:pStyle w:val="TableParagraph"/>
                          <w:spacing w:line="202" w:lineRule="exact"/>
                          <w:ind w:left="256"/>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3. 2</w:t>
                        </w:r>
                      </w:p>
                    </w:tc>
                    <w:tc>
                      <w:tcPr>
                        <w:tcW w:w="1932"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保险事故通知</w:t>
                        </w:r>
                      </w:p>
                    </w:tc>
                    <w:tc>
                      <w:tcPr>
                        <w:tcW w:w="7567" w:type="dxa"/>
                      </w:tcPr>
                      <w:p>
                        <w:pPr>
                          <w:pStyle w:val="TableParagraph"/>
                          <w:spacing w:line="231" w:lineRule="exact"/>
                          <w:ind w:left="256"/>
                          <w:rPr>
                            <w:sz w:val="21"/>
                          </w:rPr>
                        </w:pPr>
                        <w:r>
                          <w:rPr>
                            <w:sz w:val="21"/>
                          </w:rPr>
                          <w:t>请您或受益人在知道保险事故发生后 10 日内通知我们。 </w:t>
                        </w:r>
                      </w:p>
                    </w:tc>
                  </w:tr>
                  <w:tr>
                    <w:trPr>
                      <w:trHeight w:val="264" w:hRule="atLeast"/>
                    </w:trPr>
                    <w:tc>
                      <w:tcPr>
                        <w:tcW w:w="630" w:type="dxa"/>
                      </w:tcPr>
                      <w:p>
                        <w:pPr>
                          <w:pStyle w:val="TableParagraph"/>
                          <w:rPr>
                            <w:rFonts w:ascii="Times New Roman"/>
                            <w:sz w:val="18"/>
                          </w:rPr>
                        </w:pPr>
                      </w:p>
                    </w:tc>
                    <w:tc>
                      <w:tcPr>
                        <w:tcW w:w="1932" w:type="dxa"/>
                      </w:tcPr>
                      <w:p>
                        <w:pPr>
                          <w:pStyle w:val="TableParagraph"/>
                          <w:rPr>
                            <w:rFonts w:ascii="Times New Roman"/>
                            <w:sz w:val="18"/>
                          </w:rPr>
                        </w:pPr>
                      </w:p>
                    </w:tc>
                    <w:tc>
                      <w:tcPr>
                        <w:tcW w:w="756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30" w:type="dxa"/>
                      </w:tcPr>
                      <w:p>
                        <w:pPr>
                          <w:pStyle w:val="TableParagraph"/>
                          <w:rPr>
                            <w:rFonts w:ascii="Times New Roman"/>
                            <w:sz w:val="20"/>
                          </w:rPr>
                        </w:pPr>
                      </w:p>
                    </w:tc>
                    <w:tc>
                      <w:tcPr>
                        <w:tcW w:w="1932" w:type="dxa"/>
                      </w:tcPr>
                      <w:p>
                        <w:pPr>
                          <w:pStyle w:val="TableParagraph"/>
                          <w:rPr>
                            <w:rFonts w:ascii="Times New Roman"/>
                            <w:sz w:val="20"/>
                          </w:rPr>
                        </w:pPr>
                      </w:p>
                    </w:tc>
                    <w:tc>
                      <w:tcPr>
                        <w:tcW w:w="7567"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2" w:hRule="atLeast"/>
                    </w:trPr>
                    <w:tc>
                      <w:tcPr>
                        <w:tcW w:w="630" w:type="dxa"/>
                      </w:tcPr>
                      <w:p>
                        <w:pPr>
                          <w:pStyle w:val="TableParagraph"/>
                          <w:rPr>
                            <w:rFonts w:ascii="Times New Roman"/>
                            <w:sz w:val="16"/>
                          </w:rPr>
                        </w:pPr>
                      </w:p>
                    </w:tc>
                    <w:tc>
                      <w:tcPr>
                        <w:tcW w:w="1932" w:type="dxa"/>
                      </w:tcPr>
                      <w:p>
                        <w:pPr>
                          <w:pStyle w:val="TableParagraph"/>
                          <w:rPr>
                            <w:rFonts w:ascii="Times New Roman"/>
                            <w:sz w:val="16"/>
                          </w:rPr>
                        </w:pPr>
                      </w:p>
                    </w:tc>
                    <w:tc>
                      <w:tcPr>
                        <w:tcW w:w="7567" w:type="dxa"/>
                      </w:tcPr>
                      <w:p>
                        <w:pPr>
                          <w:pStyle w:val="TableParagraph"/>
                          <w:spacing w:line="222" w:lineRule="exact"/>
                          <w:ind w:left="256"/>
                          <w:rPr>
                            <w:sz w:val="21"/>
                          </w:rPr>
                        </w:pPr>
                        <w:r>
                          <w:rPr>
                            <w:sz w:val="21"/>
                          </w:rPr>
                          <w:t>但我们通过其他途径已经及时知道或者应当及时知道保险事故发生的或者虽未</w:t>
                        </w:r>
                      </w:p>
                    </w:tc>
                  </w:tr>
                </w:tbl>
                <w:p>
                  <w:pPr>
                    <w:pStyle w:val="BodyText"/>
                    <w:spacing w:line="240" w:lineRule="auto"/>
                    <w:ind w:left="0"/>
                  </w:pPr>
                </w:p>
              </w:txbxContent>
            </v:textbox>
            <w10:wrap type="none"/>
          </v:shape>
        </w:pict>
      </w:r>
      <w:r>
        <w:rPr>
          <w:rFonts w:ascii="Microsoft JhengHei" w:eastAsia="Microsoft JhengHei" w:hint="eastAsia"/>
          <w:b/>
          <w:spacing w:val="-4"/>
          <w:sz w:val="21"/>
        </w:rPr>
        <w:t>发生上述情形导致被保险人发生疾病、达到疾病状态或进行手术的，本附加险</w:t>
      </w:r>
      <w:r>
        <w:rPr>
          <w:rFonts w:ascii="Microsoft JhengHei" w:eastAsia="Microsoft JhengHei" w:hint="eastAsia"/>
          <w:b/>
          <w:spacing w:val="-3"/>
          <w:sz w:val="21"/>
        </w:rPr>
        <w:t>合同终止，我们退还本附加险合同的现金价值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12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BodyText"/>
        <w:spacing w:line="240" w:lineRule="auto"/>
        <w:ind w:left="0"/>
        <w:rPr>
          <w:sz w:val="20"/>
        </w:rPr>
      </w:pPr>
    </w:p>
    <w:p>
      <w:pPr>
        <w:pStyle w:val="BodyText"/>
        <w:spacing w:line="240" w:lineRule="auto"/>
        <w:ind w:left="0"/>
        <w:rPr>
          <w:sz w:val="22"/>
        </w:rPr>
      </w:pPr>
      <w:r>
        <w:rPr/>
        <w:pict>
          <v:group style="position:absolute;margin-left:45.599998pt;margin-top:16.402189pt;width:504pt;height:1pt;mso-position-horizontal-relative:page;mso-position-vertical-relative:paragraph;z-index:1216;mso-wrap-distance-left:0;mso-wrap-distance-right:0" coordorigin="912,328" coordsize="10080,20">
            <v:line style="position:absolute" from="912,338" to="1668,338" stroked="true" strokeweight=".96pt" strokecolor="#000000">
              <v:stroke dashstyle="solid"/>
            </v:line>
            <v:rect style="position:absolute;left:1668;top:328;width:20;height:20" filled="true" fillcolor="#000000" stroked="false">
              <v:fill type="solid"/>
            </v:rect>
            <v:line style="position:absolute" from="1687,338" to="3624,338" stroked="true" strokeweight=".96pt" strokecolor="#000000">
              <v:stroke dashstyle="solid"/>
            </v:line>
            <v:rect style="position:absolute;left:3624;top:328;width:20;height:20" filled="true" fillcolor="#000000" stroked="false">
              <v:fill type="solid"/>
            </v:rect>
            <v:line style="position:absolute" from="3643,338" to="10992,338" stroked="true" strokeweight=".96pt" strokecolor="#000000">
              <v:stroke dashstyle="solid"/>
            </v:line>
            <w10:wrap type="topAndBottom"/>
          </v:group>
        </w:pict>
      </w:r>
    </w:p>
    <w:p>
      <w:pPr>
        <w:spacing w:after="0" w:line="240" w:lineRule="auto"/>
        <w:rPr>
          <w:sz w:val="22"/>
        </w:rPr>
        <w:sectPr>
          <w:pgSz w:w="11900" w:h="16840"/>
          <w:pgMar w:header="0" w:footer="457" w:top="1140" w:bottom="640" w:left="800" w:right="740"/>
        </w:sectPr>
      </w:pPr>
    </w:p>
    <w:p>
      <w:pPr>
        <w:pStyle w:val="BodyText"/>
        <w:spacing w:line="232" w:lineRule="exact" w:before="20"/>
        <w:ind w:left="2934"/>
      </w:pPr>
      <w:r>
        <w:rPr/>
        <w:t>及时通知但不影响我们确定保险事故的性质、原因、损失程度除外。 </w:t>
      </w:r>
    </w:p>
    <w:p>
      <w:pPr>
        <w:pStyle w:val="BodyText"/>
        <w:tabs>
          <w:tab w:pos="975" w:val="left" w:leader="none"/>
          <w:tab w:pos="2934" w:val="left" w:leader="none"/>
        </w:tabs>
        <w:spacing w:line="184" w:lineRule="exact"/>
        <w:ind w:left="220"/>
      </w:pPr>
      <w:r>
        <w:rPr>
          <w:w w:val="100"/>
        </w:rPr>
        <w:t> </w:t>
      </w:r>
      <w:r>
        <w:rPr/>
        <w:tab/>
      </w:r>
      <w:r>
        <w:rPr>
          <w:w w:val="100"/>
        </w:rPr>
        <w:t> </w:t>
      </w:r>
      <w:r>
        <w:rPr/>
        <w:tab/>
      </w:r>
      <w:r>
        <w:rPr>
          <w:w w:val="100"/>
        </w:rPr>
        <w:t> </w:t>
      </w:r>
    </w:p>
    <w:p>
      <w:pPr>
        <w:tabs>
          <w:tab w:pos="975" w:val="left" w:leader="none"/>
          <w:tab w:pos="2948" w:val="left" w:leader="none"/>
        </w:tabs>
        <w:spacing w:line="261" w:lineRule="exact" w:before="0"/>
        <w:ind w:left="220"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3</w:t>
        <w:tab/>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r>
        <w:rPr>
          <w:spacing w:val="-3"/>
          <w:sz w:val="21"/>
        </w:rPr>
        <w:t>：</w:t>
      </w:r>
      <w:r>
        <w:rPr>
          <w:sz w:val="21"/>
        </w:rPr>
        <w:t> </w:t>
      </w:r>
    </w:p>
    <w:p>
      <w:pPr>
        <w:pStyle w:val="BodyText"/>
        <w:spacing w:line="219" w:lineRule="exact"/>
        <w:ind w:left="2934"/>
      </w:pPr>
      <w:r>
        <w:rPr>
          <w:w w:val="100"/>
        </w:rPr>
        <w:t> </w:t>
      </w:r>
    </w:p>
    <w:p>
      <w:pPr>
        <w:spacing w:after="0" w:line="219" w:lineRule="exact"/>
        <w:sectPr>
          <w:pgSz w:w="11900" w:h="16840"/>
          <w:pgMar w:header="0" w:footer="457" w:top="1080" w:bottom="640" w:left="800" w:right="800"/>
        </w:sectPr>
      </w:pPr>
    </w:p>
    <w:p>
      <w:pPr>
        <w:pStyle w:val="Heading3"/>
        <w:spacing w:line="206" w:lineRule="exact"/>
        <w:ind w:left="976"/>
      </w:pPr>
      <w:r>
        <w:rPr/>
        <w:t>重大疾病保险金申</w:t>
      </w:r>
    </w:p>
    <w:p>
      <w:pPr>
        <w:spacing w:line="322" w:lineRule="exact" w:before="0"/>
        <w:ind w:left="0" w:right="495" w:firstLine="0"/>
        <w:jc w:val="center"/>
        <w:rPr>
          <w:rFonts w:ascii="Microsoft JhengHei" w:eastAsia="Microsoft JhengHei" w:hint="eastAsia"/>
          <w:b/>
          <w:sz w:val="21"/>
        </w:rPr>
      </w:pPr>
      <w:r>
        <w:rPr>
          <w:rFonts w:ascii="Microsoft JhengHei" w:eastAsia="Microsoft JhengHei" w:hint="eastAsia"/>
          <w:b/>
          <w:w w:val="100"/>
          <w:sz w:val="21"/>
        </w:rPr>
        <w:t>请</w:t>
      </w:r>
    </w:p>
    <w:p>
      <w:pPr>
        <w:pStyle w:val="BodyText"/>
        <w:spacing w:line="243" w:lineRule="exact"/>
        <w:ind w:left="233"/>
      </w:pPr>
      <w:r>
        <w:rPr/>
        <w:br w:type="column"/>
      </w:r>
      <w:r>
        <w:rPr/>
        <w:t>在申请重大疾病保险金时，申请人须填写保险金给付申请书，并提供下列证明</w:t>
      </w:r>
    </w:p>
    <w:p>
      <w:pPr>
        <w:pStyle w:val="BodyText"/>
        <w:ind w:left="233"/>
      </w:pPr>
      <w:r>
        <w:rPr/>
        <w:t>和资料： </w:t>
      </w:r>
    </w:p>
    <w:p>
      <w:pPr>
        <w:pStyle w:val="BodyText"/>
        <w:ind w:left="233"/>
      </w:pPr>
      <w:r>
        <w:rPr/>
        <w:t>（1）保险合同； </w:t>
      </w:r>
    </w:p>
    <w:p>
      <w:pPr>
        <w:pStyle w:val="BodyText"/>
        <w:ind w:left="233"/>
      </w:pPr>
      <w:r>
        <w:rPr/>
        <w:t>（2）申请人的有效身份证件； </w:t>
      </w:r>
    </w:p>
    <w:p>
      <w:pPr>
        <w:pStyle w:val="BodyText"/>
        <w:spacing w:line="237" w:lineRule="auto" w:before="2"/>
        <w:ind w:left="737" w:right="107" w:hanging="504"/>
      </w:pPr>
      <w:r>
        <w:rPr/>
        <w:t>（3）</w:t>
      </w:r>
      <w:r>
        <w:rPr>
          <w:spacing w:val="-3"/>
        </w:rPr>
        <w:t>医疗机构根据本附加险合同释义中“</w:t>
      </w:r>
      <w:r>
        <w:rPr/>
        <w:t>10.4</w:t>
      </w:r>
      <w:r>
        <w:rPr>
          <w:spacing w:val="-9"/>
        </w:rPr>
        <w:t> 重大疾病”定义，出具的被保</w:t>
      </w:r>
      <w:r>
        <w:rPr>
          <w:spacing w:val="-8"/>
        </w:rPr>
        <w:t>险人的病历、必要病理检验、血液检验及其他科学诊断报告或手术证明；</w:t>
      </w:r>
      <w:r>
        <w:rPr/>
        <w:t> </w:t>
      </w:r>
    </w:p>
    <w:p>
      <w:pPr>
        <w:pStyle w:val="BodyText"/>
        <w:spacing w:line="237" w:lineRule="auto" w:before="1"/>
        <w:ind w:left="737" w:right="211" w:hanging="504"/>
      </w:pPr>
      <w:r>
        <w:rPr>
          <w:spacing w:val="-12"/>
        </w:rPr>
        <w:t>（4）</w:t>
      </w:r>
      <w:r>
        <w:rPr>
          <w:spacing w:val="-7"/>
        </w:rPr>
        <w:t>所能够提供的与确认保险事故的性质、原因、伤害程度等有关的其他证明</w:t>
      </w:r>
      <w:r>
        <w:rPr>
          <w:spacing w:val="-2"/>
        </w:rPr>
        <w:t>和资料。</w:t>
      </w:r>
      <w:r>
        <w:rPr/>
        <w:t> </w:t>
      </w:r>
    </w:p>
    <w:p>
      <w:pPr>
        <w:spacing w:after="0" w:line="237" w:lineRule="auto"/>
        <w:sectPr>
          <w:type w:val="continuous"/>
          <w:pgSz w:w="11900" w:h="16840"/>
          <w:pgMar w:top="360" w:bottom="280" w:left="800" w:right="800"/>
          <w:cols w:num="2" w:equalWidth="0">
            <w:col w:w="2661" w:space="40"/>
            <w:col w:w="7599"/>
          </w:cols>
        </w:sectPr>
      </w:pPr>
    </w:p>
    <w:p>
      <w:pPr>
        <w:pStyle w:val="BodyText"/>
        <w:tabs>
          <w:tab w:pos="2934" w:val="left" w:leader="none"/>
        </w:tabs>
        <w:spacing w:line="130" w:lineRule="exact"/>
        <w:ind w:left="220"/>
      </w:pPr>
      <w:r>
        <w:rPr>
          <w:w w:val="100"/>
        </w:rPr>
        <w:t> </w:t>
      </w:r>
      <w:r>
        <w:rPr/>
        <w:tab/>
      </w:r>
      <w:r>
        <w:rPr>
          <w:w w:val="100"/>
        </w:rPr>
        <w:t> </w:t>
      </w:r>
    </w:p>
    <w:p>
      <w:pPr>
        <w:pStyle w:val="BodyText"/>
        <w:tabs>
          <w:tab w:pos="975" w:val="left" w:leader="none"/>
          <w:tab w:pos="2934" w:val="left" w:leader="none"/>
        </w:tabs>
        <w:spacing w:line="303" w:lineRule="exact"/>
        <w:ind w:left="220"/>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34"/>
      </w:pPr>
      <w:r>
        <w:rPr/>
        <w:t>以上证明和资料不完整的，我们将及时一次性通知申请人补充提供有关证明和</w:t>
      </w:r>
    </w:p>
    <w:p>
      <w:pPr>
        <w:pStyle w:val="BodyText"/>
        <w:spacing w:line="273" w:lineRule="exact"/>
        <w:ind w:left="2934"/>
      </w:pPr>
      <w:r>
        <w:rPr/>
        <w:pict>
          <v:shape style="position:absolute;margin-left:45.799999pt;margin-top:12.578583pt;width:503.75pt;height:517.8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948"/>
                    <w:gridCol w:w="7496"/>
                  </w:tblGrid>
                  <w:tr>
                    <w:trPr>
                      <w:trHeight w:val="221" w:hRule="atLeast"/>
                    </w:trPr>
                    <w:tc>
                      <w:tcPr>
                        <w:tcW w:w="630" w:type="dxa"/>
                      </w:tcPr>
                      <w:p>
                        <w:pPr>
                          <w:pStyle w:val="TableParagraph"/>
                          <w:spacing w:line="202" w:lineRule="exact"/>
                          <w:ind w:left="104"/>
                          <w:rPr>
                            <w:sz w:val="21"/>
                          </w:rPr>
                        </w:pPr>
                        <w:r>
                          <w:rPr>
                            <w:w w:val="100"/>
                            <w:sz w:val="21"/>
                          </w:rPr>
                          <w:t> </w:t>
                        </w:r>
                      </w:p>
                    </w:tc>
                    <w:tc>
                      <w:tcPr>
                        <w:tcW w:w="1948" w:type="dxa"/>
                      </w:tcPr>
                      <w:p>
                        <w:pPr>
                          <w:pStyle w:val="TableParagraph"/>
                          <w:spacing w:line="202" w:lineRule="exact"/>
                          <w:ind w:left="230"/>
                          <w:rPr>
                            <w:sz w:val="21"/>
                          </w:rPr>
                        </w:pPr>
                        <w:r>
                          <w:rPr>
                            <w:w w:val="100"/>
                            <w:sz w:val="21"/>
                          </w:rPr>
                          <w:t> </w:t>
                        </w:r>
                      </w:p>
                    </w:tc>
                    <w:tc>
                      <w:tcPr>
                        <w:tcW w:w="7496" w:type="dxa"/>
                      </w:tcPr>
                      <w:p>
                        <w:pPr>
                          <w:pStyle w:val="TableParagraph"/>
                          <w:spacing w:line="202" w:lineRule="exact"/>
                          <w:ind w:left="240"/>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3. 4</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496" w:type="dxa"/>
                      </w:tcPr>
                      <w:p>
                        <w:pPr>
                          <w:pStyle w:val="TableParagraph"/>
                          <w:spacing w:line="231" w:lineRule="exact"/>
                          <w:ind w:left="240"/>
                          <w:rPr>
                            <w:sz w:val="21"/>
                          </w:rPr>
                        </w:pPr>
                        <w:r>
                          <w:rPr>
                            <w:sz w:val="21"/>
                          </w:rPr>
                          <w:t>我们在收到保险金给付申请书及本附加险合同约定的证明和资料后，将在 5 日</w:t>
                        </w:r>
                      </w:p>
                    </w:tc>
                  </w:tr>
                  <w:tr>
                    <w:trPr>
                      <w:trHeight w:val="264"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5" w:lineRule="exact"/>
                          <w:ind w:left="240"/>
                          <w:rPr>
                            <w:sz w:val="21"/>
                          </w:rPr>
                        </w:pPr>
                        <w:r>
                          <w:rPr>
                            <w:spacing w:val="-10"/>
                            <w:sz w:val="21"/>
                          </w:rPr>
                          <w:t>内作出核定；情形复杂的，在 </w:t>
                        </w:r>
                        <w:r>
                          <w:rPr>
                            <w:sz w:val="21"/>
                          </w:rPr>
                          <w:t>30</w:t>
                        </w:r>
                        <w:r>
                          <w:rPr>
                            <w:spacing w:val="-10"/>
                            <w:sz w:val="21"/>
                          </w:rPr>
                          <w:t> 日内作出核定。对属于保险责任的，我们在与</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受益人达成给付保险金的协议后 10 日内，履行给付保险金义务。 </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我们未及时履行前款规定义务的，除支付保险金外，应当赔偿受益人因此受到</w:t>
                        </w:r>
                      </w:p>
                    </w:tc>
                  </w:tr>
                  <w:tr>
                    <w:trPr>
                      <w:trHeight w:val="267"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1" w:lineRule="exact"/>
                          <w:ind w:left="240"/>
                          <w:rPr>
                            <w:sz w:val="21"/>
                          </w:rPr>
                        </w:pPr>
                        <w:r>
                          <w:rPr>
                            <w:sz w:val="21"/>
                          </w:rPr>
                          <w:t>的损失。 </w:t>
                        </w:r>
                      </w:p>
                    </w:tc>
                  </w:tr>
                  <w:tr>
                    <w:trPr>
                      <w:trHeight w:val="284"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65" w:lineRule="exact"/>
                          <w:ind w:left="240"/>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5" w:lineRule="exact"/>
                          <w:ind w:left="240"/>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41"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1" w:lineRule="exact"/>
                          <w:ind w:left="240"/>
                          <w:rPr>
                            <w:sz w:val="21"/>
                          </w:rPr>
                        </w:pPr>
                        <w:r>
                          <w:rPr>
                            <w:sz w:val="21"/>
                          </w:rPr>
                          <w:t>的数额不能确定的，根据已有证明和资料可以确定的数额先予支付；我们最终</w:t>
                        </w:r>
                      </w:p>
                    </w:tc>
                  </w:tr>
                  <w:tr>
                    <w:trPr>
                      <w:trHeight w:val="261"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2" w:lineRule="exact"/>
                          <w:ind w:left="240"/>
                          <w:rPr>
                            <w:sz w:val="21"/>
                          </w:rPr>
                        </w:pPr>
                        <w:r>
                          <w:rPr>
                            <w:sz w:val="21"/>
                          </w:rPr>
                          <w:t>确定给付保险金的数额后，将支付相应的差额。 </w:t>
                        </w:r>
                      </w:p>
                    </w:tc>
                  </w:tr>
                  <w:tr>
                    <w:trPr>
                      <w:trHeight w:val="211" w:hRule="atLeast"/>
                    </w:trPr>
                    <w:tc>
                      <w:tcPr>
                        <w:tcW w:w="630" w:type="dxa"/>
                      </w:tcPr>
                      <w:p>
                        <w:pPr>
                          <w:pStyle w:val="TableParagraph"/>
                          <w:spacing w:line="203" w:lineRule="exact"/>
                          <w:ind w:left="104"/>
                          <w:rPr>
                            <w:sz w:val="21"/>
                          </w:rPr>
                        </w:pPr>
                        <w:r>
                          <w:rPr>
                            <w:w w:val="100"/>
                            <w:sz w:val="21"/>
                          </w:rPr>
                          <w:t> </w:t>
                        </w:r>
                      </w:p>
                    </w:tc>
                    <w:tc>
                      <w:tcPr>
                        <w:tcW w:w="1948" w:type="dxa"/>
                      </w:tcPr>
                      <w:p>
                        <w:pPr>
                          <w:pStyle w:val="TableParagraph"/>
                          <w:spacing w:line="203" w:lineRule="exact"/>
                          <w:ind w:left="230"/>
                          <w:rPr>
                            <w:sz w:val="21"/>
                          </w:rPr>
                        </w:pPr>
                        <w:r>
                          <w:rPr>
                            <w:w w:val="100"/>
                            <w:sz w:val="21"/>
                          </w:rPr>
                          <w:t> </w:t>
                        </w:r>
                      </w:p>
                    </w:tc>
                    <w:tc>
                      <w:tcPr>
                        <w:tcW w:w="7496" w:type="dxa"/>
                      </w:tcPr>
                      <w:p>
                        <w:pPr>
                          <w:pStyle w:val="TableParagraph"/>
                          <w:spacing w:line="203" w:lineRule="exact"/>
                          <w:ind w:left="240"/>
                          <w:rPr>
                            <w:sz w:val="21"/>
                          </w:rPr>
                        </w:pPr>
                        <w:r>
                          <w:rPr>
                            <w:w w:val="100"/>
                            <w:sz w:val="21"/>
                          </w:rPr>
                          <w:t> </w:t>
                        </w:r>
                      </w:p>
                    </w:tc>
                  </w:tr>
                  <w:tr>
                    <w:trPr>
                      <w:trHeight w:val="247" w:hRule="atLeast"/>
                    </w:trPr>
                    <w:tc>
                      <w:tcPr>
                        <w:tcW w:w="630" w:type="dxa"/>
                      </w:tcPr>
                      <w:p>
                        <w:pPr>
                          <w:pStyle w:val="TableParagraph"/>
                          <w:spacing w:line="228" w:lineRule="exact"/>
                          <w:ind w:left="104"/>
                          <w:rPr>
                            <w:rFonts w:ascii="Microsoft JhengHei"/>
                            <w:b/>
                            <w:sz w:val="21"/>
                          </w:rPr>
                        </w:pPr>
                        <w:r>
                          <w:rPr>
                            <w:rFonts w:ascii="Microsoft JhengHei"/>
                            <w:b/>
                            <w:w w:val="90"/>
                            <w:sz w:val="21"/>
                          </w:rPr>
                          <w:t>3. 5</w:t>
                        </w:r>
                      </w:p>
                    </w:tc>
                    <w:tc>
                      <w:tcPr>
                        <w:tcW w:w="1948"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496" w:type="dxa"/>
                      </w:tcPr>
                      <w:p>
                        <w:pPr>
                          <w:pStyle w:val="TableParagraph"/>
                          <w:spacing w:line="228" w:lineRule="exact"/>
                          <w:ind w:left="240"/>
                          <w:rPr>
                            <w:sz w:val="21"/>
                          </w:rPr>
                        </w:pPr>
                        <w:r>
                          <w:rPr>
                            <w:sz w:val="21"/>
                          </w:rPr>
                          <w:t>受益人向我们请求给付保险金的诉讼时效期间为 2 年，自其知道或者应当知道</w:t>
                        </w:r>
                      </w:p>
                    </w:tc>
                  </w:tr>
                  <w:tr>
                    <w:trPr>
                      <w:trHeight w:val="245"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5" w:lineRule="exact"/>
                          <w:ind w:left="240"/>
                          <w:rPr>
                            <w:sz w:val="21"/>
                          </w:rPr>
                        </w:pPr>
                        <w:r>
                          <w:rPr>
                            <w:sz w:val="21"/>
                          </w:rPr>
                          <w:t>保险事故发生之日起计算。</w:t>
                        </w:r>
                      </w:p>
                    </w:tc>
                  </w:tr>
                  <w:tr>
                    <w:trPr>
                      <w:trHeight w:val="190" w:hRule="atLeast"/>
                    </w:trPr>
                    <w:tc>
                      <w:tcPr>
                        <w:tcW w:w="630" w:type="dxa"/>
                      </w:tcPr>
                      <w:p>
                        <w:pPr>
                          <w:pStyle w:val="TableParagraph"/>
                          <w:spacing w:line="181" w:lineRule="exact"/>
                          <w:ind w:left="104"/>
                          <w:rPr>
                            <w:sz w:val="21"/>
                          </w:rPr>
                        </w:pPr>
                        <w:r>
                          <w:rPr>
                            <w:w w:val="100"/>
                            <w:sz w:val="21"/>
                          </w:rPr>
                          <w:t> </w:t>
                        </w:r>
                      </w:p>
                    </w:tc>
                    <w:tc>
                      <w:tcPr>
                        <w:tcW w:w="1948" w:type="dxa"/>
                      </w:tcPr>
                      <w:p>
                        <w:pPr>
                          <w:pStyle w:val="TableParagraph"/>
                          <w:spacing w:line="181" w:lineRule="exact"/>
                          <w:ind w:left="230"/>
                          <w:rPr>
                            <w:sz w:val="21"/>
                          </w:rPr>
                        </w:pPr>
                        <w:r>
                          <w:rPr>
                            <w:w w:val="100"/>
                            <w:sz w:val="21"/>
                          </w:rPr>
                          <w:t> </w:t>
                        </w:r>
                      </w:p>
                    </w:tc>
                    <w:tc>
                      <w:tcPr>
                        <w:tcW w:w="7496" w:type="dxa"/>
                      </w:tcPr>
                      <w:p>
                        <w:pPr>
                          <w:pStyle w:val="TableParagraph"/>
                          <w:spacing w:line="181" w:lineRule="exact"/>
                          <w:ind w:left="240"/>
                          <w:rPr>
                            <w:sz w:val="21"/>
                          </w:rPr>
                        </w:pPr>
                        <w:r>
                          <w:rPr>
                            <w:w w:val="100"/>
                            <w:sz w:val="21"/>
                          </w:rPr>
                          <w:t> </w:t>
                        </w:r>
                      </w:p>
                    </w:tc>
                  </w:tr>
                  <w:tr>
                    <w:trPr>
                      <w:trHeight w:val="416" w:hRule="atLeast"/>
                    </w:trPr>
                    <w:tc>
                      <w:tcPr>
                        <w:tcW w:w="630" w:type="dxa"/>
                      </w:tcPr>
                      <w:p>
                        <w:pPr>
                          <w:pStyle w:val="TableParagraph"/>
                          <w:spacing w:line="396" w:lineRule="exact"/>
                          <w:ind w:left="107"/>
                          <w:rPr>
                            <w:rFonts w:ascii="Times New Roman"/>
                            <w:b/>
                            <w:sz w:val="40"/>
                          </w:rPr>
                        </w:pPr>
                        <w:r>
                          <w:rPr>
                            <w:rFonts w:ascii="Times New Roman"/>
                            <w:b/>
                            <w:w w:val="100"/>
                            <w:sz w:val="40"/>
                          </w:rPr>
                          <w:t>x</w:t>
                        </w:r>
                      </w:p>
                    </w:tc>
                    <w:tc>
                      <w:tcPr>
                        <w:tcW w:w="1948" w:type="dxa"/>
                      </w:tcPr>
                      <w:p>
                        <w:pPr>
                          <w:pStyle w:val="TableParagraph"/>
                          <w:spacing w:line="368"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496" w:type="dxa"/>
                      </w:tcPr>
                      <w:p>
                        <w:pPr>
                          <w:pStyle w:val="TableParagraph"/>
                          <w:rPr>
                            <w:rFonts w:ascii="Times New Roman"/>
                            <w:sz w:val="20"/>
                          </w:rPr>
                        </w:pPr>
                      </w:p>
                    </w:tc>
                  </w:tr>
                  <w:tr>
                    <w:trPr>
                      <w:trHeight w:val="205" w:hRule="atLeast"/>
                    </w:trPr>
                    <w:tc>
                      <w:tcPr>
                        <w:tcW w:w="630" w:type="dxa"/>
                      </w:tcPr>
                      <w:p>
                        <w:pPr>
                          <w:pStyle w:val="TableParagraph"/>
                          <w:spacing w:line="185" w:lineRule="exact"/>
                          <w:ind w:left="104"/>
                          <w:rPr>
                            <w:sz w:val="21"/>
                          </w:rPr>
                        </w:pPr>
                        <w:r>
                          <w:rPr>
                            <w:w w:val="100"/>
                            <w:sz w:val="21"/>
                          </w:rPr>
                          <w:t> </w:t>
                        </w:r>
                      </w:p>
                    </w:tc>
                    <w:tc>
                      <w:tcPr>
                        <w:tcW w:w="1948" w:type="dxa"/>
                      </w:tcPr>
                      <w:p>
                        <w:pPr>
                          <w:pStyle w:val="TableParagraph"/>
                          <w:spacing w:line="185" w:lineRule="exact"/>
                          <w:ind w:left="230"/>
                          <w:rPr>
                            <w:sz w:val="21"/>
                          </w:rPr>
                        </w:pPr>
                        <w:r>
                          <w:rPr>
                            <w:w w:val="100"/>
                            <w:sz w:val="21"/>
                          </w:rPr>
                          <w:t> </w:t>
                        </w:r>
                      </w:p>
                    </w:tc>
                    <w:tc>
                      <w:tcPr>
                        <w:tcW w:w="7496" w:type="dxa"/>
                      </w:tcPr>
                      <w:p>
                        <w:pPr>
                          <w:pStyle w:val="TableParagraph"/>
                          <w:spacing w:line="185" w:lineRule="exact"/>
                          <w:ind w:left="240"/>
                          <w:rPr>
                            <w:sz w:val="21"/>
                          </w:rPr>
                        </w:pPr>
                        <w:r>
                          <w:rPr>
                            <w:w w:val="100"/>
                            <w:sz w:val="21"/>
                          </w:rPr>
                          <w:t> </w:t>
                        </w:r>
                      </w:p>
                    </w:tc>
                  </w:tr>
                  <w:tr>
                    <w:trPr>
                      <w:trHeight w:val="271" w:hRule="atLeast"/>
                    </w:trPr>
                    <w:tc>
                      <w:tcPr>
                        <w:tcW w:w="630" w:type="dxa"/>
                      </w:tcPr>
                      <w:p>
                        <w:pPr>
                          <w:pStyle w:val="TableParagraph"/>
                          <w:spacing w:line="252" w:lineRule="exact"/>
                          <w:ind w:left="104"/>
                          <w:rPr>
                            <w:rFonts w:ascii="Microsoft JhengHei"/>
                            <w:b/>
                            <w:sz w:val="21"/>
                          </w:rPr>
                        </w:pPr>
                        <w:r>
                          <w:rPr>
                            <w:rFonts w:ascii="Microsoft JhengHei"/>
                            <w:b/>
                            <w:w w:val="90"/>
                            <w:sz w:val="21"/>
                          </w:rPr>
                          <w:t>4. 1</w:t>
                        </w:r>
                      </w:p>
                    </w:tc>
                    <w:tc>
                      <w:tcPr>
                        <w:tcW w:w="1948"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496" w:type="dxa"/>
                      </w:tcPr>
                      <w:p>
                        <w:pPr>
                          <w:pStyle w:val="TableParagraph"/>
                          <w:spacing w:line="233" w:lineRule="exact"/>
                          <w:ind w:left="240"/>
                          <w:rPr>
                            <w:sz w:val="21"/>
                          </w:rPr>
                        </w:pPr>
                        <w:r>
                          <w:rPr>
                            <w:sz w:val="21"/>
                          </w:rPr>
                          <w:t>本附加险合同的交费方式和交费期间由您和我们约定并在保险单上载明。 </w:t>
                        </w:r>
                      </w:p>
                    </w:tc>
                  </w:tr>
                  <w:tr>
                    <w:trPr>
                      <w:trHeight w:val="264"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5" w:lineRule="exact"/>
                          <w:ind w:left="240"/>
                          <w:rPr>
                            <w:sz w:val="21"/>
                          </w:rPr>
                        </w:pPr>
                        <w:r>
                          <w:rPr>
                            <w:sz w:val="21"/>
                          </w:rPr>
                          <w:t>分期支付保险费的，在支付首期保险费后，您应当按照约定，在保险费约定支</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付日支付其余各期的保险费。 </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41"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1" w:lineRule="exact"/>
                          <w:ind w:left="240"/>
                          <w:rPr>
                            <w:sz w:val="21"/>
                          </w:rPr>
                        </w:pPr>
                        <w:r>
                          <w:rPr>
                            <w:sz w:val="21"/>
                          </w:rPr>
                          <w:t>知您。保险费率的调整针对所有被保险人或同一投保年龄的所有被保险人。我</w:t>
                        </w:r>
                      </w:p>
                    </w:tc>
                  </w:tr>
                  <w:tr>
                    <w:trPr>
                      <w:trHeight w:val="260"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0" w:lineRule="exact"/>
                          <w:ind w:left="240"/>
                          <w:rPr>
                            <w:sz w:val="21"/>
                          </w:rPr>
                        </w:pPr>
                        <w:r>
                          <w:rPr>
                            <w:sz w:val="21"/>
                          </w:rPr>
                          <w:t>们进行保险费率调整后，请您按调整后的保险费交付以后各期保险费。 </w:t>
                        </w:r>
                      </w:p>
                    </w:tc>
                  </w:tr>
                  <w:tr>
                    <w:trPr>
                      <w:trHeight w:val="212" w:hRule="atLeast"/>
                    </w:trPr>
                    <w:tc>
                      <w:tcPr>
                        <w:tcW w:w="630" w:type="dxa"/>
                      </w:tcPr>
                      <w:p>
                        <w:pPr>
                          <w:pStyle w:val="TableParagraph"/>
                          <w:spacing w:line="203" w:lineRule="exact"/>
                          <w:ind w:left="104"/>
                          <w:rPr>
                            <w:sz w:val="21"/>
                          </w:rPr>
                        </w:pPr>
                        <w:r>
                          <w:rPr>
                            <w:w w:val="100"/>
                            <w:sz w:val="21"/>
                          </w:rPr>
                          <w:t> </w:t>
                        </w:r>
                      </w:p>
                    </w:tc>
                    <w:tc>
                      <w:tcPr>
                        <w:tcW w:w="1948" w:type="dxa"/>
                      </w:tcPr>
                      <w:p>
                        <w:pPr>
                          <w:pStyle w:val="TableParagraph"/>
                          <w:spacing w:line="203" w:lineRule="exact"/>
                          <w:ind w:left="230"/>
                          <w:rPr>
                            <w:sz w:val="21"/>
                          </w:rPr>
                        </w:pPr>
                        <w:r>
                          <w:rPr>
                            <w:w w:val="100"/>
                            <w:sz w:val="21"/>
                          </w:rPr>
                          <w:t> </w:t>
                        </w:r>
                      </w:p>
                    </w:tc>
                    <w:tc>
                      <w:tcPr>
                        <w:tcW w:w="7496" w:type="dxa"/>
                      </w:tcPr>
                      <w:p>
                        <w:pPr>
                          <w:pStyle w:val="TableParagraph"/>
                          <w:spacing w:line="203" w:lineRule="exact"/>
                          <w:ind w:left="240"/>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4. 2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宽限期</w:t>
                        </w:r>
                      </w:p>
                    </w:tc>
                    <w:tc>
                      <w:tcPr>
                        <w:tcW w:w="7496" w:type="dxa"/>
                      </w:tcPr>
                      <w:p>
                        <w:pPr>
                          <w:pStyle w:val="TableParagraph"/>
                          <w:spacing w:line="233" w:lineRule="exact"/>
                          <w:ind w:left="240"/>
                          <w:rPr>
                            <w:sz w:val="21"/>
                          </w:rPr>
                        </w:pPr>
                        <w:r>
                          <w:rPr>
                            <w:sz w:val="21"/>
                          </w:rPr>
                          <w:t>分期支付保险费的，您支付首期保险费后，除本附加险合同另有约定外，如果</w:t>
                        </w:r>
                      </w:p>
                    </w:tc>
                  </w:tr>
                  <w:tr>
                    <w:trPr>
                      <w:trHeight w:val="264"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4" w:lineRule="exact"/>
                          <w:ind w:left="240"/>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期内发生的保险事故，我们仍会承担保险责任，但在给付保险金时会扣减您欠</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交的保险费。 </w:t>
                        </w:r>
                      </w:p>
                    </w:tc>
                  </w:tr>
                  <w:tr>
                    <w:trPr>
                      <w:trHeight w:val="242"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2"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259"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9" w:lineRule="exact"/>
                          <w:ind w:left="240"/>
                          <w:rPr>
                            <w:rFonts w:ascii="Microsoft JhengHei" w:eastAsia="Microsoft JhengHei" w:hint="eastAsia"/>
                            <w:b/>
                            <w:sz w:val="21"/>
                          </w:rPr>
                        </w:pPr>
                        <w:r>
                          <w:rPr>
                            <w:rFonts w:ascii="Microsoft JhengHei" w:eastAsia="Microsoft JhengHei" w:hint="eastAsia"/>
                            <w:b/>
                            <w:sz w:val="21"/>
                          </w:rPr>
                          <w:t>时起效力中止。</w:t>
                        </w:r>
                      </w:p>
                    </w:tc>
                  </w:tr>
                  <w:tr>
                    <w:trPr>
                      <w:trHeight w:val="190" w:hRule="atLeast"/>
                    </w:trPr>
                    <w:tc>
                      <w:tcPr>
                        <w:tcW w:w="630" w:type="dxa"/>
                      </w:tcPr>
                      <w:p>
                        <w:pPr>
                          <w:pStyle w:val="TableParagraph"/>
                          <w:spacing w:line="183" w:lineRule="exact"/>
                          <w:ind w:left="104"/>
                          <w:rPr>
                            <w:sz w:val="21"/>
                          </w:rPr>
                        </w:pPr>
                        <w:r>
                          <w:rPr>
                            <w:w w:val="100"/>
                            <w:sz w:val="21"/>
                          </w:rPr>
                          <w:t> </w:t>
                        </w:r>
                      </w:p>
                    </w:tc>
                    <w:tc>
                      <w:tcPr>
                        <w:tcW w:w="1948" w:type="dxa"/>
                      </w:tcPr>
                      <w:p>
                        <w:pPr>
                          <w:pStyle w:val="TableParagraph"/>
                          <w:spacing w:line="183" w:lineRule="exact"/>
                          <w:ind w:left="230"/>
                          <w:rPr>
                            <w:sz w:val="21"/>
                          </w:rPr>
                        </w:pPr>
                        <w:r>
                          <w:rPr>
                            <w:w w:val="100"/>
                            <w:sz w:val="21"/>
                          </w:rPr>
                          <w:t> </w:t>
                        </w:r>
                      </w:p>
                    </w:tc>
                    <w:tc>
                      <w:tcPr>
                        <w:tcW w:w="7496" w:type="dxa"/>
                      </w:tcPr>
                      <w:p>
                        <w:pPr>
                          <w:pStyle w:val="TableParagraph"/>
                          <w:spacing w:line="183" w:lineRule="exact"/>
                          <w:ind w:left="240"/>
                          <w:rPr>
                            <w:sz w:val="21"/>
                          </w:rPr>
                        </w:pPr>
                        <w:r>
                          <w:rPr>
                            <w:w w:val="100"/>
                            <w:sz w:val="21"/>
                          </w:rPr>
                          <w:t> </w:t>
                        </w:r>
                      </w:p>
                    </w:tc>
                  </w:tr>
                  <w:tr>
                    <w:trPr>
                      <w:trHeight w:val="417" w:hRule="atLeast"/>
                    </w:trPr>
                    <w:tc>
                      <w:tcPr>
                        <w:tcW w:w="630" w:type="dxa"/>
                      </w:tcPr>
                      <w:p>
                        <w:pPr>
                          <w:pStyle w:val="TableParagraph"/>
                          <w:spacing w:line="398" w:lineRule="exact"/>
                          <w:ind w:left="107"/>
                          <w:rPr>
                            <w:rFonts w:ascii="Times New Roman"/>
                            <w:b/>
                            <w:sz w:val="40"/>
                          </w:rPr>
                        </w:pPr>
                        <w:r>
                          <w:rPr>
                            <w:rFonts w:ascii="Times New Roman"/>
                            <w:b/>
                            <w:w w:val="100"/>
                            <w:sz w:val="40"/>
                          </w:rPr>
                          <w:t>y</w:t>
                        </w:r>
                      </w:p>
                    </w:tc>
                    <w:tc>
                      <w:tcPr>
                        <w:tcW w:w="1948"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496" w:type="dxa"/>
                      </w:tcPr>
                      <w:p>
                        <w:pPr>
                          <w:pStyle w:val="TableParagraph"/>
                          <w:rPr>
                            <w:rFonts w:ascii="Times New Roman"/>
                            <w:sz w:val="20"/>
                          </w:rPr>
                        </w:pPr>
                      </w:p>
                    </w:tc>
                  </w:tr>
                  <w:tr>
                    <w:trPr>
                      <w:trHeight w:val="205" w:hRule="atLeast"/>
                    </w:trPr>
                    <w:tc>
                      <w:tcPr>
                        <w:tcW w:w="630" w:type="dxa"/>
                      </w:tcPr>
                      <w:p>
                        <w:pPr>
                          <w:pStyle w:val="TableParagraph"/>
                          <w:spacing w:line="185" w:lineRule="exact"/>
                          <w:ind w:left="104"/>
                          <w:rPr>
                            <w:sz w:val="21"/>
                          </w:rPr>
                        </w:pPr>
                        <w:r>
                          <w:rPr>
                            <w:w w:val="100"/>
                            <w:sz w:val="21"/>
                          </w:rPr>
                          <w:t> </w:t>
                        </w:r>
                      </w:p>
                    </w:tc>
                    <w:tc>
                      <w:tcPr>
                        <w:tcW w:w="1948" w:type="dxa"/>
                      </w:tcPr>
                      <w:p>
                        <w:pPr>
                          <w:pStyle w:val="TableParagraph"/>
                          <w:spacing w:line="185" w:lineRule="exact"/>
                          <w:ind w:left="230"/>
                          <w:rPr>
                            <w:sz w:val="21"/>
                          </w:rPr>
                        </w:pPr>
                        <w:r>
                          <w:rPr>
                            <w:w w:val="100"/>
                            <w:sz w:val="21"/>
                          </w:rPr>
                          <w:t> </w:t>
                        </w:r>
                      </w:p>
                    </w:tc>
                    <w:tc>
                      <w:tcPr>
                        <w:tcW w:w="7496" w:type="dxa"/>
                      </w:tcPr>
                      <w:p>
                        <w:pPr>
                          <w:pStyle w:val="TableParagraph"/>
                          <w:spacing w:line="185" w:lineRule="exact"/>
                          <w:ind w:left="240"/>
                          <w:rPr>
                            <w:sz w:val="21"/>
                          </w:rPr>
                        </w:pPr>
                        <w:r>
                          <w:rPr>
                            <w:w w:val="100"/>
                            <w:sz w:val="21"/>
                          </w:rPr>
                          <w:t> </w:t>
                        </w:r>
                      </w:p>
                    </w:tc>
                  </w:tr>
                  <w:tr>
                    <w:trPr>
                      <w:trHeight w:val="247" w:hRule="atLeast"/>
                    </w:trPr>
                    <w:tc>
                      <w:tcPr>
                        <w:tcW w:w="630" w:type="dxa"/>
                      </w:tcPr>
                      <w:p>
                        <w:pPr>
                          <w:pStyle w:val="TableParagraph"/>
                          <w:spacing w:line="228" w:lineRule="exact"/>
                          <w:ind w:left="104"/>
                          <w:rPr>
                            <w:rFonts w:ascii="Microsoft JhengHei"/>
                            <w:b/>
                            <w:sz w:val="21"/>
                          </w:rPr>
                        </w:pPr>
                        <w:r>
                          <w:rPr>
                            <w:rFonts w:ascii="Microsoft JhengHei"/>
                            <w:b/>
                            <w:w w:val="90"/>
                            <w:sz w:val="21"/>
                          </w:rPr>
                          <w:t>5. 1</w:t>
                        </w:r>
                      </w:p>
                    </w:tc>
                    <w:tc>
                      <w:tcPr>
                        <w:tcW w:w="1948"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496" w:type="dxa"/>
                      </w:tcPr>
                      <w:p>
                        <w:pPr>
                          <w:pStyle w:val="TableParagraph"/>
                          <w:spacing w:line="228" w:lineRule="exact"/>
                          <w:ind w:left="240"/>
                          <w:rPr>
                            <w:sz w:val="21"/>
                          </w:rPr>
                        </w:pPr>
                        <w:r>
                          <w:rPr>
                            <w:sz w:val="21"/>
                          </w:rPr>
                          <w:t>本附加险合同保单年度末的现金价值会在保险单上载明。保单年度内的现金价</w:t>
                        </w:r>
                      </w:p>
                    </w:tc>
                  </w:tr>
                  <w:tr>
                    <w:trPr>
                      <w:trHeight w:val="245"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5" w:lineRule="exact"/>
                          <w:ind w:left="240"/>
                          <w:rPr>
                            <w:sz w:val="21"/>
                          </w:rPr>
                        </w:pPr>
                        <w:r>
                          <w:rPr>
                            <w:sz w:val="21"/>
                          </w:rPr>
                          <w:t>值，您可以向我们咨询。 </w:t>
                        </w:r>
                      </w:p>
                    </w:tc>
                  </w:tr>
                  <w:tr>
                    <w:trPr>
                      <w:trHeight w:val="211" w:hRule="atLeast"/>
                    </w:trPr>
                    <w:tc>
                      <w:tcPr>
                        <w:tcW w:w="630" w:type="dxa"/>
                      </w:tcPr>
                      <w:p>
                        <w:pPr>
                          <w:pStyle w:val="TableParagraph"/>
                          <w:spacing w:line="202" w:lineRule="exact"/>
                          <w:ind w:left="104"/>
                          <w:rPr>
                            <w:sz w:val="21"/>
                          </w:rPr>
                        </w:pPr>
                        <w:r>
                          <w:rPr>
                            <w:w w:val="100"/>
                            <w:sz w:val="21"/>
                          </w:rPr>
                          <w:t> </w:t>
                        </w:r>
                      </w:p>
                    </w:tc>
                    <w:tc>
                      <w:tcPr>
                        <w:tcW w:w="1948" w:type="dxa"/>
                      </w:tcPr>
                      <w:p>
                        <w:pPr>
                          <w:pStyle w:val="TableParagraph"/>
                          <w:spacing w:line="202" w:lineRule="exact"/>
                          <w:ind w:left="230"/>
                          <w:rPr>
                            <w:sz w:val="21"/>
                          </w:rPr>
                        </w:pPr>
                        <w:r>
                          <w:rPr>
                            <w:w w:val="100"/>
                            <w:sz w:val="21"/>
                          </w:rPr>
                          <w:t> </w:t>
                        </w:r>
                      </w:p>
                    </w:tc>
                    <w:tc>
                      <w:tcPr>
                        <w:tcW w:w="7496" w:type="dxa"/>
                      </w:tcPr>
                      <w:p>
                        <w:pPr>
                          <w:pStyle w:val="TableParagraph"/>
                          <w:spacing w:line="202" w:lineRule="exact"/>
                          <w:ind w:left="240"/>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5. 2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496" w:type="dxa"/>
                      </w:tcPr>
                      <w:p>
                        <w:pPr>
                          <w:pStyle w:val="TableParagraph"/>
                          <w:spacing w:line="231" w:lineRule="exact"/>
                          <w:ind w:left="240"/>
                          <w:rPr>
                            <w:sz w:val="21"/>
                          </w:rPr>
                        </w:pPr>
                        <w:r>
                          <w:rPr>
                            <w:sz w:val="21"/>
                          </w:rPr>
                          <w:t>您可选择使用现金价值的保险费自动垫交功能。 </w:t>
                        </w:r>
                      </w:p>
                    </w:tc>
                  </w:tr>
                  <w:tr>
                    <w:trPr>
                      <w:trHeight w:val="264"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5" w:lineRule="exact"/>
                          <w:ind w:left="240"/>
                          <w:rPr>
                            <w:sz w:val="21"/>
                          </w:rPr>
                        </w:pPr>
                        <w:r>
                          <w:rPr>
                            <w:sz w:val="21"/>
                          </w:rPr>
                          <w:t>如果您在宽限期结束时仍未支付保险费，我们将以本附加险合同的现金价值扣</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除“9.2 未还款项”中规定的欠款之后的余额自动垫交到期应交的保险费，本</w:t>
                        </w:r>
                      </w:p>
                    </w:tc>
                  </w:tr>
                  <w:tr>
                    <w:trPr>
                      <w:trHeight w:val="242"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2" w:lineRule="exact"/>
                          <w:ind w:left="240"/>
                          <w:rPr>
                            <w:sz w:val="21"/>
                          </w:rPr>
                        </w:pPr>
                        <w:r>
                          <w:rPr>
                            <w:sz w:val="21"/>
                          </w:rPr>
                          <w:t>附加险合同继续有效。当现金价值的余额不足以垫交到期应交的保险费时，我</w:t>
                        </w:r>
                      </w:p>
                    </w:tc>
                  </w:tr>
                </w:tbl>
                <w:p>
                  <w:pPr>
                    <w:pStyle w:val="BodyText"/>
                    <w:spacing w:line="240" w:lineRule="auto"/>
                    <w:ind w:left="0"/>
                  </w:pPr>
                </w:p>
              </w:txbxContent>
            </v:textbox>
            <w10:wrap type="none"/>
          </v:shape>
        </w:pict>
      </w:r>
      <w:r>
        <w:rPr/>
        <w:t>资料。</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18"/>
        </w:rPr>
      </w:pPr>
      <w:r>
        <w:rPr/>
        <w:pict>
          <v:group style="position:absolute;margin-left:45.599998pt;margin-top:13.794404pt;width:504pt;height:1pt;mso-position-horizontal-relative:page;mso-position-vertical-relative:paragraph;z-index:1264;mso-wrap-distance-left:0;mso-wrap-distance-right:0" coordorigin="912,276" coordsize="10080,20">
            <v:line style="position:absolute" from="912,285" to="1668,285" stroked="true" strokeweight=".96pt" strokecolor="#000000">
              <v:stroke dashstyle="solid"/>
            </v:line>
            <v:rect style="position:absolute;left:1668;top:275;width:20;height:20" filled="true" fillcolor="#000000" stroked="false">
              <v:fill type="solid"/>
            </v:rect>
            <v:line style="position:absolute" from="1687,285" to="3624,285" stroked="true" strokeweight=".96pt" strokecolor="#000000">
              <v:stroke dashstyle="solid"/>
            </v:line>
            <v:rect style="position:absolute;left:3624;top:275;width:20;height:20" filled="true" fillcolor="#000000" stroked="false">
              <v:fill type="solid"/>
            </v:rect>
            <v:line style="position:absolute" from="3643,285" to="10992,285" stroked="true" strokeweight=".96pt" strokecolor="#000000">
              <v:stroke dashstyle="solid"/>
            </v:line>
            <w10:wrap type="topAndBottom"/>
          </v:group>
        </w:pic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6"/>
        <w:ind w:left="0"/>
        <w:rPr>
          <w:sz w:val="13"/>
        </w:rPr>
      </w:pPr>
      <w:r>
        <w:rPr/>
        <w:pict>
          <v:group style="position:absolute;margin-left:45.599998pt;margin-top:10.800938pt;width:504pt;height:1pt;mso-position-horizontal-relative:page;mso-position-vertical-relative:paragraph;z-index:1288;mso-wrap-distance-left:0;mso-wrap-distance-right:0" coordorigin="912,216" coordsize="10080,20">
            <v:line style="position:absolute" from="912,226" to="1668,226" stroked="true" strokeweight=".96pt" strokecolor="#000000">
              <v:stroke dashstyle="solid"/>
            </v:line>
            <v:rect style="position:absolute;left:1668;top:216;width:20;height:20" filled="true" fillcolor="#000000" stroked="false">
              <v:fill type="solid"/>
            </v:rect>
            <v:line style="position:absolute" from="1687,226" to="3624,226" stroked="true" strokeweight=".96pt" strokecolor="#000000">
              <v:stroke dashstyle="solid"/>
            </v:line>
            <v:rect style="position:absolute;left:3624;top:216;width:20;height:20" filled="true" fillcolor="#000000" stroked="false">
              <v:fill type="solid"/>
            </v:rect>
            <v:line style="position:absolute" from="3643,226" to="10992,226" stroked="true" strokeweight=".96pt" strokecolor="#000000">
              <v:stroke dashstyle="solid"/>
            </v:line>
            <w10:wrap type="topAndBottom"/>
          </v:group>
        </w:pict>
      </w:r>
    </w:p>
    <w:p>
      <w:pPr>
        <w:spacing w:after="0" w:line="240" w:lineRule="auto"/>
        <w:rPr>
          <w:sz w:val="13"/>
        </w:rPr>
        <w:sectPr>
          <w:type w:val="continuous"/>
          <w:pgSz w:w="11900" w:h="16840"/>
          <w:pgMar w:top="360" w:bottom="280" w:left="800" w:right="800"/>
        </w:sectPr>
      </w:pPr>
    </w:p>
    <w:p>
      <w:pPr>
        <w:pStyle w:val="BodyText"/>
        <w:spacing w:line="240" w:lineRule="auto" w:before="20"/>
        <w:ind w:left="2934" w:right="215"/>
      </w:pPr>
      <w:r>
        <w:rPr/>
        <w:t>们将根据现金价值的余额计算本附加险合同可以继续有效的天数，本附加险合同在此期间继续有效。当现金价值余额为零时，本附加险合同效力中止。 </w:t>
      </w:r>
    </w:p>
    <w:p>
      <w:pPr>
        <w:pStyle w:val="BodyText"/>
        <w:spacing w:line="271" w:lineRule="exact"/>
        <w:ind w:left="2934"/>
        <w:jc w:val="both"/>
      </w:pPr>
      <w:r>
        <w:rPr/>
        <w:pict>
          <v:shape style="position:absolute;margin-left:48.5pt;margin-top:12.488416pt;width:498.45pt;height:104.4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632"/>
                    <w:gridCol w:w="7762"/>
                  </w:tblGrid>
                  <w:tr>
                    <w:trPr>
                      <w:trHeight w:val="223" w:hRule="atLeast"/>
                    </w:trPr>
                    <w:tc>
                      <w:tcPr>
                        <w:tcW w:w="576" w:type="dxa"/>
                      </w:tcPr>
                      <w:p>
                        <w:pPr>
                          <w:pStyle w:val="TableParagraph"/>
                          <w:spacing w:line="203" w:lineRule="exact"/>
                          <w:ind w:left="50"/>
                          <w:rPr>
                            <w:sz w:val="21"/>
                          </w:rPr>
                        </w:pPr>
                        <w:r>
                          <w:rPr>
                            <w:w w:val="100"/>
                            <w:sz w:val="21"/>
                          </w:rPr>
                          <w:t> </w:t>
                        </w:r>
                      </w:p>
                    </w:tc>
                    <w:tc>
                      <w:tcPr>
                        <w:tcW w:w="1632" w:type="dxa"/>
                      </w:tcPr>
                      <w:p>
                        <w:pPr>
                          <w:pStyle w:val="TableParagraph"/>
                          <w:spacing w:line="203" w:lineRule="exact"/>
                          <w:ind w:left="230"/>
                          <w:rPr>
                            <w:sz w:val="21"/>
                          </w:rPr>
                        </w:pPr>
                        <w:r>
                          <w:rPr>
                            <w:w w:val="100"/>
                            <w:sz w:val="21"/>
                          </w:rPr>
                          <w:t> </w:t>
                        </w:r>
                      </w:p>
                    </w:tc>
                    <w:tc>
                      <w:tcPr>
                        <w:tcW w:w="7762" w:type="dxa"/>
                      </w:tcPr>
                      <w:p>
                        <w:pPr>
                          <w:pStyle w:val="TableParagraph"/>
                          <w:spacing w:line="203" w:lineRule="exact"/>
                          <w:ind w:left="556"/>
                          <w:rPr>
                            <w:sz w:val="21"/>
                          </w:rPr>
                        </w:pPr>
                        <w:r>
                          <w:rPr>
                            <w:w w:val="100"/>
                            <w:sz w:val="21"/>
                          </w:rPr>
                          <w:t> </w:t>
                        </w:r>
                      </w:p>
                    </w:tc>
                  </w:tr>
                  <w:tr>
                    <w:trPr>
                      <w:trHeight w:val="535" w:hRule="atLeast"/>
                    </w:trPr>
                    <w:tc>
                      <w:tcPr>
                        <w:tcW w:w="576" w:type="dxa"/>
                      </w:tcPr>
                      <w:p>
                        <w:pPr>
                          <w:pStyle w:val="TableParagraph"/>
                          <w:spacing w:line="257" w:lineRule="exact"/>
                          <w:ind w:left="50"/>
                          <w:rPr>
                            <w:rFonts w:ascii="Microsoft JhengHei"/>
                            <w:b/>
                            <w:sz w:val="21"/>
                          </w:rPr>
                        </w:pPr>
                        <w:r>
                          <w:rPr>
                            <w:rFonts w:ascii="Microsoft JhengHei"/>
                            <w:b/>
                            <w:w w:val="90"/>
                            <w:sz w:val="21"/>
                          </w:rPr>
                          <w:t>5. 3</w:t>
                        </w:r>
                      </w:p>
                    </w:tc>
                    <w:tc>
                      <w:tcPr>
                        <w:tcW w:w="1632" w:type="dxa"/>
                      </w:tcPr>
                      <w:p>
                        <w:pPr>
                          <w:pStyle w:val="TableParagraph"/>
                          <w:spacing w:line="257" w:lineRule="exact"/>
                          <w:ind w:left="230"/>
                          <w:rPr>
                            <w:rFonts w:ascii="Microsoft JhengHei" w:eastAsia="Microsoft JhengHei" w:hint="eastAsia"/>
                            <w:b/>
                            <w:sz w:val="21"/>
                          </w:rPr>
                        </w:pPr>
                        <w:r>
                          <w:rPr>
                            <w:rFonts w:ascii="Microsoft JhengHei" w:eastAsia="Microsoft JhengHei" w:hint="eastAsia"/>
                            <w:b/>
                            <w:sz w:val="21"/>
                          </w:rPr>
                          <w:t>减额交清</w:t>
                        </w:r>
                      </w:p>
                    </w:tc>
                    <w:tc>
                      <w:tcPr>
                        <w:tcW w:w="7762" w:type="dxa"/>
                      </w:tcPr>
                      <w:p>
                        <w:pPr>
                          <w:pStyle w:val="TableParagraph"/>
                          <w:spacing w:line="231" w:lineRule="exact"/>
                          <w:ind w:left="556"/>
                          <w:rPr>
                            <w:sz w:val="21"/>
                          </w:rPr>
                        </w:pPr>
                        <w:r>
                          <w:rPr>
                            <w:sz w:val="21"/>
                          </w:rPr>
                          <w:t>在本附加险合同的宽限期内，您可以申请并经我们审核同意后使用现金价值的</w:t>
                        </w:r>
                      </w:p>
                      <w:p>
                        <w:pPr>
                          <w:pStyle w:val="TableParagraph"/>
                          <w:spacing w:line="273" w:lineRule="exact"/>
                          <w:ind w:left="556"/>
                          <w:rPr>
                            <w:sz w:val="21"/>
                          </w:rPr>
                        </w:pPr>
                        <w:r>
                          <w:rPr>
                            <w:sz w:val="21"/>
                          </w:rPr>
                          <w:t>减额交清功能。 </w:t>
                        </w:r>
                      </w:p>
                    </w:tc>
                  </w:tr>
                  <w:tr>
                    <w:trPr>
                      <w:trHeight w:val="270" w:hRule="atLeast"/>
                    </w:trPr>
                    <w:tc>
                      <w:tcPr>
                        <w:tcW w:w="576" w:type="dxa"/>
                      </w:tcPr>
                      <w:p>
                        <w:pPr>
                          <w:pStyle w:val="TableParagraph"/>
                          <w:rPr>
                            <w:rFonts w:ascii="Times New Roman"/>
                            <w:sz w:val="20"/>
                          </w:rPr>
                        </w:pPr>
                      </w:p>
                    </w:tc>
                    <w:tc>
                      <w:tcPr>
                        <w:tcW w:w="1632" w:type="dxa"/>
                      </w:tcPr>
                      <w:p>
                        <w:pPr>
                          <w:pStyle w:val="TableParagraph"/>
                          <w:rPr>
                            <w:rFonts w:ascii="Times New Roman"/>
                            <w:sz w:val="20"/>
                          </w:rPr>
                        </w:pPr>
                      </w:p>
                    </w:tc>
                    <w:tc>
                      <w:tcPr>
                        <w:tcW w:w="7762" w:type="dxa"/>
                      </w:tcPr>
                      <w:p>
                        <w:pPr>
                          <w:pStyle w:val="TableParagraph"/>
                          <w:spacing w:line="242" w:lineRule="exact"/>
                          <w:ind w:left="556"/>
                          <w:rPr>
                            <w:sz w:val="21"/>
                          </w:rPr>
                        </w:pPr>
                        <w:r>
                          <w:rPr>
                            <w:sz w:val="21"/>
                          </w:rPr>
                          <w:t>我们将以宽限期开始前一日的现金价值扣除“9.2 未还款项”中规定的欠款之</w:t>
                        </w:r>
                      </w:p>
                    </w:tc>
                  </w:tr>
                  <w:tr>
                    <w:trPr>
                      <w:trHeight w:val="274" w:hRule="atLeast"/>
                    </w:trPr>
                    <w:tc>
                      <w:tcPr>
                        <w:tcW w:w="576" w:type="dxa"/>
                      </w:tcPr>
                      <w:p>
                        <w:pPr>
                          <w:pStyle w:val="TableParagraph"/>
                          <w:rPr>
                            <w:rFonts w:ascii="Times New Roman"/>
                            <w:sz w:val="20"/>
                          </w:rPr>
                        </w:pPr>
                      </w:p>
                    </w:tc>
                    <w:tc>
                      <w:tcPr>
                        <w:tcW w:w="1632" w:type="dxa"/>
                      </w:tcPr>
                      <w:p>
                        <w:pPr>
                          <w:pStyle w:val="TableParagraph"/>
                          <w:rPr>
                            <w:rFonts w:ascii="Times New Roman"/>
                            <w:sz w:val="20"/>
                          </w:rPr>
                        </w:pPr>
                      </w:p>
                    </w:tc>
                    <w:tc>
                      <w:tcPr>
                        <w:tcW w:w="7762" w:type="dxa"/>
                      </w:tcPr>
                      <w:p>
                        <w:pPr>
                          <w:pStyle w:val="TableParagraph"/>
                          <w:spacing w:line="254" w:lineRule="exact"/>
                          <w:ind w:left="556"/>
                          <w:rPr>
                            <w:sz w:val="21"/>
                          </w:rPr>
                        </w:pPr>
                        <w:r>
                          <w:rPr>
                            <w:spacing w:val="-3"/>
                            <w:w w:val="100"/>
                            <w:sz w:val="21"/>
                          </w:rPr>
                          <w:t>后的余额作为一次交清的</w:t>
                        </w:r>
                        <w:r>
                          <w:rPr>
                            <w:rFonts w:ascii="Microsoft JhengHei" w:eastAsia="Microsoft JhengHei" w:hint="eastAsia"/>
                            <w:b/>
                            <w:spacing w:val="-6"/>
                            <w:w w:val="100"/>
                            <w:sz w:val="21"/>
                          </w:rPr>
                          <w:t>净保险费</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.13</w:t>
                        </w:r>
                        <w:r>
                          <w:rPr>
                            <w:spacing w:val="-108"/>
                            <w:w w:val="100"/>
                            <w:sz w:val="21"/>
                          </w:rPr>
                          <w:t>）</w:t>
                        </w:r>
                        <w:r>
                          <w:rPr>
                            <w:spacing w:val="-6"/>
                            <w:w w:val="100"/>
                            <w:sz w:val="21"/>
                          </w:rPr>
                          <w:t>，重新计算本附加险合同的基本</w:t>
                        </w:r>
                      </w:p>
                    </w:tc>
                  </w:tr>
                  <w:tr>
                    <w:trPr>
                      <w:trHeight w:val="272" w:hRule="atLeast"/>
                    </w:trPr>
                    <w:tc>
                      <w:tcPr>
                        <w:tcW w:w="576" w:type="dxa"/>
                      </w:tcPr>
                      <w:p>
                        <w:pPr>
                          <w:pStyle w:val="TableParagraph"/>
                          <w:rPr>
                            <w:rFonts w:ascii="Times New Roman"/>
                            <w:sz w:val="20"/>
                          </w:rPr>
                        </w:pPr>
                      </w:p>
                    </w:tc>
                    <w:tc>
                      <w:tcPr>
                        <w:tcW w:w="1632" w:type="dxa"/>
                      </w:tcPr>
                      <w:p>
                        <w:pPr>
                          <w:pStyle w:val="TableParagraph"/>
                          <w:rPr>
                            <w:rFonts w:ascii="Times New Roman"/>
                            <w:sz w:val="20"/>
                          </w:rPr>
                        </w:pPr>
                      </w:p>
                    </w:tc>
                    <w:tc>
                      <w:tcPr>
                        <w:tcW w:w="7762" w:type="dxa"/>
                      </w:tcPr>
                      <w:p>
                        <w:pPr>
                          <w:pStyle w:val="TableParagraph"/>
                          <w:spacing w:line="252" w:lineRule="exact"/>
                          <w:ind w:left="556"/>
                          <w:rPr>
                            <w:sz w:val="21"/>
                          </w:rPr>
                        </w:pPr>
                        <w:r>
                          <w:rPr>
                            <w:sz w:val="21"/>
                          </w:rPr>
                          <w:t>保险金额，</w:t>
                        </w:r>
                        <w:r>
                          <w:rPr>
                            <w:rFonts w:ascii="Microsoft JhengHei" w:eastAsia="Microsoft JhengHei" w:hint="eastAsia"/>
                            <w:b/>
                            <w:sz w:val="21"/>
                          </w:rPr>
                          <w:t>基本保险金额会相应减少</w:t>
                        </w:r>
                        <w:r>
                          <w:rPr>
                            <w:sz w:val="21"/>
                          </w:rPr>
                          <w:t>，但不得低于我们规定的最低基本保险金</w:t>
                        </w:r>
                      </w:p>
                    </w:tc>
                  </w:tr>
                  <w:tr>
                    <w:trPr>
                      <w:trHeight w:val="271" w:hRule="atLeast"/>
                    </w:trPr>
                    <w:tc>
                      <w:tcPr>
                        <w:tcW w:w="576" w:type="dxa"/>
                      </w:tcPr>
                      <w:p>
                        <w:pPr>
                          <w:pStyle w:val="TableParagraph"/>
                          <w:rPr>
                            <w:rFonts w:ascii="Times New Roman"/>
                            <w:sz w:val="20"/>
                          </w:rPr>
                        </w:pPr>
                      </w:p>
                    </w:tc>
                    <w:tc>
                      <w:tcPr>
                        <w:tcW w:w="1632" w:type="dxa"/>
                      </w:tcPr>
                      <w:p>
                        <w:pPr>
                          <w:pStyle w:val="TableParagraph"/>
                          <w:rPr>
                            <w:rFonts w:ascii="Times New Roman"/>
                            <w:sz w:val="20"/>
                          </w:rPr>
                        </w:pPr>
                      </w:p>
                    </w:tc>
                    <w:tc>
                      <w:tcPr>
                        <w:tcW w:w="7762" w:type="dxa"/>
                      </w:tcPr>
                      <w:p>
                        <w:pPr>
                          <w:pStyle w:val="TableParagraph"/>
                          <w:spacing w:line="241" w:lineRule="exact"/>
                          <w:ind w:left="556"/>
                          <w:rPr>
                            <w:sz w:val="21"/>
                          </w:rPr>
                        </w:pPr>
                        <w:r>
                          <w:rPr>
                            <w:sz w:val="21"/>
                          </w:rPr>
                          <w:t>额标准。 </w:t>
                        </w:r>
                      </w:p>
                    </w:tc>
                  </w:tr>
                  <w:tr>
                    <w:trPr>
                      <w:trHeight w:val="241" w:hRule="atLeast"/>
                    </w:trPr>
                    <w:tc>
                      <w:tcPr>
                        <w:tcW w:w="576" w:type="dxa"/>
                      </w:tcPr>
                      <w:p>
                        <w:pPr>
                          <w:pStyle w:val="TableParagraph"/>
                          <w:rPr>
                            <w:rFonts w:ascii="Times New Roman"/>
                            <w:sz w:val="16"/>
                          </w:rPr>
                        </w:pPr>
                      </w:p>
                    </w:tc>
                    <w:tc>
                      <w:tcPr>
                        <w:tcW w:w="1632" w:type="dxa"/>
                      </w:tcPr>
                      <w:p>
                        <w:pPr>
                          <w:pStyle w:val="TableParagraph"/>
                          <w:rPr>
                            <w:rFonts w:ascii="Times New Roman"/>
                            <w:sz w:val="16"/>
                          </w:rPr>
                        </w:pPr>
                      </w:p>
                    </w:tc>
                    <w:tc>
                      <w:tcPr>
                        <w:tcW w:w="7762" w:type="dxa"/>
                      </w:tcPr>
                      <w:p>
                        <w:pPr>
                          <w:pStyle w:val="TableParagraph"/>
                          <w:spacing w:line="221" w:lineRule="exact"/>
                          <w:ind w:left="556"/>
                          <w:rPr>
                            <w:sz w:val="21"/>
                          </w:rPr>
                        </w:pPr>
                        <w:r>
                          <w:rPr>
                            <w:sz w:val="21"/>
                          </w:rPr>
                          <w:t>减额交清后，您不需要再支付保险费，本附加险合同继续有效。 </w:t>
                        </w:r>
                      </w:p>
                    </w:tc>
                  </w:tr>
                </w:tbl>
                <w:p>
                  <w:pPr>
                    <w:pStyle w:val="BodyText"/>
                    <w:spacing w:line="240" w:lineRule="auto"/>
                    <w:ind w:left="0"/>
                  </w:pPr>
                </w:p>
              </w:txbxContent>
            </v:textbox>
            <w10:wrap type="none"/>
          </v:shape>
        </w:pict>
      </w:r>
      <w:r>
        <w:rPr/>
        <w:t>本附加险合同必须与主险合同同时办理保险费的垫交。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7"/>
        </w:rPr>
      </w:pPr>
    </w:p>
    <w:p>
      <w:pPr>
        <w:pStyle w:val="BodyText"/>
        <w:spacing w:line="231" w:lineRule="exact"/>
        <w:ind w:left="2934"/>
        <w:jc w:val="both"/>
      </w:pPr>
      <w:r>
        <w:rPr/>
        <w:t>本附加险合同必须与主险合同同时办理减额交清。 </w:t>
      </w:r>
    </w:p>
    <w:p>
      <w:pPr>
        <w:pStyle w:val="BodyText"/>
        <w:tabs>
          <w:tab w:pos="975" w:val="left" w:leader="none"/>
          <w:tab w:pos="2934" w:val="left" w:leader="none"/>
        </w:tabs>
        <w:spacing w:line="202" w:lineRule="exact"/>
        <w:ind w:left="220"/>
      </w:pPr>
      <w:r>
        <w:rPr>
          <w:w w:val="100"/>
        </w:rPr>
        <w:t> </w:t>
      </w:r>
      <w:r>
        <w:rPr/>
        <w:tab/>
      </w:r>
      <w:r>
        <w:rPr>
          <w:w w:val="100"/>
        </w:rPr>
        <w:t> </w:t>
      </w:r>
      <w:r>
        <w:rPr/>
        <w:tab/>
      </w:r>
      <w:r>
        <w:rPr>
          <w:w w:val="100"/>
        </w:rPr>
        <w:t> </w:t>
      </w:r>
    </w:p>
    <w:p>
      <w:pPr>
        <w:pStyle w:val="Heading2"/>
        <w:tabs>
          <w:tab w:pos="975" w:val="left" w:leader="none"/>
        </w:tabs>
      </w:pPr>
      <w:r>
        <w:rPr>
          <w:rFonts w:ascii="Times New Roman" w:eastAsia="Times New Roman"/>
          <w:position w:val="-3"/>
          <w:sz w:val="40"/>
        </w:rPr>
        <w:t>z</w:t>
        <w:tab/>
      </w:r>
      <w:r>
        <w:rPr/>
        <w:t>合同效力的中止及恢复</w:t>
      </w:r>
    </w:p>
    <w:p>
      <w:pPr>
        <w:pStyle w:val="BodyText"/>
        <w:tabs>
          <w:tab w:pos="975" w:val="left" w:leader="none"/>
          <w:tab w:pos="2934" w:val="left" w:leader="none"/>
        </w:tabs>
        <w:spacing w:line="177" w:lineRule="exact"/>
        <w:ind w:left="220"/>
      </w:pPr>
      <w:r>
        <w:rPr/>
        <w:pict>
          <v:group style="position:absolute;margin-left:45.599998pt;margin-top:2.488746pt;width:504pt;height:1pt;mso-position-horizontal-relative:page;mso-position-vertical-relative:paragraph;z-index:-77728" coordorigin="912,50" coordsize="10080,20">
            <v:line style="position:absolute" from="912,59" to="1668,59" stroked="true" strokeweight=".96pt" strokecolor="#000000">
              <v:stroke dashstyle="solid"/>
            </v:line>
            <v:rect style="position:absolute;left:1668;top:49;width:20;height:20" filled="true" fillcolor="#000000" stroked="false">
              <v:fill type="solid"/>
            </v:rect>
            <v:line style="position:absolute" from="1687,59" to="3624,59" stroked="true" strokeweight=".96pt" strokecolor="#000000">
              <v:stroke dashstyle="solid"/>
            </v:line>
            <v:rect style="position:absolute;left:3624;top:49;width:20;height:20" filled="true" fillcolor="#000000" stroked="false">
              <v:fill type="solid"/>
            </v:rect>
            <v:line style="position:absolute" from="3643,59" to="10992,59" stroked="true" strokeweight=".96pt" strokecolor="#000000">
              <v:stroke dashstyle="solid"/>
            </v:line>
            <w10:wrap type="none"/>
          </v:group>
        </w:pict>
      </w:r>
      <w:r>
        <w:rPr>
          <w:w w:val="100"/>
        </w:rPr>
        <w:t> </w:t>
      </w:r>
      <w:r>
        <w:rPr/>
        <w:tab/>
      </w:r>
      <w:r>
        <w:rPr>
          <w:w w:val="100"/>
        </w:rPr>
        <w:t> </w:t>
      </w:r>
      <w:r>
        <w:rPr/>
        <w:tab/>
      </w:r>
      <w:r>
        <w:rPr>
          <w:w w:val="100"/>
        </w:rPr>
        <w:t> </w:t>
      </w:r>
    </w:p>
    <w:p>
      <w:pPr>
        <w:pStyle w:val="Heading3"/>
        <w:numPr>
          <w:ilvl w:val="1"/>
          <w:numId w:val="4"/>
        </w:numPr>
        <w:tabs>
          <w:tab w:pos="975" w:val="left" w:leader="none"/>
          <w:tab w:pos="976" w:val="left" w:leader="none"/>
          <w:tab w:pos="2948" w:val="left" w:leader="none"/>
        </w:tabs>
        <w:spacing w:line="261" w:lineRule="exact" w:before="0" w:after="0"/>
        <w:ind w:left="976" w:right="0" w:hanging="756"/>
        <w:jc w:val="left"/>
      </w:pPr>
      <w:r>
        <w:rPr/>
        <w:t>1</w:t>
        <w:tab/>
        <w:t>效力中止</w:t>
        <w:tab/>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5" w:val="left" w:leader="none"/>
          <w:tab w:pos="2934" w:val="left" w:leader="none"/>
        </w:tabs>
        <w:spacing w:line="171"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3" w:lineRule="exact" w:before="0" w:after="0"/>
        <w:ind w:left="976" w:right="0" w:hanging="756"/>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5"/>
          <w:sz w:val="21"/>
        </w:rPr>
        <w:t> </w:t>
      </w:r>
      <w:r>
        <w:rPr>
          <w:rFonts w:ascii="Times New Roman" w:eastAsia="Times New Roman"/>
          <w:sz w:val="21"/>
        </w:rPr>
        <w:t>2</w:t>
      </w:r>
      <w:r>
        <w:rPr>
          <w:rFonts w:ascii="Times New Roman" w:eastAsia="Times New Roman"/>
          <w:spacing w:val="20"/>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p>
    <w:p>
      <w:pPr>
        <w:pStyle w:val="BodyText"/>
        <w:spacing w:line="227" w:lineRule="exact"/>
        <w:ind w:left="2934"/>
        <w:jc w:val="both"/>
      </w:pPr>
      <w:r>
        <w:rPr/>
        <w:t>与您协商并达成协议，自您补交保险费之日起，本附加险合同效力恢复。</w:t>
      </w:r>
    </w:p>
    <w:p>
      <w:pPr>
        <w:pStyle w:val="Heading3"/>
        <w:spacing w:line="180" w:lineRule="auto" w:before="57"/>
        <w:ind w:right="211"/>
        <w:jc w:val="both"/>
      </w:pPr>
      <w:r>
        <w:rPr/>
        <w:t>自本附加险合同效力中止之日起满 </w:t>
      </w:r>
      <w:r>
        <w:rPr>
          <w:rFonts w:ascii="Times New Roman" w:eastAsia="Times New Roman"/>
        </w:rPr>
        <w:t>2 </w:t>
      </w:r>
      <w:r>
        <w:rPr/>
        <w:t>年您和我们未达成协议的，我们有权解除本附加险合同。我们解除合同的，向您退还本附加险合同效力中止时的现金价值。</w:t>
      </w:r>
    </w:p>
    <w:p>
      <w:pPr>
        <w:pStyle w:val="BodyText"/>
        <w:spacing w:line="205" w:lineRule="exact"/>
        <w:ind w:left="2934"/>
        <w:jc w:val="both"/>
      </w:pPr>
      <w:r>
        <w:rPr/>
        <w:t>主险合同效力中止期间，本附加险合同不能单独申请复效。</w:t>
      </w:r>
    </w:p>
    <w:p>
      <w:pPr>
        <w:pStyle w:val="BodyText"/>
        <w:spacing w:line="202" w:lineRule="exact"/>
        <w:ind w:left="2934"/>
        <w:jc w:val="both"/>
      </w:pPr>
      <w:r>
        <w:rPr>
          <w:w w:val="100"/>
        </w:rPr>
        <w:t> </w:t>
      </w:r>
    </w:p>
    <w:p>
      <w:pPr>
        <w:tabs>
          <w:tab w:pos="975" w:val="left" w:leader="none"/>
          <w:tab w:pos="9409" w:val="left" w:leader="none"/>
        </w:tabs>
        <w:spacing w:line="404" w:lineRule="exact" w:before="0"/>
        <w:ind w:left="224" w:right="0" w:firstLine="0"/>
        <w:jc w:val="left"/>
        <w:rPr>
          <w:sz w:val="21"/>
        </w:rPr>
      </w:pP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tabs>
          <w:tab w:pos="975" w:val="left" w:leader="none"/>
          <w:tab w:pos="2934" w:val="left" w:leader="none"/>
        </w:tabs>
        <w:spacing w:line="226" w:lineRule="exact"/>
        <w:ind w:left="220"/>
      </w:pPr>
      <w:r>
        <w:rPr/>
        <w:pict>
          <v:group style="position:absolute;margin-left:45.599998pt;margin-top:2.488761pt;width:504pt;height:1pt;mso-position-horizontal-relative:page;mso-position-vertical-relative:paragraph;z-index:-77704" coordorigin="912,50" coordsize="10080,20">
            <v:line style="position:absolute" from="912,59" to="1668,59" stroked="true" strokeweight=".96pt" strokecolor="#000000">
              <v:stroke dashstyle="solid"/>
            </v:line>
            <v:rect style="position:absolute;left:1668;top:49;width:20;height:20" filled="true" fillcolor="#000000" stroked="false">
              <v:fill type="solid"/>
            </v:rect>
            <v:line style="position:absolute" from="1687,59" to="3624,59" stroked="true" strokeweight=".96pt" strokecolor="#000000">
              <v:stroke dashstyle="solid"/>
            </v:line>
            <v:rect style="position:absolute;left:3624;top:49;width:20;height:20" filled="true" fillcolor="#000000" stroked="false">
              <v:fill type="solid"/>
            </v:rect>
            <v:line style="position:absolute" from="3643,59" to="10992,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pgSz w:w="11900" w:h="16840"/>
          <w:pgMar w:header="0" w:footer="457" w:top="1080" w:bottom="640" w:left="800" w:right="800"/>
        </w:sectPr>
      </w:pPr>
    </w:p>
    <w:p>
      <w:pPr>
        <w:pStyle w:val="Heading3"/>
        <w:spacing w:line="222" w:lineRule="exact"/>
        <w:ind w:left="976"/>
      </w:pPr>
      <w:r>
        <w:rPr/>
        <w:t>投保人解除合同的</w:t>
      </w:r>
    </w:p>
    <w:p>
      <w:pPr>
        <w:spacing w:line="320" w:lineRule="exact" w:before="0"/>
        <w:ind w:left="976"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44" w:lineRule="exact"/>
        <w:ind w:left="228"/>
      </w:pPr>
      <w:r>
        <w:rPr/>
        <w:br w:type="column"/>
      </w:r>
      <w:r>
        <w:rPr/>
        <w:t>如您在犹豫期后申请解除本附加险合同，请填写保险合同变更申请书并提供下</w:t>
      </w:r>
    </w:p>
    <w:p>
      <w:pPr>
        <w:pStyle w:val="BodyText"/>
        <w:ind w:left="228"/>
      </w:pPr>
      <w:r>
        <w:rPr/>
        <w:t>列资料： </w:t>
      </w:r>
    </w:p>
    <w:p>
      <w:pPr>
        <w:pStyle w:val="BodyText"/>
        <w:ind w:left="228"/>
      </w:pPr>
      <w:r>
        <w:rPr/>
        <w:t>（1）保险合同； </w:t>
      </w:r>
    </w:p>
    <w:p>
      <w:pPr>
        <w:pStyle w:val="BodyText"/>
        <w:ind w:left="228"/>
      </w:pPr>
      <w:r>
        <w:rPr/>
        <w:t>（2）您的有效身份证件。 </w:t>
      </w:r>
    </w:p>
    <w:p>
      <w:pPr>
        <w:pStyle w:val="BodyText"/>
        <w:spacing w:line="240" w:lineRule="auto"/>
        <w:ind w:left="228" w:right="221"/>
      </w:pPr>
      <w:r>
        <w:rPr/>
        <w:t>自我们收到保险合同变更申请书时起，本附加险合同终止。我们自收到保险合同变更申请书之日起 30 日内向您退还本附加险合同的现金价值。 </w:t>
      </w:r>
    </w:p>
    <w:p>
      <w:pPr>
        <w:pStyle w:val="Heading3"/>
        <w:spacing w:line="247" w:lineRule="exact" w:before="2"/>
        <w:ind w:left="228"/>
      </w:pPr>
      <w:r>
        <w:rPr/>
        <w:t>您在犹豫期后解除合同会遭受一定损失。</w:t>
      </w:r>
    </w:p>
    <w:p>
      <w:pPr>
        <w:spacing w:after="0" w:line="247" w:lineRule="exact"/>
        <w:sectPr>
          <w:type w:val="continuous"/>
          <w:pgSz w:w="11900" w:h="16840"/>
          <w:pgMar w:top="360" w:bottom="280" w:left="800" w:right="800"/>
          <w:cols w:num="2" w:equalWidth="0">
            <w:col w:w="2666" w:space="40"/>
            <w:col w:w="7594"/>
          </w:cols>
        </w:sectPr>
      </w:pPr>
    </w:p>
    <w:p>
      <w:pPr>
        <w:pStyle w:val="BodyText"/>
        <w:tabs>
          <w:tab w:pos="975" w:val="left" w:leader="none"/>
          <w:tab w:pos="2934" w:val="left" w:leader="none"/>
        </w:tabs>
        <w:spacing w:line="183" w:lineRule="exact"/>
        <w:ind w:left="220"/>
      </w:pPr>
      <w:r>
        <w:rPr>
          <w:w w:val="100"/>
        </w:rPr>
        <w:t> </w:t>
      </w:r>
      <w:r>
        <w:rPr/>
        <w:tab/>
      </w:r>
      <w:r>
        <w:rPr>
          <w:w w:val="100"/>
        </w:rPr>
        <w:t> </w:t>
      </w:r>
      <w:r>
        <w:rPr/>
        <w:tab/>
      </w:r>
      <w:r>
        <w:rPr>
          <w:w w:val="100"/>
        </w:rPr>
        <w:t> </w:t>
      </w:r>
    </w:p>
    <w:p>
      <w:pPr>
        <w:tabs>
          <w:tab w:pos="975" w:val="left" w:leader="none"/>
          <w:tab w:pos="9047" w:val="left" w:leader="none"/>
        </w:tabs>
        <w:spacing w:line="405" w:lineRule="exact" w:before="0"/>
        <w:ind w:left="226" w:right="0" w:firstLine="0"/>
        <w:jc w:val="left"/>
        <w:rPr>
          <w:sz w:val="21"/>
        </w:rPr>
      </w:pP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tabs>
          <w:tab w:pos="975" w:val="left" w:leader="none"/>
          <w:tab w:pos="2934" w:val="left" w:leader="none"/>
        </w:tabs>
        <w:spacing w:line="226" w:lineRule="exact"/>
        <w:ind w:left="220"/>
      </w:pPr>
      <w:r>
        <w:rPr/>
        <w:pict>
          <v:group style="position:absolute;margin-left:45.599998pt;margin-top:2.488759pt;width:504pt;height:1pt;mso-position-horizontal-relative:page;mso-position-vertical-relative:paragraph;z-index:-77680" coordorigin="912,50" coordsize="10080,20">
            <v:line style="position:absolute" from="912,59" to="1668,59" stroked="true" strokeweight=".96pt" strokecolor="#000000">
              <v:stroke dashstyle="solid"/>
            </v:line>
            <v:rect style="position:absolute;left:1668;top:49;width:20;height:20" filled="true" fillcolor="#000000" stroked="false">
              <v:fill type="solid"/>
            </v:rect>
            <v:line style="position:absolute" from="1687,59" to="3624,59" stroked="true" strokeweight=".96pt" strokecolor="#000000">
              <v:stroke dashstyle="solid"/>
            </v:line>
            <v:rect style="position:absolute;left:3624;top:49;width:20;height:20" filled="true" fillcolor="#000000" stroked="false">
              <v:fill type="solid"/>
            </v:rect>
            <v:line style="position:absolute" from="3643,59" to="10992,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type w:val="continuous"/>
          <w:pgSz w:w="11900" w:h="16840"/>
          <w:pgMar w:top="360" w:bottom="280" w:left="800" w:right="800"/>
        </w:sectPr>
      </w:pPr>
    </w:p>
    <w:p>
      <w:pPr>
        <w:pStyle w:val="Heading3"/>
        <w:numPr>
          <w:ilvl w:val="1"/>
          <w:numId w:val="5"/>
        </w:numPr>
        <w:tabs>
          <w:tab w:pos="975" w:val="left" w:leader="none"/>
          <w:tab w:pos="976" w:val="left" w:leader="none"/>
        </w:tabs>
        <w:spacing w:line="222" w:lineRule="exact" w:before="0" w:after="0"/>
        <w:ind w:left="976" w:right="0" w:hanging="756"/>
        <w:jc w:val="left"/>
      </w:pPr>
      <w:r>
        <w:rPr>
          <w:w w:val="95"/>
        </w:rPr>
        <w:t>1</w:t>
        <w:tab/>
        <w:t>明确说明和如实  </w:t>
      </w:r>
      <w:r>
        <w:rPr/>
        <w:t>告</w:t>
      </w:r>
    </w:p>
    <w:p>
      <w:pPr>
        <w:spacing w:line="318" w:lineRule="exact" w:before="0"/>
        <w:ind w:left="0" w:right="500"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before="10"/>
        <w:ind w:left="0"/>
        <w:rPr>
          <w:rFonts w:ascii="Microsoft JhengHei"/>
          <w:b/>
          <w:sz w:val="11"/>
        </w:rPr>
      </w:pPr>
    </w:p>
    <w:p>
      <w:pPr>
        <w:pStyle w:val="ListParagraph"/>
        <w:numPr>
          <w:ilvl w:val="1"/>
          <w:numId w:val="5"/>
        </w:numPr>
        <w:tabs>
          <w:tab w:pos="975" w:val="left" w:leader="none"/>
          <w:tab w:pos="976" w:val="left" w:leader="none"/>
        </w:tabs>
        <w:spacing w:line="320" w:lineRule="exact" w:before="1" w:after="0"/>
        <w:ind w:left="976" w:right="0" w:hanging="756"/>
        <w:jc w:val="left"/>
        <w:rPr>
          <w:rFonts w:ascii="Microsoft JhengHei" w:eastAsia="Microsoft JhengHei" w:hint="eastAsia"/>
          <w:b/>
          <w:sz w:val="21"/>
        </w:rPr>
      </w:pPr>
      <w:r>
        <w:rPr>
          <w:rFonts w:ascii="Microsoft JhengHei" w:eastAsia="Microsoft JhengHei" w:hint="eastAsia"/>
          <w:b/>
          <w:w w:val="95"/>
          <w:sz w:val="21"/>
        </w:rPr>
        <w:t>2</w:t>
        <w:tab/>
        <w:t>本公司合同解除  </w:t>
      </w:r>
      <w:r>
        <w:rPr>
          <w:rFonts w:ascii="Microsoft JhengHei" w:eastAsia="Microsoft JhengHei" w:hint="eastAsia"/>
          <w:b/>
          <w:sz w:val="21"/>
        </w:rPr>
        <w:t>权</w:t>
      </w:r>
    </w:p>
    <w:p>
      <w:pPr>
        <w:spacing w:line="320" w:lineRule="exact" w:before="0"/>
        <w:ind w:left="959" w:right="1037" w:firstLine="0"/>
        <w:jc w:val="center"/>
        <w:rPr>
          <w:rFonts w:ascii="Microsoft JhengHei" w:eastAsia="Microsoft JhengHei" w:hint="eastAsia"/>
          <w:b/>
          <w:sz w:val="21"/>
        </w:rPr>
      </w:pPr>
      <w:r>
        <w:rPr>
          <w:rFonts w:ascii="Microsoft JhengHei" w:eastAsia="Microsoft JhengHei" w:hint="eastAsia"/>
          <w:b/>
          <w:sz w:val="21"/>
        </w:rPr>
        <w:t>的限制</w:t>
      </w:r>
    </w:p>
    <w:p>
      <w:pPr>
        <w:pStyle w:val="BodyText"/>
        <w:spacing w:line="243" w:lineRule="exact"/>
        <w:ind w:left="220"/>
      </w:pPr>
      <w:r>
        <w:rPr/>
        <w:br w:type="column"/>
      </w:r>
      <w:r>
        <w:rPr/>
        <w:t>订立本附加险合同时，我们应向您说明本附加险合同的内容。对保险条款中免</w:t>
      </w:r>
    </w:p>
    <w:p>
      <w:pPr>
        <w:pStyle w:val="BodyText"/>
        <w:spacing w:line="237" w:lineRule="auto" w:before="1"/>
        <w:ind w:left="220" w:right="218"/>
        <w:jc w:val="both"/>
      </w:pPr>
      <w:r>
        <w:rPr/>
        <w:t>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180" w:lineRule="auto" w:before="21"/>
        <w:ind w:left="220" w:right="215"/>
        <w:jc w:val="both"/>
      </w:pPr>
      <w:r>
        <w:rPr/>
        <w:t>如果您故意或因重大过失未履行如实告知义务，足以影响我们决定是否同意承保或者提高保险费率的，我们有权解除本附加险合同。</w:t>
      </w:r>
    </w:p>
    <w:p>
      <w:pPr>
        <w:spacing w:line="180" w:lineRule="auto" w:before="0"/>
        <w:ind w:left="220" w:right="199"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180" w:lineRule="auto" w:before="0"/>
        <w:ind w:left="220" w:right="211" w:firstLine="0"/>
        <w:jc w:val="both"/>
        <w:rPr>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于本附加险合同解除前发生的保险事故，我们不承担给付保险金的责任，但退还保险费。</w:t>
      </w:r>
      <w:r>
        <w:rPr>
          <w:sz w:val="21"/>
        </w:rPr>
        <w:t> </w:t>
      </w:r>
    </w:p>
    <w:p>
      <w:pPr>
        <w:pStyle w:val="BodyText"/>
        <w:spacing w:before="2"/>
        <w:ind w:left="220" w:right="218"/>
        <w:jc w:val="both"/>
      </w:pPr>
      <w:r>
        <w:rPr/>
        <w:t>我们在本附加险合同订立时已经知道您未如实告知的情况的，我们不得解除本附加险合同；发生保险事故的，我们承担给付保险金的责任。 </w:t>
      </w:r>
    </w:p>
    <w:p>
      <w:pPr>
        <w:pStyle w:val="BodyText"/>
        <w:spacing w:line="115" w:lineRule="exact"/>
        <w:ind w:left="220"/>
      </w:pPr>
      <w:r>
        <w:rPr>
          <w:w w:val="100"/>
        </w:rPr>
        <w:t> </w:t>
      </w:r>
    </w:p>
    <w:p>
      <w:pPr>
        <w:pStyle w:val="Heading3"/>
        <w:spacing w:line="270" w:lineRule="exact"/>
        <w:ind w:left="220"/>
      </w:pPr>
      <w:r>
        <w:rPr/>
        <w:t>“8. 1  明确说明和如实告知”规定的合同解除权，自我们知道有解除事由之日</w:t>
      </w:r>
    </w:p>
    <w:p>
      <w:pPr>
        <w:spacing w:line="177" w:lineRule="auto" w:before="48"/>
        <w:ind w:left="220" w:right="215" w:firstLine="0"/>
        <w:jc w:val="both"/>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年的，我们不得解除本附加险合同；发生保险事故的，我们承担给付保险金的责任。</w:t>
      </w:r>
    </w:p>
    <w:p>
      <w:pPr>
        <w:spacing w:after="0" w:line="177" w:lineRule="auto"/>
        <w:jc w:val="both"/>
        <w:rPr>
          <w:rFonts w:ascii="Microsoft JhengHei" w:eastAsia="Microsoft JhengHei" w:hint="eastAsia"/>
          <w:sz w:val="21"/>
        </w:rPr>
        <w:sectPr>
          <w:type w:val="continuous"/>
          <w:pgSz w:w="11900" w:h="16840"/>
          <w:pgMar w:top="360" w:bottom="280" w:left="800" w:right="800"/>
          <w:cols w:num="2" w:equalWidth="0">
            <w:col w:w="2666" w:space="48"/>
            <w:col w:w="7586"/>
          </w:cols>
        </w:sectPr>
      </w:pPr>
    </w:p>
    <w:p>
      <w:pPr>
        <w:pStyle w:val="BodyText"/>
        <w:tabs>
          <w:tab w:pos="975" w:val="left" w:leader="none"/>
          <w:tab w:pos="2934" w:val="left" w:leader="none"/>
        </w:tabs>
        <w:spacing w:line="165" w:lineRule="exact"/>
        <w:ind w:left="220"/>
      </w:pPr>
      <w:r>
        <w:rPr>
          <w:w w:val="100"/>
        </w:rPr>
        <w:t> </w:t>
      </w:r>
      <w:r>
        <w:rPr/>
        <w:tab/>
      </w:r>
      <w:r>
        <w:rPr>
          <w:w w:val="100"/>
        </w:rPr>
        <w:t> </w:t>
      </w:r>
      <w:r>
        <w:rPr/>
        <w:tab/>
      </w:r>
      <w:r>
        <w:rPr>
          <w:w w:val="100"/>
        </w:rPr>
        <w:t> </w:t>
      </w:r>
    </w:p>
    <w:p>
      <w:pPr>
        <w:spacing w:after="0" w:line="165" w:lineRule="exact"/>
        <w:sectPr>
          <w:type w:val="continuous"/>
          <w:pgSz w:w="11900" w:h="16840"/>
          <w:pgMar w:top="360" w:bottom="280" w:left="800" w:right="800"/>
        </w:sectPr>
      </w:pPr>
    </w:p>
    <w:p>
      <w:pPr>
        <w:pStyle w:val="Heading2"/>
        <w:tabs>
          <w:tab w:pos="975" w:val="left" w:leader="none"/>
        </w:tabs>
        <w:spacing w:line="434" w:lineRule="exact" w:before="35"/>
      </w:pPr>
      <w:r>
        <w:rPr>
          <w:rFonts w:ascii="Times New Roman" w:eastAsia="Times New Roman"/>
          <w:position w:val="-3"/>
          <w:sz w:val="40"/>
        </w:rPr>
        <w:t>}</w:t>
        <w:tab/>
      </w:r>
      <w:r>
        <w:rPr/>
        <w:t>其他需要关注的事项</w:t>
      </w:r>
    </w:p>
    <w:p>
      <w:pPr>
        <w:pStyle w:val="BodyText"/>
        <w:tabs>
          <w:tab w:pos="975" w:val="left" w:leader="none"/>
          <w:tab w:pos="2934" w:val="left" w:leader="none"/>
        </w:tabs>
        <w:spacing w:line="176" w:lineRule="exact"/>
        <w:ind w:left="220"/>
      </w:pPr>
      <w:r>
        <w:rPr/>
        <w:pict>
          <v:group style="position:absolute;margin-left:45.599998pt;margin-top:2.368747pt;width:504pt;height:1pt;mso-position-horizontal-relative:page;mso-position-vertical-relative:paragraph;z-index:-77608" coordorigin="912,47" coordsize="10080,20">
            <v:line style="position:absolute" from="912,57" to="1668,57" stroked="true" strokeweight=".96pt" strokecolor="#000000">
              <v:stroke dashstyle="solid"/>
            </v:line>
            <v:rect style="position:absolute;left:1668;top:47;width:20;height:20" filled="true" fillcolor="#000000" stroked="false">
              <v:fill type="solid"/>
            </v:rect>
            <v:line style="position:absolute" from="1687,57" to="3624,57" stroked="true" strokeweight=".96pt" strokecolor="#000000">
              <v:stroke dashstyle="solid"/>
            </v:line>
            <v:rect style="position:absolute;left:3624;top:47;width:20;height:20" filled="true" fillcolor="#000000" stroked="false">
              <v:fill type="solid"/>
            </v:rect>
            <v:line style="position:absolute" from="3643,57" to="10992,57" stroked="true" strokeweight=".96pt" strokecolor="#000000">
              <v:stroke dashstyle="solid"/>
            </v:line>
            <w10:wrap type="none"/>
          </v:group>
        </w:pict>
      </w:r>
      <w:r>
        <w:rPr>
          <w:w w:val="100"/>
        </w:rPr>
        <w:t> </w:t>
      </w:r>
      <w:r>
        <w:rPr/>
        <w:tab/>
      </w:r>
      <w:r>
        <w:rPr>
          <w:w w:val="100"/>
        </w:rPr>
        <w:t> </w:t>
      </w:r>
      <w:r>
        <w:rPr/>
        <w:tab/>
      </w:r>
      <w:r>
        <w:rPr>
          <w:w w:val="100"/>
        </w:rPr>
        <w:t> </w:t>
      </w:r>
    </w:p>
    <w:p>
      <w:pPr>
        <w:tabs>
          <w:tab w:pos="975" w:val="left" w:leader="none"/>
          <w:tab w:pos="2936" w:val="left" w:leader="none"/>
        </w:tabs>
        <w:spacing w:line="303" w:lineRule="exact" w:before="0"/>
        <w:ind w:left="220" w:right="0" w:firstLine="0"/>
        <w:jc w:val="left"/>
        <w:rPr>
          <w:sz w:val="21"/>
        </w:rPr>
      </w:pPr>
      <w:r>
        <w:rPr>
          <w:rFonts w:ascii="Microsoft JhengHei" w:eastAsia="Microsoft JhengHei" w:hint="eastAsia"/>
          <w:b/>
          <w:sz w:val="21"/>
        </w:rPr>
        <w:t>9.</w:t>
      </w:r>
      <w:r>
        <w:rPr>
          <w:rFonts w:ascii="Microsoft JhengHei" w:eastAsia="Microsoft JhengHei" w:hint="eastAsia"/>
          <w:b/>
          <w:spacing w:val="-33"/>
          <w:sz w:val="21"/>
        </w:rPr>
        <w:t> </w:t>
      </w:r>
      <w:r>
        <w:rPr>
          <w:rFonts w:ascii="Microsoft JhengHei" w:eastAsia="Microsoft JhengHei" w:hint="eastAsia"/>
          <w:b/>
          <w:sz w:val="21"/>
        </w:rPr>
        <w:t>1</w:t>
        <w:tab/>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w:t>
      </w:r>
      <w:r>
        <w:rPr>
          <w:spacing w:val="-3"/>
          <w:sz w:val="21"/>
        </w:rPr>
        <w:t>单</w:t>
      </w:r>
      <w:r>
        <w:rPr>
          <w:sz w:val="21"/>
        </w:rPr>
        <w:t>上</w:t>
      </w:r>
    </w:p>
    <w:p>
      <w:pPr>
        <w:pStyle w:val="BodyText"/>
        <w:spacing w:line="227" w:lineRule="exact"/>
        <w:ind w:left="2934"/>
      </w:pPr>
      <w:r>
        <w:rPr/>
        <w:t>填明，如果发生错误按照下列方式办理： </w:t>
      </w:r>
    </w:p>
    <w:p>
      <w:pPr>
        <w:pStyle w:val="Heading3"/>
        <w:spacing w:line="180" w:lineRule="auto" w:before="56"/>
        <w:ind w:left="3459" w:right="209" w:hanging="524"/>
        <w:jc w:val="both"/>
      </w:pPr>
      <w:r>
        <w:rPr/>
        <w:t>（1）</w:t>
      </w:r>
      <w:r>
        <w:rPr>
          <w:spacing w:val="-3"/>
        </w:rPr>
        <w:t>您申报的被保险人年龄不真实，并且其真实年龄不符合本附加险合同约定投保年龄限制的，在保险事故发生之前我们有权解除本附加险合同，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180" w:lineRule="auto" w:before="0"/>
        <w:ind w:left="3460" w:right="299" w:hanging="524"/>
        <w:jc w:val="both"/>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47" w:lineRule="exact" w:before="3"/>
        <w:ind w:left="2936"/>
      </w:pPr>
      <w:r>
        <w:rPr/>
        <w:t>（3）您申报的被保险人年龄不真实，致使您实付保险费多于应付保险费的，我</w:t>
      </w:r>
    </w:p>
    <w:p>
      <w:pPr>
        <w:pStyle w:val="BodyText"/>
        <w:spacing w:line="274" w:lineRule="exact"/>
        <w:ind w:left="0" w:right="331"/>
        <w:jc w:val="center"/>
      </w:pPr>
      <w:r>
        <w:rPr/>
        <w:pict>
          <v:shape style="position:absolute;margin-left:48.5pt;margin-top:12.518576pt;width:498.6pt;height:299.9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41"/>
                  </w:tblGrid>
                  <w:tr>
                    <w:trPr>
                      <w:trHeight w:val="494" w:hRule="atLeast"/>
                    </w:trPr>
                    <w:tc>
                      <w:tcPr>
                        <w:tcW w:w="576" w:type="dxa"/>
                      </w:tcPr>
                      <w:p>
                        <w:pPr>
                          <w:pStyle w:val="TableParagraph"/>
                          <w:spacing w:line="163" w:lineRule="exact"/>
                          <w:ind w:left="50"/>
                          <w:rPr>
                            <w:sz w:val="21"/>
                          </w:rPr>
                        </w:pPr>
                        <w:r>
                          <w:rPr>
                            <w:w w:val="100"/>
                            <w:sz w:val="21"/>
                          </w:rPr>
                          <w:t> </w:t>
                        </w:r>
                      </w:p>
                      <w:p>
                        <w:pPr>
                          <w:pStyle w:val="TableParagraph"/>
                          <w:spacing w:line="312" w:lineRule="exact"/>
                          <w:ind w:left="50"/>
                          <w:rPr>
                            <w:rFonts w:ascii="Microsoft JhengHei"/>
                            <w:b/>
                            <w:sz w:val="21"/>
                          </w:rPr>
                        </w:pPr>
                        <w:r>
                          <w:rPr>
                            <w:rFonts w:ascii="Microsoft JhengHei"/>
                            <w:b/>
                            <w:w w:val="90"/>
                            <w:sz w:val="21"/>
                          </w:rPr>
                          <w:t>9. 2</w:t>
                        </w:r>
                      </w:p>
                    </w:tc>
                    <w:tc>
                      <w:tcPr>
                        <w:tcW w:w="2054" w:type="dxa"/>
                      </w:tcPr>
                      <w:p>
                        <w:pPr>
                          <w:pStyle w:val="TableParagraph"/>
                          <w:spacing w:line="163" w:lineRule="exact"/>
                          <w:ind w:left="230"/>
                          <w:rPr>
                            <w:sz w:val="21"/>
                          </w:rPr>
                        </w:pPr>
                        <w:r>
                          <w:rPr>
                            <w:w w:val="100"/>
                            <w:sz w:val="21"/>
                          </w:rPr>
                          <w:t> </w:t>
                        </w:r>
                      </w:p>
                      <w:p>
                        <w:pPr>
                          <w:pStyle w:val="TableParagraph"/>
                          <w:spacing w:line="312"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41" w:type="dxa"/>
                      </w:tcPr>
                      <w:p>
                        <w:pPr>
                          <w:pStyle w:val="TableParagraph"/>
                          <w:spacing w:line="163" w:lineRule="exact"/>
                          <w:ind w:left="134"/>
                          <w:rPr>
                            <w:sz w:val="21"/>
                          </w:rPr>
                        </w:pPr>
                        <w:r>
                          <w:rPr>
                            <w:w w:val="100"/>
                            <w:sz w:val="21"/>
                          </w:rPr>
                          <w:t> </w:t>
                        </w:r>
                      </w:p>
                      <w:p>
                        <w:pPr>
                          <w:pStyle w:val="TableParagraph"/>
                          <w:spacing w:line="312" w:lineRule="exact"/>
                          <w:ind w:left="134"/>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14</w:t>
                        </w:r>
                        <w:r>
                          <w:rPr>
                            <w:spacing w:val="-106"/>
                            <w:w w:val="100"/>
                            <w:sz w:val="21"/>
                          </w:rPr>
                          <w:t>）</w:t>
                        </w:r>
                        <w:r>
                          <w:rPr>
                            <w:spacing w:val="-6"/>
                            <w:w w:val="100"/>
                            <w:sz w:val="21"/>
                          </w:rPr>
                          <w:t>、欠交的保险费以及其</w:t>
                        </w:r>
                      </w:p>
                    </w:tc>
                  </w:tr>
                  <w:tr>
                    <w:trPr>
                      <w:trHeight w:val="234"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1" w:type="dxa"/>
                      </w:tcPr>
                      <w:p>
                        <w:pPr>
                          <w:pStyle w:val="TableParagraph"/>
                          <w:spacing w:line="215" w:lineRule="exact"/>
                          <w:ind w:left="134"/>
                          <w:rPr>
                            <w:sz w:val="21"/>
                          </w:rPr>
                        </w:pPr>
                        <w:r>
                          <w:rPr>
                            <w:sz w:val="21"/>
                          </w:rPr>
                          <w:t>他欠款。我们在给付各项保险金、保单红利、退还现金价值或返还保险费时，</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1" w:type="dxa"/>
                      </w:tcPr>
                      <w:p>
                        <w:pPr>
                          <w:pStyle w:val="TableParagraph"/>
                          <w:spacing w:line="240" w:lineRule="exact"/>
                          <w:ind w:left="134"/>
                          <w:rPr>
                            <w:sz w:val="21"/>
                          </w:rPr>
                        </w:pPr>
                        <w:r>
                          <w:rPr>
                            <w:sz w:val="21"/>
                          </w:rPr>
                          <w:t>会在扣除上述各项欠款后给付。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41"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41" w:type="dxa"/>
                      </w:tcPr>
                      <w:p>
                        <w:pPr>
                          <w:pStyle w:val="TableParagraph"/>
                          <w:spacing w:line="231" w:lineRule="exact"/>
                          <w:ind w:left="134"/>
                          <w:rPr>
                            <w:sz w:val="21"/>
                          </w:rPr>
                        </w:pPr>
                        <w:r>
                          <w:rPr>
                            <w:sz w:val="21"/>
                          </w:rPr>
                          <w:t>在本附加险合同有效期内，经您与我们协商一致，可以变更本附加险合同的有</w:t>
                        </w:r>
                      </w:p>
                    </w:tc>
                  </w:tr>
                  <w:tr>
                    <w:trPr>
                      <w:trHeight w:val="234"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1" w:type="dxa"/>
                      </w:tcPr>
                      <w:p>
                        <w:pPr>
                          <w:pStyle w:val="TableParagraph"/>
                          <w:spacing w:line="215" w:lineRule="exact"/>
                          <w:ind w:left="134"/>
                          <w:rPr>
                            <w:sz w:val="21"/>
                          </w:rPr>
                        </w:pPr>
                        <w:r>
                          <w:rPr>
                            <w:sz w:val="21"/>
                          </w:rPr>
                          <w:t>关内容。变更本附加险合同的，应当由我们在保险单或者其他保险凭证上批注</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1" w:type="dxa"/>
                      </w:tcPr>
                      <w:p>
                        <w:pPr>
                          <w:pStyle w:val="TableParagraph"/>
                          <w:spacing w:line="240" w:lineRule="exact"/>
                          <w:ind w:left="134"/>
                          <w:rPr>
                            <w:sz w:val="21"/>
                          </w:rPr>
                        </w:pPr>
                        <w:r>
                          <w:rPr>
                            <w:sz w:val="21"/>
                          </w:rPr>
                          <w:t>或者附贴批单，也可以由您与我们订立书面的变更协议。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41"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9. 4</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41" w:type="dxa"/>
                      </w:tcPr>
                      <w:p>
                        <w:pPr>
                          <w:pStyle w:val="TableParagraph"/>
                          <w:spacing w:line="231"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1" w:type="dxa"/>
                      </w:tcPr>
                      <w:p>
                        <w:pPr>
                          <w:pStyle w:val="TableParagraph"/>
                          <w:spacing w:line="235" w:lineRule="exact"/>
                          <w:ind w:left="134"/>
                          <w:rPr>
                            <w:sz w:val="21"/>
                          </w:rPr>
                        </w:pPr>
                        <w:r>
                          <w:rPr>
                            <w:sz w:val="21"/>
                          </w:rPr>
                          <w:t>时以书面形式或双方认可的其他形式通知我们。若您未以书面形式或双方认可</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1" w:type="dxa"/>
                      </w:tcPr>
                      <w:p>
                        <w:pPr>
                          <w:pStyle w:val="TableParagraph"/>
                          <w:spacing w:line="221" w:lineRule="exact"/>
                          <w:ind w:left="134"/>
                          <w:rPr>
                            <w:sz w:val="21"/>
                          </w:rPr>
                        </w:pPr>
                        <w:r>
                          <w:rPr>
                            <w:sz w:val="21"/>
                          </w:rPr>
                          <w:t>的其他形式通知我们，我们按本附加险合同载明的最后住所或通讯地址所发送</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1" w:type="dxa"/>
                      </w:tcPr>
                      <w:p>
                        <w:pPr>
                          <w:pStyle w:val="TableParagraph"/>
                          <w:spacing w:line="242" w:lineRule="exact"/>
                          <w:ind w:left="134"/>
                          <w:rPr>
                            <w:sz w:val="21"/>
                          </w:rPr>
                        </w:pPr>
                        <w:r>
                          <w:rPr>
                            <w:sz w:val="21"/>
                          </w:rPr>
                          <w:t>的有关通知，均视为已送达给您。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41"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9. 5</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41" w:type="dxa"/>
                      </w:tcPr>
                      <w:p>
                        <w:pPr>
                          <w:pStyle w:val="TableParagraph"/>
                          <w:spacing w:line="250"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41"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1"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1"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34"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1" w:type="dxa"/>
                      </w:tcPr>
                      <w:p>
                        <w:pPr>
                          <w:pStyle w:val="TableParagraph"/>
                          <w:spacing w:line="215"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1" w:type="dxa"/>
                      </w:tcPr>
                      <w:p>
                        <w:pPr>
                          <w:pStyle w:val="TableParagraph"/>
                          <w:spacing w:line="240" w:lineRule="exact"/>
                          <w:ind w:left="134"/>
                          <w:rPr>
                            <w:sz w:val="21"/>
                          </w:rPr>
                        </w:pPr>
                        <w:r>
                          <w:rPr>
                            <w:rFonts w:ascii="Microsoft JhengHei" w:eastAsia="Microsoft JhengHei" w:hint="eastAsia"/>
                            <w:b/>
                            <w:sz w:val="21"/>
                          </w:rPr>
                          <w:t>险合同的现金价值。</w:t>
                        </w:r>
                        <w:r>
                          <w:rPr>
                            <w:sz w:val="21"/>
                          </w:rPr>
                          <w:t>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41"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9. 6</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41" w:type="dxa"/>
                      </w:tcPr>
                      <w:p>
                        <w:pPr>
                          <w:pStyle w:val="TableParagraph"/>
                          <w:spacing w:line="231"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1" w:type="dxa"/>
                      </w:tcPr>
                      <w:p>
                        <w:pPr>
                          <w:pStyle w:val="TableParagraph"/>
                          <w:spacing w:line="235" w:lineRule="exact"/>
                          <w:ind w:left="134"/>
                          <w:rPr>
                            <w:sz w:val="21"/>
                          </w:rPr>
                        </w:pPr>
                        <w:r>
                          <w:rPr>
                            <w:sz w:val="21"/>
                          </w:rPr>
                          <w:t>一种： </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1" w:type="dxa"/>
                      </w:tcPr>
                      <w:p>
                        <w:pPr>
                          <w:pStyle w:val="TableParagraph"/>
                          <w:spacing w:line="221" w:lineRule="exact"/>
                          <w:ind w:left="134"/>
                          <w:rPr>
                            <w:sz w:val="21"/>
                          </w:rPr>
                        </w:pPr>
                        <w:r>
                          <w:rPr>
                            <w:sz w:val="21"/>
                          </w:rPr>
                          <w:t>（1）因履行本附加险合同发生的争议，由双方协商解决，协商不成的，提交</w:t>
                        </w:r>
                      </w:p>
                    </w:tc>
                  </w:tr>
                </w:tbl>
                <w:p>
                  <w:pPr>
                    <w:pStyle w:val="BodyText"/>
                    <w:spacing w:line="240" w:lineRule="auto"/>
                    <w:ind w:left="0"/>
                  </w:pPr>
                </w:p>
              </w:txbxContent>
            </v:textbox>
            <w10:wrap type="none"/>
          </v:shape>
        </w:pict>
      </w:r>
      <w:r>
        <w:rPr/>
        <w:t>们会将多收的保险费退还给您。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5"/>
        <w:ind w:left="0"/>
        <w:rPr>
          <w:sz w:val="16"/>
        </w:rPr>
      </w:pPr>
    </w:p>
    <w:p>
      <w:pPr>
        <w:pStyle w:val="BodyText"/>
        <w:tabs>
          <w:tab w:pos="736" w:val="left" w:leader="none"/>
        </w:tabs>
        <w:spacing w:line="273" w:lineRule="exact"/>
        <w:ind w:left="0" w:right="901"/>
        <w:jc w:val="center"/>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934"/>
      </w:pPr>
      <w:r>
        <w:rPr/>
        <w:t>（2）因履行本附加险合同发生的争议，由双方协商解决，协商不成的，依法向</w:t>
      </w:r>
    </w:p>
    <w:p>
      <w:pPr>
        <w:pStyle w:val="BodyText"/>
        <w:spacing w:line="274" w:lineRule="exact"/>
        <w:ind w:left="0" w:right="1844"/>
        <w:jc w:val="center"/>
      </w:pPr>
      <w:r>
        <w:rPr/>
        <w:pict>
          <v:shape style="position:absolute;margin-left:45.799999pt;margin-top:12.518554pt;width:503.9pt;height:136.950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27"/>
                    <w:gridCol w:w="7605"/>
                  </w:tblGrid>
                  <w:tr>
                    <w:trPr>
                      <w:trHeight w:val="620" w:hRule="atLeast"/>
                    </w:trPr>
                    <w:tc>
                      <w:tcPr>
                        <w:tcW w:w="746" w:type="dxa"/>
                      </w:tcPr>
                      <w:p>
                        <w:pPr>
                          <w:pStyle w:val="TableParagraph"/>
                          <w:spacing w:line="194" w:lineRule="exact"/>
                          <w:ind w:left="104"/>
                          <w:rPr>
                            <w:sz w:val="21"/>
                          </w:rPr>
                        </w:pPr>
                        <w:r>
                          <w:rPr>
                            <w:w w:val="100"/>
                            <w:sz w:val="21"/>
                          </w:rPr>
                          <w:t> </w:t>
                        </w:r>
                      </w:p>
                      <w:p>
                        <w:pPr>
                          <w:pStyle w:val="TableParagraph"/>
                          <w:spacing w:line="406" w:lineRule="exact"/>
                          <w:ind w:left="107"/>
                          <w:rPr>
                            <w:rFonts w:ascii="Times New Roman"/>
                            <w:b/>
                            <w:sz w:val="40"/>
                          </w:rPr>
                        </w:pPr>
                        <w:r>
                          <w:rPr>
                            <w:rFonts w:ascii="Times New Roman"/>
                            <w:b/>
                            <w:w w:val="100"/>
                            <w:sz w:val="40"/>
                          </w:rPr>
                          <w:t>~</w:t>
                        </w:r>
                      </w:p>
                    </w:tc>
                    <w:tc>
                      <w:tcPr>
                        <w:tcW w:w="1727" w:type="dxa"/>
                      </w:tcPr>
                      <w:p>
                        <w:pPr>
                          <w:pStyle w:val="TableParagraph"/>
                          <w:spacing w:line="182" w:lineRule="exact"/>
                          <w:ind w:left="114"/>
                          <w:rPr>
                            <w:sz w:val="21"/>
                          </w:rPr>
                        </w:pPr>
                        <w:r>
                          <w:rPr>
                            <w:w w:val="100"/>
                            <w:sz w:val="21"/>
                          </w:rPr>
                          <w:t> </w:t>
                        </w:r>
                      </w:p>
                      <w:p>
                        <w:pPr>
                          <w:pStyle w:val="TableParagraph"/>
                          <w:spacing w:line="389" w:lineRule="exact"/>
                          <w:ind w:left="114"/>
                          <w:rPr>
                            <w:rFonts w:ascii="Microsoft JhengHei" w:eastAsia="Microsoft JhengHei" w:hint="eastAsia"/>
                            <w:b/>
                            <w:sz w:val="24"/>
                          </w:rPr>
                        </w:pPr>
                        <w:r>
                          <w:rPr>
                            <w:rFonts w:ascii="Microsoft JhengHei" w:eastAsia="Microsoft JhengHei" w:hint="eastAsia"/>
                            <w:b/>
                            <w:sz w:val="24"/>
                          </w:rPr>
                          <w:t>释义</w:t>
                        </w:r>
                      </w:p>
                    </w:tc>
                    <w:tc>
                      <w:tcPr>
                        <w:tcW w:w="7605" w:type="dxa"/>
                      </w:tcPr>
                      <w:p>
                        <w:pPr>
                          <w:pStyle w:val="TableParagraph"/>
                          <w:spacing w:line="211" w:lineRule="exact"/>
                          <w:ind w:left="345"/>
                          <w:rPr>
                            <w:sz w:val="21"/>
                          </w:rPr>
                        </w:pPr>
                        <w:r>
                          <w:rPr>
                            <w:w w:val="100"/>
                            <w:sz w:val="21"/>
                          </w:rPr>
                          <w:t> </w:t>
                        </w:r>
                      </w:p>
                    </w:tc>
                  </w:tr>
                  <w:tr>
                    <w:trPr>
                      <w:trHeight w:val="205" w:hRule="atLeast"/>
                    </w:trPr>
                    <w:tc>
                      <w:tcPr>
                        <w:tcW w:w="746" w:type="dxa"/>
                      </w:tcPr>
                      <w:p>
                        <w:pPr>
                          <w:pStyle w:val="TableParagraph"/>
                          <w:spacing w:line="185" w:lineRule="exact"/>
                          <w:ind w:left="104"/>
                          <w:rPr>
                            <w:sz w:val="21"/>
                          </w:rPr>
                        </w:pPr>
                        <w:r>
                          <w:rPr>
                            <w:w w:val="100"/>
                            <w:sz w:val="21"/>
                          </w:rPr>
                          <w:t> </w:t>
                        </w:r>
                      </w:p>
                    </w:tc>
                    <w:tc>
                      <w:tcPr>
                        <w:tcW w:w="1727" w:type="dxa"/>
                      </w:tcPr>
                      <w:p>
                        <w:pPr>
                          <w:pStyle w:val="TableParagraph"/>
                          <w:spacing w:line="185" w:lineRule="exact"/>
                          <w:ind w:left="114"/>
                          <w:rPr>
                            <w:sz w:val="21"/>
                          </w:rPr>
                        </w:pPr>
                        <w:r>
                          <w:rPr>
                            <w:w w:val="100"/>
                            <w:sz w:val="21"/>
                          </w:rPr>
                          <w:t> </w:t>
                        </w:r>
                      </w:p>
                    </w:tc>
                    <w:tc>
                      <w:tcPr>
                        <w:tcW w:w="7605" w:type="dxa"/>
                      </w:tcPr>
                      <w:p>
                        <w:pPr>
                          <w:pStyle w:val="TableParagraph"/>
                          <w:spacing w:line="185"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rFonts w:ascii="Microsoft JhengHei"/>
                            <w:b/>
                            <w:sz w:val="21"/>
                          </w:rPr>
                        </w:pPr>
                        <w:r>
                          <w:rPr>
                            <w:rFonts w:ascii="Microsoft JhengHei"/>
                            <w:b/>
                            <w:w w:val="90"/>
                            <w:sz w:val="21"/>
                          </w:rPr>
                          <w:t>10. 1</w:t>
                        </w:r>
                      </w:p>
                    </w:tc>
                    <w:tc>
                      <w:tcPr>
                        <w:tcW w:w="1727" w:type="dxa"/>
                      </w:tcPr>
                      <w:p>
                        <w:pPr>
                          <w:pStyle w:val="TableParagraph"/>
                          <w:spacing w:line="250" w:lineRule="exact"/>
                          <w:ind w:left="114"/>
                          <w:rPr>
                            <w:sz w:val="21"/>
                          </w:rPr>
                        </w:pPr>
                        <w:r>
                          <w:rPr>
                            <w:rFonts w:ascii="Microsoft JhengHei" w:eastAsia="Microsoft JhengHei" w:hint="eastAsia"/>
                            <w:b/>
                            <w:sz w:val="21"/>
                          </w:rPr>
                          <w:t>周岁</w:t>
                        </w:r>
                        <w:r>
                          <w:rPr>
                            <w:sz w:val="21"/>
                          </w:rPr>
                          <w:t>  </w:t>
                        </w:r>
                      </w:p>
                    </w:tc>
                    <w:tc>
                      <w:tcPr>
                        <w:tcW w:w="7605" w:type="dxa"/>
                      </w:tcPr>
                      <w:p>
                        <w:pPr>
                          <w:pStyle w:val="TableParagraph"/>
                          <w:spacing w:line="233" w:lineRule="exact"/>
                          <w:ind w:left="345"/>
                          <w:rPr>
                            <w:sz w:val="21"/>
                          </w:rPr>
                        </w:pPr>
                        <w:r>
                          <w:rPr>
                            <w:sz w:val="21"/>
                          </w:rPr>
                          <w:t>指按有效身份证件中记载的出生日期计算的年龄，自出生之日起为 0 周岁，每</w:t>
                        </w:r>
                      </w:p>
                    </w:tc>
                  </w:tr>
                  <w:tr>
                    <w:trPr>
                      <w:trHeight w:val="434" w:hRule="atLeast"/>
                    </w:trPr>
                    <w:tc>
                      <w:tcPr>
                        <w:tcW w:w="746" w:type="dxa"/>
                      </w:tcPr>
                      <w:p>
                        <w:pPr>
                          <w:pStyle w:val="TableParagraph"/>
                          <w:rPr>
                            <w:rFonts w:ascii="Times New Roman"/>
                            <w:sz w:val="20"/>
                          </w:rPr>
                        </w:pPr>
                      </w:p>
                    </w:tc>
                    <w:tc>
                      <w:tcPr>
                        <w:tcW w:w="1727" w:type="dxa"/>
                      </w:tcPr>
                      <w:p>
                        <w:pPr>
                          <w:pStyle w:val="TableParagraph"/>
                          <w:rPr>
                            <w:rFonts w:ascii="Times New Roman"/>
                            <w:sz w:val="20"/>
                          </w:rPr>
                        </w:pPr>
                      </w:p>
                    </w:tc>
                    <w:tc>
                      <w:tcPr>
                        <w:tcW w:w="7605" w:type="dxa"/>
                      </w:tcPr>
                      <w:p>
                        <w:pPr>
                          <w:pStyle w:val="TableParagraph"/>
                          <w:spacing w:line="191" w:lineRule="exact"/>
                          <w:ind w:left="345"/>
                          <w:rPr>
                            <w:sz w:val="21"/>
                          </w:rPr>
                        </w:pPr>
                        <w:r>
                          <w:rPr>
                            <w:sz w:val="21"/>
                          </w:rPr>
                          <w:t>经过 1 年增加 1 岁，不足 1 年的不计。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5" w:type="dxa"/>
                      </w:tcPr>
                      <w:p>
                        <w:pPr>
                          <w:pStyle w:val="TableParagraph"/>
                          <w:spacing w:line="231" w:lineRule="exact"/>
                          <w:ind w:left="345"/>
                          <w:rPr>
                            <w:sz w:val="21"/>
                          </w:rPr>
                        </w:pPr>
                        <w:r>
                          <w:rPr>
                            <w:sz w:val="21"/>
                          </w:rPr>
                          <w:t>指由政府主管部门规定的证明其身份的证件，如：居民身份证、按规定可使用</w:t>
                        </w:r>
                      </w:p>
                    </w:tc>
                  </w:tr>
                  <w:tr>
                    <w:trPr>
                      <w:trHeight w:val="434" w:hRule="atLeast"/>
                    </w:trPr>
                    <w:tc>
                      <w:tcPr>
                        <w:tcW w:w="746" w:type="dxa"/>
                      </w:tcPr>
                      <w:p>
                        <w:pPr>
                          <w:pStyle w:val="TableParagraph"/>
                          <w:rPr>
                            <w:rFonts w:ascii="Times New Roman"/>
                            <w:sz w:val="20"/>
                          </w:rPr>
                        </w:pPr>
                      </w:p>
                    </w:tc>
                    <w:tc>
                      <w:tcPr>
                        <w:tcW w:w="1727" w:type="dxa"/>
                      </w:tcPr>
                      <w:p>
                        <w:pPr>
                          <w:pStyle w:val="TableParagraph"/>
                          <w:rPr>
                            <w:rFonts w:ascii="Times New Roman"/>
                            <w:sz w:val="20"/>
                          </w:rPr>
                        </w:pPr>
                      </w:p>
                    </w:tc>
                    <w:tc>
                      <w:tcPr>
                        <w:tcW w:w="7605" w:type="dxa"/>
                      </w:tcPr>
                      <w:p>
                        <w:pPr>
                          <w:pStyle w:val="TableParagraph"/>
                          <w:spacing w:line="191" w:lineRule="exact"/>
                          <w:ind w:left="345"/>
                          <w:rPr>
                            <w:sz w:val="21"/>
                          </w:rPr>
                        </w:pPr>
                        <w:r>
                          <w:rPr>
                            <w:sz w:val="21"/>
                          </w:rPr>
                          <w:t>的有效护照、军官证、警官证、士兵证、户口簿等证件。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605" w:type="dxa"/>
                      </w:tcPr>
                      <w:p>
                        <w:pPr>
                          <w:pStyle w:val="TableParagraph"/>
                          <w:spacing w:line="233" w:lineRule="exact"/>
                          <w:ind w:left="345"/>
                          <w:rPr>
                            <w:sz w:val="21"/>
                          </w:rPr>
                        </w:pPr>
                        <w:r>
                          <w:rPr>
                            <w:sz w:val="21"/>
                          </w:rPr>
                          <w:t>除本附加险合同另有约定外，指符合下列所有条件的机构： </w:t>
                        </w:r>
                      </w:p>
                    </w:tc>
                  </w:tr>
                  <w:tr>
                    <w:trPr>
                      <w:trHeight w:val="233" w:hRule="atLeast"/>
                    </w:trPr>
                    <w:tc>
                      <w:tcPr>
                        <w:tcW w:w="746" w:type="dxa"/>
                      </w:tcPr>
                      <w:p>
                        <w:pPr>
                          <w:pStyle w:val="TableParagraph"/>
                          <w:rPr>
                            <w:rFonts w:ascii="Times New Roman"/>
                            <w:sz w:val="16"/>
                          </w:rPr>
                        </w:pPr>
                      </w:p>
                    </w:tc>
                    <w:tc>
                      <w:tcPr>
                        <w:tcW w:w="1727" w:type="dxa"/>
                      </w:tcPr>
                      <w:p>
                        <w:pPr>
                          <w:pStyle w:val="TableParagraph"/>
                          <w:rPr>
                            <w:rFonts w:ascii="Times New Roman"/>
                            <w:sz w:val="16"/>
                          </w:rPr>
                        </w:pPr>
                      </w:p>
                    </w:tc>
                    <w:tc>
                      <w:tcPr>
                        <w:tcW w:w="7605"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spacing w:line="240" w:lineRule="auto"/>
                    <w:ind w:left="0"/>
                  </w:pPr>
                </w:p>
              </w:txbxContent>
            </v:textbox>
            <w10:wrap type="none"/>
          </v:shape>
        </w:pict>
      </w:r>
      <w:r>
        <w:rPr/>
        <w:t>人民法院起诉。 </w:t>
      </w:r>
    </w:p>
    <w:p>
      <w:pPr>
        <w:pStyle w:val="BodyText"/>
        <w:spacing w:line="240" w:lineRule="auto"/>
        <w:ind w:left="0"/>
        <w:rPr>
          <w:sz w:val="20"/>
        </w:rPr>
      </w:pPr>
    </w:p>
    <w:p>
      <w:pPr>
        <w:pStyle w:val="BodyText"/>
        <w:spacing w:line="240" w:lineRule="auto" w:before="10"/>
        <w:ind w:left="0"/>
        <w:rPr>
          <w:sz w:val="23"/>
        </w:rPr>
      </w:pPr>
      <w:r>
        <w:rPr/>
        <w:pict>
          <v:group style="position:absolute;margin-left:45.599998pt;margin-top:17.56567pt;width:504pt;height:1pt;mso-position-horizontal-relative:page;mso-position-vertical-relative:paragraph;z-index:1432;mso-wrap-distance-left:0;mso-wrap-distance-right:0" coordorigin="912,351" coordsize="10080,20">
            <v:line style="position:absolute" from="912,361" to="1668,361" stroked="true" strokeweight=".96pt" strokecolor="#000000">
              <v:stroke dashstyle="solid"/>
            </v:line>
            <v:rect style="position:absolute;left:1668;top:351;width:20;height:20" filled="true" fillcolor="#000000" stroked="false">
              <v:fill type="solid"/>
            </v:rect>
            <v:line style="position:absolute" from="1687,361" to="3624,361" stroked="true" strokeweight=".96pt" strokecolor="#000000">
              <v:stroke dashstyle="solid"/>
            </v:line>
            <v:rect style="position:absolute;left:3624;top:351;width:20;height:20" filled="true" fillcolor="#000000" stroked="false">
              <v:fill type="solid"/>
            </v:rect>
            <v:line style="position:absolute" from="3643,361" to="10992,361" stroked="true" strokeweight=".96pt" strokecolor="#000000">
              <v:stroke dashstyle="solid"/>
            </v:line>
            <w10:wrap type="topAndBottom"/>
          </v:group>
        </w:pic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2"/>
        <w:ind w:left="0"/>
        <w:rPr>
          <w:sz w:val="16"/>
        </w:rPr>
      </w:pPr>
    </w:p>
    <w:p>
      <w:pPr>
        <w:pStyle w:val="BodyText"/>
        <w:spacing w:line="237" w:lineRule="auto"/>
        <w:ind w:left="3459" w:right="203"/>
      </w:pPr>
      <w:r>
        <w:rPr>
          <w:spacing w:val="-8"/>
        </w:rPr>
        <w:t>综合医院和专科医院中的观察室、联合病床、康复病房、家庭长期护理病</w:t>
      </w:r>
      <w:r>
        <w:rPr>
          <w:spacing w:val="-2"/>
        </w:rPr>
        <w:t>床除外)；</w:t>
      </w:r>
      <w:r>
        <w:rPr/>
        <w:t> </w:t>
      </w:r>
    </w:p>
    <w:p>
      <w:pPr>
        <w:pStyle w:val="BodyText"/>
        <w:ind w:left="2934"/>
      </w:pPr>
      <w:r>
        <w:rPr/>
        <w:t>（2）不包括精神病院、私人诊所，以及作为康复、疗养、护理、戒酒、戒毒或</w:t>
      </w:r>
    </w:p>
    <w:p>
      <w:pPr>
        <w:pStyle w:val="BodyText"/>
        <w:spacing w:line="252" w:lineRule="exact"/>
        <w:ind w:left="0" w:right="1592"/>
        <w:jc w:val="center"/>
      </w:pPr>
      <w:r>
        <w:rPr/>
        <w:t>类似的医疗机构。 </w:t>
      </w:r>
    </w:p>
    <w:p>
      <w:pPr>
        <w:pStyle w:val="BodyText"/>
        <w:spacing w:line="211" w:lineRule="exact"/>
        <w:ind w:left="2934"/>
      </w:pPr>
      <w:r>
        <w:rPr>
          <w:w w:val="100"/>
        </w:rPr>
        <w:t> </w:t>
      </w:r>
    </w:p>
    <w:p>
      <w:pPr>
        <w:spacing w:after="0" w:line="211" w:lineRule="exact"/>
        <w:sectPr>
          <w:pgSz w:w="11900" w:h="16840"/>
          <w:pgMar w:header="0" w:footer="457" w:top="1040" w:bottom="640" w:left="800" w:right="800"/>
        </w:sectPr>
      </w:pPr>
    </w:p>
    <w:p>
      <w:pPr>
        <w:tabs>
          <w:tab w:pos="915" w:val="left" w:leader="none"/>
          <w:tab w:pos="2874" w:val="left" w:leader="none"/>
        </w:tabs>
        <w:spacing w:line="273" w:lineRule="exact" w:before="0"/>
        <w:ind w:left="160" w:right="0" w:firstLine="0"/>
        <w:jc w:val="left"/>
        <w:rPr>
          <w:sz w:val="21"/>
        </w:rPr>
      </w:pPr>
      <w:r>
        <w:rPr/>
        <w:pict>
          <v:shape style="position:absolute;margin-left:48.5pt;margin-top:94.925003pt;width:506.25pt;height:676.35pt;mso-position-horizontal-relative:page;mso-position-vertical-relative:page;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224" w:hRule="atLeast"/>
                    </w:trPr>
                    <w:tc>
                      <w:tcPr>
                        <w:tcW w:w="481" w:type="dxa"/>
                      </w:tcPr>
                      <w:p>
                        <w:pPr>
                          <w:pStyle w:val="TableParagraph"/>
                          <w:spacing w:line="205" w:lineRule="exact"/>
                          <w:ind w:left="50"/>
                          <w:rPr>
                            <w:sz w:val="21"/>
                          </w:rPr>
                        </w:pPr>
                        <w:r>
                          <w:rPr>
                            <w:w w:val="100"/>
                            <w:sz w:val="21"/>
                          </w:rPr>
                          <w:t> </w:t>
                        </w:r>
                      </w:p>
                    </w:tc>
                    <w:tc>
                      <w:tcPr>
                        <w:tcW w:w="2147" w:type="dxa"/>
                      </w:tcPr>
                      <w:p>
                        <w:pPr>
                          <w:pStyle w:val="TableParagraph"/>
                          <w:spacing w:line="205" w:lineRule="exact"/>
                          <w:ind w:left="325"/>
                          <w:rPr>
                            <w:sz w:val="21"/>
                          </w:rPr>
                        </w:pPr>
                        <w:r>
                          <w:rPr>
                            <w:w w:val="100"/>
                            <w:sz w:val="21"/>
                          </w:rPr>
                          <w:t> </w:t>
                        </w:r>
                      </w:p>
                    </w:tc>
                    <w:tc>
                      <w:tcPr>
                        <w:tcW w:w="7497" w:type="dxa"/>
                      </w:tcPr>
                      <w:p>
                        <w:pPr>
                          <w:pStyle w:val="TableParagraph"/>
                          <w:spacing w:line="205" w:lineRule="exact"/>
                          <w:ind w:left="136"/>
                          <w:rPr>
                            <w:sz w:val="21"/>
                          </w:rPr>
                        </w:pPr>
                        <w:r>
                          <w:rPr>
                            <w:w w:val="100"/>
                            <w:sz w:val="21"/>
                          </w:rPr>
                          <w:t> </w:t>
                        </w:r>
                      </w:p>
                    </w:tc>
                  </w:tr>
                  <w:tr>
                    <w:trPr>
                      <w:trHeight w:val="261" w:hRule="atLeast"/>
                    </w:trPr>
                    <w:tc>
                      <w:tcPr>
                        <w:tcW w:w="481" w:type="dxa"/>
                      </w:tcPr>
                      <w:p>
                        <w:pPr>
                          <w:pStyle w:val="TableParagraph"/>
                          <w:spacing w:line="231" w:lineRule="exact"/>
                          <w:ind w:left="50"/>
                          <w:rPr>
                            <w:sz w:val="21"/>
                          </w:rPr>
                        </w:pPr>
                        <w:r>
                          <w:rPr>
                            <w:w w:val="100"/>
                            <w:sz w:val="21"/>
                          </w:rPr>
                          <w:t> </w:t>
                        </w:r>
                      </w:p>
                    </w:tc>
                    <w:tc>
                      <w:tcPr>
                        <w:tcW w:w="2147" w:type="dxa"/>
                      </w:tcPr>
                      <w:p>
                        <w:pPr>
                          <w:pStyle w:val="TableParagraph"/>
                          <w:spacing w:line="236" w:lineRule="exact"/>
                          <w:ind w:left="325"/>
                          <w:rPr>
                            <w:rFonts w:ascii="Microsoft JhengHei" w:eastAsia="Microsoft JhengHei" w:hint="eastAsia"/>
                            <w:b/>
                            <w:sz w:val="21"/>
                          </w:rPr>
                        </w:pPr>
                        <w:r>
                          <w:rPr>
                            <w:rFonts w:ascii="Microsoft JhengHei" w:eastAsia="Microsoft JhengHei" w:hint="eastAsia"/>
                            <w:b/>
                            <w:sz w:val="21"/>
                          </w:rPr>
                          <w:t>少儿阶段重大疾病</w:t>
                        </w:r>
                      </w:p>
                    </w:tc>
                    <w:tc>
                      <w:tcPr>
                        <w:tcW w:w="7497" w:type="dxa"/>
                      </w:tcPr>
                      <w:p>
                        <w:pPr>
                          <w:pStyle w:val="TableParagraph"/>
                          <w:spacing w:line="231" w:lineRule="exact"/>
                          <w:ind w:left="136"/>
                          <w:rPr>
                            <w:sz w:val="21"/>
                          </w:rPr>
                        </w:pPr>
                        <w:r>
                          <w:rPr>
                            <w:spacing w:val="-22"/>
                            <w:sz w:val="21"/>
                          </w:rPr>
                          <w:t>“1</w:t>
                        </w:r>
                        <w:r>
                          <w:rPr>
                            <w:spacing w:val="-35"/>
                            <w:sz w:val="21"/>
                          </w:rPr>
                          <w:t>”至“</w:t>
                        </w:r>
                        <w:r>
                          <w:rPr>
                            <w:spacing w:val="-17"/>
                            <w:sz w:val="21"/>
                          </w:rPr>
                          <w:t>19</w:t>
                        </w:r>
                        <w:r>
                          <w:rPr>
                            <w:spacing w:val="-8"/>
                            <w:sz w:val="21"/>
                          </w:rPr>
                          <w:t>”项所列重大疾病名称及疾病定义由中国保险行业协会统一制定</w:t>
                        </w:r>
                        <w:r>
                          <w:rPr>
                            <w:spacing w:val="-3"/>
                            <w:sz w:val="21"/>
                          </w:rPr>
                          <w:t>（见</w:t>
                        </w:r>
                      </w:p>
                    </w:tc>
                  </w:tr>
                  <w:tr>
                    <w:trPr>
                      <w:trHeight w:val="27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41"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20”</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至“28”项重大疾病名称及疾病定义由我们自行制定使用。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指恶性细胞不受控制的进行性增长和扩散，浸润和破坏周围正常组织，可以经</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血管、淋巴管和体腔扩散转移到身体其它部位的疾病。经病理学检查结果明确</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诊断，临床诊断属于世界卫生组织《疾病和有关健康问题的国际统计分类》</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（ICD-10）的恶性肿瘤范畴。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（5）TNM分期为T1N0M0期或更轻分期的前列腺癌；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（6）感染艾滋病病毒或患艾滋病期间所患恶性肿瘤。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2、重大器官移植术或造血干细胞移植术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重大器官移植术，指因相应器官功能衰竭，已经实施了肾脏、肝脏、心脏或肺</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脏的异体移植手术。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造血干细胞移植术，指因造血功能损害或造血系统恶性肿瘤，已经实施了造血</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干细胞（包括骨髓造血干细胞、外周血造血干细胞和脐血造血干细胞）的异体</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移植手术。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3、终末期肾病（或称慢性肾功能衰竭尿毒症期）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指双肾功能慢性不可逆性衰竭，达到尿毒症期，经诊断后已经进行了至少90天</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的规律性透析治疗或实施了肾脏移植手术。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4、多个肢体缺失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指因疾病或意外伤害导致两个或两个以上肢体自腕关节或踝关节近端（靠近躯</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干端）以上完全性断离。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5、急性或亚急性重症肝炎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指因肝炎病毒感染引起肝脏组织弥漫性坏死，导致急性肝功能衰竭，且经血清</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学或病毒学检查证实，并须满足下列全部条件：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（1）重度黄疸或黄疸迅速加重；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（2）肝性脑病；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（3）B超或其它影像学检查显示肝脏体积急速萎缩；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（4）肝功能指标进行性恶化。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6、良性脑肿瘤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指脑的良性肿瘤，已经引起颅内压增高，临床表现为视神经乳头水肿、精神症</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pacing w:val="-7"/>
                            <w:w w:val="100"/>
                            <w:sz w:val="21"/>
                          </w:rPr>
                          <w:t>状、癫痫及运动感觉障碍等，并危及生命。须由头颅断层扫描</w:t>
                        </w:r>
                        <w:r>
                          <w:rPr>
                            <w:w w:val="100"/>
                            <w:sz w:val="21"/>
                          </w:rPr>
                          <w:t>（CT</w:t>
                        </w:r>
                        <w:r>
                          <w:rPr>
                            <w:spacing w:val="-108"/>
                            <w:w w:val="100"/>
                            <w:sz w:val="21"/>
                          </w:rPr>
                          <w:t>）</w:t>
                        </w:r>
                        <w:r>
                          <w:rPr>
                            <w:spacing w:val="-4"/>
                            <w:w w:val="100"/>
                            <w:sz w:val="21"/>
                          </w:rPr>
                          <w:t>、核磁共振</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检查（MRI）或正电子发射断层扫描（PET）等影像学检查证实，并须满足下列</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至少一项条件：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（1）实际实施了开颅进行的脑肿瘤完全切除或部分切除的手术；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（2）实际实施了对脑肿瘤进行的放射治疗。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脑垂体瘤、脑囊肿、脑血管性疾病不在保障范围内。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7、慢性肝功能衰竭失代偿期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指因慢性肝脏疾病导致肝功能衰竭。须满足下列全部条件：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（1）持续性黄疸；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（2）腹水；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（3）肝性脑病；  </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（4）充血性脾肿大伴脾功能亢进或食管胃底静脉曲张。  </w:t>
                        </w:r>
                      </w:p>
                    </w:tc>
                  </w:tr>
                  <w:tr>
                    <w:trPr>
                      <w:trHeight w:val="241" w:hRule="atLeast"/>
                    </w:trPr>
                    <w:tc>
                      <w:tcPr>
                        <w:tcW w:w="2628" w:type="dxa"/>
                        <w:gridSpan w:val="2"/>
                        <w:vMerge/>
                        <w:tcBorders>
                          <w:top w:val="nil"/>
                        </w:tcBorders>
                      </w:tcPr>
                      <w:p>
                        <w:pPr>
                          <w:rPr>
                            <w:sz w:val="2"/>
                            <w:szCs w:val="2"/>
                          </w:rPr>
                        </w:pPr>
                      </w:p>
                    </w:tc>
                    <w:tc>
                      <w:tcPr>
                        <w:tcW w:w="7497" w:type="dxa"/>
                      </w:tcPr>
                      <w:p>
                        <w:pPr>
                          <w:pStyle w:val="TableParagraph"/>
                          <w:spacing w:line="221" w:lineRule="exact"/>
                          <w:ind w:left="136"/>
                          <w:rPr>
                            <w:sz w:val="21"/>
                          </w:rPr>
                        </w:pPr>
                        <w:r>
                          <w:rPr>
                            <w:sz w:val="21"/>
                          </w:rPr>
                          <w:t>因酗酒或药物滥用导致的肝功能衰竭不在保障范围内。  </w:t>
                        </w:r>
                      </w:p>
                    </w:tc>
                  </w:tr>
                </w:tbl>
                <w:p>
                  <w:pPr>
                    <w:pStyle w:val="BodyText"/>
                    <w:spacing w:line="240" w:lineRule="auto"/>
                    <w:ind w:left="0"/>
                  </w:pPr>
                </w:p>
              </w:txbxContent>
            </v:textbox>
            <w10:wrap type="none"/>
          </v:shape>
        </w:pict>
      </w:r>
      <w:r>
        <w:rPr>
          <w:rFonts w:ascii="Microsoft JhengHei" w:eastAsia="Microsoft JhengHei" w:hint="eastAsia"/>
          <w:b/>
          <w:sz w:val="21"/>
        </w:rPr>
        <w:t>10.</w:t>
      </w:r>
      <w:r>
        <w:rPr>
          <w:rFonts w:ascii="Microsoft JhengHei" w:eastAsia="Microsoft JhengHei" w:hint="eastAsia"/>
          <w:b/>
          <w:spacing w:val="-35"/>
          <w:sz w:val="21"/>
        </w:rPr>
        <w:t> </w:t>
      </w:r>
      <w:r>
        <w:rPr>
          <w:rFonts w:ascii="Microsoft JhengHei" w:eastAsia="Microsoft JhengHei" w:hint="eastAsia"/>
          <w:b/>
          <w:sz w:val="21"/>
        </w:rPr>
        <w:t>4</w:t>
        <w:tab/>
        <w:t>重大疾病</w:t>
        <w:tab/>
      </w:r>
      <w:r>
        <w:rPr>
          <w:sz w:val="21"/>
        </w:rPr>
        <w:t>本条</w:t>
      </w:r>
      <w:r>
        <w:rPr>
          <w:spacing w:val="-3"/>
          <w:sz w:val="21"/>
        </w:rPr>
        <w:t>款</w:t>
      </w:r>
      <w:r>
        <w:rPr>
          <w:sz w:val="21"/>
        </w:rPr>
        <w:t>定</w:t>
      </w:r>
      <w:r>
        <w:rPr>
          <w:spacing w:val="-3"/>
          <w:sz w:val="21"/>
        </w:rPr>
        <w:t>义</w:t>
      </w:r>
      <w:r>
        <w:rPr>
          <w:sz w:val="21"/>
        </w:rPr>
        <w:t>的</w:t>
      </w:r>
      <w:r>
        <w:rPr>
          <w:spacing w:val="-3"/>
          <w:sz w:val="21"/>
        </w:rPr>
        <w:t>重</w:t>
      </w:r>
      <w:r>
        <w:rPr>
          <w:sz w:val="21"/>
        </w:rPr>
        <w:t>大</w:t>
      </w:r>
      <w:r>
        <w:rPr>
          <w:spacing w:val="-3"/>
          <w:sz w:val="21"/>
        </w:rPr>
        <w:t>疾</w:t>
      </w:r>
      <w:r>
        <w:rPr>
          <w:sz w:val="21"/>
        </w:rPr>
        <w:t>病</w:t>
      </w:r>
      <w:r>
        <w:rPr>
          <w:spacing w:val="-3"/>
          <w:sz w:val="21"/>
        </w:rPr>
        <w:t>包</w:t>
      </w:r>
      <w:r>
        <w:rPr>
          <w:sz w:val="21"/>
        </w:rPr>
        <w:t>括少</w:t>
      </w:r>
      <w:r>
        <w:rPr>
          <w:spacing w:val="-3"/>
          <w:sz w:val="21"/>
        </w:rPr>
        <w:t>儿</w:t>
      </w:r>
      <w:r>
        <w:rPr>
          <w:sz w:val="21"/>
        </w:rPr>
        <w:t>阶</w:t>
      </w:r>
      <w:r>
        <w:rPr>
          <w:spacing w:val="-3"/>
          <w:sz w:val="21"/>
        </w:rPr>
        <w:t>段</w:t>
      </w:r>
      <w:r>
        <w:rPr>
          <w:sz w:val="21"/>
        </w:rPr>
        <w:t>重</w:t>
      </w:r>
      <w:r>
        <w:rPr>
          <w:spacing w:val="-3"/>
          <w:sz w:val="21"/>
        </w:rPr>
        <w:t>大</w:t>
      </w:r>
      <w:r>
        <w:rPr>
          <w:sz w:val="21"/>
        </w:rPr>
        <w:t>疾</w:t>
      </w:r>
      <w:r>
        <w:rPr>
          <w:spacing w:val="-3"/>
          <w:sz w:val="21"/>
        </w:rPr>
        <w:t>病</w:t>
      </w:r>
      <w:r>
        <w:rPr>
          <w:sz w:val="21"/>
        </w:rPr>
        <w:t>和</w:t>
      </w:r>
      <w:r>
        <w:rPr>
          <w:spacing w:val="-3"/>
          <w:sz w:val="21"/>
        </w:rPr>
        <w:t>成</w:t>
      </w:r>
      <w:r>
        <w:rPr>
          <w:sz w:val="21"/>
        </w:rPr>
        <w:t>人阶</w:t>
      </w:r>
      <w:r>
        <w:rPr>
          <w:spacing w:val="-3"/>
          <w:sz w:val="21"/>
        </w:rPr>
        <w:t>段</w:t>
      </w:r>
      <w:r>
        <w:rPr>
          <w:sz w:val="21"/>
        </w:rPr>
        <w:t>重</w:t>
      </w:r>
      <w:r>
        <w:rPr>
          <w:spacing w:val="-3"/>
          <w:sz w:val="21"/>
        </w:rPr>
        <w:t>大</w:t>
      </w:r>
      <w:r>
        <w:rPr>
          <w:sz w:val="21"/>
        </w:rPr>
        <w:t>疾</w:t>
      </w:r>
      <w:r>
        <w:rPr>
          <w:spacing w:val="-3"/>
          <w:sz w:val="21"/>
        </w:rPr>
        <w:t>病。</w:t>
      </w:r>
    </w:p>
    <w:p>
      <w:pPr>
        <w:pStyle w:val="BodyText"/>
        <w:spacing w:line="306" w:lineRule="exact"/>
        <w:ind w:left="2874"/>
      </w:pPr>
      <w:r>
        <w:rPr/>
        <w:t>被保险人发生符合以下疾病定义所述条件的疾病，应当由</w:t>
      </w:r>
      <w:r>
        <w:rPr>
          <w:rFonts w:ascii="Microsoft JhengHei" w:eastAsia="Microsoft JhengHei" w:hint="eastAsia"/>
          <w:b/>
        </w:rPr>
        <w:t>专科医生</w:t>
      </w:r>
      <w:r>
        <w:rPr/>
        <w:t>（见 10.15）</w:t>
      </w:r>
    </w:p>
    <w:p>
      <w:pPr>
        <w:pStyle w:val="BodyText"/>
        <w:spacing w:line="261" w:lineRule="exact"/>
        <w:ind w:left="2874"/>
      </w:pPr>
      <w:r>
        <w:rPr/>
        <w:t>明确诊断。</w:t>
      </w:r>
    </w:p>
    <w:p>
      <w:pPr>
        <w:spacing w:after="0" w:line="261" w:lineRule="exact"/>
        <w:sectPr>
          <w:pgSz w:w="11900" w:h="16840"/>
          <w:pgMar w:header="0" w:footer="457" w:top="1080" w:bottom="640" w:left="860" w:right="700"/>
        </w:sectPr>
      </w:pPr>
    </w:p>
    <w:p>
      <w:pPr>
        <w:pStyle w:val="BodyText"/>
        <w:spacing w:line="274" w:lineRule="exact" w:before="20"/>
      </w:pPr>
      <w:r>
        <w:rPr/>
        <w:t>8、脑炎后遗症或脑膜炎后遗症  </w:t>
      </w:r>
    </w:p>
    <w:p>
      <w:pPr>
        <w:pStyle w:val="BodyText"/>
      </w:pPr>
      <w:r>
        <w:rPr/>
        <w:t>指因患脑炎或脑膜炎导致的神经系统永久性的功能障碍。神经系统永久性的功</w:t>
      </w:r>
    </w:p>
    <w:p>
      <w:pPr>
        <w:pStyle w:val="BodyText"/>
        <w:spacing w:line="239" w:lineRule="exact"/>
      </w:pPr>
      <w:r>
        <w:rPr/>
        <w:t>能障碍，指疾病确诊180天后，仍遗留下列一种或一种以上障碍：  </w:t>
      </w:r>
    </w:p>
    <w:p>
      <w:pPr>
        <w:spacing w:line="284" w:lineRule="exact" w:before="0"/>
        <w:ind w:left="2054"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line="272" w:lineRule="exact" w:before="0"/>
        <w:ind w:left="2054"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line="306" w:lineRule="exact" w:before="0"/>
        <w:ind w:left="2054"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（见10.18）</w:t>
      </w:r>
    </w:p>
    <w:p>
      <w:pPr>
        <w:pStyle w:val="BodyText"/>
        <w:spacing w:line="260" w:lineRule="exact"/>
      </w:pPr>
      <w:r>
        <w:rPr/>
        <w:t>中的三项或三项以上。  </w:t>
      </w:r>
    </w:p>
    <w:p>
      <w:pPr>
        <w:pStyle w:val="BodyText"/>
      </w:pPr>
      <w:r>
        <w:rPr/>
        <w:t>9、深度昏迷  </w:t>
      </w:r>
    </w:p>
    <w:p>
      <w:pPr>
        <w:pStyle w:val="BodyText"/>
        <w:spacing w:line="237" w:lineRule="auto" w:before="1"/>
        <w:ind w:right="28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spacing w:line="239" w:lineRule="exact"/>
      </w:pPr>
      <w:r>
        <w:rPr/>
        <w:t>10、双耳失聪  </w:t>
      </w:r>
    </w:p>
    <w:p>
      <w:pPr>
        <w:pStyle w:val="BodyText"/>
        <w:spacing w:line="318" w:lineRule="exact"/>
      </w:pPr>
      <w:r>
        <w:rPr/>
        <w:t>指因疾病或意外伤害导致双耳听力</w:t>
      </w:r>
      <w:r>
        <w:rPr>
          <w:rFonts w:ascii="Microsoft JhengHei" w:eastAsia="Microsoft JhengHei" w:hint="eastAsia"/>
          <w:b/>
        </w:rPr>
        <w:t>永久不可逆</w:t>
      </w:r>
      <w:r>
        <w:rPr/>
        <w:t>（见10.19）性丧失，在500赫兹、</w:t>
      </w:r>
    </w:p>
    <w:p>
      <w:pPr>
        <w:pStyle w:val="BodyText"/>
        <w:spacing w:line="274" w:lineRule="exact" w:before="12"/>
        <w:ind w:right="278"/>
      </w:pPr>
      <w:r>
        <w:rPr/>
        <w:t>1000赫兹和2000赫兹语音频率下，平均听阈大于90分贝，且经纯音听力测试、声导抗检测或听觉诱发电位检测等证实。  </w:t>
      </w:r>
    </w:p>
    <w:p>
      <w:pPr>
        <w:pStyle w:val="BodyText"/>
        <w:spacing w:line="245" w:lineRule="exact"/>
      </w:pPr>
      <w:r>
        <w:rPr/>
        <w:t>保障范围不包括3周岁以下儿童。  </w:t>
      </w:r>
    </w:p>
    <w:p>
      <w:pPr>
        <w:pStyle w:val="BodyText"/>
      </w:pPr>
      <w:r>
        <w:rPr/>
        <w:t>11、双目失明  </w:t>
      </w:r>
    </w:p>
    <w:p>
      <w:pPr>
        <w:pStyle w:val="BodyText"/>
        <w:spacing w:line="240" w:lineRule="auto"/>
        <w:ind w:right="221"/>
      </w:pPr>
      <w:r>
        <w:rPr/>
        <w:t>指因疾病或意外伤害导致双眼视力永久不可逆性丧失，双眼中较好眼须满足下列至少一项条件：  </w:t>
      </w:r>
    </w:p>
    <w:p>
      <w:pPr>
        <w:pStyle w:val="BodyText"/>
        <w:spacing w:line="271" w:lineRule="exact" w:before="2"/>
      </w:pPr>
      <w:r>
        <w:rPr/>
        <w:t>（1）眼球缺失或摘除；  </w:t>
      </w:r>
    </w:p>
    <w:p>
      <w:pPr>
        <w:pStyle w:val="BodyText"/>
        <w:spacing w:line="237" w:lineRule="auto" w:before="1"/>
        <w:ind w:right="221"/>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line="271" w:lineRule="exact"/>
      </w:pPr>
      <w:r>
        <w:rPr/>
        <w:t>（3）视野半径小于5度。  </w:t>
      </w:r>
    </w:p>
    <w:p>
      <w:pPr>
        <w:pStyle w:val="BodyText"/>
      </w:pPr>
      <w:r>
        <w:rPr/>
        <w:t>保障范围不包括3周岁以下儿童。  </w:t>
      </w:r>
    </w:p>
    <w:p>
      <w:pPr>
        <w:pStyle w:val="BodyText"/>
      </w:pPr>
      <w:r>
        <w:rPr/>
        <w:t>12、瘫痪  </w:t>
      </w:r>
    </w:p>
    <w:p>
      <w:pPr>
        <w:pStyle w:val="BodyText"/>
        <w:spacing w:line="237" w:lineRule="auto" w:before="3"/>
        <w:ind w:right="27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13、心脏瓣膜手术  </w:t>
      </w:r>
    </w:p>
    <w:p>
      <w:pPr>
        <w:pStyle w:val="BodyText"/>
      </w:pPr>
      <w:r>
        <w:rPr/>
        <w:t>指为治疗心脏瓣膜疾病，实际实施了开胸进行的心脏瓣膜置换或修复的手术。 </w:t>
      </w:r>
    </w:p>
    <w:p>
      <w:pPr>
        <w:pStyle w:val="BodyText"/>
      </w:pPr>
      <w:r>
        <w:rPr/>
        <w:t>14、严重脑损伤  </w:t>
      </w:r>
    </w:p>
    <w:p>
      <w:pPr>
        <w:pStyle w:val="BodyText"/>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pPr>
      <w:r>
        <w:rPr/>
        <w:t>（PET）等影像学检查证实。神经系统永久性的功能障碍，指脑损伤180天后，</w:t>
      </w:r>
    </w:p>
    <w:p>
      <w:pPr>
        <w:pStyle w:val="BodyText"/>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15、严重Ⅲ度烧伤  </w:t>
      </w:r>
    </w:p>
    <w:p>
      <w:pPr>
        <w:pStyle w:val="BodyText"/>
      </w:pPr>
      <w:r>
        <w:rPr/>
        <w:t>指烧伤程度为Ⅲ度，且Ⅲ度烧伤的面积达到全身体表面积的20％或20％以上。</w:t>
      </w:r>
    </w:p>
    <w:p>
      <w:pPr>
        <w:pStyle w:val="BodyText"/>
      </w:pPr>
      <w:r>
        <w:rPr/>
        <w:t>体表面积根据《中国新九分法》计算。  </w:t>
      </w:r>
    </w:p>
    <w:p>
      <w:pPr>
        <w:pStyle w:val="BodyText"/>
        <w:spacing w:line="271" w:lineRule="exact"/>
      </w:pPr>
      <w:r>
        <w:rPr/>
        <w:t>16、严重原发性肺动脉高压  </w:t>
      </w:r>
    </w:p>
    <w:p>
      <w:pPr>
        <w:pStyle w:val="BodyText"/>
        <w:spacing w:line="237" w:lineRule="auto" w:before="1"/>
        <w:ind w:right="27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17、语言能力丧失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pPr>
      <w:r>
        <w:rPr/>
        <w:t>精神心理因素所致的语言能力丧失不在保障范围内。  </w:t>
      </w:r>
    </w:p>
    <w:p>
      <w:pPr>
        <w:pStyle w:val="BodyText"/>
      </w:pPr>
      <w:r>
        <w:rPr/>
        <w:t>保障范围不包括3周岁以下儿童。  </w:t>
      </w:r>
    </w:p>
    <w:p>
      <w:pPr>
        <w:pStyle w:val="BodyText"/>
        <w:spacing w:line="273" w:lineRule="exact"/>
      </w:pPr>
      <w:r>
        <w:rPr/>
        <w:t>18、重型再生障碍性贫血  </w:t>
      </w:r>
    </w:p>
    <w:p>
      <w:pPr>
        <w:spacing w:after="0" w:line="273" w:lineRule="exact"/>
        <w:sectPr>
          <w:pgSz w:w="11900" w:h="16840"/>
          <w:pgMar w:header="0" w:footer="457" w:top="1080" w:bottom="640" w:left="1680" w:right="740"/>
        </w:sectPr>
      </w:pPr>
    </w:p>
    <w:p>
      <w:pPr>
        <w:pStyle w:val="BodyText"/>
        <w:spacing w:line="274" w:lineRule="exact" w:before="20"/>
        <w:jc w:val="both"/>
      </w:pPr>
      <w:r>
        <w:rPr/>
        <w:t>指因骨髓造血功能慢性持续性衰竭导致的贫血、中性粒细胞减少及血小板减少。</w:t>
      </w:r>
    </w:p>
    <w:p>
      <w:pPr>
        <w:pStyle w:val="BodyText"/>
        <w:jc w:val="both"/>
      </w:pPr>
      <w:r>
        <w:rPr/>
        <w:t>须满足下列全部条件：  </w:t>
      </w:r>
    </w:p>
    <w:p>
      <w:pPr>
        <w:pStyle w:val="BodyText"/>
        <w:jc w:val="both"/>
      </w:pPr>
      <w:r>
        <w:rPr/>
        <w:t>（1）骨髓穿刺检查或骨髓活检结果支持诊断；  </w:t>
      </w:r>
    </w:p>
    <w:p>
      <w:pPr>
        <w:pStyle w:val="BodyText"/>
        <w:jc w:val="both"/>
      </w:pPr>
      <w:r>
        <w:rPr/>
        <w:t>（2）外周血象须具备以下三项条件：  </w:t>
      </w:r>
    </w:p>
    <w:p>
      <w:pPr>
        <w:pStyle w:val="BodyText"/>
        <w:jc w:val="both"/>
      </w:pPr>
      <w:r>
        <w:rPr/>
        <w:t>① 中性粒细胞绝对值≤0.5×10</w:t>
      </w:r>
      <w:r>
        <w:rPr>
          <w:position w:val="11"/>
          <w:sz w:val="11"/>
        </w:rPr>
        <w:t>9</w:t>
      </w:r>
      <w:r>
        <w:rPr/>
        <w:t>/L ；  </w:t>
      </w:r>
    </w:p>
    <w:p>
      <w:pPr>
        <w:pStyle w:val="BodyText"/>
        <w:jc w:val="both"/>
      </w:pPr>
      <w:r>
        <w:rPr/>
        <w:t>② 网织红细胞＜1%；  </w:t>
      </w:r>
    </w:p>
    <w:p>
      <w:pPr>
        <w:pStyle w:val="BodyText"/>
        <w:jc w:val="both"/>
      </w:pPr>
      <w:r>
        <w:rPr/>
        <w:t>③ 血小板绝对值≤20×10</w:t>
      </w:r>
      <w:r>
        <w:rPr>
          <w:position w:val="11"/>
          <w:sz w:val="11"/>
        </w:rPr>
        <w:t>9</w:t>
      </w:r>
      <w:r>
        <w:rPr/>
        <w:t>/L。  </w:t>
      </w:r>
    </w:p>
    <w:p>
      <w:pPr>
        <w:pStyle w:val="BodyText"/>
        <w:jc w:val="both"/>
      </w:pPr>
      <w:r>
        <w:rPr/>
        <w:t>19、主动脉手术  </w:t>
      </w:r>
    </w:p>
    <w:p>
      <w:pPr>
        <w:pStyle w:val="BodyText"/>
        <w:spacing w:line="237" w:lineRule="auto" w:before="1"/>
        <w:ind w:right="221"/>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20、脊髓灰质炎  </w:t>
      </w:r>
    </w:p>
    <w:p>
      <w:pPr>
        <w:pStyle w:val="BodyText"/>
        <w:spacing w:line="237" w:lineRule="auto" w:before="2"/>
        <w:ind w:right="221"/>
        <w:jc w:val="both"/>
      </w:pPr>
      <w:r>
        <w:rPr/>
        <w:t>脊髓灰质炎是由于脊髓灰质炎病毒感染所致的瘫痪性疾病，临床表现为运动功能损害或呼吸无力。脊髓灰质炎诊断必须明确无疑。本附加险合同仅对脊髓灰质炎造成的神经系统功能损害已导致被保险人永久不可逆性的肢体瘫痪的情况予以理赔。 </w:t>
      </w:r>
    </w:p>
    <w:p>
      <w:pPr>
        <w:pStyle w:val="BodyText"/>
        <w:rPr>
          <w:sz w:val="16"/>
        </w:rPr>
      </w:pPr>
      <w:r>
        <w:rPr/>
        <w:t>21、严重慢性呼吸功能衰竭</w:t>
      </w:r>
      <w:r>
        <w:rPr>
          <w:w w:val="100"/>
          <w:sz w:val="16"/>
        </w:rPr>
        <w:t> </w:t>
      </w:r>
    </w:p>
    <w:p>
      <w:pPr>
        <w:pStyle w:val="BodyText"/>
        <w:spacing w:line="240" w:lineRule="auto"/>
        <w:ind w:right="221"/>
      </w:pPr>
      <w:r>
        <w:rPr/>
        <w:t>被保险人患有慢性呼吸系统疾病或其它导致呼吸功能障碍的慢性疾病而出现永久不可逆性的慢性呼吸衰竭，由专科医生确认并符合以下各项： </w:t>
      </w:r>
    </w:p>
    <w:p>
      <w:pPr>
        <w:pStyle w:val="BodyText"/>
        <w:spacing w:line="270" w:lineRule="exact" w:before="2"/>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spacing w:line="271" w:lineRule="exact"/>
        <w:jc w:val="both"/>
      </w:pPr>
      <w:r>
        <w:rPr>
          <w:position w:val="1"/>
        </w:rPr>
        <w:t>（3）动脉血氧饱和度 （SaO</w:t>
      </w:r>
      <w:r>
        <w:rPr>
          <w:sz w:val="11"/>
        </w:rPr>
        <w:t>2</w:t>
      </w:r>
      <w:r>
        <w:rPr>
          <w:position w:val="1"/>
        </w:rPr>
        <w:t>）&lt; 80％； </w:t>
      </w:r>
    </w:p>
    <w:p>
      <w:pPr>
        <w:pStyle w:val="BodyText"/>
        <w:spacing w:line="281" w:lineRule="exact"/>
        <w:jc w:val="both"/>
      </w:pPr>
      <w:r>
        <w:rPr/>
        <w:t>（</w:t>
      </w:r>
      <w:r>
        <w:rPr>
          <w:rFonts w:ascii="Times New Roman" w:eastAsia="Times New Roman"/>
        </w:rPr>
        <w:t>4</w:t>
      </w:r>
      <w:r>
        <w:rPr/>
        <w:t>）因缺氧必须接受持续的输氧治疗。 </w:t>
      </w:r>
    </w:p>
    <w:p>
      <w:pPr>
        <w:pStyle w:val="BodyText"/>
        <w:spacing w:line="264" w:lineRule="exact"/>
        <w:jc w:val="both"/>
      </w:pPr>
      <w:r>
        <w:rPr/>
        <w:t>22、经输血导致的人类免疫缺陷病毒感染  </w:t>
      </w:r>
    </w:p>
    <w:p>
      <w:pPr>
        <w:pStyle w:val="BodyText"/>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jc w:val="both"/>
      </w:pPr>
      <w:r>
        <w:rPr/>
        <w:t>（2）提供输血治疗的输血中心或医疗机构出具该项输血感染属医疗责任事故的</w:t>
      </w:r>
    </w:p>
    <w:p>
      <w:pPr>
        <w:pStyle w:val="BodyText"/>
        <w:jc w:val="both"/>
      </w:pPr>
      <w:r>
        <w:rPr/>
        <w:t>报告，或者法院终审裁定为医疗责任； </w:t>
      </w:r>
    </w:p>
    <w:p>
      <w:pPr>
        <w:pStyle w:val="BodyText"/>
        <w:jc w:val="both"/>
      </w:pPr>
      <w:r>
        <w:rPr/>
        <w:t>（3）受感染的被保险人不是血友病患者。 </w:t>
      </w:r>
    </w:p>
    <w:p>
      <w:pPr>
        <w:pStyle w:val="BodyText"/>
        <w:jc w:val="both"/>
      </w:pPr>
      <w:r>
        <w:rPr/>
        <w:t>在任何治愈艾滋病（AIDS）或阻止 HIV 病毒作用的疗法被发现以后，或能防止</w:t>
      </w:r>
    </w:p>
    <w:p>
      <w:pPr>
        <w:pStyle w:val="BodyText"/>
        <w:jc w:val="both"/>
      </w:pPr>
      <w:r>
        <w:rPr/>
        <w:t>AIDS 发生的医疗方法被研究出来以后，本附加险合同将不再予以赔付。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23、1 型糖尿病 </w:t>
      </w:r>
    </w:p>
    <w:p>
      <w:pPr>
        <w:pStyle w:val="BodyText"/>
        <w:spacing w:line="237" w:lineRule="auto" w:before="1"/>
        <w:ind w:right="221"/>
        <w:jc w:val="both"/>
      </w:pPr>
      <w:r>
        <w:rPr/>
        <w:t>胰岛素依赖型糖尿病是由于胰岛素分泌不足引起的慢性血糖升高，并需持续性</w:t>
      </w:r>
      <w:r>
        <w:rPr>
          <w:spacing w:val="-4"/>
        </w:rPr>
        <w:t>地依赖外源性胰岛素维持 </w:t>
      </w:r>
      <w:r>
        <w:rPr/>
        <w:t>180</w:t>
      </w:r>
      <w:r>
        <w:rPr>
          <w:spacing w:val="-3"/>
        </w:rPr>
        <w:t> 天以上，须由专科医生确诊并满足下述至少一个条件：</w:t>
      </w:r>
      <w:r>
        <w:rPr/>
        <w:t> </w:t>
      </w:r>
    </w:p>
    <w:p>
      <w:pPr>
        <w:pStyle w:val="BodyTex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24、严重幼年型类风湿关节炎 </w:t>
      </w:r>
    </w:p>
    <w:p>
      <w:pPr>
        <w:pStyle w:val="BodyText"/>
        <w:spacing w:line="237" w:lineRule="auto" w:before="2"/>
        <w:ind w:right="221"/>
        <w:jc w:val="both"/>
      </w:pPr>
      <w:r>
        <w:rPr/>
        <w:t>幼年型类风湿关节炎是一种儿童期发病的慢性关节炎，其特点为高热和系统性病症出现数月后发生关节炎。本保单仅对实际接受了膝关节或髋关节置换手术治疗的严重幼年型类风湿关节炎予以理赔。 </w:t>
      </w:r>
    </w:p>
    <w:p>
      <w:pPr>
        <w:pStyle w:val="BodyText"/>
      </w:pPr>
      <w:r>
        <w:rPr/>
        <w:t>25、川崎氏病 </w:t>
      </w:r>
    </w:p>
    <w:p>
      <w:pPr>
        <w:pStyle w:val="BodyText"/>
        <w:spacing w:line="237" w:lineRule="auto" w:before="1"/>
        <w:ind w:right="113"/>
      </w:pPr>
      <w:r>
        <w:rPr>
          <w:spacing w:val="-6"/>
        </w:rPr>
        <w:t>指一种以损伤冠状动脉血管为主，可同时合并其他大血管损害的系统性血管炎。本病必须由本公司认可的儿科专科医生确诊，且保障仅限于伴有冠状动脉瘤的川崎病，作为心脏受累的证据，诊断须由血管造影或超声心动图检查诊断证实</w:t>
      </w:r>
      <w:r>
        <w:rPr>
          <w:spacing w:val="-5"/>
        </w:rPr>
        <w:t>存在冠状动脉瘤形成，且此冠状动脉瘤于最初急性发病后持续至少 </w:t>
      </w:r>
      <w:r>
        <w:rPr/>
        <w:t>180</w:t>
      </w:r>
      <w:r>
        <w:rPr>
          <w:spacing w:val="-13"/>
        </w:rPr>
        <w:t> 天。</w:t>
      </w:r>
      <w:r>
        <w:rPr/>
        <w:t> </w:t>
      </w:r>
    </w:p>
    <w:p>
      <w:pPr>
        <w:pStyle w:val="BodyText"/>
        <w:spacing w:line="271" w:lineRule="exact"/>
        <w:jc w:val="both"/>
      </w:pPr>
      <w:r>
        <w:rPr/>
        <w:t>26、疾病或外伤所致智力障碍（残疾） </w:t>
      </w:r>
    </w:p>
    <w:p>
      <w:pPr>
        <w:pStyle w:val="BodyText"/>
        <w:jc w:val="both"/>
      </w:pPr>
      <w:r>
        <w:rPr>
          <w:spacing w:val="-5"/>
        </w:rPr>
        <w:t>因严重头部创伤或疾病造成被保险人智力低常</w:t>
      </w:r>
      <w:r>
        <w:rPr>
          <w:spacing w:val="-3"/>
        </w:rPr>
        <w:t>（智力低于常态</w:t>
      </w:r>
      <w:r>
        <w:rPr>
          <w:spacing w:val="-108"/>
        </w:rPr>
        <w:t>）</w:t>
      </w:r>
      <w:r>
        <w:rPr>
          <w:spacing w:val="-6"/>
        </w:rPr>
        <w:t>、智力残疾或学</w:t>
      </w:r>
    </w:p>
    <w:p>
      <w:pPr>
        <w:pStyle w:val="BodyText"/>
        <w:spacing w:line="273" w:lineRule="exact"/>
        <w:jc w:val="both"/>
      </w:pPr>
      <w:r>
        <w:rPr>
          <w:w w:val="100"/>
        </w:rPr>
        <w:t>习障碍。根据智商</w:t>
      </w:r>
      <w:r>
        <w:rPr>
          <w:spacing w:val="1"/>
          <w:w w:val="100"/>
        </w:rPr>
        <w:t>（</w:t>
      </w:r>
      <w:r>
        <w:rPr>
          <w:w w:val="100"/>
        </w:rPr>
        <w:t>IQ）智力低常分为轻度</w:t>
      </w:r>
      <w:r>
        <w:rPr>
          <w:spacing w:val="1"/>
          <w:w w:val="100"/>
        </w:rPr>
        <w:t>（</w:t>
      </w:r>
      <w:r>
        <w:rPr>
          <w:w w:val="100"/>
        </w:rPr>
        <w:t>IQ</w:t>
      </w:r>
      <w:r>
        <w:rPr>
          <w:spacing w:val="-3"/>
          <w:w w:val="100"/>
        </w:rPr>
        <w:t>5</w:t>
      </w:r>
      <w:r>
        <w:rPr>
          <w:w w:val="100"/>
        </w:rPr>
        <w:t>0</w:t>
      </w:r>
      <w:r>
        <w:rPr>
          <w:spacing w:val="-3"/>
          <w:w w:val="100"/>
        </w:rPr>
        <w:t>-</w:t>
      </w:r>
      <w:r>
        <w:rPr>
          <w:w w:val="100"/>
        </w:rPr>
        <w:t>7</w:t>
      </w:r>
      <w:r>
        <w:rPr>
          <w:spacing w:val="1"/>
          <w:w w:val="100"/>
        </w:rPr>
        <w:t>0</w:t>
      </w:r>
      <w:r>
        <w:rPr>
          <w:spacing w:val="-106"/>
          <w:w w:val="100"/>
        </w:rPr>
        <w:t>）</w:t>
      </w:r>
      <w:r>
        <w:rPr>
          <w:w w:val="100"/>
        </w:rPr>
        <w:t>；中度</w:t>
      </w:r>
      <w:r>
        <w:rPr>
          <w:spacing w:val="1"/>
          <w:w w:val="100"/>
        </w:rPr>
        <w:t>（</w:t>
      </w:r>
      <w:r>
        <w:rPr>
          <w:w w:val="100"/>
        </w:rPr>
        <w:t>IQ</w:t>
      </w:r>
      <w:r>
        <w:rPr>
          <w:spacing w:val="-3"/>
          <w:w w:val="100"/>
        </w:rPr>
        <w:t>3</w:t>
      </w:r>
      <w:r>
        <w:rPr>
          <w:w w:val="100"/>
        </w:rPr>
        <w:t>5-50</w:t>
      </w:r>
      <w:r>
        <w:rPr>
          <w:spacing w:val="-104"/>
          <w:w w:val="100"/>
        </w:rPr>
        <w:t>）</w:t>
      </w:r>
      <w:r>
        <w:rPr>
          <w:w w:val="100"/>
        </w:rPr>
        <w:t>；重</w:t>
      </w:r>
    </w:p>
    <w:p>
      <w:pPr>
        <w:spacing w:after="0" w:line="273" w:lineRule="exact"/>
        <w:jc w:val="both"/>
        <w:sectPr>
          <w:pgSz w:w="11900" w:h="16840"/>
          <w:pgMar w:header="0" w:footer="457" w:top="1080" w:bottom="640" w:left="1680" w:right="740"/>
        </w:sectPr>
      </w:pPr>
    </w:p>
    <w:p>
      <w:pPr>
        <w:pStyle w:val="BodyText"/>
        <w:spacing w:line="237" w:lineRule="auto" w:before="23"/>
        <w:ind w:left="2874" w:right="261"/>
        <w:jc w:val="both"/>
      </w:pPr>
      <w:r>
        <w:rPr>
          <w:spacing w:val="-10"/>
          <w:w w:val="100"/>
        </w:rPr>
        <w:t>度</w:t>
      </w:r>
      <w:r>
        <w:rPr>
          <w:w w:val="100"/>
        </w:rPr>
        <w:t>（IQ</w:t>
      </w:r>
      <w:r>
        <w:rPr>
          <w:spacing w:val="-3"/>
          <w:w w:val="100"/>
        </w:rPr>
        <w:t>2</w:t>
      </w:r>
      <w:r>
        <w:rPr>
          <w:w w:val="100"/>
        </w:rPr>
        <w:t>0-3</w:t>
      </w:r>
      <w:r>
        <w:rPr>
          <w:spacing w:val="-3"/>
          <w:w w:val="100"/>
        </w:rPr>
        <w:t>5</w:t>
      </w:r>
      <w:r>
        <w:rPr>
          <w:spacing w:val="-10"/>
          <w:w w:val="100"/>
        </w:rPr>
        <w:t>）</w:t>
      </w:r>
      <w:r>
        <w:rPr>
          <w:spacing w:val="-5"/>
          <w:w w:val="100"/>
        </w:rPr>
        <w:t>和极重度</w:t>
      </w:r>
      <w:r>
        <w:rPr>
          <w:spacing w:val="-3"/>
          <w:w w:val="100"/>
        </w:rPr>
        <w:t>（</w:t>
      </w:r>
      <w:r>
        <w:rPr>
          <w:w w:val="100"/>
        </w:rPr>
        <w:t>IQ&lt;20</w:t>
      </w:r>
      <w:r>
        <w:rPr>
          <w:spacing w:val="-108"/>
          <w:w w:val="100"/>
        </w:rPr>
        <w:t>）</w:t>
      </w:r>
      <w:r>
        <w:rPr>
          <w:spacing w:val="-5"/>
          <w:w w:val="100"/>
        </w:rPr>
        <w:t>。智商</w:t>
      </w:r>
      <w:r>
        <w:rPr>
          <w:spacing w:val="-53"/>
        </w:rPr>
        <w:t> </w:t>
      </w:r>
      <w:r>
        <w:rPr>
          <w:w w:val="100"/>
        </w:rPr>
        <w:t>7</w:t>
      </w:r>
      <w:r>
        <w:rPr>
          <w:spacing w:val="-3"/>
          <w:w w:val="100"/>
        </w:rPr>
        <w:t>0</w:t>
      </w:r>
      <w:r>
        <w:rPr>
          <w:w w:val="100"/>
        </w:rPr>
        <w:t>-85</w:t>
      </w:r>
      <w:r>
        <w:rPr>
          <w:spacing w:val="-55"/>
        </w:rPr>
        <w:t> </w:t>
      </w:r>
      <w:r>
        <w:rPr>
          <w:spacing w:val="-4"/>
          <w:w w:val="100"/>
        </w:rPr>
        <w:t>为智力临界低常。智商的检测必</w:t>
      </w:r>
      <w:r>
        <w:rPr>
          <w:spacing w:val="-4"/>
        </w:rPr>
        <w:t>须由本公司认可的专职心理测验工作者进行，心理测验工作者必须持有由心理测量专业委员会资格认定书。根据被保险人年龄采用对应的智力量表如韦克斯</w:t>
      </w:r>
      <w:r>
        <w:rPr>
          <w:spacing w:val="-3"/>
        </w:rPr>
        <w:t>勒智力量表</w:t>
      </w:r>
      <w:r>
        <w:rPr/>
        <w:t>（</w:t>
      </w:r>
      <w:r>
        <w:rPr>
          <w:spacing w:val="-3"/>
        </w:rPr>
        <w:t>儿童智力量表或成人智力量表</w:t>
      </w:r>
      <w:r>
        <w:rPr>
          <w:spacing w:val="-108"/>
        </w:rPr>
        <w:t>）</w:t>
      </w:r>
      <w:r>
        <w:rPr>
          <w:spacing w:val="-3"/>
        </w:rPr>
        <w:t>。</w:t>
      </w:r>
      <w:r>
        <w:rPr/>
        <w:t> </w:t>
      </w:r>
    </w:p>
    <w:p>
      <w:pPr>
        <w:pStyle w:val="BodyText"/>
        <w:spacing w:line="240" w:lineRule="auto"/>
        <w:ind w:left="2874" w:right="4357"/>
      </w:pPr>
      <w:r>
        <w:rPr>
          <w:spacing w:val="-3"/>
        </w:rPr>
        <w:t>确诊时必须具备所有下列条件： </w:t>
      </w:r>
      <w:r>
        <w:rPr/>
        <w:t>1)</w:t>
      </w:r>
      <w:r>
        <w:rPr>
          <w:spacing w:val="-7"/>
        </w:rPr>
        <w:t> 被保险人大于或等于 </w:t>
      </w:r>
      <w:r>
        <w:rPr/>
        <w:t>6</w:t>
      </w:r>
      <w:r>
        <w:rPr>
          <w:spacing w:val="-15"/>
        </w:rPr>
        <w:t> 周岁；</w:t>
      </w:r>
      <w:r>
        <w:rPr/>
        <w:t> </w:t>
      </w:r>
    </w:p>
    <w:p>
      <w:pPr>
        <w:pStyle w:val="BodyText"/>
        <w:spacing w:line="271" w:lineRule="exact" w:before="3"/>
        <w:ind w:left="2874"/>
      </w:pPr>
      <w:r>
        <w:rPr/>
        <w:t>2) 儿科专科医生确诊被保险人由于严重头部创伤或疾病造成智力低下； </w:t>
      </w:r>
    </w:p>
    <w:p>
      <w:pPr>
        <w:pStyle w:val="BodyText"/>
        <w:spacing w:line="237" w:lineRule="auto" w:before="1"/>
        <w:ind w:left="2874" w:right="215"/>
      </w:pPr>
      <w:r>
        <w:rPr/>
        <w:t>3)</w:t>
      </w:r>
      <w:r>
        <w:rPr>
          <w:spacing w:val="-3"/>
        </w:rPr>
        <w:t> 专职合格心理检测工作者适时做的心理检测证实被保险人智力低常（</w:t>
      </w:r>
      <w:r>
        <w:rPr>
          <w:spacing w:val="-2"/>
        </w:rPr>
        <w:t>轻度、</w:t>
      </w:r>
      <w:r>
        <w:rPr>
          <w:spacing w:val="-3"/>
          <w:w w:val="100"/>
        </w:rPr>
        <w:t>中度、重度或极重度</w:t>
      </w:r>
      <w:r>
        <w:rPr>
          <w:spacing w:val="-106"/>
          <w:w w:val="100"/>
        </w:rPr>
        <w:t>）</w:t>
      </w:r>
      <w:r>
        <w:rPr>
          <w:spacing w:val="-3"/>
          <w:w w:val="100"/>
        </w:rPr>
        <w:t>；</w:t>
      </w:r>
      <w:r>
        <w:rPr>
          <w:w w:val="100"/>
        </w:rPr>
        <w:t> </w:t>
      </w:r>
    </w:p>
    <w:p>
      <w:pPr>
        <w:pStyle w:val="BodyText"/>
        <w:ind w:left="2874"/>
        <w:jc w:val="both"/>
      </w:pPr>
      <w:r>
        <w:rPr/>
        <w:t>4) 被保险人的智力低常自确认日起持续 180 天以上。 </w:t>
      </w:r>
    </w:p>
    <w:p>
      <w:pPr>
        <w:pStyle w:val="BodyText"/>
        <w:ind w:left="2874"/>
        <w:jc w:val="both"/>
      </w:pPr>
      <w:r>
        <w:rPr/>
        <w:t>先天性疾病以及遗传性疾病引起的智力障碍不在保障范围内。 </w:t>
      </w:r>
    </w:p>
    <w:p>
      <w:pPr>
        <w:pStyle w:val="BodyText"/>
        <w:ind w:left="2874"/>
        <w:jc w:val="both"/>
      </w:pPr>
      <w:r>
        <w:rPr/>
        <w:t>27、严重哮喘 </w:t>
      </w:r>
    </w:p>
    <w:p>
      <w:pPr>
        <w:pStyle w:val="BodyText"/>
        <w:ind w:left="2874"/>
        <w:jc w:val="both"/>
      </w:pPr>
      <w:r>
        <w:rPr/>
        <w:t>严重哮喘诊断必须明确诊断，并且满足下列标准中的三项或三项以上： </w:t>
      </w:r>
    </w:p>
    <w:p>
      <w:pPr>
        <w:pStyle w:val="BodyText"/>
        <w:ind w:left="2874"/>
        <w:jc w:val="both"/>
      </w:pPr>
      <w:r>
        <w:rPr/>
        <w:t>（1）过去两年中有哮喘持续状态病史； </w:t>
      </w:r>
    </w:p>
    <w:p>
      <w:pPr>
        <w:pStyle w:val="BodyText"/>
        <w:spacing w:line="240" w:lineRule="auto"/>
        <w:ind w:left="2874" w:right="211"/>
      </w:pPr>
      <w:r>
        <w:rPr/>
        <w:t>（2）身体活动耐受能力显著且持续下降，在家及在静态時需接受医生指定的氧气疗法； </w:t>
      </w:r>
    </w:p>
    <w:p>
      <w:pPr>
        <w:pStyle w:val="BodyText"/>
        <w:spacing w:line="271" w:lineRule="exact" w:before="1"/>
        <w:ind w:left="2874"/>
      </w:pPr>
      <w:r>
        <w:rPr/>
        <w:t>（3）慢性肺部过度膨胀充气导致的胸廓畸形； </w:t>
      </w:r>
    </w:p>
    <w:p>
      <w:pPr>
        <w:pStyle w:val="BodyText"/>
        <w:ind w:left="2874"/>
      </w:pPr>
      <w:r>
        <w:rPr/>
        <w:t>（4）</w:t>
      </w:r>
      <w:r>
        <w:rPr>
          <w:spacing w:val="-3"/>
        </w:rPr>
        <w:t>持续每日口服皮质类固醇激素（</w:t>
      </w:r>
      <w:r>
        <w:rPr>
          <w:spacing w:val="-11"/>
        </w:rPr>
        <w:t>至少持续 </w:t>
      </w:r>
      <w:r>
        <w:rPr/>
        <w:t>6</w:t>
      </w:r>
      <w:r>
        <w:rPr>
          <w:spacing w:val="-10"/>
        </w:rPr>
        <w:t> 个月以上</w:t>
      </w:r>
      <w:r>
        <w:rPr>
          <w:spacing w:val="-106"/>
        </w:rPr>
        <w:t>）</w:t>
      </w:r>
      <w:r>
        <w:rPr>
          <w:spacing w:val="-3"/>
        </w:rPr>
        <w:t>。</w:t>
      </w:r>
      <w:r>
        <w:rPr/>
        <w:t> </w:t>
      </w:r>
    </w:p>
    <w:p>
      <w:pPr>
        <w:pStyle w:val="BodyText"/>
        <w:ind w:left="2874"/>
      </w:pPr>
      <w:r>
        <w:rPr/>
        <w:t>28、原发性心肌病 </w:t>
      </w:r>
    </w:p>
    <w:p>
      <w:pPr>
        <w:pStyle w:val="BodyText"/>
        <w:spacing w:line="237" w:lineRule="auto" w:before="2"/>
        <w:ind w:left="2874" w:right="261"/>
        <w:jc w:val="both"/>
      </w:pPr>
      <w:r>
        <w:rPr/>
        <w:t>原发性心肌病是指不明原因引起的一类心肌病变，包括原发性扩张型心肌病、原发性肥厚型心肌病及原发性限制型心肌病三种，病变必须已造成事实上心室功能障碍而出现明显的心功能衰竭(美国纽约心脏协会心功能分类标准心功能四级*</w:t>
      </w:r>
      <w:r>
        <w:rPr>
          <w:spacing w:val="-4"/>
        </w:rPr>
        <w:t>)，且有相关住院医疗记录显示四级心功能衰竭状态持续至少 </w:t>
      </w:r>
      <w:r>
        <w:rPr/>
        <w:t>180</w:t>
      </w:r>
      <w:r>
        <w:rPr>
          <w:spacing w:val="-4"/>
        </w:rPr>
        <w:t> 天。该疾病索赔时须要经专科医生做出明确诊断。继发于全身性疾病或其它器官系统</w:t>
      </w:r>
      <w:r>
        <w:rPr>
          <w:spacing w:val="-3"/>
        </w:rPr>
        <w:t>疾病不属本保障范围。</w:t>
      </w:r>
      <w:r>
        <w:rPr/>
        <w:t> </w:t>
      </w:r>
    </w:p>
    <w:p>
      <w:pPr>
        <w:pStyle w:val="BodyText"/>
        <w:spacing w:line="279" w:lineRule="exact"/>
        <w:ind w:left="2874"/>
        <w:jc w:val="both"/>
      </w:pPr>
      <w:r>
        <w:rPr>
          <w:rFonts w:ascii="Times New Roman" w:eastAsia="Times New Roman"/>
        </w:rPr>
        <w:t>*</w:t>
      </w:r>
      <w:r>
        <w:rPr/>
        <w:t>美国纽约心脏协会分类标准心功能四级是指有医疗机构的医疗记录显示病人</w:t>
      </w:r>
    </w:p>
    <w:p>
      <w:pPr>
        <w:pStyle w:val="BodyText"/>
        <w:spacing w:line="266" w:lineRule="exact"/>
        <w:ind w:left="2874"/>
        <w:jc w:val="both"/>
      </w:pPr>
      <w:r>
        <w:rPr/>
        <w:pict>
          <v:shape style="position:absolute;margin-left:48.5pt;margin-top:12.121219pt;width:506.25pt;height:349.6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224" w:hRule="atLeast"/>
                    </w:trPr>
                    <w:tc>
                      <w:tcPr>
                        <w:tcW w:w="481" w:type="dxa"/>
                      </w:tcPr>
                      <w:p>
                        <w:pPr>
                          <w:pStyle w:val="TableParagraph"/>
                          <w:spacing w:line="205" w:lineRule="exact"/>
                          <w:ind w:left="50"/>
                          <w:rPr>
                            <w:sz w:val="21"/>
                          </w:rPr>
                        </w:pPr>
                        <w:r>
                          <w:rPr>
                            <w:w w:val="100"/>
                            <w:sz w:val="21"/>
                          </w:rPr>
                          <w:t> </w:t>
                        </w:r>
                      </w:p>
                    </w:tc>
                    <w:tc>
                      <w:tcPr>
                        <w:tcW w:w="2147" w:type="dxa"/>
                      </w:tcPr>
                      <w:p>
                        <w:pPr>
                          <w:pStyle w:val="TableParagraph"/>
                          <w:spacing w:line="205" w:lineRule="exact"/>
                          <w:ind w:left="325"/>
                          <w:rPr>
                            <w:sz w:val="21"/>
                          </w:rPr>
                        </w:pPr>
                        <w:r>
                          <w:rPr>
                            <w:w w:val="100"/>
                            <w:sz w:val="21"/>
                          </w:rPr>
                          <w:t> </w:t>
                        </w:r>
                      </w:p>
                    </w:tc>
                    <w:tc>
                      <w:tcPr>
                        <w:tcW w:w="7497" w:type="dxa"/>
                      </w:tcPr>
                      <w:p>
                        <w:pPr>
                          <w:pStyle w:val="TableParagraph"/>
                          <w:spacing w:line="205" w:lineRule="exact"/>
                          <w:ind w:left="136"/>
                          <w:rPr>
                            <w:sz w:val="21"/>
                          </w:rPr>
                        </w:pPr>
                        <w:r>
                          <w:rPr>
                            <w:w w:val="100"/>
                            <w:sz w:val="21"/>
                          </w:rPr>
                          <w:t> </w:t>
                        </w:r>
                      </w:p>
                    </w:tc>
                  </w:tr>
                  <w:tr>
                    <w:trPr>
                      <w:trHeight w:val="263" w:hRule="atLeast"/>
                    </w:trPr>
                    <w:tc>
                      <w:tcPr>
                        <w:tcW w:w="481" w:type="dxa"/>
                      </w:tcPr>
                      <w:p>
                        <w:pPr>
                          <w:pStyle w:val="TableParagraph"/>
                          <w:spacing w:line="231" w:lineRule="exact"/>
                          <w:ind w:left="50"/>
                          <w:rPr>
                            <w:sz w:val="21"/>
                          </w:rPr>
                        </w:pPr>
                        <w:r>
                          <w:rPr>
                            <w:w w:val="100"/>
                            <w:sz w:val="21"/>
                          </w:rPr>
                          <w:t> </w:t>
                        </w:r>
                      </w:p>
                    </w:tc>
                    <w:tc>
                      <w:tcPr>
                        <w:tcW w:w="2147" w:type="dxa"/>
                      </w:tcPr>
                      <w:p>
                        <w:pPr>
                          <w:pStyle w:val="TableParagraph"/>
                          <w:spacing w:line="236" w:lineRule="exact"/>
                          <w:ind w:left="325"/>
                          <w:rPr>
                            <w:rFonts w:ascii="Microsoft JhengHei" w:eastAsia="Microsoft JhengHei" w:hint="eastAsia"/>
                            <w:b/>
                            <w:sz w:val="21"/>
                          </w:rPr>
                        </w:pPr>
                        <w:r>
                          <w:rPr>
                            <w:rFonts w:ascii="Microsoft JhengHei" w:eastAsia="Microsoft JhengHei" w:hint="eastAsia"/>
                            <w:b/>
                            <w:sz w:val="21"/>
                          </w:rPr>
                          <w:t>成人阶段重大疾病</w:t>
                        </w:r>
                      </w:p>
                    </w:tc>
                    <w:tc>
                      <w:tcPr>
                        <w:tcW w:w="7497" w:type="dxa"/>
                      </w:tcPr>
                      <w:p>
                        <w:pPr>
                          <w:pStyle w:val="TableParagraph"/>
                          <w:spacing w:line="231" w:lineRule="exact"/>
                          <w:ind w:left="136"/>
                          <w:rPr>
                            <w:sz w:val="21"/>
                          </w:rPr>
                        </w:pPr>
                        <w:r>
                          <w:rPr>
                            <w:spacing w:val="-22"/>
                            <w:sz w:val="21"/>
                          </w:rPr>
                          <w:t>“1</w:t>
                        </w:r>
                        <w:r>
                          <w:rPr>
                            <w:spacing w:val="-35"/>
                            <w:sz w:val="21"/>
                          </w:rPr>
                          <w:t>”至“</w:t>
                        </w:r>
                        <w:r>
                          <w:rPr>
                            <w:spacing w:val="-17"/>
                            <w:sz w:val="21"/>
                          </w:rPr>
                          <w:t>25</w:t>
                        </w:r>
                        <w:r>
                          <w:rPr>
                            <w:spacing w:val="-8"/>
                            <w:sz w:val="21"/>
                          </w:rPr>
                          <w:t>”项所列重大疾病名称及疾病定义由中国保险行业协会统一制定</w:t>
                        </w:r>
                        <w:r>
                          <w:rPr>
                            <w:spacing w:val="-3"/>
                            <w:sz w:val="21"/>
                          </w:rPr>
                          <w:t>（见</w:t>
                        </w:r>
                      </w:p>
                    </w:tc>
                  </w:tr>
                  <w:tr>
                    <w:trPr>
                      <w:trHeight w:val="27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42"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26”</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至“38”项重大疾病名称及疾病定义由我们自行制定使用。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指恶性细胞不受控制的进行性增长和扩散，浸润和破坏周围正常组织，可以经</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血管、淋巴管和体腔扩散转移到身体其它部位的疾病。经病理学检查结果明确</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诊断，临床诊断属于世界卫生组织《疾病和有关健康问题的国际统计分类》</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（ICD-10）的恶性肿瘤范畴。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（5）TNM分期为T1N0M0期或更轻分期的前列腺癌；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（6）感染艾滋病病毒或患艾滋病期间所患恶性肿瘤。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2、急性心肌梗塞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指因冠状动脉阻塞导致的相应区域供血不足造成部分心肌坏死。须满足下列至</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少三项条件：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（1）典型临床表现，例如急性胸痛等；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（2）新近的心电图改变提示急性心肌梗塞；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（3）心肌酶或肌钙蛋白有诊断意义的升高，或呈符合急性心肌梗塞的动态性变</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化；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（4）发病90天后，经检查证实左心室功能降低，如左心室射血分数低于50%。 </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3、脑中风后遗症  </w:t>
                        </w:r>
                      </w:p>
                    </w:tc>
                  </w:tr>
                  <w:tr>
                    <w:trPr>
                      <w:trHeight w:val="241" w:hRule="atLeast"/>
                    </w:trPr>
                    <w:tc>
                      <w:tcPr>
                        <w:tcW w:w="2628" w:type="dxa"/>
                        <w:gridSpan w:val="2"/>
                        <w:vMerge/>
                        <w:tcBorders>
                          <w:top w:val="nil"/>
                        </w:tcBorders>
                      </w:tcPr>
                      <w:p>
                        <w:pPr>
                          <w:rPr>
                            <w:sz w:val="2"/>
                            <w:szCs w:val="2"/>
                          </w:rPr>
                        </w:pPr>
                      </w:p>
                    </w:tc>
                    <w:tc>
                      <w:tcPr>
                        <w:tcW w:w="7497" w:type="dxa"/>
                      </w:tcPr>
                      <w:p>
                        <w:pPr>
                          <w:pStyle w:val="TableParagraph"/>
                          <w:spacing w:line="221" w:lineRule="exact"/>
                          <w:ind w:left="136"/>
                          <w:rPr>
                            <w:sz w:val="21"/>
                          </w:rPr>
                        </w:pPr>
                        <w:r>
                          <w:rPr>
                            <w:sz w:val="21"/>
                          </w:rPr>
                          <w:t>指因脑血管的突发病变引起脑血管出血、栓塞或梗塞，并导致神经系统永久性</w:t>
                        </w:r>
                      </w:p>
                    </w:tc>
                  </w:tr>
                </w:tbl>
                <w:p>
                  <w:pPr>
                    <w:pStyle w:val="BodyText"/>
                    <w:spacing w:line="240" w:lineRule="auto"/>
                    <w:ind w:left="0"/>
                  </w:pPr>
                </w:p>
              </w:txbxContent>
            </v:textbox>
            <w10:wrap type="none"/>
          </v:shape>
        </w:pict>
      </w:r>
      <w:r>
        <w:rPr/>
        <w:t>不能进行任何活动，休息时仍有心悸、呼吸困难等心力衰竭表现。 </w:t>
      </w:r>
    </w:p>
    <w:p>
      <w:pPr>
        <w:spacing w:after="0" w:line="266" w:lineRule="exact"/>
        <w:jc w:val="both"/>
        <w:sectPr>
          <w:pgSz w:w="11900" w:h="16840"/>
          <w:pgMar w:header="0" w:footer="457" w:top="1080" w:bottom="640" w:left="860" w:right="700"/>
        </w:sectPr>
      </w:pPr>
    </w:p>
    <w:p>
      <w:pPr>
        <w:pStyle w:val="BodyText"/>
        <w:spacing w:line="274" w:lineRule="exact" w:before="20"/>
      </w:pPr>
      <w:r>
        <w:rPr/>
        <w:t>的功能障碍。神经系统永久性的功能障碍，指疾病确诊180天后，仍遗留下列一</w:t>
      </w:r>
    </w:p>
    <w:p>
      <w:pPr>
        <w:pStyle w:val="BodyText"/>
      </w:pPr>
      <w:r>
        <w:rPr/>
        <w:t>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4、重大器官移植术或造血干细胞移植术  </w:t>
      </w:r>
    </w:p>
    <w:p>
      <w:pPr>
        <w:pStyle w:val="BodyText"/>
        <w:spacing w:line="237" w:lineRule="auto" w:before="2"/>
        <w:ind w:right="278"/>
      </w:pPr>
      <w:r>
        <w:rPr/>
        <w:t>重大器官移植术，指因相应器官功能衰竭，已经实施了肾脏、肝脏、心脏或肺脏的异体移植手术。  </w:t>
      </w:r>
    </w:p>
    <w:p>
      <w:pPr>
        <w:pStyle w:val="BodyText"/>
        <w:spacing w:line="237" w:lineRule="auto" w:before="1"/>
        <w:ind w:right="27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pPr>
      <w:r>
        <w:rPr/>
        <w:t>5、冠状动脉搭桥术（或称冠状动脉旁路移植术）  </w:t>
      </w:r>
    </w:p>
    <w:p>
      <w:pPr>
        <w:pStyle w:val="BodyText"/>
        <w:spacing w:line="237" w:lineRule="auto" w:before="3"/>
        <w:ind w:right="119"/>
      </w:pPr>
      <w:r>
        <w:rPr>
          <w:spacing w:val="-11"/>
        </w:rPr>
        <w:t>指为治疗严重的冠心病，实际实施了开胸进行的冠状动脉血管旁路移植的手术。</w:t>
      </w:r>
      <w:r>
        <w:rPr/>
        <w:t>冠状动脉支架植入术、心导管球囊扩张术、激光射频技术及其它非开胸的介入</w:t>
      </w:r>
      <w:r>
        <w:rPr>
          <w:spacing w:val="-3"/>
        </w:rPr>
        <w:t>手术、腔镜手术不在保障范围内。  </w:t>
      </w:r>
    </w:p>
    <w:p>
      <w:pPr>
        <w:pStyle w:val="BodyText"/>
        <w:spacing w:line="271" w:lineRule="exact"/>
      </w:pPr>
      <w:r>
        <w:rPr/>
        <w:t>6、终末期肾病（或称慢性肾功能衰竭尿毒症期）  </w:t>
      </w:r>
    </w:p>
    <w:p>
      <w:pPr>
        <w:pStyle w:val="BodyText"/>
        <w:spacing w:line="237" w:lineRule="auto" w:before="2"/>
        <w:ind w:right="221"/>
      </w:pPr>
      <w:r>
        <w:rPr/>
        <w:t>指双肾功能慢性不可逆性衰竭，达到尿毒症期，经诊断后已经进行了至少90天的规律性透析治疗或实施了肾脏移植手术。  </w:t>
      </w:r>
    </w:p>
    <w:p>
      <w:pPr>
        <w:pStyle w:val="BodyText"/>
      </w:pPr>
      <w:r>
        <w:rPr/>
        <w:t>7、多个肢体缺失  </w:t>
      </w:r>
    </w:p>
    <w:p>
      <w:pPr>
        <w:pStyle w:val="BodyText"/>
        <w:spacing w:line="240" w:lineRule="auto"/>
        <w:ind w:right="221"/>
      </w:pPr>
      <w:r>
        <w:rPr/>
        <w:t>指因疾病或意外伤害导致两个或两个以上肢体自腕关节或踝关节近端（靠近躯干端）以上完全性断离。  </w:t>
      </w:r>
    </w:p>
    <w:p>
      <w:pPr>
        <w:pStyle w:val="BodyText"/>
        <w:spacing w:line="269" w:lineRule="exact" w:before="1"/>
      </w:pPr>
      <w:r>
        <w:rPr/>
        <w:t>8、急性或亚急性重症肝炎  </w:t>
      </w:r>
    </w:p>
    <w:p>
      <w:pPr>
        <w:pStyle w:val="BodyText"/>
        <w:spacing w:line="240" w:lineRule="auto"/>
        <w:ind w:right="221"/>
      </w:pPr>
      <w:r>
        <w:rPr/>
        <w:t>指因肝炎病毒感染引起肝脏组织弥漫性坏死，导致急性肝功能衰竭，且经血清学或病毒学检查证实，并须满足下列全部条件：  </w:t>
      </w:r>
    </w:p>
    <w:p>
      <w:pPr>
        <w:pStyle w:val="BodyText"/>
        <w:spacing w:line="271" w:lineRule="exact" w:before="2"/>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9、良性脑肿瘤  </w:t>
      </w:r>
    </w:p>
    <w:p>
      <w:pPr>
        <w:pStyle w:val="BodyText"/>
        <w:spacing w:line="237" w:lineRule="auto" w:before="1"/>
        <w:ind w:right="221"/>
        <w:jc w:val="both"/>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10、慢性肝功能衰竭失代偿期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pPr>
      <w:r>
        <w:rPr/>
        <w:t>（4）充血性脾肿大伴脾功能亢进或食管胃底静脉曲张。  </w:t>
      </w:r>
    </w:p>
    <w:p>
      <w:pPr>
        <w:pStyle w:val="BodyText"/>
        <w:spacing w:line="271" w:lineRule="exact"/>
      </w:pPr>
      <w:r>
        <w:rPr/>
        <w:t>因酗酒或药物滥用导致的肝功能衰竭不在保障范围内。  </w:t>
      </w:r>
    </w:p>
    <w:p>
      <w:pPr>
        <w:pStyle w:val="BodyText"/>
      </w:pPr>
      <w:r>
        <w:rPr/>
        <w:t>11、脑炎后遗症或脑膜炎后遗症  </w:t>
      </w:r>
    </w:p>
    <w:p>
      <w:pPr>
        <w:pStyle w:val="BodyTex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12、深度昏迷  </w:t>
      </w:r>
    </w:p>
    <w:p>
      <w:pPr>
        <w:pStyle w:val="BodyText"/>
        <w:spacing w:line="273" w:lineRule="exact"/>
      </w:pPr>
      <w:r>
        <w:rPr/>
        <w:t>指因疾病或意外伤害导致意识丧失,对外界刺激和体内需求均无反应,昏迷程度</w:t>
      </w:r>
    </w:p>
    <w:p>
      <w:pPr>
        <w:spacing w:after="0" w:line="273" w:lineRule="exact"/>
        <w:sectPr>
          <w:footerReference w:type="default" r:id="rId9"/>
          <w:pgSz w:w="11900" w:h="16840"/>
          <w:pgMar w:footer="457" w:header="0" w:top="1080" w:bottom="640" w:left="1680" w:right="740"/>
          <w:pgNumType w:start="10"/>
        </w:sectPr>
      </w:pPr>
    </w:p>
    <w:p>
      <w:pPr>
        <w:pStyle w:val="BodyText"/>
        <w:spacing w:line="274" w:lineRule="exact" w:before="20"/>
      </w:pPr>
      <w:r>
        <w:rPr/>
        <w:t>按照格拉斯哥昏迷分级（Glasgow coma scale）结果为5分或5分以下，且已经</w:t>
      </w:r>
    </w:p>
    <w:p>
      <w:pPr>
        <w:pStyle w:val="BodyText"/>
      </w:pPr>
      <w:r>
        <w:rPr/>
        <w:t>持续使用呼吸机及其它生命维持系统96小时以上。  </w:t>
      </w:r>
    </w:p>
    <w:p>
      <w:pPr>
        <w:pStyle w:val="BodyText"/>
      </w:pPr>
      <w:r>
        <w:rPr/>
        <w:t>因酗酒或药物滥用导致的深度昏迷不在保障范围内。  </w:t>
      </w:r>
    </w:p>
    <w:p>
      <w:pPr>
        <w:pStyle w:val="BodyText"/>
      </w:pPr>
      <w:r>
        <w:rPr/>
        <w:t>13、双耳失聪  </w:t>
      </w:r>
    </w:p>
    <w:p>
      <w:pPr>
        <w:pStyle w:val="BodyText"/>
      </w:pPr>
      <w:r>
        <w:rPr/>
        <w:t>指因疾病或意外伤害导致双耳听力永久不可逆性丧失，在500赫兹、1000赫兹和</w:t>
      </w:r>
    </w:p>
    <w:p>
      <w:pPr>
        <w:pStyle w:val="BodyText"/>
      </w:pPr>
      <w:r>
        <w:rPr/>
        <w:t>2000赫兹语音频率下，平均听阈大于90分贝，且经纯音听力测试、声导抗检测</w:t>
      </w:r>
    </w:p>
    <w:p>
      <w:pPr>
        <w:pStyle w:val="BodyText"/>
      </w:pPr>
      <w:r>
        <w:rPr/>
        <w:t>或听觉诱发电位检测等证实。  </w:t>
      </w:r>
    </w:p>
    <w:p>
      <w:pPr>
        <w:pStyle w:val="BodyText"/>
      </w:pPr>
      <w:r>
        <w:rPr/>
        <w:t>14、双目失明  </w:t>
      </w:r>
    </w:p>
    <w:p>
      <w:pPr>
        <w:pStyle w:val="BodyText"/>
        <w:spacing w:line="240" w:lineRule="auto"/>
        <w:ind w:right="221"/>
      </w:pPr>
      <w:r>
        <w:rPr/>
        <w:t>指因疾病或意外伤害导致双眼视力永久不可逆性丧失，双眼中较好眼须满足下列至少一项条件：  </w:t>
      </w:r>
    </w:p>
    <w:p>
      <w:pPr>
        <w:pStyle w:val="BodyText"/>
        <w:spacing w:line="271" w:lineRule="exact" w:before="1"/>
      </w:pPr>
      <w:r>
        <w:rPr/>
        <w:t>（1）眼球缺失或摘除；  </w:t>
      </w:r>
    </w:p>
    <w:p>
      <w:pPr>
        <w:pStyle w:val="BodyText"/>
        <w:spacing w:line="237" w:lineRule="auto" w:before="1"/>
        <w:ind w:right="221"/>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15、瘫痪  </w:t>
      </w:r>
    </w:p>
    <w:p>
      <w:pPr>
        <w:pStyle w:val="BodyText"/>
        <w:spacing w:line="237" w:lineRule="auto" w:before="1"/>
        <w:ind w:right="27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16、心脏瓣膜手术  </w:t>
      </w:r>
    </w:p>
    <w:p>
      <w:pPr>
        <w:pStyle w:val="BodyText"/>
      </w:pPr>
      <w:r>
        <w:rPr/>
        <w:t>指为治疗心脏瓣膜疾病，实际实施了开胸进行的心脏瓣膜置换或修复的手术。 </w:t>
      </w:r>
    </w:p>
    <w:p>
      <w:pPr>
        <w:pStyle w:val="BodyText"/>
      </w:pPr>
      <w:r>
        <w:rPr/>
        <w:t>17、严重阿尔茨海默病  </w:t>
      </w:r>
    </w:p>
    <w:p>
      <w:pPr>
        <w:pStyle w:val="BodyText"/>
        <w:spacing w:line="237" w:lineRule="auto" w:before="2"/>
        <w:ind w:right="115"/>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t>等影像学检查证实，且自主生活能力完全丧失，无法独立完成六项基本日常生</w:t>
      </w:r>
      <w:r>
        <w:rPr>
          <w:spacing w:val="-3"/>
        </w:rPr>
        <w:t>活活动中的三项或三项以上。  </w:t>
      </w:r>
    </w:p>
    <w:p>
      <w:pPr>
        <w:pStyle w:val="BodyText"/>
      </w:pPr>
      <w:r>
        <w:rPr/>
        <w:t>神经官能症和精神疾病不在保障范围内。   </w:t>
      </w:r>
    </w:p>
    <w:p>
      <w:pPr>
        <w:pStyle w:val="BodyText"/>
      </w:pPr>
      <w:r>
        <w:rPr/>
        <w:t>18、严重脑损伤  </w:t>
      </w:r>
    </w:p>
    <w:p>
      <w:pPr>
        <w:pStyle w:val="BodyText"/>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pPr>
      <w:r>
        <w:rPr/>
        <w:t>（PET）等影像学检查证实。神经系统永久性的功能障碍，指脑损伤180天后，</w:t>
      </w:r>
    </w:p>
    <w:p>
      <w:pPr>
        <w:pStyle w:val="BodyText"/>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19、严重帕金森病  </w:t>
      </w:r>
    </w:p>
    <w:p>
      <w:pPr>
        <w:pStyle w:val="BodyText"/>
      </w:pPr>
      <w:r>
        <w:rPr/>
        <w:t>是一种中枢神经系统的退行性疾病，临床表现为震颤麻痹、共济失调等。须满</w:t>
      </w:r>
    </w:p>
    <w:p>
      <w:pPr>
        <w:pStyle w:val="BodyText"/>
      </w:pPr>
      <w:r>
        <w:rPr/>
        <w:t>足下列全部条件：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pPr>
      <w:r>
        <w:rPr/>
        <w:t>三项以上。  </w:t>
      </w:r>
    </w:p>
    <w:p>
      <w:pPr>
        <w:pStyle w:val="BodyText"/>
      </w:pPr>
      <w:r>
        <w:rPr/>
        <w:t>继发性帕金森综合征不在保障范围内。  </w:t>
      </w:r>
    </w:p>
    <w:p>
      <w:pPr>
        <w:pStyle w:val="BodyText"/>
        <w:spacing w:line="271" w:lineRule="exact"/>
      </w:pPr>
      <w:r>
        <w:rPr/>
        <w:t>20、严重Ⅲ度烧伤  </w:t>
      </w:r>
    </w:p>
    <w:p>
      <w:pPr>
        <w:pStyle w:val="BodyText"/>
      </w:pPr>
      <w:r>
        <w:rPr/>
        <w:t>指烧伤程度为Ⅲ度，且Ⅲ度烧伤的面积达到全身体表面积的20％或20％以上。</w:t>
      </w:r>
    </w:p>
    <w:p>
      <w:pPr>
        <w:pStyle w:val="BodyText"/>
      </w:pPr>
      <w:r>
        <w:rPr/>
        <w:t>体表面积根据《中国新九分法》计算。  </w:t>
      </w:r>
    </w:p>
    <w:p>
      <w:pPr>
        <w:pStyle w:val="BodyText"/>
      </w:pPr>
      <w:r>
        <w:rPr/>
        <w:t>21、严重原发性肺动脉高压  </w:t>
      </w:r>
    </w:p>
    <w:p>
      <w:pPr>
        <w:pStyle w:val="BodyText"/>
        <w:spacing w:line="237" w:lineRule="auto" w:before="2"/>
        <w:ind w:right="27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pPr>
      <w:r>
        <w:rPr/>
        <w:t>22、严重运动神经元病  </w:t>
      </w:r>
    </w:p>
    <w:p>
      <w:pPr>
        <w:pStyle w:val="BodyText"/>
      </w:pPr>
      <w:r>
        <w:rPr/>
        <w:t>是一组中枢神经系统运动神经元的进行性变性疾病，包括进行性脊肌萎缩症、</w:t>
      </w:r>
    </w:p>
    <w:p>
      <w:pPr>
        <w:pStyle w:val="BodyText"/>
        <w:spacing w:line="273" w:lineRule="exact"/>
      </w:pPr>
      <w:r>
        <w:rPr/>
        <w:t>进行性延髓麻痹症、原发性侧索硬化症、肌萎缩性侧索硬化症。须满足自主生</w:t>
      </w:r>
    </w:p>
    <w:p>
      <w:pPr>
        <w:spacing w:after="0" w:line="273" w:lineRule="exact"/>
        <w:sectPr>
          <w:pgSz w:w="11900" w:h="16840"/>
          <w:pgMar w:header="0" w:footer="457" w:top="1080" w:bottom="640" w:left="1680" w:right="740"/>
        </w:sectPr>
      </w:pPr>
    </w:p>
    <w:p>
      <w:pPr>
        <w:pStyle w:val="BodyText"/>
        <w:spacing w:line="240" w:lineRule="auto" w:before="20"/>
        <w:ind w:right="221"/>
      </w:pPr>
      <w:r>
        <w:rPr/>
        <w:t>活能力完全丧失，无法独立完成六项基本日常生活活动中的三项或三项以上的条件。  </w:t>
      </w:r>
    </w:p>
    <w:p>
      <w:pPr>
        <w:pStyle w:val="BodyText"/>
        <w:spacing w:line="271" w:lineRule="exact"/>
      </w:pPr>
      <w:r>
        <w:rPr/>
        <w:t>23、语言能力丧失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pPr>
      <w:r>
        <w:rPr/>
        <w:t>精神心理因素所致的语言能力丧失不在保障范围内。  </w:t>
      </w:r>
    </w:p>
    <w:p>
      <w:pPr>
        <w:pStyle w:val="BodyText"/>
      </w:pPr>
      <w:r>
        <w:rPr/>
        <w:t>24、重型再生障碍性贫血  </w:t>
      </w:r>
    </w:p>
    <w:p>
      <w:pPr>
        <w:pStyle w:val="BodyText"/>
      </w:pPr>
      <w:r>
        <w:rPr/>
        <w:t>指因骨髓造血功能慢性持续性衰竭导致的贫血、中性粒细胞减少及血小板减少。</w:t>
      </w:r>
    </w:p>
    <w:p>
      <w:pPr>
        <w:pStyle w:val="BodyText"/>
      </w:pPr>
      <w:r>
        <w:rPr/>
        <w:t>须满足下列全部条件：  </w:t>
      </w:r>
    </w:p>
    <w:p>
      <w:pPr>
        <w:pStyle w:val="BodyText"/>
      </w:pPr>
      <w:r>
        <w:rPr/>
        <w:t>（1）骨髓穿刺检查或骨髓活检结果支持诊断；  </w:t>
      </w:r>
    </w:p>
    <w:p>
      <w:pPr>
        <w:pStyle w:val="BodyText"/>
      </w:pPr>
      <w:r>
        <w:rPr/>
        <w:t>（2）外周血象须具备以下三项条件：  </w:t>
      </w:r>
    </w:p>
    <w:p>
      <w:pPr>
        <w:pStyle w:val="BodyText"/>
        <w:ind w:left="2613"/>
      </w:pPr>
      <w:r>
        <w:rPr/>
        <w:t>① 中性粒细胞绝对值≤0.5×10</w:t>
      </w:r>
      <w:r>
        <w:rPr>
          <w:position w:val="11"/>
          <w:sz w:val="11"/>
        </w:rPr>
        <w:t>9</w:t>
      </w:r>
      <w:r>
        <w:rPr/>
        <w:t>/L ；  </w:t>
      </w:r>
    </w:p>
    <w:p>
      <w:pPr>
        <w:pStyle w:val="BodyText"/>
        <w:ind w:left="2613"/>
      </w:pPr>
      <w:r>
        <w:rPr/>
        <w:t>② 网织红细胞＜1%；  </w:t>
      </w:r>
    </w:p>
    <w:p>
      <w:pPr>
        <w:pStyle w:val="BodyText"/>
        <w:ind w:left="2613"/>
      </w:pPr>
      <w:r>
        <w:rPr/>
        <w:t>③ 血小板绝对值≤20×10</w:t>
      </w:r>
      <w:r>
        <w:rPr>
          <w:position w:val="11"/>
          <w:sz w:val="11"/>
        </w:rPr>
        <w:t>9</w:t>
      </w:r>
      <w:r>
        <w:rPr/>
        <w:t>/L。  </w:t>
      </w:r>
    </w:p>
    <w:p>
      <w:pPr>
        <w:pStyle w:val="BodyText"/>
      </w:pPr>
      <w:r>
        <w:rPr/>
        <w:t>25、主动脉手术  </w:t>
      </w:r>
    </w:p>
    <w:p>
      <w:pPr>
        <w:pStyle w:val="BodyText"/>
        <w:spacing w:line="237" w:lineRule="auto" w:before="2"/>
        <w:ind w:right="221"/>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pPr>
      <w:r>
        <w:rPr/>
        <w:t>26、严重多发性硬化症 </w:t>
      </w:r>
    </w:p>
    <w:p>
      <w:pPr>
        <w:pStyle w:val="BodyText"/>
        <w:spacing w:line="237" w:lineRule="auto"/>
        <w:ind w:right="278"/>
        <w:jc w:val="both"/>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rPr>
          <w:sz w:val="16"/>
        </w:rPr>
      </w:pPr>
      <w:r>
        <w:rPr/>
        <w:t>27、严重慢性呼吸功能衰竭</w:t>
      </w:r>
      <w:r>
        <w:rPr>
          <w:w w:val="100"/>
          <w:sz w:val="16"/>
        </w:rPr>
        <w:t> </w:t>
      </w:r>
    </w:p>
    <w:p>
      <w:pPr>
        <w:pStyle w:val="BodyText"/>
        <w:spacing w:line="240" w:lineRule="auto"/>
        <w:ind w:right="221"/>
      </w:pPr>
      <w:r>
        <w:rPr/>
        <w:t>被保险人患有慢性呼吸系统疾病或其它导致呼吸功能障碍的慢性疾病而出现永久不可逆性的慢性呼吸衰竭，由专科医生确认并符合以下各项： </w:t>
      </w:r>
    </w:p>
    <w:p>
      <w:pPr>
        <w:pStyle w:val="BodyText"/>
        <w:spacing w:line="270" w:lineRule="exact" w:before="1"/>
      </w:pPr>
      <w:r>
        <w:rPr/>
        <w:t>（1）休息时出现呼吸困难； </w:t>
      </w:r>
    </w:p>
    <w:p>
      <w:pPr>
        <w:pStyle w:val="BodyText"/>
      </w:pPr>
      <w:r>
        <w:rPr>
          <w:position w:val="1"/>
        </w:rPr>
        <w:t>（2）动脉氧分压 （PaO</w:t>
      </w:r>
      <w:r>
        <w:rPr>
          <w:sz w:val="11"/>
        </w:rPr>
        <w:t>2</w:t>
      </w:r>
      <w:r>
        <w:rPr>
          <w:position w:val="1"/>
        </w:rPr>
        <w:t>）&lt; 50mmHg； </w:t>
      </w:r>
    </w:p>
    <w:p>
      <w:pPr>
        <w:pStyle w:val="BodyText"/>
        <w:spacing w:line="273" w:lineRule="exact"/>
      </w:pPr>
      <w:r>
        <w:rPr>
          <w:position w:val="1"/>
        </w:rPr>
        <w:t>（3）动脉血氧饱和度 （SaO</w:t>
      </w:r>
      <w:r>
        <w:rPr>
          <w:sz w:val="11"/>
        </w:rPr>
        <w:t>2</w:t>
      </w:r>
      <w:r>
        <w:rPr>
          <w:position w:val="1"/>
        </w:rPr>
        <w:t>）&lt; 80％； </w:t>
      </w:r>
    </w:p>
    <w:p>
      <w:pPr>
        <w:pStyle w:val="BodyText"/>
        <w:spacing w:line="281" w:lineRule="exact"/>
      </w:pPr>
      <w:r>
        <w:rPr/>
        <w:t>（</w:t>
      </w:r>
      <w:r>
        <w:rPr>
          <w:rFonts w:ascii="Times New Roman" w:eastAsia="Times New Roman"/>
        </w:rPr>
        <w:t>4</w:t>
      </w:r>
      <w:r>
        <w:rPr/>
        <w:t>）因缺氧必须接受持续的输氧治疗。 </w:t>
      </w:r>
    </w:p>
    <w:p>
      <w:pPr>
        <w:pStyle w:val="BodyText"/>
        <w:spacing w:line="264" w:lineRule="exact"/>
      </w:pPr>
      <w:r>
        <w:rPr/>
        <w:t>28、严重类风湿关节炎 </w:t>
      </w:r>
    </w:p>
    <w:p>
      <w:pPr>
        <w:pStyle w:val="BodyText"/>
        <w:spacing w:line="235" w:lineRule="auto" w:before="4"/>
        <w:ind w:right="75"/>
      </w:pPr>
      <w:r>
        <w:rPr>
          <w:spacing w:val="-5"/>
        </w:rPr>
        <w:t>严重类风湿关节炎为广泛分布的慢性进行性多关节病变，表现为关节严重变形， 侵犯至少三个主要关节或关节组（如：双手（多手指）关节、双足（多足趾） </w:t>
      </w:r>
      <w:r>
        <w:rPr>
          <w:spacing w:val="-8"/>
        </w:rPr>
        <w:t>关节、双腕关节、双膝关节和双髋关节</w:t>
      </w:r>
      <w:r>
        <w:rPr>
          <w:spacing w:val="-106"/>
        </w:rPr>
        <w:t>）</w:t>
      </w:r>
      <w:r>
        <w:rPr>
          <w:spacing w:val="-6"/>
        </w:rPr>
        <w:t>。诊断必须由专科医生确认，被保险人</w:t>
      </w:r>
      <w:r>
        <w:rPr>
          <w:spacing w:val="-2"/>
        </w:rPr>
        <w:t>所患的严重类风湿关节炎必须已经达到类风湿关节炎功能分级</w:t>
      </w:r>
      <w:r>
        <w:rPr>
          <w:rFonts w:ascii="Times New Roman" w:eastAsia="Times New Roman"/>
        </w:rPr>
        <w:t>III </w:t>
      </w:r>
      <w:r>
        <w:rPr>
          <w:spacing w:val="-2"/>
        </w:rPr>
        <w:t>级以上的功能</w:t>
      </w:r>
      <w:r>
        <w:rPr>
          <w:spacing w:val="-10"/>
        </w:rPr>
        <w:t>障碍</w:t>
      </w:r>
      <w:r>
        <w:rPr/>
        <w:t>（</w:t>
      </w:r>
      <w:r>
        <w:rPr>
          <w:spacing w:val="-5"/>
        </w:rPr>
        <w:t>严重限制，不能完成大部分的日常工作和活动</w:t>
      </w:r>
      <w:r>
        <w:rPr>
          <w:spacing w:val="-17"/>
        </w:rPr>
        <w:t>）</w:t>
      </w:r>
      <w:r>
        <w:rPr>
          <w:spacing w:val="-3"/>
        </w:rPr>
        <w:t>并且符合下列所有条件：</w:t>
      </w:r>
    </w:p>
    <w:p>
      <w:pPr>
        <w:pStyle w:val="BodyText"/>
        <w:spacing w:line="279" w:lineRule="exact"/>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spacing w:line="264" w:lineRule="exact"/>
      </w:pPr>
      <w:r>
        <w:rPr/>
        <w:t>（5）X 线显示严重的关节（软骨和骨）破坏和关节畸形。</w:t>
      </w:r>
    </w:p>
    <w:p>
      <w:pPr>
        <w:pStyle w:val="BodyText"/>
      </w:pPr>
      <w:r>
        <w:rPr/>
        <w:t>29、严重系统性红斑狼疮 </w:t>
      </w:r>
    </w:p>
    <w:p>
      <w:pPr>
        <w:pStyle w:val="BodyText"/>
        <w:spacing w:line="271" w:lineRule="exact"/>
        <w:ind w:left="1963"/>
      </w:pPr>
      <w:r>
        <w:rPr/>
        <w:t>系统性红斑狼疮是由多种因素引起，累及多系统的自身免疫性疾病。其特点是生</w:t>
      </w:r>
    </w:p>
    <w:p>
      <w:pPr>
        <w:pStyle w:val="BodyText"/>
        <w:ind w:left="1963"/>
      </w:pPr>
      <w:r>
        <w:rPr/>
        <w:t>成自身抗体对抗多种自身抗原。多见于育龄妇女。 </w:t>
      </w:r>
    </w:p>
    <w:p>
      <w:pPr>
        <w:pStyle w:val="BodyText"/>
        <w:ind w:left="1963"/>
      </w:pPr>
      <w:r>
        <w:rPr/>
        <w:t>本附加险合同所指的系统性红斑狼疮仅限于累及肾脏（经肾脏活检确认的，符合</w:t>
      </w:r>
    </w:p>
    <w:p>
      <w:pPr>
        <w:pStyle w:val="BodyText"/>
        <w:ind w:left="1963"/>
      </w:pPr>
      <w:r>
        <w:rPr/>
        <w:t>WHO</w:t>
      </w:r>
      <w:r>
        <w:rPr>
          <w:spacing w:val="-15"/>
        </w:rPr>
        <w:t> 诊断标准定义 </w:t>
      </w:r>
      <w:r>
        <w:rPr/>
        <w:t>III</w:t>
      </w:r>
      <w:r>
        <w:rPr>
          <w:spacing w:val="-25"/>
        </w:rPr>
        <w:t> 型至 </w:t>
      </w:r>
      <w:r>
        <w:rPr/>
        <w:t>V</w:t>
      </w:r>
      <w:r>
        <w:rPr>
          <w:spacing w:val="-10"/>
        </w:rPr>
        <w:t> 型狼疮性肾炎</w:t>
      </w:r>
      <w:r>
        <w:rPr>
          <w:spacing w:val="-5"/>
        </w:rPr>
        <w:t>）</w:t>
      </w:r>
      <w:r>
        <w:rPr>
          <w:spacing w:val="-4"/>
        </w:rPr>
        <w:t>的系统性红斑狼疮。其他类型的红</w:t>
      </w:r>
    </w:p>
    <w:p>
      <w:pPr>
        <w:pStyle w:val="BodyText"/>
        <w:ind w:left="1963"/>
      </w:pPr>
      <w:r>
        <w:rPr/>
        <w:t>斑性狼疮，如盘状狼疮、仅累及血液及关节的狼疮不在保障范围内。 </w:t>
      </w:r>
    </w:p>
    <w:p>
      <w:pPr>
        <w:pStyle w:val="BodyText"/>
        <w:spacing w:line="273" w:lineRule="exact" w:after="32"/>
      </w:pPr>
      <w:r>
        <w:rPr/>
        <w:t>世界卫生组织（WHO）狼疮性肾炎分型：</w:t>
      </w:r>
    </w:p>
    <w:tbl>
      <w:tblPr>
        <w:tblW w:w="0" w:type="auto"/>
        <w:jc w:val="left"/>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140"/>
      </w:tblGrid>
      <w:tr>
        <w:trPr>
          <w:trHeight w:val="270" w:hRule="atLeast"/>
        </w:trPr>
        <w:tc>
          <w:tcPr>
            <w:tcW w:w="2861" w:type="dxa"/>
          </w:tcPr>
          <w:p>
            <w:pPr>
              <w:pStyle w:val="TableParagraph"/>
              <w:spacing w:line="241" w:lineRule="exact"/>
              <w:ind w:left="-1"/>
              <w:rPr>
                <w:sz w:val="21"/>
              </w:rPr>
            </w:pPr>
            <w:r>
              <w:rPr>
                <w:sz w:val="21"/>
              </w:rPr>
              <w:t>I 型（微小病变型）</w:t>
            </w:r>
          </w:p>
        </w:tc>
        <w:tc>
          <w:tcPr>
            <w:tcW w:w="4140" w:type="dxa"/>
          </w:tcPr>
          <w:p>
            <w:pPr>
              <w:pStyle w:val="TableParagraph"/>
              <w:spacing w:line="241" w:lineRule="exact"/>
              <w:ind w:left="90"/>
              <w:rPr>
                <w:sz w:val="21"/>
              </w:rPr>
            </w:pPr>
            <w:r>
              <w:rPr>
                <w:sz w:val="21"/>
              </w:rPr>
              <w:t>镜下阴性，尿液正常 </w:t>
            </w:r>
          </w:p>
        </w:tc>
      </w:tr>
      <w:tr>
        <w:trPr>
          <w:trHeight w:val="273" w:hRule="atLeast"/>
        </w:trPr>
        <w:tc>
          <w:tcPr>
            <w:tcW w:w="2861" w:type="dxa"/>
          </w:tcPr>
          <w:p>
            <w:pPr>
              <w:pStyle w:val="TableParagraph"/>
              <w:spacing w:line="243" w:lineRule="exact"/>
              <w:ind w:left="-1"/>
              <w:rPr>
                <w:sz w:val="21"/>
              </w:rPr>
            </w:pPr>
            <w:r>
              <w:rPr>
                <w:sz w:val="21"/>
              </w:rPr>
              <w:t>II 型（系膜病变型） </w:t>
            </w:r>
          </w:p>
        </w:tc>
        <w:tc>
          <w:tcPr>
            <w:tcW w:w="4140" w:type="dxa"/>
          </w:tcPr>
          <w:p>
            <w:pPr>
              <w:pStyle w:val="TableParagraph"/>
              <w:spacing w:line="243" w:lineRule="exact"/>
              <w:ind w:left="90"/>
              <w:rPr>
                <w:sz w:val="21"/>
              </w:rPr>
            </w:pPr>
            <w:r>
              <w:rPr>
                <w:sz w:val="21"/>
              </w:rPr>
              <w:t>中度蛋白尿，偶有尿沉渣改变 </w:t>
            </w:r>
          </w:p>
        </w:tc>
      </w:tr>
      <w:tr>
        <w:trPr>
          <w:trHeight w:val="273" w:hRule="atLeast"/>
        </w:trPr>
        <w:tc>
          <w:tcPr>
            <w:tcW w:w="2861" w:type="dxa"/>
          </w:tcPr>
          <w:p>
            <w:pPr>
              <w:pStyle w:val="TableParagraph"/>
              <w:spacing w:line="241" w:lineRule="exact"/>
              <w:ind w:left="-1"/>
              <w:rPr>
                <w:sz w:val="21"/>
              </w:rPr>
            </w:pPr>
            <w:r>
              <w:rPr>
                <w:sz w:val="21"/>
              </w:rPr>
              <w:t>III 型（局灶及节段增生型） </w:t>
            </w:r>
          </w:p>
        </w:tc>
        <w:tc>
          <w:tcPr>
            <w:tcW w:w="4140" w:type="dxa"/>
          </w:tcPr>
          <w:p>
            <w:pPr>
              <w:pStyle w:val="TableParagraph"/>
              <w:spacing w:line="241" w:lineRule="exact"/>
              <w:ind w:left="90"/>
              <w:rPr>
                <w:sz w:val="21"/>
              </w:rPr>
            </w:pPr>
            <w:r>
              <w:rPr>
                <w:sz w:val="21"/>
              </w:rPr>
              <w:t>蛋白尿，尿沉渣改变 </w:t>
            </w:r>
          </w:p>
        </w:tc>
      </w:tr>
      <w:tr>
        <w:trPr>
          <w:trHeight w:val="261" w:hRule="atLeast"/>
        </w:trPr>
        <w:tc>
          <w:tcPr>
            <w:tcW w:w="2861" w:type="dxa"/>
          </w:tcPr>
          <w:p>
            <w:pPr>
              <w:pStyle w:val="TableParagraph"/>
              <w:spacing w:line="241" w:lineRule="exact"/>
              <w:ind w:left="-1"/>
              <w:rPr>
                <w:sz w:val="21"/>
              </w:rPr>
            </w:pPr>
            <w:r>
              <w:rPr>
                <w:sz w:val="21"/>
              </w:rPr>
              <w:t>IV 型（弥漫增生型） </w:t>
            </w:r>
          </w:p>
        </w:tc>
        <w:tc>
          <w:tcPr>
            <w:tcW w:w="4140" w:type="dxa"/>
          </w:tcPr>
          <w:p>
            <w:pPr>
              <w:pStyle w:val="TableParagraph"/>
              <w:spacing w:line="241" w:lineRule="exact"/>
              <w:ind w:left="90"/>
              <w:rPr>
                <w:sz w:val="21"/>
              </w:rPr>
            </w:pPr>
            <w:r>
              <w:rPr>
                <w:sz w:val="21"/>
              </w:rPr>
              <w:t>急性肾炎伴有尿沉渣改变及／或肾病综合</w:t>
            </w:r>
          </w:p>
        </w:tc>
      </w:tr>
    </w:tbl>
    <w:p>
      <w:pPr>
        <w:spacing w:after="0" w:line="241" w:lineRule="exact"/>
        <w:rPr>
          <w:sz w:val="21"/>
        </w:rPr>
        <w:sectPr>
          <w:pgSz w:w="11900" w:h="16840"/>
          <w:pgMar w:header="0" w:footer="457" w:top="1080" w:bottom="640" w:left="1680" w:right="740"/>
        </w:sectPr>
      </w:pPr>
    </w:p>
    <w:tbl>
      <w:tblPr>
        <w:tblW w:w="0" w:type="auto"/>
        <w:jc w:val="left"/>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140"/>
      </w:tblGrid>
      <w:tr>
        <w:trPr>
          <w:trHeight w:val="273" w:hRule="atLeast"/>
        </w:trPr>
        <w:tc>
          <w:tcPr>
            <w:tcW w:w="2861" w:type="dxa"/>
          </w:tcPr>
          <w:p>
            <w:pPr>
              <w:pStyle w:val="TableParagraph"/>
              <w:rPr>
                <w:rFonts w:ascii="Times New Roman"/>
                <w:sz w:val="20"/>
              </w:rPr>
            </w:pPr>
          </w:p>
        </w:tc>
        <w:tc>
          <w:tcPr>
            <w:tcW w:w="4140" w:type="dxa"/>
          </w:tcPr>
          <w:p>
            <w:pPr>
              <w:pStyle w:val="TableParagraph"/>
              <w:spacing w:line="237" w:lineRule="exact"/>
              <w:ind w:left="90"/>
              <w:rPr>
                <w:sz w:val="21"/>
              </w:rPr>
            </w:pPr>
            <w:r>
              <w:rPr>
                <w:sz w:val="21"/>
              </w:rPr>
              <w:t>征 </w:t>
            </w:r>
          </w:p>
        </w:tc>
      </w:tr>
      <w:tr>
        <w:trPr>
          <w:trHeight w:val="273" w:hRule="atLeast"/>
        </w:trPr>
        <w:tc>
          <w:tcPr>
            <w:tcW w:w="2861" w:type="dxa"/>
          </w:tcPr>
          <w:p>
            <w:pPr>
              <w:pStyle w:val="TableParagraph"/>
              <w:spacing w:line="235" w:lineRule="exact"/>
              <w:ind w:left="-1"/>
              <w:rPr>
                <w:sz w:val="21"/>
              </w:rPr>
            </w:pPr>
            <w:r>
              <w:rPr>
                <w:sz w:val="21"/>
              </w:rPr>
              <w:t>V 型（膜型） </w:t>
            </w:r>
          </w:p>
        </w:tc>
        <w:tc>
          <w:tcPr>
            <w:tcW w:w="4140" w:type="dxa"/>
          </w:tcPr>
          <w:p>
            <w:pPr>
              <w:pStyle w:val="TableParagraph"/>
              <w:spacing w:line="235" w:lineRule="exact"/>
              <w:ind w:left="105"/>
              <w:rPr>
                <w:sz w:val="21"/>
              </w:rPr>
            </w:pPr>
            <w:r>
              <w:rPr>
                <w:sz w:val="21"/>
              </w:rPr>
              <w:t>肾病综合征或重度蛋白尿 </w:t>
            </w:r>
          </w:p>
        </w:tc>
      </w:tr>
    </w:tbl>
    <w:p>
      <w:pPr>
        <w:pStyle w:val="BodyText"/>
        <w:spacing w:line="233" w:lineRule="exact"/>
        <w:jc w:val="both"/>
      </w:pPr>
      <w:r>
        <w:rPr/>
        <w:t>30、经输血导致的人类免疫缺陷病毒感染  </w:t>
      </w:r>
    </w:p>
    <w:p>
      <w:pPr>
        <w:pStyle w:val="BodyText"/>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jc w:val="both"/>
      </w:pPr>
      <w:r>
        <w:rPr/>
        <w:t>（2）提供输血治疗的输血中心或医疗机构出具该项输血感染属医疗责任事故的</w:t>
      </w:r>
    </w:p>
    <w:p>
      <w:pPr>
        <w:pStyle w:val="BodyText"/>
        <w:jc w:val="both"/>
      </w:pPr>
      <w:r>
        <w:rPr/>
        <w:t>报告，或者法院终审裁定为医疗责任； </w:t>
      </w:r>
    </w:p>
    <w:p>
      <w:pPr>
        <w:pStyle w:val="BodyText"/>
        <w:jc w:val="both"/>
      </w:pPr>
      <w:r>
        <w:rPr/>
        <w:t>（3）受感染的被保险人不是血友病患者。 </w:t>
      </w:r>
    </w:p>
    <w:p>
      <w:pPr>
        <w:pStyle w:val="BodyText"/>
        <w:jc w:val="both"/>
      </w:pPr>
      <w:r>
        <w:rPr/>
        <w:t>在任何治愈艾滋病（AIDS）或阻止 HIV 病毒作用的疗法被发现以后，或能防止</w:t>
      </w:r>
    </w:p>
    <w:p>
      <w:pPr>
        <w:pStyle w:val="BodyText"/>
        <w:jc w:val="both"/>
      </w:pPr>
      <w:r>
        <w:rPr/>
        <w:t>AIDS 发生的医疗方法被研究出来以后，本附加险合同将不再予以赔付。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31、克隆病 </w:t>
      </w:r>
    </w:p>
    <w:p>
      <w:pPr>
        <w:pStyle w:val="BodyText"/>
        <w:spacing w:line="237" w:lineRule="auto" w:before="1"/>
        <w:ind w:right="178"/>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jc w:val="both"/>
      </w:pPr>
      <w:r>
        <w:rPr/>
        <w:t>32、植物人状态 </w:t>
      </w:r>
    </w:p>
    <w:p>
      <w:pPr>
        <w:pStyle w:val="BodyText"/>
        <w:spacing w:line="237" w:lineRule="auto" w:before="1"/>
        <w:ind w:right="121"/>
        <w:jc w:val="both"/>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jc w:val="both"/>
      </w:pPr>
      <w:r>
        <w:rPr/>
        <w:t>Glasgow头部创伤昏迷评分表： </w:t>
      </w:r>
    </w:p>
    <w:p>
      <w:pPr>
        <w:pStyle w:val="BodyText"/>
        <w:spacing w:line="271" w:lineRule="exact"/>
        <w:jc w:val="both"/>
      </w:pPr>
      <w:r>
        <w:rPr>
          <w:w w:val="100"/>
        </w:rPr>
        <w:t> </w:t>
      </w:r>
    </w:p>
    <w:p>
      <w:pPr>
        <w:pStyle w:val="BodyText"/>
        <w:jc w:val="both"/>
      </w:pPr>
      <w:r>
        <w:rPr>
          <w:w w:val="100"/>
        </w:rPr>
        <w:t> </w:t>
      </w:r>
    </w:p>
    <w:p>
      <w:pPr>
        <w:pStyle w:val="BodyText"/>
        <w:spacing w:line="274" w:lineRule="exact" w:after="31"/>
        <w:jc w:val="both"/>
      </w:pPr>
      <w:r>
        <w:rPr>
          <w:w w:val="100"/>
        </w:rPr>
        <w:t> </w:t>
      </w:r>
    </w:p>
    <w:tbl>
      <w:tblPr>
        <w:tblW w:w="0" w:type="auto"/>
        <w:jc w:val="left"/>
        <w:tblInd w:w="2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453"/>
        <w:gridCol w:w="1972"/>
        <w:gridCol w:w="539"/>
        <w:gridCol w:w="1389"/>
        <w:gridCol w:w="539"/>
      </w:tblGrid>
      <w:tr>
        <w:trPr>
          <w:trHeight w:val="285" w:hRule="atLeast"/>
        </w:trPr>
        <w:tc>
          <w:tcPr>
            <w:tcW w:w="1955" w:type="dxa"/>
            <w:gridSpan w:val="2"/>
          </w:tcPr>
          <w:p>
            <w:pPr>
              <w:pStyle w:val="TableParagraph"/>
              <w:spacing w:line="243" w:lineRule="exact"/>
              <w:ind w:left="319"/>
              <w:rPr>
                <w:sz w:val="21"/>
              </w:rPr>
            </w:pPr>
            <w:r>
              <w:rPr>
                <w:sz w:val="21"/>
              </w:rPr>
              <w:t>睁眼活动（E） </w:t>
            </w:r>
          </w:p>
        </w:tc>
        <w:tc>
          <w:tcPr>
            <w:tcW w:w="2511" w:type="dxa"/>
            <w:gridSpan w:val="2"/>
          </w:tcPr>
          <w:p>
            <w:pPr>
              <w:pStyle w:val="TableParagraph"/>
              <w:spacing w:line="243" w:lineRule="exact"/>
              <w:ind w:left="596"/>
              <w:rPr>
                <w:sz w:val="21"/>
              </w:rPr>
            </w:pPr>
            <w:r>
              <w:rPr>
                <w:sz w:val="21"/>
              </w:rPr>
              <w:t>运动功能（M） </w:t>
            </w:r>
          </w:p>
        </w:tc>
        <w:tc>
          <w:tcPr>
            <w:tcW w:w="1928" w:type="dxa"/>
            <w:gridSpan w:val="2"/>
          </w:tcPr>
          <w:p>
            <w:pPr>
              <w:pStyle w:val="TableParagraph"/>
              <w:spacing w:line="243" w:lineRule="exact"/>
              <w:ind w:left="307"/>
              <w:rPr>
                <w:sz w:val="21"/>
              </w:rPr>
            </w:pPr>
            <w:r>
              <w:rPr>
                <w:sz w:val="21"/>
              </w:rPr>
              <w:t>语言功能（V） </w:t>
            </w:r>
          </w:p>
        </w:tc>
      </w:tr>
      <w:tr>
        <w:trPr>
          <w:trHeight w:val="271" w:hRule="atLeast"/>
        </w:trPr>
        <w:tc>
          <w:tcPr>
            <w:tcW w:w="1502" w:type="dxa"/>
            <w:tcBorders>
              <w:bottom w:val="nil"/>
            </w:tcBorders>
          </w:tcPr>
          <w:p>
            <w:pPr>
              <w:pStyle w:val="TableParagraph"/>
              <w:spacing w:line="241" w:lineRule="exact"/>
              <w:ind w:left="107"/>
              <w:rPr>
                <w:sz w:val="21"/>
              </w:rPr>
            </w:pPr>
            <w:r>
              <w:rPr>
                <w:sz w:val="21"/>
              </w:rPr>
              <w:t>自动睁眼 </w:t>
            </w:r>
          </w:p>
        </w:tc>
        <w:tc>
          <w:tcPr>
            <w:tcW w:w="453" w:type="dxa"/>
            <w:tcBorders>
              <w:bottom w:val="nil"/>
            </w:tcBorders>
          </w:tcPr>
          <w:p>
            <w:pPr>
              <w:pStyle w:val="TableParagraph"/>
              <w:spacing w:line="241" w:lineRule="exact"/>
              <w:ind w:left="142" w:right="155"/>
              <w:jc w:val="center"/>
              <w:rPr>
                <w:sz w:val="21"/>
              </w:rPr>
            </w:pPr>
            <w:r>
              <w:rPr>
                <w:sz w:val="21"/>
              </w:rPr>
              <w:t>4 </w:t>
            </w:r>
          </w:p>
        </w:tc>
        <w:tc>
          <w:tcPr>
            <w:tcW w:w="1972" w:type="dxa"/>
            <w:tcBorders>
              <w:bottom w:val="nil"/>
            </w:tcBorders>
          </w:tcPr>
          <w:p>
            <w:pPr>
              <w:pStyle w:val="TableParagraph"/>
              <w:spacing w:line="241" w:lineRule="exact"/>
              <w:ind w:left="106"/>
              <w:rPr>
                <w:sz w:val="21"/>
              </w:rPr>
            </w:pPr>
            <w:r>
              <w:rPr>
                <w:sz w:val="21"/>
              </w:rPr>
              <w:t>能听从指令活动 </w:t>
            </w:r>
          </w:p>
        </w:tc>
        <w:tc>
          <w:tcPr>
            <w:tcW w:w="539" w:type="dxa"/>
            <w:tcBorders>
              <w:bottom w:val="nil"/>
            </w:tcBorders>
          </w:tcPr>
          <w:p>
            <w:pPr>
              <w:pStyle w:val="TableParagraph"/>
              <w:spacing w:line="241" w:lineRule="exact"/>
              <w:ind w:left="109"/>
              <w:rPr>
                <w:sz w:val="21"/>
              </w:rPr>
            </w:pPr>
            <w:r>
              <w:rPr>
                <w:sz w:val="21"/>
              </w:rPr>
              <w:t>6 </w:t>
            </w:r>
          </w:p>
        </w:tc>
        <w:tc>
          <w:tcPr>
            <w:tcW w:w="1389" w:type="dxa"/>
            <w:tcBorders>
              <w:bottom w:val="nil"/>
            </w:tcBorders>
          </w:tcPr>
          <w:p>
            <w:pPr>
              <w:pStyle w:val="TableParagraph"/>
              <w:spacing w:line="241" w:lineRule="exact"/>
              <w:ind w:left="110"/>
              <w:rPr>
                <w:sz w:val="21"/>
              </w:rPr>
            </w:pPr>
            <w:r>
              <w:rPr>
                <w:sz w:val="21"/>
              </w:rPr>
              <w:t>语言切题 </w:t>
            </w:r>
          </w:p>
        </w:tc>
        <w:tc>
          <w:tcPr>
            <w:tcW w:w="539" w:type="dxa"/>
            <w:tcBorders>
              <w:bottom w:val="nil"/>
            </w:tcBorders>
          </w:tcPr>
          <w:p>
            <w:pPr>
              <w:pStyle w:val="TableParagraph"/>
              <w:spacing w:line="241" w:lineRule="exact"/>
              <w:ind w:left="111"/>
              <w:rPr>
                <w:sz w:val="21"/>
              </w:rPr>
            </w:pPr>
            <w:r>
              <w:rPr>
                <w:sz w:val="21"/>
              </w:rPr>
              <w:t>5 </w:t>
            </w:r>
          </w:p>
        </w:tc>
      </w:tr>
      <w:tr>
        <w:trPr>
          <w:trHeight w:val="272" w:hRule="atLeast"/>
        </w:trPr>
        <w:tc>
          <w:tcPr>
            <w:tcW w:w="1502" w:type="dxa"/>
            <w:tcBorders>
              <w:top w:val="nil"/>
              <w:bottom w:val="nil"/>
            </w:tcBorders>
          </w:tcPr>
          <w:p>
            <w:pPr>
              <w:pStyle w:val="TableParagraph"/>
              <w:spacing w:line="242" w:lineRule="exact"/>
              <w:ind w:left="107"/>
              <w:rPr>
                <w:sz w:val="21"/>
              </w:rPr>
            </w:pPr>
            <w:r>
              <w:rPr>
                <w:sz w:val="21"/>
              </w:rPr>
              <w:t>闻声后睁眼 </w:t>
            </w:r>
          </w:p>
        </w:tc>
        <w:tc>
          <w:tcPr>
            <w:tcW w:w="453" w:type="dxa"/>
            <w:tcBorders>
              <w:top w:val="nil"/>
              <w:bottom w:val="nil"/>
            </w:tcBorders>
          </w:tcPr>
          <w:p>
            <w:pPr>
              <w:pStyle w:val="TableParagraph"/>
              <w:spacing w:line="242" w:lineRule="exact"/>
              <w:ind w:left="142" w:right="155"/>
              <w:jc w:val="center"/>
              <w:rPr>
                <w:sz w:val="21"/>
              </w:rPr>
            </w:pPr>
            <w:r>
              <w:rPr>
                <w:sz w:val="21"/>
              </w:rPr>
              <w:t>3 </w:t>
            </w:r>
          </w:p>
        </w:tc>
        <w:tc>
          <w:tcPr>
            <w:tcW w:w="1972" w:type="dxa"/>
            <w:tcBorders>
              <w:top w:val="nil"/>
              <w:bottom w:val="nil"/>
            </w:tcBorders>
          </w:tcPr>
          <w:p>
            <w:pPr>
              <w:pStyle w:val="TableParagraph"/>
              <w:spacing w:line="242" w:lineRule="exact"/>
              <w:ind w:left="106"/>
              <w:rPr>
                <w:sz w:val="21"/>
              </w:rPr>
            </w:pPr>
            <w:r>
              <w:rPr>
                <w:sz w:val="21"/>
              </w:rPr>
              <w:t>局部痛刺激有反应 </w:t>
            </w:r>
          </w:p>
        </w:tc>
        <w:tc>
          <w:tcPr>
            <w:tcW w:w="539" w:type="dxa"/>
            <w:tcBorders>
              <w:top w:val="nil"/>
              <w:bottom w:val="nil"/>
            </w:tcBorders>
          </w:tcPr>
          <w:p>
            <w:pPr>
              <w:pStyle w:val="TableParagraph"/>
              <w:spacing w:line="242" w:lineRule="exact"/>
              <w:ind w:left="109"/>
              <w:rPr>
                <w:sz w:val="21"/>
              </w:rPr>
            </w:pPr>
            <w:r>
              <w:rPr>
                <w:sz w:val="21"/>
              </w:rPr>
              <w:t>5 </w:t>
            </w:r>
          </w:p>
        </w:tc>
        <w:tc>
          <w:tcPr>
            <w:tcW w:w="1389" w:type="dxa"/>
            <w:tcBorders>
              <w:top w:val="nil"/>
              <w:bottom w:val="nil"/>
            </w:tcBorders>
          </w:tcPr>
          <w:p>
            <w:pPr>
              <w:pStyle w:val="TableParagraph"/>
              <w:spacing w:line="242" w:lineRule="exact"/>
              <w:ind w:left="110"/>
              <w:rPr>
                <w:sz w:val="21"/>
              </w:rPr>
            </w:pPr>
            <w:r>
              <w:rPr>
                <w:sz w:val="21"/>
              </w:rPr>
              <w:t>语不达意 </w:t>
            </w:r>
          </w:p>
        </w:tc>
        <w:tc>
          <w:tcPr>
            <w:tcW w:w="539" w:type="dxa"/>
            <w:tcBorders>
              <w:top w:val="nil"/>
              <w:bottom w:val="nil"/>
            </w:tcBorders>
          </w:tcPr>
          <w:p>
            <w:pPr>
              <w:pStyle w:val="TableParagraph"/>
              <w:spacing w:line="242" w:lineRule="exact"/>
              <w:ind w:left="111"/>
              <w:rPr>
                <w:sz w:val="21"/>
              </w:rPr>
            </w:pPr>
            <w:r>
              <w:rPr>
                <w:sz w:val="21"/>
              </w:rPr>
              <w:t>4 </w:t>
            </w:r>
          </w:p>
        </w:tc>
      </w:tr>
      <w:tr>
        <w:trPr>
          <w:trHeight w:val="272" w:hRule="atLeast"/>
        </w:trPr>
        <w:tc>
          <w:tcPr>
            <w:tcW w:w="1502" w:type="dxa"/>
            <w:tcBorders>
              <w:top w:val="nil"/>
              <w:bottom w:val="nil"/>
            </w:tcBorders>
          </w:tcPr>
          <w:p>
            <w:pPr>
              <w:pStyle w:val="TableParagraph"/>
              <w:spacing w:line="241" w:lineRule="exact"/>
              <w:ind w:left="107"/>
              <w:rPr>
                <w:sz w:val="21"/>
              </w:rPr>
            </w:pPr>
            <w:r>
              <w:rPr>
                <w:sz w:val="21"/>
              </w:rPr>
              <w:t>痛刺激后睁眼 </w:t>
            </w:r>
          </w:p>
        </w:tc>
        <w:tc>
          <w:tcPr>
            <w:tcW w:w="453" w:type="dxa"/>
            <w:tcBorders>
              <w:top w:val="nil"/>
              <w:bottom w:val="nil"/>
            </w:tcBorders>
          </w:tcPr>
          <w:p>
            <w:pPr>
              <w:pStyle w:val="TableParagraph"/>
              <w:spacing w:line="241" w:lineRule="exact"/>
              <w:ind w:left="142" w:right="155"/>
              <w:jc w:val="center"/>
              <w:rPr>
                <w:sz w:val="21"/>
              </w:rPr>
            </w:pPr>
            <w:r>
              <w:rPr>
                <w:sz w:val="21"/>
              </w:rPr>
              <w:t>2 </w:t>
            </w:r>
          </w:p>
        </w:tc>
        <w:tc>
          <w:tcPr>
            <w:tcW w:w="1972" w:type="dxa"/>
            <w:tcBorders>
              <w:top w:val="nil"/>
              <w:bottom w:val="nil"/>
            </w:tcBorders>
          </w:tcPr>
          <w:p>
            <w:pPr>
              <w:pStyle w:val="TableParagraph"/>
              <w:spacing w:line="241" w:lineRule="exact"/>
              <w:ind w:left="106"/>
              <w:rPr>
                <w:sz w:val="21"/>
              </w:rPr>
            </w:pPr>
            <w:r>
              <w:rPr>
                <w:sz w:val="21"/>
              </w:rPr>
              <w:t>正常回缩反应 </w:t>
            </w:r>
          </w:p>
        </w:tc>
        <w:tc>
          <w:tcPr>
            <w:tcW w:w="539" w:type="dxa"/>
            <w:tcBorders>
              <w:top w:val="nil"/>
              <w:bottom w:val="nil"/>
            </w:tcBorders>
          </w:tcPr>
          <w:p>
            <w:pPr>
              <w:pStyle w:val="TableParagraph"/>
              <w:spacing w:line="241" w:lineRule="exact"/>
              <w:ind w:left="109"/>
              <w:rPr>
                <w:sz w:val="21"/>
              </w:rPr>
            </w:pPr>
            <w:r>
              <w:rPr>
                <w:sz w:val="21"/>
              </w:rPr>
              <w:t>4 </w:t>
            </w:r>
          </w:p>
        </w:tc>
        <w:tc>
          <w:tcPr>
            <w:tcW w:w="1389" w:type="dxa"/>
            <w:tcBorders>
              <w:top w:val="nil"/>
              <w:bottom w:val="nil"/>
            </w:tcBorders>
          </w:tcPr>
          <w:p>
            <w:pPr>
              <w:pStyle w:val="TableParagraph"/>
              <w:spacing w:line="241" w:lineRule="exact"/>
              <w:ind w:left="110"/>
              <w:rPr>
                <w:sz w:val="21"/>
              </w:rPr>
            </w:pPr>
            <w:r>
              <w:rPr>
                <w:sz w:val="21"/>
              </w:rPr>
              <w:t>语言错乱 </w:t>
            </w:r>
          </w:p>
        </w:tc>
        <w:tc>
          <w:tcPr>
            <w:tcW w:w="539" w:type="dxa"/>
            <w:tcBorders>
              <w:top w:val="nil"/>
              <w:bottom w:val="nil"/>
            </w:tcBorders>
          </w:tcPr>
          <w:p>
            <w:pPr>
              <w:pStyle w:val="TableParagraph"/>
              <w:spacing w:line="241" w:lineRule="exact"/>
              <w:ind w:left="111"/>
              <w:rPr>
                <w:sz w:val="21"/>
              </w:rPr>
            </w:pPr>
            <w:r>
              <w:rPr>
                <w:sz w:val="21"/>
              </w:rPr>
              <w:t>3 </w:t>
            </w:r>
          </w:p>
        </w:tc>
      </w:tr>
      <w:tr>
        <w:trPr>
          <w:trHeight w:val="272" w:hRule="atLeast"/>
        </w:trPr>
        <w:tc>
          <w:tcPr>
            <w:tcW w:w="1502" w:type="dxa"/>
            <w:tcBorders>
              <w:top w:val="nil"/>
              <w:bottom w:val="nil"/>
            </w:tcBorders>
          </w:tcPr>
          <w:p>
            <w:pPr>
              <w:pStyle w:val="TableParagraph"/>
              <w:spacing w:line="242" w:lineRule="exact"/>
              <w:ind w:left="107"/>
              <w:rPr>
                <w:sz w:val="21"/>
              </w:rPr>
            </w:pPr>
            <w:r>
              <w:rPr>
                <w:sz w:val="21"/>
              </w:rPr>
              <w:t>从不睁眼 </w:t>
            </w:r>
          </w:p>
        </w:tc>
        <w:tc>
          <w:tcPr>
            <w:tcW w:w="453" w:type="dxa"/>
            <w:tcBorders>
              <w:top w:val="nil"/>
              <w:bottom w:val="nil"/>
            </w:tcBorders>
          </w:tcPr>
          <w:p>
            <w:pPr>
              <w:pStyle w:val="TableParagraph"/>
              <w:spacing w:line="242" w:lineRule="exact"/>
              <w:ind w:left="142" w:right="155"/>
              <w:jc w:val="center"/>
              <w:rPr>
                <w:sz w:val="21"/>
              </w:rPr>
            </w:pPr>
            <w:r>
              <w:rPr>
                <w:sz w:val="21"/>
              </w:rPr>
              <w:t>1 </w:t>
            </w:r>
          </w:p>
        </w:tc>
        <w:tc>
          <w:tcPr>
            <w:tcW w:w="1972" w:type="dxa"/>
            <w:tcBorders>
              <w:top w:val="nil"/>
              <w:bottom w:val="nil"/>
            </w:tcBorders>
          </w:tcPr>
          <w:p>
            <w:pPr>
              <w:pStyle w:val="TableParagraph"/>
              <w:spacing w:line="242" w:lineRule="exact"/>
              <w:ind w:left="106"/>
              <w:rPr>
                <w:sz w:val="21"/>
              </w:rPr>
            </w:pPr>
            <w:r>
              <w:rPr>
                <w:sz w:val="21"/>
              </w:rPr>
              <w:t>屈曲性姿势 </w:t>
            </w:r>
          </w:p>
        </w:tc>
        <w:tc>
          <w:tcPr>
            <w:tcW w:w="539" w:type="dxa"/>
            <w:tcBorders>
              <w:top w:val="nil"/>
              <w:bottom w:val="nil"/>
            </w:tcBorders>
          </w:tcPr>
          <w:p>
            <w:pPr>
              <w:pStyle w:val="TableParagraph"/>
              <w:spacing w:line="242" w:lineRule="exact"/>
              <w:ind w:left="109"/>
              <w:rPr>
                <w:sz w:val="21"/>
              </w:rPr>
            </w:pPr>
            <w:r>
              <w:rPr>
                <w:sz w:val="21"/>
              </w:rPr>
              <w:t>3 </w:t>
            </w:r>
          </w:p>
        </w:tc>
        <w:tc>
          <w:tcPr>
            <w:tcW w:w="1389" w:type="dxa"/>
            <w:tcBorders>
              <w:top w:val="nil"/>
              <w:bottom w:val="nil"/>
            </w:tcBorders>
          </w:tcPr>
          <w:p>
            <w:pPr>
              <w:pStyle w:val="TableParagraph"/>
              <w:spacing w:line="242" w:lineRule="exact"/>
              <w:ind w:left="110"/>
              <w:rPr>
                <w:sz w:val="21"/>
              </w:rPr>
            </w:pPr>
            <w:r>
              <w:rPr>
                <w:sz w:val="21"/>
              </w:rPr>
              <w:t>糊涂发音 </w:t>
            </w:r>
          </w:p>
        </w:tc>
        <w:tc>
          <w:tcPr>
            <w:tcW w:w="539" w:type="dxa"/>
            <w:tcBorders>
              <w:top w:val="nil"/>
              <w:bottom w:val="nil"/>
            </w:tcBorders>
          </w:tcPr>
          <w:p>
            <w:pPr>
              <w:pStyle w:val="TableParagraph"/>
              <w:spacing w:line="242" w:lineRule="exact"/>
              <w:ind w:left="111"/>
              <w:rPr>
                <w:sz w:val="21"/>
              </w:rPr>
            </w:pPr>
            <w:r>
              <w:rPr>
                <w:sz w:val="21"/>
              </w:rPr>
              <w:t>2 </w:t>
            </w:r>
          </w:p>
        </w:tc>
      </w:tr>
      <w:tr>
        <w:trPr>
          <w:trHeight w:val="271" w:hRule="atLeast"/>
        </w:trPr>
        <w:tc>
          <w:tcPr>
            <w:tcW w:w="1502" w:type="dxa"/>
            <w:tcBorders>
              <w:top w:val="nil"/>
              <w:bottom w:val="nil"/>
            </w:tcBorders>
          </w:tcPr>
          <w:p>
            <w:pPr>
              <w:pStyle w:val="TableParagraph"/>
              <w:rPr>
                <w:rFonts w:ascii="Times New Roman"/>
                <w:sz w:val="20"/>
              </w:rPr>
            </w:pPr>
          </w:p>
        </w:tc>
        <w:tc>
          <w:tcPr>
            <w:tcW w:w="453" w:type="dxa"/>
            <w:tcBorders>
              <w:top w:val="nil"/>
              <w:bottom w:val="nil"/>
            </w:tcBorders>
          </w:tcPr>
          <w:p>
            <w:pPr>
              <w:pStyle w:val="TableParagraph"/>
              <w:rPr>
                <w:rFonts w:ascii="Times New Roman"/>
                <w:sz w:val="20"/>
              </w:rPr>
            </w:pPr>
          </w:p>
        </w:tc>
        <w:tc>
          <w:tcPr>
            <w:tcW w:w="1972" w:type="dxa"/>
            <w:tcBorders>
              <w:top w:val="nil"/>
              <w:bottom w:val="nil"/>
            </w:tcBorders>
          </w:tcPr>
          <w:p>
            <w:pPr>
              <w:pStyle w:val="TableParagraph"/>
              <w:spacing w:line="241" w:lineRule="exact"/>
              <w:ind w:left="106"/>
              <w:rPr>
                <w:sz w:val="21"/>
              </w:rPr>
            </w:pPr>
            <w:r>
              <w:rPr>
                <w:sz w:val="21"/>
              </w:rPr>
              <w:t>伸直性姿势 </w:t>
            </w:r>
          </w:p>
        </w:tc>
        <w:tc>
          <w:tcPr>
            <w:tcW w:w="539" w:type="dxa"/>
            <w:tcBorders>
              <w:top w:val="nil"/>
              <w:bottom w:val="nil"/>
            </w:tcBorders>
          </w:tcPr>
          <w:p>
            <w:pPr>
              <w:pStyle w:val="TableParagraph"/>
              <w:spacing w:line="241" w:lineRule="exact"/>
              <w:ind w:left="109"/>
              <w:rPr>
                <w:sz w:val="21"/>
              </w:rPr>
            </w:pPr>
            <w:r>
              <w:rPr>
                <w:sz w:val="21"/>
              </w:rPr>
              <w:t>2 </w:t>
            </w:r>
          </w:p>
        </w:tc>
        <w:tc>
          <w:tcPr>
            <w:tcW w:w="1389" w:type="dxa"/>
            <w:tcBorders>
              <w:top w:val="nil"/>
              <w:bottom w:val="nil"/>
            </w:tcBorders>
          </w:tcPr>
          <w:p>
            <w:pPr>
              <w:pStyle w:val="TableParagraph"/>
              <w:spacing w:line="241" w:lineRule="exact"/>
              <w:ind w:left="110"/>
              <w:rPr>
                <w:sz w:val="21"/>
              </w:rPr>
            </w:pPr>
            <w:r>
              <w:rPr>
                <w:sz w:val="21"/>
              </w:rPr>
              <w:t>无语言 </w:t>
            </w:r>
          </w:p>
        </w:tc>
        <w:tc>
          <w:tcPr>
            <w:tcW w:w="539" w:type="dxa"/>
            <w:tcBorders>
              <w:top w:val="nil"/>
              <w:bottom w:val="nil"/>
            </w:tcBorders>
          </w:tcPr>
          <w:p>
            <w:pPr>
              <w:pStyle w:val="TableParagraph"/>
              <w:spacing w:line="241" w:lineRule="exact"/>
              <w:ind w:left="111"/>
              <w:rPr>
                <w:sz w:val="21"/>
              </w:rPr>
            </w:pPr>
            <w:r>
              <w:rPr>
                <w:sz w:val="21"/>
              </w:rPr>
              <w:t>1 </w:t>
            </w:r>
          </w:p>
        </w:tc>
      </w:tr>
      <w:tr>
        <w:trPr>
          <w:trHeight w:val="554" w:hRule="atLeast"/>
        </w:trPr>
        <w:tc>
          <w:tcPr>
            <w:tcW w:w="1502" w:type="dxa"/>
            <w:tcBorders>
              <w:top w:val="nil"/>
            </w:tcBorders>
          </w:tcPr>
          <w:p>
            <w:pPr>
              <w:pStyle w:val="TableParagraph"/>
              <w:rPr>
                <w:rFonts w:ascii="Times New Roman"/>
                <w:sz w:val="20"/>
              </w:rPr>
            </w:pPr>
          </w:p>
        </w:tc>
        <w:tc>
          <w:tcPr>
            <w:tcW w:w="453" w:type="dxa"/>
            <w:tcBorders>
              <w:top w:val="nil"/>
            </w:tcBorders>
          </w:tcPr>
          <w:p>
            <w:pPr>
              <w:pStyle w:val="TableParagraph"/>
              <w:rPr>
                <w:rFonts w:ascii="Times New Roman"/>
                <w:sz w:val="20"/>
              </w:rPr>
            </w:pPr>
          </w:p>
        </w:tc>
        <w:tc>
          <w:tcPr>
            <w:tcW w:w="1972" w:type="dxa"/>
            <w:tcBorders>
              <w:top w:val="nil"/>
            </w:tcBorders>
          </w:tcPr>
          <w:p>
            <w:pPr>
              <w:pStyle w:val="TableParagraph"/>
              <w:spacing w:line="241" w:lineRule="exact"/>
              <w:ind w:left="106"/>
              <w:rPr>
                <w:sz w:val="21"/>
              </w:rPr>
            </w:pPr>
            <w:r>
              <w:rPr>
                <w:sz w:val="21"/>
              </w:rPr>
              <w:t>无运动反应 </w:t>
            </w:r>
          </w:p>
        </w:tc>
        <w:tc>
          <w:tcPr>
            <w:tcW w:w="539" w:type="dxa"/>
            <w:tcBorders>
              <w:top w:val="nil"/>
            </w:tcBorders>
          </w:tcPr>
          <w:p>
            <w:pPr>
              <w:pStyle w:val="TableParagraph"/>
              <w:spacing w:line="241" w:lineRule="exact"/>
              <w:ind w:left="109"/>
              <w:rPr>
                <w:sz w:val="21"/>
              </w:rPr>
            </w:pPr>
            <w:r>
              <w:rPr>
                <w:sz w:val="21"/>
              </w:rPr>
              <w:t>1 </w:t>
            </w:r>
          </w:p>
        </w:tc>
        <w:tc>
          <w:tcPr>
            <w:tcW w:w="1389" w:type="dxa"/>
            <w:tcBorders>
              <w:top w:val="nil"/>
            </w:tcBorders>
          </w:tcPr>
          <w:p>
            <w:pPr>
              <w:pStyle w:val="TableParagraph"/>
              <w:rPr>
                <w:rFonts w:ascii="Times New Roman"/>
                <w:sz w:val="20"/>
              </w:rPr>
            </w:pPr>
          </w:p>
        </w:tc>
        <w:tc>
          <w:tcPr>
            <w:tcW w:w="539" w:type="dxa"/>
            <w:tcBorders>
              <w:top w:val="nil"/>
            </w:tcBorders>
          </w:tcPr>
          <w:p>
            <w:pPr>
              <w:pStyle w:val="TableParagraph"/>
              <w:spacing w:line="241" w:lineRule="exact"/>
              <w:ind w:left="111"/>
              <w:rPr>
                <w:sz w:val="21"/>
              </w:rPr>
            </w:pPr>
            <w:r>
              <w:rPr>
                <w:w w:val="100"/>
                <w:sz w:val="21"/>
              </w:rPr>
              <w:t> </w:t>
            </w:r>
          </w:p>
        </w:tc>
      </w:tr>
    </w:tbl>
    <w:p>
      <w:pPr>
        <w:pStyle w:val="BodyText"/>
        <w:spacing w:line="239" w:lineRule="exact"/>
        <w:ind w:left="2128"/>
        <w:jc w:val="both"/>
      </w:pPr>
      <w:r>
        <w:rPr/>
        <w:t>评分＝E＋M＋V </w:t>
      </w:r>
    </w:p>
    <w:p>
      <w:pPr>
        <w:pStyle w:val="BodyText"/>
        <w:jc w:val="both"/>
      </w:pPr>
      <w:r>
        <w:rPr/>
        <w:t>33、严重全身型重症肌无力 </w:t>
      </w:r>
    </w:p>
    <w:p>
      <w:pPr>
        <w:pStyle w:val="BodyText"/>
        <w:spacing w:line="237" w:lineRule="auto" w:before="1"/>
        <w:ind w:right="121"/>
        <w:jc w:val="both"/>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jc w:val="both"/>
      </w:pPr>
      <w:r>
        <w:rPr/>
        <w:t>眼肌型重症肌无力不在保障范围内。 </w:t>
      </w:r>
    </w:p>
    <w:p>
      <w:pPr>
        <w:pStyle w:val="BodyText"/>
        <w:spacing w:line="279" w:lineRule="exact"/>
        <w:jc w:val="both"/>
      </w:pPr>
      <w:r>
        <w:rPr/>
        <w:t>34、</w:t>
      </w:r>
      <w:r>
        <w:rPr>
          <w:rFonts w:ascii="Times New Roman" w:eastAsia="Times New Roman"/>
        </w:rPr>
        <w:t>II  </w:t>
      </w:r>
      <w:r>
        <w:rPr/>
        <w:t>级重症急性坏死性胰腺炎</w:t>
      </w:r>
    </w:p>
    <w:p>
      <w:pPr>
        <w:pStyle w:val="BodyText"/>
        <w:spacing w:line="264" w:lineRule="exact"/>
        <w:jc w:val="both"/>
      </w:pPr>
      <w:r>
        <w:rPr/>
        <w:t>Ⅱ级重症急性胰腺炎是指急性胰腺炎伴有脏器功能障碍。被保险人所患的Ⅱ级</w:t>
      </w:r>
    </w:p>
    <w:p>
      <w:pPr>
        <w:pStyle w:val="BodyText"/>
        <w:spacing w:line="280" w:lineRule="exact"/>
        <w:jc w:val="both"/>
      </w:pPr>
      <w:r>
        <w:rPr/>
        <w:t>重症急性胰腺炎必须明确诊断，按 </w:t>
      </w:r>
      <w:r>
        <w:rPr>
          <w:rFonts w:ascii="Times New Roman" w:hAnsi="Times New Roman" w:eastAsia="Times New Roman"/>
        </w:rPr>
        <w:t>APACHE</w:t>
      </w:r>
      <w:r>
        <w:rPr/>
        <w:t>Ⅱ评分达到 </w:t>
      </w:r>
      <w:r>
        <w:rPr>
          <w:rFonts w:ascii="Times New Roman" w:hAnsi="Times New Roman" w:eastAsia="Times New Roman"/>
        </w:rPr>
        <w:t>8  </w:t>
      </w:r>
      <w:r>
        <w:rPr/>
        <w:t>分或 </w:t>
      </w:r>
      <w:r>
        <w:rPr>
          <w:rFonts w:ascii="Times New Roman" w:hAnsi="Times New Roman" w:eastAsia="Times New Roman"/>
        </w:rPr>
        <w:t>8  </w:t>
      </w:r>
      <w:r>
        <w:rPr/>
        <w:t>分以上和</w:t>
      </w:r>
    </w:p>
    <w:p>
      <w:pPr>
        <w:pStyle w:val="BodyText"/>
        <w:jc w:val="both"/>
      </w:pPr>
      <w:r>
        <w:rPr>
          <w:rFonts w:ascii="Times New Roman" w:hAnsi="Times New Roman" w:eastAsia="Times New Roman"/>
        </w:rPr>
        <w:t>Balthazar  </w:t>
      </w:r>
      <w:r>
        <w:rPr/>
        <w:t>分级系统达到Ⅱ级或Ⅱ级以上，并且接受了外科剖腹手术治疗，以进</w:t>
      </w:r>
    </w:p>
    <w:p>
      <w:pPr>
        <w:pStyle w:val="BodyText"/>
        <w:spacing w:line="264" w:lineRule="exact"/>
        <w:jc w:val="both"/>
      </w:pPr>
      <w:r>
        <w:rPr/>
        <w:t>行坏死组织清除、坏死病灶切除或胰腺切除。</w:t>
      </w:r>
    </w:p>
    <w:p>
      <w:pPr>
        <w:pStyle w:val="BodyText"/>
        <w:jc w:val="both"/>
      </w:pPr>
      <w:r>
        <w:rPr/>
        <w:t>因酗酒或饮酒过量所致的急性坏死性胰腺炎以及腹腔镜手术不在保障范围内。</w:t>
      </w:r>
    </w:p>
    <w:p>
      <w:pPr>
        <w:pStyle w:val="BodyText"/>
        <w:jc w:val="both"/>
      </w:pPr>
      <w:r>
        <w:rPr/>
        <w:t>35、原发性心肌病 </w:t>
      </w:r>
    </w:p>
    <w:p>
      <w:pPr>
        <w:pStyle w:val="BodyText"/>
        <w:spacing w:line="230" w:lineRule="auto" w:before="9"/>
        <w:ind w:right="121"/>
        <w:jc w:val="both"/>
      </w:pPr>
      <w:r>
        <w:rPr/>
        <w:t>原发性心肌病是指不明原因引起的一类心肌病变，包括原发性扩张型心肌病、原发性肥厚型心肌病及原发性限制型心肌病三种，病变必须已造成事实上心室功能障碍而出现明显的心功能衰竭</w:t>
      </w:r>
      <w:r>
        <w:rPr>
          <w:rFonts w:ascii="Times New Roman" w:eastAsia="Times New Roman"/>
        </w:rPr>
        <w:t>(</w:t>
      </w:r>
      <w:r>
        <w:rPr/>
        <w:t>美国纽约心脏协会心功能分类标准心功能四级</w:t>
      </w:r>
      <w:r>
        <w:rPr>
          <w:rFonts w:ascii="Times New Roman" w:eastAsia="Times New Roman"/>
        </w:rPr>
        <w:t>*)</w:t>
      </w:r>
      <w:r>
        <w:rPr/>
        <w:t>，且有相关住院医疗记录显示四级心功能衰竭状态持续至少 </w:t>
      </w:r>
      <w:r>
        <w:rPr>
          <w:rFonts w:ascii="Times New Roman" w:eastAsia="Times New Roman"/>
        </w:rPr>
        <w:t>180 </w:t>
      </w:r>
      <w:r>
        <w:rPr/>
        <w:t>天。该疾病索赔时须要经专科医生做出明确诊断。</w:t>
      </w:r>
    </w:p>
    <w:p>
      <w:pPr>
        <w:pStyle w:val="BodyText"/>
        <w:spacing w:line="274" w:lineRule="exact"/>
        <w:jc w:val="both"/>
      </w:pPr>
      <w:r>
        <w:rPr/>
        <w:t>继发于全身性疾病或其它器官系统疾病不在保障范围内。</w:t>
      </w:r>
    </w:p>
    <w:p>
      <w:pPr>
        <w:spacing w:after="0" w:line="274" w:lineRule="exact"/>
        <w:jc w:val="both"/>
        <w:sectPr>
          <w:pgSz w:w="11900" w:h="16840"/>
          <w:pgMar w:header="0" w:footer="457" w:top="1140" w:bottom="640" w:left="1680" w:right="840"/>
        </w:sectPr>
      </w:pPr>
    </w:p>
    <w:p>
      <w:pPr>
        <w:pStyle w:val="BodyText"/>
        <w:spacing w:line="282" w:lineRule="exact" w:before="20"/>
        <w:ind w:left="2874"/>
        <w:jc w:val="both"/>
      </w:pPr>
      <w:r>
        <w:rPr>
          <w:rFonts w:ascii="Times New Roman" w:eastAsia="Times New Roman"/>
        </w:rPr>
        <w:t>*</w:t>
      </w:r>
      <w:r>
        <w:rPr/>
        <w:t>美国纽约心脏协会分类标准心功能四级是指有医疗机构的医疗记录显示病人</w:t>
      </w:r>
    </w:p>
    <w:p>
      <w:pPr>
        <w:pStyle w:val="BodyText"/>
        <w:spacing w:line="264" w:lineRule="exact"/>
        <w:ind w:left="2874"/>
        <w:jc w:val="both"/>
      </w:pPr>
      <w:r>
        <w:rPr/>
        <w:t>不能进行任何活动，休息时仍有心悸、呼吸困难等心力衰竭表现。</w:t>
      </w:r>
    </w:p>
    <w:p>
      <w:pPr>
        <w:pStyle w:val="BodyText"/>
        <w:ind w:left="2874"/>
        <w:jc w:val="both"/>
      </w:pPr>
      <w:r>
        <w:rPr/>
        <w:t>36、坏死性筋膜炎 </w:t>
      </w:r>
    </w:p>
    <w:p>
      <w:pPr>
        <w:pStyle w:val="BodyText"/>
        <w:ind w:left="2874"/>
        <w:jc w:val="both"/>
      </w:pPr>
      <w:r>
        <w:rPr/>
        <w:t>坏死性筋膜炎的诊断须同时符合下列要求：</w:t>
      </w:r>
    </w:p>
    <w:p>
      <w:pPr>
        <w:pStyle w:val="BodyText"/>
        <w:spacing w:line="280" w:lineRule="exact"/>
        <w:ind w:left="2874"/>
        <w:jc w:val="both"/>
      </w:pPr>
      <w:r>
        <w:rPr/>
        <w:t>（</w:t>
      </w:r>
      <w:r>
        <w:rPr>
          <w:rFonts w:ascii="Times New Roman" w:eastAsia="Times New Roman"/>
        </w:rPr>
        <w:t>1</w:t>
      </w:r>
      <w:r>
        <w:rPr/>
        <w:t>）符合坏死性筋膜炎的一般临床表现；</w:t>
      </w:r>
    </w:p>
    <w:p>
      <w:pPr>
        <w:pStyle w:val="BodyText"/>
        <w:ind w:left="2874"/>
        <w:jc w:val="both"/>
      </w:pPr>
      <w:r>
        <w:rPr/>
        <w:t>（</w:t>
      </w:r>
      <w:r>
        <w:rPr>
          <w:rFonts w:ascii="Times New Roman" w:eastAsia="Times New Roman"/>
        </w:rPr>
        <w:t>2</w:t>
      </w:r>
      <w:r>
        <w:rPr/>
        <w:t>）细菌培养检出致病菌；</w:t>
      </w:r>
    </w:p>
    <w:p>
      <w:pPr>
        <w:pStyle w:val="BodyText"/>
        <w:ind w:left="2874"/>
        <w:jc w:val="both"/>
      </w:pPr>
      <w:r>
        <w:rPr>
          <w:spacing w:val="-26"/>
        </w:rPr>
        <w:t>（</w:t>
      </w:r>
      <w:r>
        <w:rPr>
          <w:rFonts w:ascii="Times New Roman" w:eastAsia="Times New Roman"/>
          <w:spacing w:val="-26"/>
        </w:rPr>
        <w:t>3</w:t>
      </w:r>
      <w:r>
        <w:rPr>
          <w:spacing w:val="-26"/>
        </w:rPr>
        <w:t>）</w:t>
      </w:r>
      <w:r>
        <w:rPr>
          <w:spacing w:val="-9"/>
        </w:rPr>
        <w:t>出现广泛性肌肉及软组织坏死，并导致身体受影响部位永久完全失去功能。</w:t>
      </w:r>
    </w:p>
    <w:p>
      <w:pPr>
        <w:pStyle w:val="BodyText"/>
        <w:spacing w:line="264" w:lineRule="exact"/>
        <w:ind w:left="2874"/>
        <w:jc w:val="both"/>
      </w:pPr>
      <w:r>
        <w:rPr/>
        <w:t>所谓永久完全失去功能是指受影响部位的功能丧失超过六个月者。</w:t>
      </w:r>
    </w:p>
    <w:p>
      <w:pPr>
        <w:pStyle w:val="BodyText"/>
        <w:ind w:left="2874"/>
        <w:jc w:val="both"/>
      </w:pPr>
      <w:r>
        <w:rPr/>
        <w:t>37、系统性硬皮病 </w:t>
      </w:r>
    </w:p>
    <w:p>
      <w:pPr>
        <w:pStyle w:val="BodyText"/>
        <w:spacing w:line="237" w:lineRule="auto" w:before="2"/>
        <w:ind w:left="2874" w:right="115"/>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w:t>
      </w:r>
      <w:r>
        <w:rPr>
          <w:spacing w:val="-8"/>
        </w:rPr>
        <w:t>血管、内脏器官异常纤维化为特征的结缔组织病。本病须经专科医生明确诊断， </w:t>
      </w:r>
      <w:r>
        <w:rPr>
          <w:spacing w:val="-5"/>
        </w:rPr>
        <w:t>并须满足下列至少一项条件：</w:t>
      </w:r>
    </w:p>
    <w:p>
      <w:pPr>
        <w:pStyle w:val="BodyText"/>
        <w:spacing w:line="279" w:lineRule="exact"/>
        <w:ind w:left="2874"/>
        <w:jc w:val="both"/>
      </w:pPr>
      <w:r>
        <w:rPr/>
        <w:t>（</w:t>
      </w:r>
      <w:r>
        <w:rPr>
          <w:rFonts w:ascii="Times New Roman" w:eastAsia="Times New Roman"/>
        </w:rPr>
        <w:t>1</w:t>
      </w:r>
      <w:r>
        <w:rPr/>
        <w:t>）肺脏：肺部病变进而发展为肺间质纤维化和肺动脉高压；</w:t>
      </w:r>
    </w:p>
    <w:p>
      <w:pPr>
        <w:pStyle w:val="BodyText"/>
        <w:ind w:left="2874"/>
        <w:jc w:val="both"/>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ind w:left="2874"/>
        <w:jc w:val="both"/>
      </w:pPr>
      <w:r>
        <w:rPr/>
        <w:t>（</w:t>
      </w:r>
      <w:r>
        <w:rPr>
          <w:rFonts w:ascii="Times New Roman" w:eastAsia="Times New Roman"/>
        </w:rPr>
        <w:t>3</w:t>
      </w:r>
      <w:r>
        <w:rPr/>
        <w:t>）肾脏：肾脏受损导致双肾功能慢性不可逆衰竭，达到尿毒症期。</w:t>
      </w:r>
    </w:p>
    <w:p>
      <w:pPr>
        <w:pStyle w:val="BodyText"/>
        <w:spacing w:line="264" w:lineRule="exact"/>
        <w:ind w:left="2874"/>
        <w:jc w:val="both"/>
      </w:pPr>
      <w:r>
        <w:rPr/>
        <w:t>38、严重冠心病 </w:t>
      </w:r>
    </w:p>
    <w:p>
      <w:pPr>
        <w:pStyle w:val="BodyText"/>
        <w:spacing w:line="230" w:lineRule="auto" w:before="9"/>
        <w:ind w:left="2874" w:right="221"/>
        <w:jc w:val="both"/>
      </w:pPr>
      <w:r>
        <w:rPr/>
        <w:pict>
          <v:shape style="position:absolute;margin-left:48.5pt;margin-top:39.809052pt;width:503.85pt;height:471.85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987" w:hRule="atLeast"/>
                    </w:trPr>
                    <w:tc>
                      <w:tcPr>
                        <w:tcW w:w="682" w:type="dxa"/>
                      </w:tcPr>
                      <w:p>
                        <w:pPr>
                          <w:pStyle w:val="TableParagraph"/>
                          <w:spacing w:line="161" w:lineRule="exact"/>
                          <w:ind w:left="50"/>
                          <w:rPr>
                            <w:sz w:val="21"/>
                          </w:rPr>
                        </w:pPr>
                        <w:r>
                          <w:rPr>
                            <w:w w:val="100"/>
                            <w:sz w:val="21"/>
                          </w:rPr>
                          <w:t> </w:t>
                        </w:r>
                      </w:p>
                      <w:p>
                        <w:pPr>
                          <w:pStyle w:val="TableParagraph"/>
                          <w:spacing w:line="316" w:lineRule="exact"/>
                          <w:ind w:left="50"/>
                          <w:rPr>
                            <w:rFonts w:ascii="Microsoft JhengHei"/>
                            <w:b/>
                            <w:sz w:val="21"/>
                          </w:rPr>
                        </w:pPr>
                        <w:r>
                          <w:rPr>
                            <w:rFonts w:ascii="Microsoft JhengHei"/>
                            <w:b/>
                            <w:w w:val="90"/>
                            <w:sz w:val="21"/>
                          </w:rPr>
                          <w:t>10. 5</w:t>
                        </w:r>
                      </w:p>
                    </w:tc>
                    <w:tc>
                      <w:tcPr>
                        <w:tcW w:w="1948" w:type="dxa"/>
                      </w:tcPr>
                      <w:p>
                        <w:pPr>
                          <w:pStyle w:val="TableParagraph"/>
                          <w:spacing w:line="161" w:lineRule="exact"/>
                          <w:ind w:left="124"/>
                          <w:rPr>
                            <w:sz w:val="21"/>
                          </w:rPr>
                        </w:pPr>
                        <w:r>
                          <w:rPr>
                            <w:w w:val="100"/>
                            <w:sz w:val="21"/>
                          </w:rPr>
                          <w:t> </w:t>
                        </w:r>
                      </w:p>
                      <w:p>
                        <w:pPr>
                          <w:pStyle w:val="TableParagraph"/>
                          <w:spacing w:line="31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195" w:lineRule="exact"/>
                          <w:ind w:left="134"/>
                          <w:rPr>
                            <w:sz w:val="21"/>
                          </w:rPr>
                        </w:pPr>
                        <w:r>
                          <w:rPr>
                            <w:w w:val="100"/>
                            <w:sz w:val="21"/>
                          </w:rPr>
                          <w:t> </w:t>
                        </w:r>
                      </w:p>
                      <w:p>
                        <w:pPr>
                          <w:pStyle w:val="TableParagraph"/>
                          <w:spacing w:line="258"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72" w:lineRule="exact" w:before="27"/>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75" w:hRule="atLeast"/>
                    </w:trPr>
                    <w:tc>
                      <w:tcPr>
                        <w:tcW w:w="682" w:type="dxa"/>
                      </w:tcPr>
                      <w:p>
                        <w:pPr>
                          <w:pStyle w:val="TableParagraph"/>
                          <w:rPr>
                            <w:rFonts w:ascii="Times New Roman"/>
                            <w:sz w:val="10"/>
                          </w:rPr>
                        </w:pPr>
                      </w:p>
                    </w:tc>
                    <w:tc>
                      <w:tcPr>
                        <w:tcW w:w="1948" w:type="dxa"/>
                      </w:tcPr>
                      <w:p>
                        <w:pPr>
                          <w:pStyle w:val="TableParagraph"/>
                          <w:rPr>
                            <w:rFonts w:ascii="Times New Roman"/>
                            <w:sz w:val="10"/>
                          </w:rPr>
                        </w:pPr>
                      </w:p>
                    </w:tc>
                    <w:tc>
                      <w:tcPr>
                        <w:tcW w:w="7447" w:type="dxa"/>
                      </w:tcPr>
                      <w:p>
                        <w:pPr>
                          <w:pStyle w:val="TableParagraph"/>
                          <w:spacing w:line="156"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10. 6</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1"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1"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5"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4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0" w:lineRule="exact"/>
                          <w:ind w:left="660"/>
                          <w:rPr>
                            <w:sz w:val="21"/>
                          </w:rPr>
                        </w:pPr>
                        <w:r>
                          <w:rPr>
                            <w:sz w:val="21"/>
                          </w:rPr>
                          <w:t>习驾车。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10. 8</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z w:val="21"/>
                          </w:rPr>
                          <w:t>（1）机动车被依法注销登记的；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1" w:hRule="atLeast"/>
                    </w:trPr>
                    <w:tc>
                      <w:tcPr>
                        <w:tcW w:w="682" w:type="dxa"/>
                      </w:tcPr>
                      <w:p>
                        <w:pPr>
                          <w:pStyle w:val="TableParagraph"/>
                          <w:spacing w:line="252" w:lineRule="exact"/>
                          <w:ind w:left="50"/>
                          <w:rPr>
                            <w:rFonts w:ascii="Microsoft JhengHei"/>
                            <w:b/>
                            <w:sz w:val="21"/>
                          </w:rPr>
                        </w:pPr>
                        <w:r>
                          <w:rPr>
                            <w:rFonts w:ascii="Microsoft JhengHei"/>
                            <w:b/>
                            <w:w w:val="90"/>
                            <w:sz w:val="21"/>
                          </w:rPr>
                          <w:t>10. 9</w:t>
                        </w: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3"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10. 10</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3"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rPr>
                            <w:rFonts w:ascii="Times New Roman"/>
                            <w:sz w:val="20"/>
                          </w:rPr>
                        </w:pPr>
                      </w:p>
                    </w:tc>
                    <w:tc>
                      <w:tcPr>
                        <w:tcW w:w="1948" w:type="dxa"/>
                      </w:tcPr>
                      <w:p>
                        <w:pPr>
                          <w:pStyle w:val="TableParagraph"/>
                          <w:spacing w:line="267" w:lineRule="exact" w:before="170"/>
                          <w:ind w:left="124"/>
                          <w:rPr>
                            <w:sz w:val="21"/>
                          </w:rPr>
                        </w:pPr>
                        <w:r>
                          <w:rPr>
                            <w:w w:val="100"/>
                            <w:sz w:val="21"/>
                          </w:rPr>
                          <w:t> </w:t>
                        </w:r>
                      </w:p>
                    </w:tc>
                    <w:tc>
                      <w:tcPr>
                        <w:tcW w:w="7447" w:type="dxa"/>
                      </w:tcPr>
                      <w:p>
                        <w:pPr>
                          <w:pStyle w:val="TableParagraph"/>
                          <w:spacing w:line="214" w:lineRule="exact"/>
                          <w:ind w:left="134"/>
                          <w:rPr>
                            <w:sz w:val="21"/>
                          </w:rPr>
                        </w:pPr>
                        <w:r>
                          <w:rPr>
                            <w:sz w:val="21"/>
                          </w:rPr>
                          <w:t>确定。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10. 11</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3"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1" w:lineRule="exact"/>
                          <w:ind w:left="134"/>
                          <w:rPr>
                            <w:sz w:val="21"/>
                          </w:rPr>
                        </w:pPr>
                        <w:r>
                          <w:rPr>
                            <w:sz w:val="21"/>
                          </w:rPr>
                          <w:t>指保险单所具有的价值，通常体现为解除本附加险合同时，根据精算原理计算</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的，由我们退还的那部分金额。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28" w:hRule="atLeast"/>
                    </w:trPr>
                    <w:tc>
                      <w:tcPr>
                        <w:tcW w:w="682" w:type="dxa"/>
                      </w:tcPr>
                      <w:p>
                        <w:pPr>
                          <w:pStyle w:val="TableParagraph"/>
                          <w:spacing w:line="208" w:lineRule="exact"/>
                          <w:ind w:left="50"/>
                          <w:rPr>
                            <w:rFonts w:ascii="Microsoft JhengHei"/>
                            <w:b/>
                            <w:sz w:val="21"/>
                          </w:rPr>
                        </w:pPr>
                        <w:r>
                          <w:rPr>
                            <w:rFonts w:ascii="Microsoft JhengHei"/>
                            <w:b/>
                            <w:w w:val="90"/>
                            <w:sz w:val="21"/>
                          </w:rPr>
                          <w:t>10. 13</w:t>
                        </w:r>
                      </w:p>
                    </w:tc>
                    <w:tc>
                      <w:tcPr>
                        <w:tcW w:w="1948" w:type="dxa"/>
                      </w:tcPr>
                      <w:p>
                        <w:pPr>
                          <w:pStyle w:val="TableParagraph"/>
                          <w:spacing w:line="208" w:lineRule="exact"/>
                          <w:ind w:left="124"/>
                          <w:rPr>
                            <w:rFonts w:ascii="Microsoft JhengHei" w:eastAsia="Microsoft JhengHei" w:hint="eastAsia"/>
                            <w:b/>
                            <w:sz w:val="21"/>
                          </w:rPr>
                        </w:pPr>
                        <w:r>
                          <w:rPr>
                            <w:rFonts w:ascii="Microsoft JhengHei" w:eastAsia="Microsoft JhengHei" w:hint="eastAsia"/>
                            <w:b/>
                            <w:sz w:val="21"/>
                          </w:rPr>
                          <w:t>净保险费</w:t>
                        </w:r>
                      </w:p>
                    </w:tc>
                    <w:tc>
                      <w:tcPr>
                        <w:tcW w:w="7447" w:type="dxa"/>
                      </w:tcPr>
                      <w:p>
                        <w:pPr>
                          <w:pStyle w:val="TableParagraph"/>
                          <w:spacing w:line="208" w:lineRule="exact"/>
                          <w:ind w:left="134"/>
                          <w:rPr>
                            <w:sz w:val="21"/>
                          </w:rPr>
                        </w:pPr>
                        <w:r>
                          <w:rPr>
                            <w:sz w:val="21"/>
                          </w:rPr>
                          <w:t>指不包含公司营业费用、佣金等其他费用的保险费。 </w:t>
                        </w:r>
                      </w:p>
                    </w:tc>
                  </w:tr>
                  <w:tr>
                    <w:trPr>
                      <w:trHeight w:val="203"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84" w:lineRule="exact"/>
                          <w:ind w:left="134"/>
                          <w:rPr>
                            <w:sz w:val="21"/>
                          </w:rPr>
                        </w:pPr>
                        <w:r>
                          <w:rPr>
                            <w:w w:val="100"/>
                            <w:sz w:val="21"/>
                          </w:rPr>
                          <w:t> </w:t>
                        </w:r>
                      </w:p>
                    </w:tc>
                  </w:tr>
                  <w:tr>
                    <w:trPr>
                      <w:trHeight w:val="271" w:hRule="atLeast"/>
                    </w:trPr>
                    <w:tc>
                      <w:tcPr>
                        <w:tcW w:w="682" w:type="dxa"/>
                      </w:tcPr>
                      <w:p>
                        <w:pPr>
                          <w:pStyle w:val="TableParagraph"/>
                          <w:spacing w:line="252" w:lineRule="exact"/>
                          <w:ind w:left="50"/>
                          <w:rPr>
                            <w:rFonts w:ascii="Microsoft JhengHei"/>
                            <w:b/>
                            <w:sz w:val="21"/>
                          </w:rPr>
                        </w:pPr>
                        <w:r>
                          <w:rPr>
                            <w:rFonts w:ascii="Microsoft JhengHei"/>
                            <w:b/>
                            <w:w w:val="90"/>
                            <w:sz w:val="21"/>
                          </w:rPr>
                          <w:t>10. 14</w:t>
                        </w:r>
                      </w:p>
                    </w:tc>
                    <w:tc>
                      <w:tcPr>
                        <w:tcW w:w="1948" w:type="dxa"/>
                      </w:tcPr>
                      <w:p>
                        <w:pPr>
                          <w:pStyle w:val="TableParagraph"/>
                          <w:spacing w:line="252"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33"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对于补交的保险费，我们将不收取利息。 </w:t>
                        </w:r>
                      </w:p>
                    </w:tc>
                  </w:tr>
                  <w:tr>
                    <w:trPr>
                      <w:trHeight w:val="200" w:hRule="atLeast"/>
                    </w:trPr>
                    <w:tc>
                      <w:tcPr>
                        <w:tcW w:w="682" w:type="dxa"/>
                      </w:tcPr>
                      <w:p>
                        <w:pPr>
                          <w:pStyle w:val="TableParagraph"/>
                          <w:rPr>
                            <w:rFonts w:ascii="Times New Roman"/>
                            <w:sz w:val="12"/>
                          </w:rPr>
                        </w:pPr>
                      </w:p>
                    </w:tc>
                    <w:tc>
                      <w:tcPr>
                        <w:tcW w:w="1948" w:type="dxa"/>
                      </w:tcPr>
                      <w:p>
                        <w:pPr>
                          <w:pStyle w:val="TableParagraph"/>
                          <w:rPr>
                            <w:rFonts w:ascii="Times New Roman"/>
                            <w:sz w:val="12"/>
                          </w:rPr>
                        </w:pPr>
                      </w:p>
                    </w:tc>
                    <w:tc>
                      <w:tcPr>
                        <w:tcW w:w="7447" w:type="dxa"/>
                      </w:tcPr>
                      <w:p>
                        <w:pPr>
                          <w:pStyle w:val="TableParagraph"/>
                          <w:spacing w:line="180" w:lineRule="exact"/>
                          <w:ind w:left="134"/>
                          <w:rPr>
                            <w:sz w:val="21"/>
                          </w:rPr>
                        </w:pPr>
                        <w:r>
                          <w:rPr>
                            <w:w w:val="100"/>
                            <w:sz w:val="21"/>
                          </w:rPr>
                          <w:t> </w:t>
                        </w:r>
                      </w:p>
                    </w:tc>
                  </w:tr>
                </w:tbl>
                <w:p>
                  <w:pPr>
                    <w:pStyle w:val="BodyText"/>
                    <w:spacing w:line="240" w:lineRule="auto"/>
                    <w:ind w:left="0"/>
                  </w:pPr>
                </w:p>
              </w:txbxContent>
            </v:textbox>
            <w10:wrap type="none"/>
          </v:shape>
        </w:pict>
      </w:r>
      <w:r>
        <w:rPr/>
        <w:t>指经根据冠状动脉造影检查结果明确诊断为三支主要血管严重狭窄性病变（至</w:t>
      </w:r>
      <w:r>
        <w:rPr>
          <w:spacing w:val="-4"/>
        </w:rPr>
        <w:t>少一支血管管腔直径减少 </w:t>
      </w:r>
      <w:r>
        <w:rPr>
          <w:rFonts w:ascii="Times New Roman" w:eastAsia="Times New Roman"/>
        </w:rPr>
        <w:t>75</w:t>
      </w:r>
      <w:r>
        <w:rPr>
          <w:spacing w:val="-4"/>
        </w:rPr>
        <w:t>％以上和其他两支血管管腔直径减少 </w:t>
      </w:r>
      <w:r>
        <w:rPr>
          <w:rFonts w:ascii="Times New Roman" w:eastAsia="Times New Roman"/>
        </w:rPr>
        <w:t>60</w:t>
      </w:r>
      <w:r>
        <w:rPr>
          <w:spacing w:val="-2"/>
        </w:rPr>
        <w:t>％以上</w:t>
      </w:r>
      <w:r>
        <w:rPr>
          <w:spacing w:val="-108"/>
        </w:rPr>
        <w:t>）</w:t>
      </w:r>
      <w:r>
        <w:rPr/>
        <w:t>。</w:t>
      </w:r>
      <w:r>
        <w:rPr>
          <w:spacing w:val="-3"/>
        </w:rPr>
        <w:t>前降支、左旋支及右冠状动脉的分支血管的狭窄不在保障范围内。</w:t>
      </w:r>
      <w:r>
        <w:rPr/>
        <w:t> </w:t>
      </w:r>
    </w:p>
    <w:p>
      <w:pPr>
        <w:spacing w:after="0" w:line="230" w:lineRule="auto"/>
        <w:jc w:val="both"/>
        <w:sectPr>
          <w:pgSz w:w="11900" w:h="16840"/>
          <w:pgMar w:header="0" w:footer="457" w:top="1080" w:bottom="64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59" w:hRule="atLeast"/>
        </w:trPr>
        <w:tc>
          <w:tcPr>
            <w:tcW w:w="682" w:type="dxa"/>
          </w:tcPr>
          <w:p>
            <w:pPr>
              <w:pStyle w:val="TableParagraph"/>
              <w:spacing w:line="239" w:lineRule="exact"/>
              <w:ind w:left="50"/>
              <w:rPr>
                <w:rFonts w:ascii="Microsoft JhengHei"/>
                <w:b/>
                <w:sz w:val="21"/>
              </w:rPr>
            </w:pPr>
            <w:r>
              <w:rPr>
                <w:rFonts w:ascii="Microsoft JhengHei"/>
                <w:b/>
                <w:w w:val="90"/>
                <w:sz w:val="21"/>
              </w:rPr>
              <w:t>10. 15</w:t>
            </w:r>
          </w:p>
        </w:tc>
        <w:tc>
          <w:tcPr>
            <w:tcW w:w="1948" w:type="dxa"/>
          </w:tcPr>
          <w:p>
            <w:pPr>
              <w:pStyle w:val="TableParagraph"/>
              <w:spacing w:line="239"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15"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9"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5"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7" w:lineRule="exact"/>
              <w:ind w:left="134"/>
              <w:rPr>
                <w:sz w:val="21"/>
              </w:rPr>
            </w:pPr>
            <w:r>
              <w:rPr>
                <w:sz w:val="21"/>
              </w:rPr>
              <w:t>《医师职称证书》；④在二级或二级以上医院的相应科室从事临床工作三年以</w:t>
            </w:r>
          </w:p>
        </w:tc>
      </w:tr>
      <w:tr>
        <w:trPr>
          <w:trHeight w:val="44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193" w:lineRule="exact"/>
              <w:ind w:left="134"/>
              <w:rPr>
                <w:sz w:val="21"/>
              </w:rPr>
            </w:pPr>
            <w:r>
              <w:rPr>
                <w:sz w:val="21"/>
              </w:rPr>
              <w:t>上。 </w:t>
            </w:r>
          </w:p>
          <w:p>
            <w:pPr>
              <w:pStyle w:val="TableParagraph"/>
              <w:spacing w:line="230"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10. 16</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27" w:lineRule="exact"/>
              <w:ind w:left="134"/>
              <w:rPr>
                <w:sz w:val="21"/>
              </w:rPr>
            </w:pPr>
            <w:r>
              <w:rPr>
                <w:sz w:val="21"/>
              </w:rPr>
              <w:t>指肢体的三大关节中的两大关节僵硬，或不能随意识活动。肢体是指包括肩关</w:t>
            </w:r>
          </w:p>
        </w:tc>
      </w:tr>
      <w:tr>
        <w:trPr>
          <w:trHeight w:val="43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185" w:lineRule="exact"/>
              <w:ind w:left="134"/>
              <w:rPr>
                <w:sz w:val="21"/>
              </w:rPr>
            </w:pPr>
            <w:r>
              <w:rPr>
                <w:sz w:val="21"/>
              </w:rPr>
              <w:t>节的整个上肢或包括髋关节的整个下肢。 </w:t>
            </w:r>
          </w:p>
          <w:p>
            <w:pPr>
              <w:pStyle w:val="TableParagraph"/>
              <w:spacing w:line="229"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26"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29"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5" w:lineRule="exact"/>
              <w:ind w:left="134"/>
              <w:rPr>
                <w:sz w:val="21"/>
              </w:rPr>
            </w:pPr>
            <w:r>
              <w:rPr>
                <w:sz w:val="21"/>
              </w:rPr>
              <w:t>咀嚼吞咽能力完全丧失，指因牙齿以外的原因导致器质障碍或机能障碍，以致</w:t>
            </w:r>
          </w:p>
        </w:tc>
      </w:tr>
      <w:tr>
        <w:trPr>
          <w:trHeight w:val="44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193" w:lineRule="exact"/>
              <w:ind w:left="134"/>
              <w:rPr>
                <w:sz w:val="21"/>
              </w:rPr>
            </w:pPr>
            <w:r>
              <w:rPr>
                <w:sz w:val="21"/>
              </w:rPr>
              <w:t>不能作咀嚼吞咽运动，除流质食物外不能摄取或吞咽的状态。 </w:t>
            </w:r>
          </w:p>
          <w:p>
            <w:pPr>
              <w:pStyle w:val="TableParagraph"/>
              <w:spacing w:line="229"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10. 18</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27"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28"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7" w:lineRule="exact"/>
              <w:ind w:left="134"/>
              <w:rPr>
                <w:sz w:val="21"/>
              </w:rPr>
            </w:pPr>
            <w:r>
              <w:rPr>
                <w:sz w:val="21"/>
              </w:rPr>
              <w:t>进行大小便；⑤进食：自己从已准备好的碗或碟中取食物放入口中；⑥洗澡：</w:t>
            </w:r>
          </w:p>
        </w:tc>
      </w:tr>
      <w:tr>
        <w:trPr>
          <w:trHeight w:val="44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193" w:lineRule="exact"/>
              <w:ind w:left="134"/>
              <w:rPr>
                <w:sz w:val="21"/>
              </w:rPr>
            </w:pPr>
            <w:r>
              <w:rPr>
                <w:sz w:val="21"/>
              </w:rPr>
              <w:t>自己进行淋浴或盆浴。 </w:t>
            </w:r>
          </w:p>
          <w:p>
            <w:pPr>
              <w:pStyle w:val="TableParagraph"/>
              <w:spacing w:line="229"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10. 19</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42" w:lineRule="exact"/>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60"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9" w:lineRule="exact"/>
              <w:ind w:left="134"/>
              <w:rPr>
                <w:sz w:val="21"/>
              </w:rPr>
            </w:pPr>
            <w:r>
              <w:rPr>
                <w:sz w:val="21"/>
              </w:rPr>
              <w:t>有医疗手段恢复。 </w:t>
            </w:r>
          </w:p>
        </w:tc>
      </w:tr>
      <w:tr>
        <w:trPr>
          <w:trHeight w:val="231" w:hRule="atLeast"/>
        </w:trPr>
        <w:tc>
          <w:tcPr>
            <w:tcW w:w="682" w:type="dxa"/>
          </w:tcPr>
          <w:p>
            <w:pPr>
              <w:pStyle w:val="TableParagraph"/>
              <w:spacing w:line="182" w:lineRule="exact"/>
              <w:ind w:left="50"/>
              <w:rPr>
                <w:sz w:val="16"/>
              </w:rPr>
            </w:pPr>
            <w:r>
              <w:rPr>
                <w:w w:val="100"/>
                <w:sz w:val="16"/>
              </w:rPr>
              <w:t> </w:t>
            </w:r>
          </w:p>
        </w:tc>
        <w:tc>
          <w:tcPr>
            <w:tcW w:w="1948" w:type="dxa"/>
          </w:tcPr>
          <w:p>
            <w:pPr>
              <w:pStyle w:val="TableParagraph"/>
              <w:rPr>
                <w:rFonts w:ascii="Times New Roman"/>
                <w:sz w:val="16"/>
              </w:rPr>
            </w:pPr>
          </w:p>
        </w:tc>
        <w:tc>
          <w:tcPr>
            <w:tcW w:w="7447" w:type="dxa"/>
          </w:tcPr>
          <w:p>
            <w:pPr>
              <w:pStyle w:val="TableParagraph"/>
              <w:rPr>
                <w:rFonts w:ascii="Times New Roman"/>
                <w:sz w:val="16"/>
              </w:rPr>
            </w:pPr>
          </w:p>
        </w:tc>
      </w:tr>
      <w:tr>
        <w:trPr>
          <w:trHeight w:val="224"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5" w:lineRule="exact"/>
              <w:ind w:left="2352"/>
              <w:rPr>
                <w:sz w:val="18"/>
              </w:rPr>
            </w:pPr>
            <w:r>
              <w:rPr>
                <w:sz w:val="18"/>
              </w:rPr>
              <w:t> </w:t>
            </w:r>
          </w:p>
        </w:tc>
      </w:tr>
    </w:tbl>
    <w:sectPr>
      <w:pgSz w:w="11900" w:h="16840"/>
      <w:pgMar w:header="0" w:footer="457" w:top="1160" w:bottom="64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9.160004pt;margin-top:808.139954pt;width:17.150pt;height:12pt;mso-position-horizontal-relative:page;mso-position-vertical-relative:page;z-index:-7804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6.880005pt;margin-top:808.139954pt;width:21.6pt;height:12pt;mso-position-horizontal-relative:page;mso-position-vertical-relative:page;z-index:-780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6" w:hanging="423"/>
      </w:pPr>
      <w:rPr>
        <w:rFonts w:hint="default" w:ascii="Wingdings" w:hAnsi="Wingdings" w:eastAsia="Wingdings" w:cs="Wingdings"/>
        <w:w w:val="100"/>
        <w:sz w:val="21"/>
        <w:szCs w:val="21"/>
      </w:rPr>
    </w:lvl>
    <w:lvl w:ilvl="1">
      <w:start w:val="0"/>
      <w:numFmt w:val="bullet"/>
      <w:lvlText w:val="•"/>
      <w:lvlJc w:val="left"/>
      <w:pPr>
        <w:ind w:left="2534" w:hanging="423"/>
      </w:pPr>
      <w:rPr>
        <w:rFonts w:hint="default"/>
      </w:rPr>
    </w:lvl>
    <w:lvl w:ilvl="2">
      <w:start w:val="0"/>
      <w:numFmt w:val="bullet"/>
      <w:lvlText w:val="•"/>
      <w:lvlJc w:val="left"/>
      <w:pPr>
        <w:ind w:left="3428" w:hanging="423"/>
      </w:pPr>
      <w:rPr>
        <w:rFonts w:hint="default"/>
      </w:rPr>
    </w:lvl>
    <w:lvl w:ilvl="3">
      <w:start w:val="0"/>
      <w:numFmt w:val="bullet"/>
      <w:lvlText w:val="•"/>
      <w:lvlJc w:val="left"/>
      <w:pPr>
        <w:ind w:left="4322" w:hanging="423"/>
      </w:pPr>
      <w:rPr>
        <w:rFonts w:hint="default"/>
      </w:rPr>
    </w:lvl>
    <w:lvl w:ilvl="4">
      <w:start w:val="0"/>
      <w:numFmt w:val="bullet"/>
      <w:lvlText w:val="•"/>
      <w:lvlJc w:val="left"/>
      <w:pPr>
        <w:ind w:left="5216" w:hanging="423"/>
      </w:pPr>
      <w:rPr>
        <w:rFonts w:hint="default"/>
      </w:rPr>
    </w:lvl>
    <w:lvl w:ilvl="5">
      <w:start w:val="0"/>
      <w:numFmt w:val="bullet"/>
      <w:lvlText w:val="•"/>
      <w:lvlJc w:val="left"/>
      <w:pPr>
        <w:ind w:left="6110" w:hanging="423"/>
      </w:pPr>
      <w:rPr>
        <w:rFonts w:hint="default"/>
      </w:rPr>
    </w:lvl>
    <w:lvl w:ilvl="6">
      <w:start w:val="0"/>
      <w:numFmt w:val="bullet"/>
      <w:lvlText w:val="•"/>
      <w:lvlJc w:val="left"/>
      <w:pPr>
        <w:ind w:left="7004" w:hanging="423"/>
      </w:pPr>
      <w:rPr>
        <w:rFonts w:hint="default"/>
      </w:rPr>
    </w:lvl>
    <w:lvl w:ilvl="7">
      <w:start w:val="0"/>
      <w:numFmt w:val="bullet"/>
      <w:lvlText w:val="•"/>
      <w:lvlJc w:val="left"/>
      <w:pPr>
        <w:ind w:left="7898" w:hanging="423"/>
      </w:pPr>
      <w:rPr>
        <w:rFonts w:hint="default"/>
      </w:rPr>
    </w:lvl>
    <w:lvl w:ilvl="8">
      <w:start w:val="0"/>
      <w:numFmt w:val="bullet"/>
      <w:lvlText w:val="•"/>
      <w:lvlJc w:val="left"/>
      <w:pPr>
        <w:ind w:left="8792" w:hanging="423"/>
      </w:pPr>
      <w:rPr>
        <w:rFonts w:hint="default"/>
      </w:rPr>
    </w:lvl>
  </w:abstractNum>
  <w:abstractNum w:abstractNumId="0">
    <w:multiLevelType w:val="hybridMultilevel"/>
    <w:lvl w:ilvl="0">
      <w:start w:val="0"/>
      <w:numFmt w:val="bullet"/>
      <w:lvlText w:val=""/>
      <w:lvlJc w:val="left"/>
      <w:pPr>
        <w:ind w:left="1646" w:hanging="423"/>
      </w:pPr>
      <w:rPr>
        <w:rFonts w:hint="default" w:ascii="Wingdings" w:hAnsi="Wingdings" w:eastAsia="Wingdings" w:cs="Wingdings"/>
        <w:w w:val="100"/>
        <w:sz w:val="21"/>
        <w:szCs w:val="21"/>
      </w:rPr>
    </w:lvl>
    <w:lvl w:ilvl="1">
      <w:start w:val="0"/>
      <w:numFmt w:val="bullet"/>
      <w:lvlText w:val="•"/>
      <w:lvlJc w:val="left"/>
      <w:pPr>
        <w:ind w:left="2534" w:hanging="423"/>
      </w:pPr>
      <w:rPr>
        <w:rFonts w:hint="default"/>
      </w:rPr>
    </w:lvl>
    <w:lvl w:ilvl="2">
      <w:start w:val="0"/>
      <w:numFmt w:val="bullet"/>
      <w:lvlText w:val="•"/>
      <w:lvlJc w:val="left"/>
      <w:pPr>
        <w:ind w:left="3428" w:hanging="423"/>
      </w:pPr>
      <w:rPr>
        <w:rFonts w:hint="default"/>
      </w:rPr>
    </w:lvl>
    <w:lvl w:ilvl="3">
      <w:start w:val="0"/>
      <w:numFmt w:val="bullet"/>
      <w:lvlText w:val="•"/>
      <w:lvlJc w:val="left"/>
      <w:pPr>
        <w:ind w:left="4322" w:hanging="423"/>
      </w:pPr>
      <w:rPr>
        <w:rFonts w:hint="default"/>
      </w:rPr>
    </w:lvl>
    <w:lvl w:ilvl="4">
      <w:start w:val="0"/>
      <w:numFmt w:val="bullet"/>
      <w:lvlText w:val="•"/>
      <w:lvlJc w:val="left"/>
      <w:pPr>
        <w:ind w:left="5216" w:hanging="423"/>
      </w:pPr>
      <w:rPr>
        <w:rFonts w:hint="default"/>
      </w:rPr>
    </w:lvl>
    <w:lvl w:ilvl="5">
      <w:start w:val="0"/>
      <w:numFmt w:val="bullet"/>
      <w:lvlText w:val="•"/>
      <w:lvlJc w:val="left"/>
      <w:pPr>
        <w:ind w:left="6110" w:hanging="423"/>
      </w:pPr>
      <w:rPr>
        <w:rFonts w:hint="default"/>
      </w:rPr>
    </w:lvl>
    <w:lvl w:ilvl="6">
      <w:start w:val="0"/>
      <w:numFmt w:val="bullet"/>
      <w:lvlText w:val="•"/>
      <w:lvlJc w:val="left"/>
      <w:pPr>
        <w:ind w:left="7004" w:hanging="423"/>
      </w:pPr>
      <w:rPr>
        <w:rFonts w:hint="default"/>
      </w:rPr>
    </w:lvl>
    <w:lvl w:ilvl="7">
      <w:start w:val="0"/>
      <w:numFmt w:val="bullet"/>
      <w:lvlText w:val="•"/>
      <w:lvlJc w:val="left"/>
      <w:pPr>
        <w:ind w:left="7898" w:hanging="423"/>
      </w:pPr>
      <w:rPr>
        <w:rFonts w:hint="default"/>
      </w:rPr>
    </w:lvl>
    <w:lvl w:ilvl="8">
      <w:start w:val="0"/>
      <w:numFmt w:val="bullet"/>
      <w:lvlText w:val="•"/>
      <w:lvlJc w:val="left"/>
      <w:pPr>
        <w:ind w:left="8792" w:hanging="423"/>
      </w:pPr>
      <w:rPr>
        <w:rFonts w:hint="default"/>
      </w:rPr>
    </w:lvl>
  </w:abstractNum>
  <w:abstractNum w:abstractNumId="4">
    <w:multiLevelType w:val="hybridMultilevel"/>
    <w:lvl w:ilvl="0">
      <w:start w:val="8"/>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5" w:hanging="756"/>
      </w:pPr>
      <w:rPr>
        <w:rFonts w:hint="default"/>
      </w:rPr>
    </w:lvl>
    <w:lvl w:ilvl="4">
      <w:start w:val="0"/>
      <w:numFmt w:val="bullet"/>
      <w:lvlText w:val="•"/>
      <w:lvlJc w:val="left"/>
      <w:pPr>
        <w:ind w:left="1654" w:hanging="756"/>
      </w:pPr>
      <w:rPr>
        <w:rFonts w:hint="default"/>
      </w:rPr>
    </w:lvl>
    <w:lvl w:ilvl="5">
      <w:start w:val="0"/>
      <w:numFmt w:val="bullet"/>
      <w:lvlText w:val="•"/>
      <w:lvlJc w:val="left"/>
      <w:pPr>
        <w:ind w:left="1822" w:hanging="756"/>
      </w:pPr>
      <w:rPr>
        <w:rFonts w:hint="default"/>
      </w:rPr>
    </w:lvl>
    <w:lvl w:ilvl="6">
      <w:start w:val="0"/>
      <w:numFmt w:val="bullet"/>
      <w:lvlText w:val="•"/>
      <w:lvlJc w:val="left"/>
      <w:pPr>
        <w:ind w:left="1991" w:hanging="756"/>
      </w:pPr>
      <w:rPr>
        <w:rFonts w:hint="default"/>
      </w:rPr>
    </w:lvl>
    <w:lvl w:ilvl="7">
      <w:start w:val="0"/>
      <w:numFmt w:val="bullet"/>
      <w:lvlText w:val="•"/>
      <w:lvlJc w:val="left"/>
      <w:pPr>
        <w:ind w:left="2159" w:hanging="756"/>
      </w:pPr>
      <w:rPr>
        <w:rFonts w:hint="default"/>
      </w:rPr>
    </w:lvl>
    <w:lvl w:ilvl="8">
      <w:start w:val="0"/>
      <w:numFmt w:val="bullet"/>
      <w:lvlText w:val="•"/>
      <w:lvlJc w:val="left"/>
      <w:pPr>
        <w:ind w:left="2328" w:hanging="756"/>
      </w:pPr>
      <w:rPr>
        <w:rFonts w:hint="default"/>
      </w:rPr>
    </w:lvl>
  </w:abstractNum>
  <w:abstractNum w:abstractNumId="3">
    <w:multiLevelType w:val="hybridMultilevel"/>
    <w:lvl w:ilvl="0">
      <w:start w:val="6"/>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2">
    <w:multiLevelType w:val="hybridMultilevel"/>
    <w:lvl w:ilvl="0">
      <w:start w:val="1"/>
      <w:numFmt w:val="decimal"/>
      <w:lvlText w:val="%1"/>
      <w:lvlJc w:val="left"/>
      <w:pPr>
        <w:ind w:left="1036" w:hanging="756"/>
        <w:jc w:val="left"/>
      </w:pPr>
      <w:rPr>
        <w:rFonts w:hint="default"/>
      </w:rPr>
    </w:lvl>
    <w:lvl w:ilvl="1">
      <w:start w:val="1"/>
      <w:numFmt w:val="decimal"/>
      <w:lvlText w:val="%1.%2"/>
      <w:lvlJc w:val="left"/>
      <w:pPr>
        <w:ind w:left="103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912" w:hanging="756"/>
      </w:pPr>
      <w:rPr>
        <w:rFonts w:hint="default"/>
      </w:rPr>
    </w:lvl>
    <w:lvl w:ilvl="3">
      <w:start w:val="0"/>
      <w:numFmt w:val="bullet"/>
      <w:lvlText w:val="•"/>
      <w:lvlJc w:val="left"/>
      <w:pPr>
        <w:ind w:left="3848" w:hanging="756"/>
      </w:pPr>
      <w:rPr>
        <w:rFonts w:hint="default"/>
      </w:rPr>
    </w:lvl>
    <w:lvl w:ilvl="4">
      <w:start w:val="0"/>
      <w:numFmt w:val="bullet"/>
      <w:lvlText w:val="•"/>
      <w:lvlJc w:val="left"/>
      <w:pPr>
        <w:ind w:left="4784" w:hanging="756"/>
      </w:pPr>
      <w:rPr>
        <w:rFonts w:hint="default"/>
      </w:rPr>
    </w:lvl>
    <w:lvl w:ilvl="5">
      <w:start w:val="0"/>
      <w:numFmt w:val="bullet"/>
      <w:lvlText w:val="•"/>
      <w:lvlJc w:val="left"/>
      <w:pPr>
        <w:ind w:left="5720" w:hanging="756"/>
      </w:pPr>
      <w:rPr>
        <w:rFonts w:hint="default"/>
      </w:rPr>
    </w:lvl>
    <w:lvl w:ilvl="6">
      <w:start w:val="0"/>
      <w:numFmt w:val="bullet"/>
      <w:lvlText w:val="•"/>
      <w:lvlJc w:val="left"/>
      <w:pPr>
        <w:ind w:left="6656" w:hanging="756"/>
      </w:pPr>
      <w:rPr>
        <w:rFonts w:hint="default"/>
      </w:rPr>
    </w:lvl>
    <w:lvl w:ilvl="7">
      <w:start w:val="0"/>
      <w:numFmt w:val="bullet"/>
      <w:lvlText w:val="•"/>
      <w:lvlJc w:val="left"/>
      <w:pPr>
        <w:ind w:left="7592" w:hanging="756"/>
      </w:pPr>
      <w:rPr>
        <w:rFonts w:hint="default"/>
      </w:rPr>
    </w:lvl>
    <w:lvl w:ilvl="8">
      <w:start w:val="0"/>
      <w:numFmt w:val="bullet"/>
      <w:lvlText w:val="•"/>
      <w:lvlJc w:val="left"/>
      <w:pPr>
        <w:ind w:left="8528" w:hanging="756"/>
      </w:pPr>
      <w:rPr>
        <w:rFonts w:hint="default"/>
      </w:rPr>
    </w:lvl>
  </w:abstractNum>
  <w:num w:numId="2">
    <w:abstractNumId w:val="1"/>
  </w:num>
  <w:num w:numId="1">
    <w:abstractNumId w:val="0"/>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054"/>
    </w:pPr>
    <w:rPr>
      <w:rFonts w:ascii="宋体" w:hAnsi="宋体" w:eastAsia="宋体" w:cs="宋体"/>
      <w:sz w:val="21"/>
      <w:szCs w:val="21"/>
    </w:rPr>
  </w:style>
  <w:style w:styleId="Heading1" w:type="paragraph">
    <w:name w:val="Heading 1"/>
    <w:basedOn w:val="Normal"/>
    <w:uiPriority w:val="1"/>
    <w:qFormat/>
    <w:pPr>
      <w:ind w:left="1875" w:right="187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05" w:lineRule="exact"/>
      <w:ind w:left="224"/>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934"/>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80" w:lineRule="exact"/>
      <w:ind w:left="1646"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嘉禾发[2009]338号-9 嘉禾附加珍爱一生终身重大疾病保险条款</dc:title>
  <dcterms:created xsi:type="dcterms:W3CDTF">2018-10-20T00:29:56Z</dcterms:created>
  <dcterms:modified xsi:type="dcterms:W3CDTF">2018-10-20T00:29:56Z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