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43"/>
        </w:rPr>
      </w:pPr>
    </w:p>
    <w:p>
      <w:pPr>
        <w:pStyle w:val="Heading1"/>
        <w:jc w:val="right"/>
      </w:pPr>
      <w:r>
        <w:rPr/>
        <w:t>阅  读  指 引</w:t>
      </w:r>
    </w:p>
    <w:p>
      <w:pPr>
        <w:spacing w:before="26"/>
        <w:ind w:left="1253" w:right="623" w:firstLine="0"/>
        <w:jc w:val="center"/>
        <w:rPr>
          <w:sz w:val="16"/>
        </w:rPr>
      </w:pPr>
      <w:r>
        <w:rPr/>
        <w:br w:type="column"/>
      </w:r>
      <w:r>
        <w:rPr>
          <w:sz w:val="16"/>
        </w:rPr>
        <w:t>平安人寿[2013]疾病保险 002 号</w:t>
      </w:r>
    </w:p>
    <w:p>
      <w:pPr>
        <w:pStyle w:val="BodyText"/>
        <w:spacing w:before="8"/>
        <w:rPr>
          <w:sz w:val="2"/>
        </w:rPr>
      </w:pPr>
    </w:p>
    <w:p>
      <w:pPr>
        <w:pStyle w:val="BodyText"/>
        <w:ind w:left="2102"/>
        <w:rPr>
          <w:sz w:val="20"/>
        </w:rPr>
      </w:pPr>
      <w:r>
        <w:rPr>
          <w:sz w:val="20"/>
        </w:rPr>
        <w:drawing>
          <wp:inline distT="0" distB="0" distL="0" distR="0">
            <wp:extent cx="434335"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5" cy="434340"/>
                    </a:xfrm>
                    <a:prstGeom prst="rect">
                      <a:avLst/>
                    </a:prstGeom>
                  </pic:spPr>
                </pic:pic>
              </a:graphicData>
            </a:graphic>
          </wp:inline>
        </w:drawing>
      </w:r>
      <w:r>
        <w:rPr>
          <w:sz w:val="20"/>
        </w:rPr>
      </w:r>
    </w:p>
    <w:p>
      <w:pPr>
        <w:spacing w:before="60"/>
        <w:ind w:left="1243" w:right="623" w:firstLine="0"/>
        <w:jc w:val="center"/>
        <w:rPr>
          <w:sz w:val="16"/>
        </w:rPr>
      </w:pPr>
      <w:r>
        <w:rPr>
          <w:sz w:val="16"/>
        </w:rPr>
        <w:t>请扫描以查询验证条款</w:t>
      </w:r>
    </w:p>
    <w:p>
      <w:pPr>
        <w:spacing w:after="0"/>
        <w:jc w:val="center"/>
        <w:rPr>
          <w:sz w:val="16"/>
        </w:rPr>
        <w:sectPr>
          <w:type w:val="continuous"/>
          <w:pgSz w:w="11910" w:h="16840"/>
          <w:pgMar w:top="560" w:bottom="280" w:left="940" w:right="800"/>
          <w:cols w:num="2" w:equalWidth="0">
            <w:col w:w="5893" w:space="40"/>
            <w:col w:w="4237"/>
          </w:cols>
        </w:sectPr>
      </w:pPr>
    </w:p>
    <w:p>
      <w:pPr>
        <w:spacing w:before="27"/>
        <w:ind w:left="382"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康</w:t>
      </w:r>
      <w:r>
        <w:rPr>
          <w:spacing w:val="-63"/>
          <w:w w:val="100"/>
          <w:position w:val="-7"/>
          <w:sz w:val="21"/>
        </w:rPr>
        <w:t>．</w:t>
      </w:r>
      <w:r>
        <w:rPr>
          <w:b/>
          <w:spacing w:val="-152"/>
          <w:w w:val="100"/>
          <w:sz w:val="21"/>
        </w:rPr>
        <w:t>佑</w:t>
      </w:r>
      <w:r>
        <w:rPr>
          <w:spacing w:val="-63"/>
          <w:w w:val="100"/>
          <w:position w:val="-7"/>
          <w:sz w:val="21"/>
        </w:rPr>
        <w:t>．</w:t>
      </w:r>
      <w:r>
        <w:rPr>
          <w:b/>
          <w:spacing w:val="-149"/>
          <w:w w:val="100"/>
          <w:sz w:val="21"/>
        </w:rPr>
        <w:t>英</w:t>
      </w:r>
      <w:r>
        <w:rPr>
          <w:spacing w:val="-63"/>
          <w:w w:val="100"/>
          <w:position w:val="-7"/>
          <w:sz w:val="21"/>
        </w:rPr>
        <w:t>．</w:t>
      </w:r>
      <w:r>
        <w:rPr>
          <w:b/>
          <w:spacing w:val="-149"/>
          <w:w w:val="100"/>
          <w:sz w:val="21"/>
        </w:rPr>
        <w:t>才</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52"/>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52"/>
          <w:w w:val="100"/>
          <w:sz w:val="21"/>
        </w:rPr>
        <w:t>”</w:t>
      </w:r>
      <w:r>
        <w:rPr>
          <w:spacing w:val="-63"/>
          <w:w w:val="100"/>
          <w:position w:val="-7"/>
          <w:sz w:val="21"/>
        </w:rPr>
        <w:t>．</w:t>
      </w:r>
      <w:r>
        <w:rPr>
          <w:spacing w:val="-149"/>
          <w:w w:val="100"/>
          <w:sz w:val="21"/>
        </w:rPr>
        <w:t>内</w:t>
      </w:r>
      <w:r>
        <w:rPr>
          <w:spacing w:val="-63"/>
          <w:w w:val="100"/>
          <w:position w:val="-7"/>
          <w:sz w:val="21"/>
        </w:rPr>
        <w:t>．</w:t>
      </w:r>
      <w:r>
        <w:rPr>
          <w:spacing w:val="-149"/>
          <w:w w:val="100"/>
          <w:sz w:val="21"/>
        </w:rPr>
        <w:t>容</w:t>
      </w:r>
      <w:r>
        <w:rPr>
          <w:spacing w:val="-63"/>
          <w:w w:val="100"/>
          <w:position w:val="-7"/>
          <w:sz w:val="21"/>
        </w:rPr>
        <w:t>．</w:t>
      </w:r>
      <w:r>
        <w:rPr>
          <w:spacing w:val="-152"/>
          <w:w w:val="100"/>
          <w:sz w:val="21"/>
        </w:rPr>
        <w:t>的</w:t>
      </w:r>
      <w:r>
        <w:rPr>
          <w:spacing w:val="-63"/>
          <w:w w:val="100"/>
          <w:position w:val="-7"/>
          <w:sz w:val="21"/>
        </w:rPr>
        <w:t>．</w:t>
      </w:r>
      <w:r>
        <w:rPr>
          <w:spacing w:val="-149"/>
          <w:w w:val="100"/>
          <w:sz w:val="21"/>
        </w:rPr>
        <w:t>解</w:t>
      </w:r>
      <w:r>
        <w:rPr>
          <w:spacing w:val="-63"/>
          <w:w w:val="100"/>
          <w:position w:val="-7"/>
          <w:sz w:val="21"/>
        </w:rPr>
        <w:t>．</w:t>
      </w:r>
      <w:r>
        <w:rPr>
          <w:spacing w:val="-152"/>
          <w:w w:val="100"/>
          <w:sz w:val="21"/>
        </w:rPr>
        <w:t>释</w:t>
      </w:r>
      <w:r>
        <w:rPr>
          <w:spacing w:val="-63"/>
          <w:w w:val="100"/>
          <w:position w:val="-7"/>
          <w:sz w:val="21"/>
        </w:rPr>
        <w:t>．</w:t>
      </w:r>
      <w:r>
        <w:rPr>
          <w:spacing w:val="-149"/>
          <w:w w:val="100"/>
          <w:sz w:val="21"/>
        </w:rPr>
        <w:t>以</w:t>
      </w:r>
      <w:r>
        <w:rPr>
          <w:spacing w:val="-63"/>
          <w:w w:val="100"/>
          <w:position w:val="-7"/>
          <w:sz w:val="21"/>
        </w:rPr>
        <w:t>．</w:t>
      </w:r>
      <w:r>
        <w:rPr>
          <w:spacing w:val="-152"/>
          <w:w w:val="100"/>
          <w:sz w:val="21"/>
        </w:rPr>
        <w:t>条</w:t>
      </w:r>
      <w:r>
        <w:rPr>
          <w:spacing w:val="-63"/>
          <w:w w:val="100"/>
          <w:position w:val="-7"/>
          <w:sz w:val="21"/>
        </w:rPr>
        <w:t>．</w:t>
      </w:r>
      <w:r>
        <w:rPr>
          <w:spacing w:val="-149"/>
          <w:w w:val="100"/>
          <w:sz w:val="21"/>
        </w:rPr>
        <w:t>款</w:t>
      </w:r>
      <w:r>
        <w:rPr>
          <w:spacing w:val="-63"/>
          <w:w w:val="100"/>
          <w:position w:val="-7"/>
          <w:sz w:val="21"/>
        </w:rPr>
        <w:t>．</w:t>
      </w:r>
      <w:r>
        <w:rPr>
          <w:spacing w:val="-151"/>
          <w:w w:val="100"/>
          <w:sz w:val="21"/>
        </w:rPr>
        <w:t>为</w:t>
      </w:r>
      <w:r>
        <w:rPr>
          <w:spacing w:val="-63"/>
          <w:w w:val="100"/>
          <w:position w:val="-7"/>
          <w:sz w:val="21"/>
        </w:rPr>
        <w:t>．</w:t>
      </w:r>
      <w:r>
        <w:rPr>
          <w:spacing w:val="-149"/>
          <w:w w:val="100"/>
          <w:sz w:val="21"/>
        </w:rPr>
        <w:t>准</w:t>
      </w:r>
      <w:r>
        <w:rPr>
          <w:spacing w:val="-63"/>
          <w:w w:val="100"/>
          <w:position w:val="-7"/>
          <w:sz w:val="21"/>
        </w:rPr>
        <w:t>．</w:t>
      </w:r>
      <w:r>
        <w:rPr>
          <w:w w:val="100"/>
          <w:sz w:val="21"/>
        </w:rPr>
        <w:t>。</w:t>
      </w:r>
    </w:p>
    <w:p>
      <w:pPr>
        <w:pStyle w:val="BodyText"/>
        <w:spacing w:before="1"/>
        <w:rPr>
          <w:sz w:val="32"/>
        </w:rPr>
      </w:pPr>
    </w:p>
    <w:p>
      <w:pPr>
        <w:pStyle w:val="Heading3"/>
        <w:tabs>
          <w:tab w:pos="1255" w:val="left" w:leader="none"/>
        </w:tabs>
        <w:spacing w:before="0"/>
      </w:pPr>
      <w:r>
        <w:rPr/>
        <w:drawing>
          <wp:anchor distT="0" distB="0" distL="0" distR="0" allowOverlap="1" layoutInCell="1" locked="0" behindDoc="1" simplePos="0" relativeHeight="268399271">
            <wp:simplePos x="0" y="0"/>
            <wp:positionH relativeFrom="page">
              <wp:posOffset>664463</wp:posOffset>
            </wp:positionH>
            <wp:positionV relativeFrom="paragraph">
              <wp:posOffset>-30128</wp:posOffset>
            </wp:positionV>
            <wp:extent cx="6324599" cy="823112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8231123"/>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9518" w:val="right" w:leader="dot"/>
        </w:tabs>
        <w:spacing w:line="240" w:lineRule="auto" w:before="25" w:after="0"/>
        <w:ind w:left="16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637" w:val="left" w:leader="none"/>
          <w:tab w:pos="1638" w:val="left" w:leader="none"/>
          <w:tab w:pos="9519" w:val="right" w:leader="dot"/>
        </w:tabs>
        <w:spacing w:line="240" w:lineRule="auto" w:before="22" w:after="0"/>
        <w:ind w:left="16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637" w:val="left" w:leader="none"/>
          <w:tab w:pos="1638" w:val="left" w:leader="none"/>
          <w:tab w:pos="9519" w:val="right" w:leader="dot"/>
        </w:tabs>
        <w:spacing w:line="240" w:lineRule="auto" w:before="22" w:after="0"/>
        <w:ind w:left="163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55" w:val="left" w:leader="none"/>
        </w:tabs>
        <w:spacing w:before="22"/>
        <w:ind w:left="2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37" w:val="left" w:leader="none"/>
          <w:tab w:pos="1638" w:val="left" w:leader="none"/>
        </w:tabs>
        <w:spacing w:line="240" w:lineRule="auto" w:before="26" w:after="0"/>
        <w:ind w:left="1637" w:right="0" w:hanging="420"/>
        <w:jc w:val="left"/>
        <w:rPr>
          <w:sz w:val="21"/>
        </w:rPr>
      </w:pPr>
      <w:r>
        <w:rPr>
          <w:spacing w:val="-3"/>
          <w:sz w:val="21"/>
        </w:rPr>
        <w:t>在某些情况下，我们不承担保险责任，详见条款正文中背景突出显示的内容</w:t>
      </w:r>
    </w:p>
    <w:p>
      <w:pPr>
        <w:pStyle w:val="BodyText"/>
        <w:spacing w:before="22"/>
        <w:ind w:left="1637"/>
      </w:pPr>
      <w:r>
        <w:rPr/>
        <w:t>………………………………………………………………… 2.2、2.3、8.1、9.3、9.11</w:t>
      </w:r>
    </w:p>
    <w:p>
      <w:pPr>
        <w:pStyle w:val="ListParagraph"/>
        <w:numPr>
          <w:ilvl w:val="0"/>
          <w:numId w:val="1"/>
        </w:numPr>
        <w:tabs>
          <w:tab w:pos="1637" w:val="left" w:leader="none"/>
          <w:tab w:pos="1638" w:val="left" w:leader="none"/>
          <w:tab w:pos="9519" w:val="right" w:leader="dot"/>
        </w:tabs>
        <w:spacing w:line="240" w:lineRule="auto" w:before="37" w:after="0"/>
        <w:ind w:left="16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37" w:val="left" w:leader="none"/>
          <w:tab w:pos="1638" w:val="left" w:leader="none"/>
          <w:tab w:pos="9519" w:val="right" w:leader="dot"/>
        </w:tabs>
        <w:spacing w:line="240" w:lineRule="auto" w:before="22" w:after="0"/>
        <w:ind w:left="1637"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637" w:val="left" w:leader="none"/>
          <w:tab w:pos="1638" w:val="left" w:leader="none"/>
          <w:tab w:pos="9308" w:val="right" w:leader="dot"/>
        </w:tabs>
        <w:spacing w:line="240" w:lineRule="auto" w:before="22" w:after="0"/>
        <w:ind w:left="1637" w:right="0" w:hanging="419"/>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38" w:val="left" w:leader="none"/>
          <w:tab w:pos="1639" w:val="left" w:leader="none"/>
        </w:tabs>
        <w:spacing w:line="240" w:lineRule="auto" w:before="22" w:after="0"/>
        <w:ind w:left="1638" w:right="0" w:hanging="420"/>
        <w:jc w:val="left"/>
        <w:rPr>
          <w:sz w:val="21"/>
        </w:rPr>
      </w:pPr>
      <w:r>
        <w:rPr>
          <w:spacing w:val="-3"/>
          <w:sz w:val="21"/>
        </w:rPr>
        <w:t>保险条款有关于重大疾病和特定重大疾病及重症手足口病的释义，请您留意</w:t>
      </w:r>
    </w:p>
    <w:p>
      <w:pPr>
        <w:pStyle w:val="BodyText"/>
        <w:spacing w:before="22"/>
        <w:ind w:left="1638"/>
      </w:pPr>
      <w:r>
        <w:rPr/>
        <w:t>………………………………………………………………………………9.3、9.10、9.12</w:t>
      </w:r>
    </w:p>
    <w:p>
      <w:pPr>
        <w:pStyle w:val="ListParagraph"/>
        <w:numPr>
          <w:ilvl w:val="0"/>
          <w:numId w:val="1"/>
        </w:numPr>
        <w:tabs>
          <w:tab w:pos="1638" w:val="left" w:leader="none"/>
          <w:tab w:pos="1639" w:val="left" w:leader="none"/>
          <w:tab w:pos="9519" w:val="right" w:leader="dot"/>
        </w:tabs>
        <w:spacing w:line="240" w:lineRule="auto" w:before="37" w:after="0"/>
        <w:ind w:left="1638"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pStyle w:val="ListParagraph"/>
        <w:numPr>
          <w:ilvl w:val="0"/>
          <w:numId w:val="1"/>
        </w:numPr>
        <w:tabs>
          <w:tab w:pos="1638" w:val="left" w:leader="none"/>
          <w:tab w:pos="1639" w:val="left" w:leader="none"/>
        </w:tabs>
        <w:spacing w:line="240" w:lineRule="auto" w:before="22" w:after="0"/>
        <w:ind w:left="1638" w:right="0" w:hanging="420"/>
        <w:jc w:val="left"/>
        <w:rPr>
          <w:sz w:val="21"/>
        </w:rPr>
      </w:pPr>
      <w:r>
        <w:rPr>
          <w:spacing w:val="-3"/>
          <w:sz w:val="21"/>
        </w:rPr>
        <w:t>若您申请解除本附加险合同，主险合同必须同时申请解除…………………… </w:t>
      </w:r>
      <w:r>
        <w:rPr>
          <w:sz w:val="21"/>
        </w:rPr>
        <w:t>1.4、7.1</w:t>
      </w:r>
    </w:p>
    <w:p>
      <w:pPr>
        <w:pStyle w:val="Heading3"/>
        <w:tabs>
          <w:tab w:pos="1255" w:val="left" w:leader="none"/>
        </w:tabs>
      </w:pPr>
      <w:r>
        <w:rPr>
          <w:rFonts w:ascii="Arial" w:hAnsi="Arial" w:eastAsia="Arial"/>
          <w:w w:val="105"/>
          <w:position w:val="-11"/>
          <w:sz w:val="52"/>
        </w:rPr>
        <w:t></w:t>
        <w:tab/>
      </w:r>
      <w:r>
        <w:rPr>
          <w:spacing w:val="-3"/>
        </w:rPr>
        <w:t>条款是保险合同的重要内容，为充分保障您的权益，请您仔细阅读本条款。</w:t>
      </w:r>
    </w:p>
    <w:p>
      <w:pPr>
        <w:tabs>
          <w:tab w:pos="1255" w:val="left" w:leader="none"/>
        </w:tabs>
        <w:spacing w:before="25"/>
        <w:ind w:left="245" w:right="0" w:firstLine="0"/>
        <w:jc w:val="left"/>
        <w:rPr>
          <w:b/>
          <w:sz w:val="21"/>
        </w:rPr>
      </w:pPr>
      <w:r>
        <w:rPr/>
        <w:pict>
          <v:shapetype id="_x0000_t202" o:spt="202" coordsize="21600,21600" path="m,l,21600r21600,l21600,xe">
            <v:stroke joinstyle="miter"/>
            <v:path gradientshapeok="t" o:connecttype="rect"/>
          </v:shapetype>
          <v:shape style="position:absolute;margin-left:110.224998pt;margin-top:28.757698pt;width:409.15pt;height:306.1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2823"/>
                    <w:gridCol w:w="702"/>
                    <w:gridCol w:w="2099"/>
                  </w:tblGrid>
                  <w:tr>
                    <w:trPr>
                      <w:trHeight w:val="423" w:hRule="atLeast"/>
                    </w:trPr>
                    <w:tc>
                      <w:tcPr>
                        <w:tcW w:w="2542" w:type="dxa"/>
                        <w:tcBorders>
                          <w:top w:val="dotted" w:sz="6" w:space="0" w:color="000000"/>
                          <w:left w:val="dotted" w:sz="6" w:space="0" w:color="000000"/>
                        </w:tcBorders>
                      </w:tcPr>
                      <w:p>
                        <w:pPr>
                          <w:pStyle w:val="TableParagraph"/>
                          <w:spacing w:line="346" w:lineRule="exact" w:before="57"/>
                          <w:ind w:left="293"/>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823" w:type="dxa"/>
                        <w:tcBorders>
                          <w:top w:val="dotted" w:sz="6" w:space="0" w:color="000000"/>
                        </w:tcBorders>
                      </w:tcPr>
                      <w:p>
                        <w:pPr>
                          <w:pStyle w:val="TableParagraph"/>
                          <w:spacing w:line="343" w:lineRule="exact" w:before="59"/>
                          <w:ind w:left="144"/>
                          <w:rPr>
                            <w:rFonts w:ascii="Microsoft JhengHei" w:eastAsia="Microsoft JhengHei" w:hint="eastAsia"/>
                            <w:b/>
                            <w:sz w:val="21"/>
                          </w:rPr>
                        </w:pPr>
                        <w:r>
                          <w:rPr>
                            <w:rFonts w:ascii="Microsoft JhengHei" w:eastAsia="Microsoft JhengHei" w:hint="eastAsia"/>
                            <w:b/>
                            <w:sz w:val="21"/>
                          </w:rPr>
                          <w:t>6.合同效力的恢复</w:t>
                        </w:r>
                      </w:p>
                    </w:tc>
                    <w:tc>
                      <w:tcPr>
                        <w:tcW w:w="702" w:type="dxa"/>
                        <w:tcBorders>
                          <w:top w:val="dotted" w:sz="6" w:space="0" w:color="000000"/>
                        </w:tcBorders>
                      </w:tcPr>
                      <w:p>
                        <w:pPr>
                          <w:pStyle w:val="TableParagraph"/>
                          <w:spacing w:before="100"/>
                          <w:ind w:left="237"/>
                          <w:rPr>
                            <w:sz w:val="21"/>
                          </w:rPr>
                        </w:pPr>
                        <w:r>
                          <w:rPr>
                            <w:sz w:val="21"/>
                          </w:rPr>
                          <w:t>9.9</w:t>
                        </w:r>
                      </w:p>
                    </w:tc>
                    <w:tc>
                      <w:tcPr>
                        <w:tcW w:w="2099" w:type="dxa"/>
                        <w:tcBorders>
                          <w:top w:val="dotted" w:sz="6" w:space="0" w:color="000000"/>
                          <w:right w:val="dotted" w:sz="6" w:space="0" w:color="000000"/>
                        </w:tcBorders>
                      </w:tcPr>
                      <w:p>
                        <w:pPr>
                          <w:pStyle w:val="TableParagraph"/>
                          <w:spacing w:before="100"/>
                          <w:ind w:left="61"/>
                          <w:rPr>
                            <w:sz w:val="21"/>
                          </w:rPr>
                        </w:pPr>
                        <w:r>
                          <w:rPr>
                            <w:sz w:val="21"/>
                          </w:rPr>
                          <w:t>心功能状态分级</w:t>
                        </w:r>
                      </w:p>
                    </w:tc>
                  </w:tr>
                  <w:tr>
                    <w:trPr>
                      <w:trHeight w:val="279" w:hRule="atLeast"/>
                    </w:trPr>
                    <w:tc>
                      <w:tcPr>
                        <w:tcW w:w="2542" w:type="dxa"/>
                        <w:tcBorders>
                          <w:left w:val="dotted" w:sz="6" w:space="0" w:color="000000"/>
                        </w:tcBorders>
                      </w:tcPr>
                      <w:p>
                        <w:pPr>
                          <w:pStyle w:val="TableParagraph"/>
                          <w:spacing w:line="257" w:lineRule="exact"/>
                          <w:ind w:left="504"/>
                          <w:rPr>
                            <w:sz w:val="21"/>
                          </w:rPr>
                        </w:pPr>
                        <w:r>
                          <w:rPr>
                            <w:sz w:val="21"/>
                          </w:rPr>
                          <w:t>1.1 合同订立</w:t>
                        </w:r>
                      </w:p>
                    </w:tc>
                    <w:tc>
                      <w:tcPr>
                        <w:tcW w:w="2823" w:type="dxa"/>
                      </w:tcPr>
                      <w:p>
                        <w:pPr>
                          <w:pStyle w:val="TableParagraph"/>
                          <w:spacing w:line="257" w:lineRule="exact"/>
                          <w:ind w:left="355"/>
                          <w:rPr>
                            <w:sz w:val="21"/>
                          </w:rPr>
                        </w:pPr>
                        <w:r>
                          <w:rPr>
                            <w:sz w:val="21"/>
                          </w:rPr>
                          <w:t>6.1 效力恢复</w:t>
                        </w:r>
                      </w:p>
                    </w:tc>
                    <w:tc>
                      <w:tcPr>
                        <w:tcW w:w="702" w:type="dxa"/>
                      </w:tcPr>
                      <w:p>
                        <w:pPr>
                          <w:pStyle w:val="TableParagraph"/>
                          <w:spacing w:line="233" w:lineRule="exact"/>
                          <w:ind w:left="237"/>
                          <w:rPr>
                            <w:sz w:val="21"/>
                          </w:rPr>
                        </w:pPr>
                        <w:r>
                          <w:rPr>
                            <w:sz w:val="21"/>
                          </w:rPr>
                          <w:t>9.10</w:t>
                        </w:r>
                      </w:p>
                    </w:tc>
                    <w:tc>
                      <w:tcPr>
                        <w:tcW w:w="2099" w:type="dxa"/>
                        <w:tcBorders>
                          <w:right w:val="dotted" w:sz="6" w:space="0" w:color="000000"/>
                        </w:tcBorders>
                      </w:tcPr>
                      <w:p>
                        <w:pPr>
                          <w:pStyle w:val="TableParagraph"/>
                          <w:spacing w:line="233" w:lineRule="exact"/>
                          <w:ind w:left="61"/>
                          <w:rPr>
                            <w:sz w:val="21"/>
                          </w:rPr>
                        </w:pPr>
                        <w:r>
                          <w:rPr>
                            <w:sz w:val="21"/>
                          </w:rPr>
                          <w:t>特定重大疾病</w:t>
                        </w:r>
                      </w:p>
                    </w:tc>
                  </w:tr>
                  <w:tr>
                    <w:trPr>
                      <w:trHeight w:val="279" w:hRule="atLeast"/>
                    </w:trPr>
                    <w:tc>
                      <w:tcPr>
                        <w:tcW w:w="2542" w:type="dxa"/>
                        <w:tcBorders>
                          <w:left w:val="dotted" w:sz="6" w:space="0" w:color="000000"/>
                        </w:tcBorders>
                      </w:tcPr>
                      <w:p>
                        <w:pPr>
                          <w:pStyle w:val="TableParagraph"/>
                          <w:spacing w:line="258" w:lineRule="exact"/>
                          <w:ind w:left="504"/>
                          <w:rPr>
                            <w:sz w:val="21"/>
                          </w:rPr>
                        </w:pPr>
                        <w:r>
                          <w:rPr>
                            <w:sz w:val="21"/>
                          </w:rPr>
                          <w:t>1.2 合同生效</w:t>
                        </w:r>
                      </w:p>
                    </w:tc>
                    <w:tc>
                      <w:tcPr>
                        <w:tcW w:w="2823" w:type="dxa"/>
                      </w:tcPr>
                      <w:p>
                        <w:pPr>
                          <w:pStyle w:val="TableParagraph"/>
                          <w:spacing w:line="260" w:lineRule="exact"/>
                          <w:ind w:left="144"/>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702" w:type="dxa"/>
                      </w:tcPr>
                      <w:p>
                        <w:pPr>
                          <w:pStyle w:val="TableParagraph"/>
                          <w:spacing w:line="234" w:lineRule="exact"/>
                          <w:ind w:left="237"/>
                          <w:rPr>
                            <w:sz w:val="21"/>
                          </w:rPr>
                        </w:pPr>
                        <w:r>
                          <w:rPr>
                            <w:sz w:val="21"/>
                          </w:rPr>
                          <w:t>9.11</w:t>
                        </w:r>
                      </w:p>
                    </w:tc>
                    <w:tc>
                      <w:tcPr>
                        <w:tcW w:w="2099" w:type="dxa"/>
                        <w:tcBorders>
                          <w:right w:val="dotted" w:sz="6" w:space="0" w:color="000000"/>
                        </w:tcBorders>
                      </w:tcPr>
                      <w:p>
                        <w:pPr>
                          <w:pStyle w:val="TableParagraph"/>
                          <w:spacing w:line="234" w:lineRule="exact"/>
                          <w:ind w:left="61"/>
                          <w:rPr>
                            <w:sz w:val="21"/>
                          </w:rPr>
                        </w:pPr>
                        <w:r>
                          <w:rPr>
                            <w:sz w:val="21"/>
                          </w:rPr>
                          <w:t>白血病</w:t>
                        </w:r>
                      </w:p>
                    </w:tc>
                  </w:tr>
                  <w:tr>
                    <w:trPr>
                      <w:trHeight w:val="280" w:hRule="atLeast"/>
                    </w:trPr>
                    <w:tc>
                      <w:tcPr>
                        <w:tcW w:w="2542" w:type="dxa"/>
                        <w:tcBorders>
                          <w:left w:val="dotted" w:sz="6" w:space="0" w:color="000000"/>
                        </w:tcBorders>
                      </w:tcPr>
                      <w:p>
                        <w:pPr>
                          <w:pStyle w:val="TableParagraph"/>
                          <w:spacing w:line="257" w:lineRule="exact"/>
                          <w:ind w:left="504"/>
                          <w:rPr>
                            <w:sz w:val="21"/>
                          </w:rPr>
                        </w:pPr>
                        <w:r>
                          <w:rPr>
                            <w:sz w:val="21"/>
                          </w:rPr>
                          <w:t>1.3 投保年龄</w:t>
                        </w:r>
                      </w:p>
                    </w:tc>
                    <w:tc>
                      <w:tcPr>
                        <w:tcW w:w="2823" w:type="dxa"/>
                      </w:tcPr>
                      <w:p>
                        <w:pPr>
                          <w:pStyle w:val="TableParagraph"/>
                          <w:spacing w:line="259" w:lineRule="exact"/>
                          <w:ind w:right="218"/>
                          <w:jc w:val="right"/>
                          <w:rPr>
                            <w:sz w:val="21"/>
                          </w:rPr>
                        </w:pPr>
                        <w:r>
                          <w:rPr>
                            <w:sz w:val="21"/>
                          </w:rPr>
                          <w:t>7.1 您解除合同的手续</w:t>
                        </w:r>
                      </w:p>
                    </w:tc>
                    <w:tc>
                      <w:tcPr>
                        <w:tcW w:w="702" w:type="dxa"/>
                      </w:tcPr>
                      <w:p>
                        <w:pPr>
                          <w:pStyle w:val="TableParagraph"/>
                          <w:spacing w:line="233" w:lineRule="exact"/>
                          <w:ind w:left="237"/>
                          <w:rPr>
                            <w:sz w:val="21"/>
                          </w:rPr>
                        </w:pPr>
                        <w:r>
                          <w:rPr>
                            <w:sz w:val="21"/>
                          </w:rPr>
                          <w:t>9.12</w:t>
                        </w:r>
                      </w:p>
                    </w:tc>
                    <w:tc>
                      <w:tcPr>
                        <w:tcW w:w="2099" w:type="dxa"/>
                        <w:tcBorders>
                          <w:right w:val="dotted" w:sz="6" w:space="0" w:color="000000"/>
                        </w:tcBorders>
                      </w:tcPr>
                      <w:p>
                        <w:pPr>
                          <w:pStyle w:val="TableParagraph"/>
                          <w:spacing w:line="233" w:lineRule="exact"/>
                          <w:ind w:left="61"/>
                          <w:rPr>
                            <w:sz w:val="21"/>
                          </w:rPr>
                        </w:pPr>
                        <w:r>
                          <w:rPr>
                            <w:sz w:val="21"/>
                          </w:rPr>
                          <w:t>重症手足口病</w:t>
                        </w:r>
                      </w:p>
                    </w:tc>
                  </w:tr>
                  <w:tr>
                    <w:trPr>
                      <w:trHeight w:val="279" w:hRule="atLeast"/>
                    </w:trPr>
                    <w:tc>
                      <w:tcPr>
                        <w:tcW w:w="2542" w:type="dxa"/>
                        <w:tcBorders>
                          <w:left w:val="dotted" w:sz="6" w:space="0" w:color="000000"/>
                        </w:tcBorders>
                      </w:tcPr>
                      <w:p>
                        <w:pPr>
                          <w:pStyle w:val="TableParagraph"/>
                          <w:spacing w:line="257" w:lineRule="exact"/>
                          <w:ind w:left="504"/>
                          <w:rPr>
                            <w:sz w:val="21"/>
                          </w:rPr>
                        </w:pPr>
                        <w:r>
                          <w:rPr>
                            <w:sz w:val="21"/>
                          </w:rPr>
                          <w:t>1.4 犹豫期</w:t>
                        </w:r>
                      </w:p>
                    </w:tc>
                    <w:tc>
                      <w:tcPr>
                        <w:tcW w:w="2823" w:type="dxa"/>
                      </w:tcPr>
                      <w:p>
                        <w:pPr>
                          <w:pStyle w:val="TableParagraph"/>
                          <w:spacing w:line="256" w:lineRule="exact"/>
                          <w:ind w:left="775"/>
                          <w:rPr>
                            <w:sz w:val="21"/>
                          </w:rPr>
                        </w:pPr>
                        <w:r>
                          <w:rPr>
                            <w:sz w:val="21"/>
                          </w:rPr>
                          <w:t>及风险</w:t>
                        </w:r>
                      </w:p>
                    </w:tc>
                    <w:tc>
                      <w:tcPr>
                        <w:tcW w:w="702" w:type="dxa"/>
                      </w:tcPr>
                      <w:p>
                        <w:pPr>
                          <w:pStyle w:val="TableParagraph"/>
                          <w:spacing w:line="233" w:lineRule="exact"/>
                          <w:ind w:left="237"/>
                          <w:rPr>
                            <w:sz w:val="21"/>
                          </w:rPr>
                        </w:pPr>
                        <w:r>
                          <w:rPr>
                            <w:sz w:val="21"/>
                          </w:rPr>
                          <w:t>9.13</w:t>
                        </w:r>
                      </w:p>
                    </w:tc>
                    <w:tc>
                      <w:tcPr>
                        <w:tcW w:w="2099" w:type="dxa"/>
                        <w:tcBorders>
                          <w:right w:val="dotted" w:sz="6" w:space="0" w:color="000000"/>
                        </w:tcBorders>
                      </w:tcPr>
                      <w:p>
                        <w:pPr>
                          <w:pStyle w:val="TableParagraph"/>
                          <w:spacing w:line="233" w:lineRule="exact"/>
                          <w:ind w:left="61"/>
                          <w:rPr>
                            <w:sz w:val="21"/>
                          </w:rPr>
                        </w:pPr>
                        <w:r>
                          <w:rPr>
                            <w:sz w:val="21"/>
                          </w:rPr>
                          <w:t>意外伤害</w:t>
                        </w:r>
                      </w:p>
                    </w:tc>
                  </w:tr>
                  <w:tr>
                    <w:trPr>
                      <w:trHeight w:val="279" w:hRule="atLeast"/>
                    </w:trPr>
                    <w:tc>
                      <w:tcPr>
                        <w:tcW w:w="2542" w:type="dxa"/>
                        <w:tcBorders>
                          <w:left w:val="dotted" w:sz="6" w:space="0" w:color="000000"/>
                        </w:tcBorders>
                      </w:tcPr>
                      <w:p>
                        <w:pPr>
                          <w:pStyle w:val="TableParagraph"/>
                          <w:spacing w:line="258" w:lineRule="exact"/>
                          <w:ind w:left="504"/>
                          <w:rPr>
                            <w:sz w:val="21"/>
                          </w:rPr>
                        </w:pPr>
                        <w:r>
                          <w:rPr>
                            <w:sz w:val="21"/>
                          </w:rPr>
                          <w:t>1.5 保险期间</w:t>
                        </w:r>
                      </w:p>
                    </w:tc>
                    <w:tc>
                      <w:tcPr>
                        <w:tcW w:w="2823" w:type="dxa"/>
                      </w:tcPr>
                      <w:p>
                        <w:pPr>
                          <w:pStyle w:val="TableParagraph"/>
                          <w:spacing w:line="260" w:lineRule="exact"/>
                          <w:ind w:left="144"/>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702" w:type="dxa"/>
                      </w:tcPr>
                      <w:p>
                        <w:pPr>
                          <w:pStyle w:val="TableParagraph"/>
                          <w:spacing w:line="234" w:lineRule="exact"/>
                          <w:ind w:left="237"/>
                          <w:rPr>
                            <w:sz w:val="21"/>
                          </w:rPr>
                        </w:pPr>
                        <w:r>
                          <w:rPr>
                            <w:sz w:val="21"/>
                          </w:rPr>
                          <w:t>9.14</w:t>
                        </w:r>
                      </w:p>
                    </w:tc>
                    <w:tc>
                      <w:tcPr>
                        <w:tcW w:w="2099" w:type="dxa"/>
                        <w:tcBorders>
                          <w:right w:val="dotted" w:sz="6" w:space="0" w:color="000000"/>
                        </w:tcBorders>
                      </w:tcPr>
                      <w:p>
                        <w:pPr>
                          <w:pStyle w:val="TableParagraph"/>
                          <w:spacing w:line="234" w:lineRule="exact"/>
                          <w:ind w:left="61"/>
                          <w:rPr>
                            <w:sz w:val="21"/>
                          </w:rPr>
                        </w:pPr>
                        <w:r>
                          <w:rPr>
                            <w:sz w:val="21"/>
                          </w:rPr>
                          <w:t>医院</w:t>
                        </w:r>
                      </w:p>
                    </w:tc>
                  </w:tr>
                  <w:tr>
                    <w:trPr>
                      <w:trHeight w:val="280" w:hRule="atLeast"/>
                    </w:trPr>
                    <w:tc>
                      <w:tcPr>
                        <w:tcW w:w="2542" w:type="dxa"/>
                        <w:tcBorders>
                          <w:left w:val="dotted" w:sz="6" w:space="0" w:color="000000"/>
                        </w:tcBorders>
                      </w:tcPr>
                      <w:p>
                        <w:pPr>
                          <w:pStyle w:val="TableParagraph"/>
                          <w:spacing w:line="261" w:lineRule="exact"/>
                          <w:ind w:left="293"/>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823" w:type="dxa"/>
                      </w:tcPr>
                      <w:p>
                        <w:pPr>
                          <w:pStyle w:val="TableParagraph"/>
                          <w:spacing w:line="259" w:lineRule="exact"/>
                          <w:ind w:left="355"/>
                          <w:rPr>
                            <w:sz w:val="21"/>
                          </w:rPr>
                        </w:pPr>
                        <w:r>
                          <w:rPr>
                            <w:sz w:val="21"/>
                          </w:rPr>
                          <w:t>8.1 年龄错误</w:t>
                        </w:r>
                      </w:p>
                    </w:tc>
                    <w:tc>
                      <w:tcPr>
                        <w:tcW w:w="702" w:type="dxa"/>
                      </w:tcPr>
                      <w:p>
                        <w:pPr>
                          <w:pStyle w:val="TableParagraph"/>
                          <w:spacing w:line="233" w:lineRule="exact"/>
                          <w:ind w:left="237"/>
                          <w:rPr>
                            <w:sz w:val="21"/>
                          </w:rPr>
                        </w:pPr>
                        <w:r>
                          <w:rPr>
                            <w:sz w:val="21"/>
                          </w:rPr>
                          <w:t>9.15</w:t>
                        </w:r>
                      </w:p>
                    </w:tc>
                    <w:tc>
                      <w:tcPr>
                        <w:tcW w:w="2099" w:type="dxa"/>
                        <w:tcBorders>
                          <w:right w:val="dotted" w:sz="6" w:space="0" w:color="000000"/>
                        </w:tcBorders>
                      </w:tcPr>
                      <w:p>
                        <w:pPr>
                          <w:pStyle w:val="TableParagraph"/>
                          <w:spacing w:line="233" w:lineRule="exact"/>
                          <w:ind w:left="61"/>
                          <w:rPr>
                            <w:sz w:val="21"/>
                          </w:rPr>
                        </w:pPr>
                        <w:r>
                          <w:rPr>
                            <w:sz w:val="21"/>
                          </w:rPr>
                          <w:t>毒品</w:t>
                        </w:r>
                      </w:p>
                    </w:tc>
                  </w:tr>
                  <w:tr>
                    <w:trPr>
                      <w:trHeight w:val="279" w:hRule="atLeast"/>
                    </w:trPr>
                    <w:tc>
                      <w:tcPr>
                        <w:tcW w:w="2542" w:type="dxa"/>
                        <w:tcBorders>
                          <w:left w:val="dotted" w:sz="6" w:space="0" w:color="000000"/>
                        </w:tcBorders>
                      </w:tcPr>
                      <w:p>
                        <w:pPr>
                          <w:pStyle w:val="TableParagraph"/>
                          <w:spacing w:line="256" w:lineRule="exact"/>
                          <w:ind w:left="504"/>
                          <w:rPr>
                            <w:sz w:val="21"/>
                          </w:rPr>
                        </w:pPr>
                        <w:r>
                          <w:rPr>
                            <w:sz w:val="21"/>
                          </w:rPr>
                          <w:t>2.1 保险金额</w:t>
                        </w:r>
                      </w:p>
                    </w:tc>
                    <w:tc>
                      <w:tcPr>
                        <w:tcW w:w="2823" w:type="dxa"/>
                      </w:tcPr>
                      <w:p>
                        <w:pPr>
                          <w:pStyle w:val="TableParagraph"/>
                          <w:spacing w:line="256" w:lineRule="exact"/>
                          <w:ind w:left="355"/>
                          <w:rPr>
                            <w:sz w:val="21"/>
                          </w:rPr>
                        </w:pPr>
                        <w:r>
                          <w:rPr>
                            <w:sz w:val="21"/>
                          </w:rPr>
                          <w:t>8.2 效力终止</w:t>
                        </w:r>
                      </w:p>
                    </w:tc>
                    <w:tc>
                      <w:tcPr>
                        <w:tcW w:w="702" w:type="dxa"/>
                      </w:tcPr>
                      <w:p>
                        <w:pPr>
                          <w:pStyle w:val="TableParagraph"/>
                          <w:spacing w:line="233" w:lineRule="exact"/>
                          <w:ind w:left="238"/>
                          <w:rPr>
                            <w:sz w:val="21"/>
                          </w:rPr>
                        </w:pPr>
                        <w:r>
                          <w:rPr>
                            <w:sz w:val="21"/>
                          </w:rPr>
                          <w:t>9.16</w:t>
                        </w:r>
                      </w:p>
                    </w:tc>
                    <w:tc>
                      <w:tcPr>
                        <w:tcW w:w="2099" w:type="dxa"/>
                        <w:tcBorders>
                          <w:right w:val="dotted" w:sz="6" w:space="0" w:color="000000"/>
                        </w:tcBorders>
                      </w:tcPr>
                      <w:p>
                        <w:pPr>
                          <w:pStyle w:val="TableParagraph"/>
                          <w:spacing w:line="233" w:lineRule="exact"/>
                          <w:ind w:left="61"/>
                          <w:rPr>
                            <w:sz w:val="21"/>
                          </w:rPr>
                        </w:pPr>
                        <w:r>
                          <w:rPr>
                            <w:sz w:val="21"/>
                          </w:rPr>
                          <w:t>酒后驾驶</w:t>
                        </w:r>
                      </w:p>
                    </w:tc>
                  </w:tr>
                  <w:tr>
                    <w:trPr>
                      <w:trHeight w:val="279" w:hRule="atLeast"/>
                    </w:trPr>
                    <w:tc>
                      <w:tcPr>
                        <w:tcW w:w="2542" w:type="dxa"/>
                        <w:tcBorders>
                          <w:left w:val="dotted" w:sz="6" w:space="0" w:color="000000"/>
                        </w:tcBorders>
                      </w:tcPr>
                      <w:p>
                        <w:pPr>
                          <w:pStyle w:val="TableParagraph"/>
                          <w:spacing w:line="258" w:lineRule="exact"/>
                          <w:ind w:left="504"/>
                          <w:rPr>
                            <w:sz w:val="21"/>
                          </w:rPr>
                        </w:pPr>
                        <w:r>
                          <w:rPr>
                            <w:sz w:val="21"/>
                          </w:rPr>
                          <w:t>2.2 保险责任</w:t>
                        </w:r>
                      </w:p>
                    </w:tc>
                    <w:tc>
                      <w:tcPr>
                        <w:tcW w:w="2823" w:type="dxa"/>
                      </w:tcPr>
                      <w:p>
                        <w:pPr>
                          <w:pStyle w:val="TableParagraph"/>
                          <w:spacing w:line="258" w:lineRule="exact"/>
                          <w:ind w:left="355"/>
                          <w:rPr>
                            <w:sz w:val="21"/>
                          </w:rPr>
                        </w:pPr>
                        <w:r>
                          <w:rPr>
                            <w:sz w:val="21"/>
                          </w:rPr>
                          <w:t>8.3 适用主险合同条款</w:t>
                        </w:r>
                      </w:p>
                    </w:tc>
                    <w:tc>
                      <w:tcPr>
                        <w:tcW w:w="702" w:type="dxa"/>
                      </w:tcPr>
                      <w:p>
                        <w:pPr>
                          <w:pStyle w:val="TableParagraph"/>
                          <w:spacing w:line="234" w:lineRule="exact"/>
                          <w:ind w:left="238"/>
                          <w:rPr>
                            <w:sz w:val="21"/>
                          </w:rPr>
                        </w:pPr>
                        <w:r>
                          <w:rPr>
                            <w:sz w:val="21"/>
                          </w:rPr>
                          <w:t>9.17</w:t>
                        </w:r>
                      </w:p>
                    </w:tc>
                    <w:tc>
                      <w:tcPr>
                        <w:tcW w:w="2099" w:type="dxa"/>
                        <w:tcBorders>
                          <w:right w:val="dotted" w:sz="6" w:space="0" w:color="000000"/>
                        </w:tcBorders>
                      </w:tcPr>
                      <w:p>
                        <w:pPr>
                          <w:pStyle w:val="TableParagraph"/>
                          <w:spacing w:line="234" w:lineRule="exact"/>
                          <w:ind w:left="78"/>
                          <w:rPr>
                            <w:sz w:val="21"/>
                          </w:rPr>
                        </w:pPr>
                        <w:r>
                          <w:rPr>
                            <w:sz w:val="21"/>
                          </w:rPr>
                          <w:t>无合法有效驾驶证</w:t>
                        </w:r>
                      </w:p>
                    </w:tc>
                  </w:tr>
                  <w:tr>
                    <w:trPr>
                      <w:trHeight w:val="280" w:hRule="atLeast"/>
                    </w:trPr>
                    <w:tc>
                      <w:tcPr>
                        <w:tcW w:w="2542" w:type="dxa"/>
                        <w:tcBorders>
                          <w:left w:val="dotted" w:sz="6" w:space="0" w:color="000000"/>
                        </w:tcBorders>
                      </w:tcPr>
                      <w:p>
                        <w:pPr>
                          <w:pStyle w:val="TableParagraph"/>
                          <w:spacing w:line="256" w:lineRule="exact"/>
                          <w:ind w:left="504"/>
                          <w:rPr>
                            <w:sz w:val="21"/>
                          </w:rPr>
                        </w:pPr>
                        <w:r>
                          <w:rPr>
                            <w:sz w:val="21"/>
                          </w:rPr>
                          <w:t>2.3 责任免除</w:t>
                        </w:r>
                      </w:p>
                    </w:tc>
                    <w:tc>
                      <w:tcPr>
                        <w:tcW w:w="2823" w:type="dxa"/>
                      </w:tcPr>
                      <w:p>
                        <w:pPr>
                          <w:pStyle w:val="TableParagraph"/>
                          <w:spacing w:line="261" w:lineRule="exact"/>
                          <w:ind w:left="144"/>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702" w:type="dxa"/>
                      </w:tcPr>
                      <w:p>
                        <w:pPr>
                          <w:pStyle w:val="TableParagraph"/>
                          <w:rPr>
                            <w:rFonts w:ascii="Times New Roman"/>
                            <w:sz w:val="20"/>
                          </w:rPr>
                        </w:pPr>
                      </w:p>
                    </w:tc>
                    <w:tc>
                      <w:tcPr>
                        <w:tcW w:w="2099" w:type="dxa"/>
                        <w:tcBorders>
                          <w:right w:val="dotted" w:sz="6" w:space="0" w:color="000000"/>
                        </w:tcBorders>
                      </w:tcPr>
                      <w:p>
                        <w:pPr>
                          <w:pStyle w:val="TableParagraph"/>
                          <w:spacing w:line="233" w:lineRule="exact"/>
                          <w:ind w:left="59"/>
                          <w:rPr>
                            <w:sz w:val="21"/>
                          </w:rPr>
                        </w:pPr>
                        <w:r>
                          <w:rPr>
                            <w:sz w:val="21"/>
                          </w:rPr>
                          <w:t>驾驶</w:t>
                        </w:r>
                      </w:p>
                    </w:tc>
                  </w:tr>
                  <w:tr>
                    <w:trPr>
                      <w:trHeight w:val="279" w:hRule="atLeast"/>
                    </w:trPr>
                    <w:tc>
                      <w:tcPr>
                        <w:tcW w:w="254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823" w:type="dxa"/>
                      </w:tcPr>
                      <w:p>
                        <w:pPr>
                          <w:pStyle w:val="TableParagraph"/>
                          <w:spacing w:line="256" w:lineRule="exact"/>
                          <w:ind w:left="355"/>
                          <w:rPr>
                            <w:sz w:val="21"/>
                          </w:rPr>
                        </w:pPr>
                        <w:r>
                          <w:rPr>
                            <w:sz w:val="21"/>
                          </w:rPr>
                          <w:t>9.1 周岁</w:t>
                        </w:r>
                      </w:p>
                    </w:tc>
                    <w:tc>
                      <w:tcPr>
                        <w:tcW w:w="702" w:type="dxa"/>
                      </w:tcPr>
                      <w:p>
                        <w:pPr>
                          <w:pStyle w:val="TableParagraph"/>
                          <w:spacing w:line="233" w:lineRule="exact"/>
                          <w:ind w:left="238"/>
                          <w:rPr>
                            <w:sz w:val="21"/>
                          </w:rPr>
                        </w:pPr>
                        <w:r>
                          <w:rPr>
                            <w:sz w:val="21"/>
                          </w:rPr>
                          <w:t>9.18</w:t>
                        </w:r>
                      </w:p>
                    </w:tc>
                    <w:tc>
                      <w:tcPr>
                        <w:tcW w:w="2099" w:type="dxa"/>
                        <w:tcBorders>
                          <w:right w:val="dotted" w:sz="6" w:space="0" w:color="000000"/>
                        </w:tcBorders>
                      </w:tcPr>
                      <w:p>
                        <w:pPr>
                          <w:pStyle w:val="TableParagraph"/>
                          <w:spacing w:line="233" w:lineRule="exact"/>
                          <w:ind w:left="61"/>
                          <w:rPr>
                            <w:sz w:val="21"/>
                          </w:rPr>
                        </w:pPr>
                        <w:r>
                          <w:rPr>
                            <w:sz w:val="21"/>
                          </w:rPr>
                          <w:t>无有效行驶证</w:t>
                        </w:r>
                      </w:p>
                    </w:tc>
                  </w:tr>
                  <w:tr>
                    <w:trPr>
                      <w:trHeight w:val="279" w:hRule="atLeast"/>
                    </w:trPr>
                    <w:tc>
                      <w:tcPr>
                        <w:tcW w:w="2542" w:type="dxa"/>
                        <w:tcBorders>
                          <w:left w:val="dotted" w:sz="6" w:space="0" w:color="000000"/>
                        </w:tcBorders>
                      </w:tcPr>
                      <w:p>
                        <w:pPr>
                          <w:pStyle w:val="TableParagraph"/>
                          <w:spacing w:line="258" w:lineRule="exact"/>
                          <w:ind w:left="504"/>
                          <w:rPr>
                            <w:sz w:val="21"/>
                          </w:rPr>
                        </w:pPr>
                        <w:r>
                          <w:rPr>
                            <w:sz w:val="21"/>
                          </w:rPr>
                          <w:t>3.1 受益人</w:t>
                        </w:r>
                      </w:p>
                    </w:tc>
                    <w:tc>
                      <w:tcPr>
                        <w:tcW w:w="2823" w:type="dxa"/>
                      </w:tcPr>
                      <w:p>
                        <w:pPr>
                          <w:pStyle w:val="TableParagraph"/>
                          <w:spacing w:line="258" w:lineRule="exact"/>
                          <w:ind w:left="355"/>
                          <w:rPr>
                            <w:sz w:val="21"/>
                          </w:rPr>
                        </w:pPr>
                        <w:r>
                          <w:rPr>
                            <w:sz w:val="21"/>
                          </w:rPr>
                          <w:t>9.2 有效身份证件</w:t>
                        </w:r>
                      </w:p>
                    </w:tc>
                    <w:tc>
                      <w:tcPr>
                        <w:tcW w:w="702" w:type="dxa"/>
                      </w:tcPr>
                      <w:p>
                        <w:pPr>
                          <w:pStyle w:val="TableParagraph"/>
                          <w:spacing w:line="234" w:lineRule="exact"/>
                          <w:ind w:left="238"/>
                          <w:rPr>
                            <w:sz w:val="21"/>
                          </w:rPr>
                        </w:pPr>
                        <w:r>
                          <w:rPr>
                            <w:sz w:val="21"/>
                          </w:rPr>
                          <w:t>9.19</w:t>
                        </w:r>
                      </w:p>
                    </w:tc>
                    <w:tc>
                      <w:tcPr>
                        <w:tcW w:w="2099" w:type="dxa"/>
                        <w:tcBorders>
                          <w:right w:val="dotted" w:sz="6" w:space="0" w:color="000000"/>
                        </w:tcBorders>
                      </w:tcPr>
                      <w:p>
                        <w:pPr>
                          <w:pStyle w:val="TableParagraph"/>
                          <w:spacing w:line="234" w:lineRule="exact"/>
                          <w:ind w:left="61"/>
                          <w:rPr>
                            <w:sz w:val="21"/>
                          </w:rPr>
                        </w:pPr>
                        <w:r>
                          <w:rPr>
                            <w:sz w:val="21"/>
                          </w:rPr>
                          <w:t>机动车</w:t>
                        </w:r>
                      </w:p>
                    </w:tc>
                  </w:tr>
                  <w:tr>
                    <w:trPr>
                      <w:trHeight w:val="280" w:hRule="atLeast"/>
                    </w:trPr>
                    <w:tc>
                      <w:tcPr>
                        <w:tcW w:w="2542" w:type="dxa"/>
                        <w:tcBorders>
                          <w:left w:val="dotted" w:sz="6" w:space="0" w:color="000000"/>
                        </w:tcBorders>
                      </w:tcPr>
                      <w:p>
                        <w:pPr>
                          <w:pStyle w:val="TableParagraph"/>
                          <w:spacing w:line="256" w:lineRule="exact"/>
                          <w:ind w:left="504"/>
                          <w:rPr>
                            <w:sz w:val="21"/>
                          </w:rPr>
                        </w:pPr>
                        <w:r>
                          <w:rPr>
                            <w:sz w:val="21"/>
                          </w:rPr>
                          <w:t>3.2 保险金申请</w:t>
                        </w:r>
                      </w:p>
                    </w:tc>
                    <w:tc>
                      <w:tcPr>
                        <w:tcW w:w="2823" w:type="dxa"/>
                      </w:tcPr>
                      <w:p>
                        <w:pPr>
                          <w:pStyle w:val="TableParagraph"/>
                          <w:spacing w:line="259" w:lineRule="exact"/>
                          <w:ind w:left="355"/>
                          <w:rPr>
                            <w:sz w:val="21"/>
                          </w:rPr>
                        </w:pPr>
                        <w:r>
                          <w:rPr>
                            <w:sz w:val="21"/>
                          </w:rPr>
                          <w:t>9.3 重大疾病</w:t>
                        </w:r>
                      </w:p>
                    </w:tc>
                    <w:tc>
                      <w:tcPr>
                        <w:tcW w:w="702" w:type="dxa"/>
                      </w:tcPr>
                      <w:p>
                        <w:pPr>
                          <w:pStyle w:val="TableParagraph"/>
                          <w:spacing w:line="233" w:lineRule="exact"/>
                          <w:ind w:left="238"/>
                          <w:rPr>
                            <w:sz w:val="21"/>
                          </w:rPr>
                        </w:pPr>
                        <w:r>
                          <w:rPr>
                            <w:sz w:val="21"/>
                          </w:rPr>
                          <w:t>9.20</w:t>
                        </w:r>
                      </w:p>
                    </w:tc>
                    <w:tc>
                      <w:tcPr>
                        <w:tcW w:w="2099" w:type="dxa"/>
                        <w:tcBorders>
                          <w:right w:val="dotted" w:sz="6" w:space="0" w:color="000000"/>
                        </w:tcBorders>
                      </w:tcPr>
                      <w:p>
                        <w:pPr>
                          <w:pStyle w:val="TableParagraph"/>
                          <w:spacing w:line="233" w:lineRule="exact"/>
                          <w:ind w:left="78"/>
                          <w:rPr>
                            <w:sz w:val="21"/>
                          </w:rPr>
                        </w:pPr>
                        <w:r>
                          <w:rPr>
                            <w:sz w:val="21"/>
                          </w:rPr>
                          <w:t>感染艾滋病病毒或</w:t>
                        </w:r>
                      </w:p>
                    </w:tc>
                  </w:tr>
                  <w:tr>
                    <w:trPr>
                      <w:trHeight w:val="284" w:hRule="atLeast"/>
                    </w:trPr>
                    <w:tc>
                      <w:tcPr>
                        <w:tcW w:w="2542" w:type="dxa"/>
                        <w:tcBorders>
                          <w:left w:val="dotted" w:sz="6" w:space="0" w:color="000000"/>
                        </w:tcBorders>
                      </w:tcPr>
                      <w:p>
                        <w:pPr>
                          <w:pStyle w:val="TableParagraph"/>
                          <w:spacing w:line="256" w:lineRule="exact"/>
                          <w:ind w:left="504"/>
                          <w:rPr>
                            <w:sz w:val="21"/>
                          </w:rPr>
                        </w:pPr>
                        <w:r>
                          <w:rPr>
                            <w:sz w:val="21"/>
                          </w:rPr>
                          <w:t>3.3 保险金的给付</w:t>
                        </w:r>
                      </w:p>
                    </w:tc>
                    <w:tc>
                      <w:tcPr>
                        <w:tcW w:w="2823" w:type="dxa"/>
                      </w:tcPr>
                      <w:p>
                        <w:pPr>
                          <w:pStyle w:val="TableParagraph"/>
                          <w:spacing w:line="256" w:lineRule="exact"/>
                          <w:ind w:left="355"/>
                          <w:rPr>
                            <w:sz w:val="21"/>
                          </w:rPr>
                        </w:pPr>
                        <w:r>
                          <w:rPr>
                            <w:sz w:val="21"/>
                          </w:rPr>
                          <w:t>9.4 专科医生</w:t>
                        </w:r>
                      </w:p>
                    </w:tc>
                    <w:tc>
                      <w:tcPr>
                        <w:tcW w:w="702" w:type="dxa"/>
                      </w:tcPr>
                      <w:p>
                        <w:pPr>
                          <w:pStyle w:val="TableParagraph"/>
                          <w:rPr>
                            <w:rFonts w:ascii="Times New Roman"/>
                            <w:sz w:val="20"/>
                          </w:rPr>
                        </w:pPr>
                      </w:p>
                    </w:tc>
                    <w:tc>
                      <w:tcPr>
                        <w:tcW w:w="2099" w:type="dxa"/>
                        <w:tcBorders>
                          <w:right w:val="dotted" w:sz="6" w:space="0" w:color="000000"/>
                        </w:tcBorders>
                      </w:tcPr>
                      <w:p>
                        <w:pPr>
                          <w:pStyle w:val="TableParagraph"/>
                          <w:spacing w:line="233" w:lineRule="exact"/>
                          <w:ind w:left="59"/>
                          <w:rPr>
                            <w:sz w:val="21"/>
                          </w:rPr>
                        </w:pPr>
                        <w:r>
                          <w:rPr>
                            <w:sz w:val="21"/>
                          </w:rPr>
                          <w:t>患艾滋病</w:t>
                        </w:r>
                      </w:p>
                    </w:tc>
                  </w:tr>
                  <w:tr>
                    <w:trPr>
                      <w:trHeight w:val="286" w:hRule="atLeast"/>
                    </w:trPr>
                    <w:tc>
                      <w:tcPr>
                        <w:tcW w:w="2542" w:type="dxa"/>
                        <w:tcBorders>
                          <w:left w:val="dotted" w:sz="6" w:space="0" w:color="000000"/>
                        </w:tcBorders>
                      </w:tcPr>
                      <w:p>
                        <w:pPr>
                          <w:pStyle w:val="TableParagraph"/>
                          <w:spacing w:line="253" w:lineRule="exact"/>
                          <w:ind w:left="504"/>
                          <w:rPr>
                            <w:sz w:val="21"/>
                          </w:rPr>
                        </w:pPr>
                        <w:r>
                          <w:rPr>
                            <w:sz w:val="21"/>
                          </w:rPr>
                          <w:t>3.4 诉讼时效</w:t>
                        </w:r>
                      </w:p>
                    </w:tc>
                    <w:tc>
                      <w:tcPr>
                        <w:tcW w:w="2823" w:type="dxa"/>
                      </w:tcPr>
                      <w:p>
                        <w:pPr>
                          <w:pStyle w:val="TableParagraph"/>
                          <w:spacing w:line="253" w:lineRule="exact"/>
                          <w:ind w:left="355"/>
                          <w:rPr>
                            <w:sz w:val="21"/>
                          </w:rPr>
                        </w:pPr>
                        <w:r>
                          <w:rPr>
                            <w:sz w:val="21"/>
                          </w:rPr>
                          <w:t>9.5 肢体机能完全丧失</w:t>
                        </w:r>
                      </w:p>
                    </w:tc>
                    <w:tc>
                      <w:tcPr>
                        <w:tcW w:w="702" w:type="dxa"/>
                      </w:tcPr>
                      <w:p>
                        <w:pPr>
                          <w:pStyle w:val="TableParagraph"/>
                          <w:spacing w:line="239" w:lineRule="exact"/>
                          <w:ind w:left="237"/>
                          <w:rPr>
                            <w:sz w:val="21"/>
                          </w:rPr>
                        </w:pPr>
                        <w:r>
                          <w:rPr>
                            <w:sz w:val="21"/>
                          </w:rPr>
                          <w:t>9.21</w:t>
                        </w:r>
                      </w:p>
                    </w:tc>
                    <w:tc>
                      <w:tcPr>
                        <w:tcW w:w="2099" w:type="dxa"/>
                        <w:tcBorders>
                          <w:right w:val="dotted" w:sz="6" w:space="0" w:color="000000"/>
                        </w:tcBorders>
                      </w:tcPr>
                      <w:p>
                        <w:pPr>
                          <w:pStyle w:val="TableParagraph"/>
                          <w:spacing w:line="239" w:lineRule="exact"/>
                          <w:ind w:left="61"/>
                          <w:rPr>
                            <w:sz w:val="21"/>
                          </w:rPr>
                        </w:pPr>
                        <w:r>
                          <w:rPr>
                            <w:sz w:val="21"/>
                          </w:rPr>
                          <w:t>遗传性疾病</w:t>
                        </w:r>
                      </w:p>
                    </w:tc>
                  </w:tr>
                  <w:tr>
                    <w:trPr>
                      <w:trHeight w:val="288" w:hRule="atLeast"/>
                    </w:trPr>
                    <w:tc>
                      <w:tcPr>
                        <w:tcW w:w="2542" w:type="dxa"/>
                        <w:tcBorders>
                          <w:left w:val="dotted" w:sz="6" w:space="0" w:color="000000"/>
                        </w:tcBorders>
                      </w:tcPr>
                      <w:p>
                        <w:pPr>
                          <w:pStyle w:val="TableParagraph"/>
                          <w:spacing w:line="268" w:lineRule="exact"/>
                          <w:ind w:left="293"/>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823" w:type="dxa"/>
                      </w:tcPr>
                      <w:p>
                        <w:pPr>
                          <w:pStyle w:val="TableParagraph"/>
                          <w:spacing w:line="247" w:lineRule="exact"/>
                          <w:ind w:right="218"/>
                          <w:jc w:val="right"/>
                          <w:rPr>
                            <w:sz w:val="21"/>
                          </w:rPr>
                        </w:pPr>
                        <w:r>
                          <w:rPr>
                            <w:sz w:val="21"/>
                          </w:rPr>
                          <w:t>9.6 语言能力或咀嚼吞</w:t>
                        </w:r>
                      </w:p>
                    </w:tc>
                    <w:tc>
                      <w:tcPr>
                        <w:tcW w:w="702" w:type="dxa"/>
                      </w:tcPr>
                      <w:p>
                        <w:pPr>
                          <w:pStyle w:val="TableParagraph"/>
                          <w:spacing w:line="262" w:lineRule="exact"/>
                          <w:ind w:left="237"/>
                          <w:rPr>
                            <w:sz w:val="21"/>
                          </w:rPr>
                        </w:pPr>
                        <w:r>
                          <w:rPr>
                            <w:sz w:val="21"/>
                          </w:rPr>
                          <w:t>9.22</w:t>
                        </w:r>
                      </w:p>
                    </w:tc>
                    <w:tc>
                      <w:tcPr>
                        <w:tcW w:w="2099" w:type="dxa"/>
                        <w:tcBorders>
                          <w:right w:val="dotted" w:sz="6" w:space="0" w:color="000000"/>
                        </w:tcBorders>
                      </w:tcPr>
                      <w:p>
                        <w:pPr>
                          <w:pStyle w:val="TableParagraph"/>
                          <w:spacing w:line="262" w:lineRule="exact"/>
                          <w:ind w:left="61"/>
                          <w:rPr>
                            <w:sz w:val="21"/>
                          </w:rPr>
                        </w:pPr>
                        <w:r>
                          <w:rPr>
                            <w:sz w:val="21"/>
                          </w:rPr>
                          <w:t>先天性畸形、变形或</w:t>
                        </w:r>
                      </w:p>
                    </w:tc>
                  </w:tr>
                  <w:tr>
                    <w:trPr>
                      <w:trHeight w:val="336" w:hRule="atLeast"/>
                    </w:trPr>
                    <w:tc>
                      <w:tcPr>
                        <w:tcW w:w="2542" w:type="dxa"/>
                        <w:tcBorders>
                          <w:left w:val="dotted" w:sz="6" w:space="0" w:color="000000"/>
                        </w:tcBorders>
                      </w:tcPr>
                      <w:p>
                        <w:pPr>
                          <w:pStyle w:val="TableParagraph"/>
                          <w:spacing w:line="237" w:lineRule="exact"/>
                          <w:ind w:left="504"/>
                          <w:rPr>
                            <w:sz w:val="21"/>
                          </w:rPr>
                        </w:pPr>
                        <w:r>
                          <w:rPr>
                            <w:sz w:val="21"/>
                          </w:rPr>
                          <w:t>4.1 保险费的支付</w:t>
                        </w:r>
                      </w:p>
                    </w:tc>
                    <w:tc>
                      <w:tcPr>
                        <w:tcW w:w="2823" w:type="dxa"/>
                      </w:tcPr>
                      <w:p>
                        <w:pPr>
                          <w:pStyle w:val="TableParagraph"/>
                          <w:spacing w:line="237" w:lineRule="exact"/>
                          <w:ind w:left="775"/>
                          <w:rPr>
                            <w:sz w:val="21"/>
                          </w:rPr>
                        </w:pPr>
                        <w:r>
                          <w:rPr>
                            <w:sz w:val="21"/>
                          </w:rPr>
                          <w:t>咽能力完全丧失</w:t>
                        </w:r>
                      </w:p>
                    </w:tc>
                    <w:tc>
                      <w:tcPr>
                        <w:tcW w:w="702" w:type="dxa"/>
                      </w:tcPr>
                      <w:p>
                        <w:pPr>
                          <w:pStyle w:val="TableParagraph"/>
                          <w:rPr>
                            <w:rFonts w:ascii="Times New Roman"/>
                            <w:sz w:val="20"/>
                          </w:rPr>
                        </w:pPr>
                      </w:p>
                    </w:tc>
                    <w:tc>
                      <w:tcPr>
                        <w:tcW w:w="2099" w:type="dxa"/>
                        <w:tcBorders>
                          <w:right w:val="dotted" w:sz="6" w:space="0" w:color="000000"/>
                        </w:tcBorders>
                      </w:tcPr>
                      <w:p>
                        <w:pPr>
                          <w:pStyle w:val="TableParagraph"/>
                          <w:spacing w:before="11"/>
                          <w:ind w:left="59"/>
                          <w:rPr>
                            <w:sz w:val="21"/>
                          </w:rPr>
                        </w:pPr>
                        <w:r>
                          <w:rPr>
                            <w:sz w:val="21"/>
                          </w:rPr>
                          <w:t>染色体异常</w:t>
                        </w:r>
                      </w:p>
                    </w:tc>
                  </w:tr>
                  <w:tr>
                    <w:trPr>
                      <w:trHeight w:val="496" w:hRule="atLeast"/>
                    </w:trPr>
                    <w:tc>
                      <w:tcPr>
                        <w:tcW w:w="2542" w:type="dxa"/>
                        <w:tcBorders>
                          <w:left w:val="dotted" w:sz="6" w:space="0" w:color="000000"/>
                        </w:tcBorders>
                      </w:tcPr>
                      <w:p>
                        <w:pPr>
                          <w:pStyle w:val="TableParagraph"/>
                          <w:spacing w:line="150" w:lineRule="exact"/>
                          <w:ind w:left="504"/>
                          <w:rPr>
                            <w:sz w:val="21"/>
                          </w:rPr>
                        </w:pPr>
                        <w:r>
                          <w:rPr>
                            <w:sz w:val="21"/>
                          </w:rPr>
                          <w:t>4.2 保险费率调整</w:t>
                        </w:r>
                      </w:p>
                      <w:p>
                        <w:pPr>
                          <w:pStyle w:val="TableParagraph"/>
                          <w:spacing w:line="326" w:lineRule="exact"/>
                          <w:ind w:left="293"/>
                          <w:rPr>
                            <w:rFonts w:ascii="Microsoft JhengHei" w:eastAsia="Microsoft JhengHei" w:hint="eastAsia"/>
                            <w:b/>
                            <w:sz w:val="21"/>
                          </w:rPr>
                        </w:pPr>
                        <w:r>
                          <w:rPr>
                            <w:b/>
                            <w:sz w:val="21"/>
                          </w:rPr>
                          <w:t>5. </w:t>
                        </w:r>
                        <w:r>
                          <w:rPr>
                            <w:rFonts w:ascii="Microsoft JhengHei" w:eastAsia="Microsoft JhengHei" w:hint="eastAsia"/>
                            <w:b/>
                            <w:sz w:val="21"/>
                          </w:rPr>
                          <w:t>现金价值权益</w:t>
                        </w:r>
                      </w:p>
                    </w:tc>
                    <w:tc>
                      <w:tcPr>
                        <w:tcW w:w="2823" w:type="dxa"/>
                      </w:tcPr>
                      <w:p>
                        <w:pPr>
                          <w:pStyle w:val="TableParagraph"/>
                          <w:spacing w:line="182" w:lineRule="exact"/>
                          <w:ind w:left="355"/>
                          <w:rPr>
                            <w:sz w:val="21"/>
                          </w:rPr>
                        </w:pPr>
                        <w:r>
                          <w:rPr>
                            <w:sz w:val="21"/>
                          </w:rPr>
                          <w:t>9.7 六项基本日常生活</w:t>
                        </w:r>
                      </w:p>
                      <w:p>
                        <w:pPr>
                          <w:pStyle w:val="TableParagraph"/>
                          <w:spacing w:before="6"/>
                          <w:ind w:left="775"/>
                          <w:rPr>
                            <w:sz w:val="21"/>
                          </w:rPr>
                        </w:pPr>
                        <w:r>
                          <w:rPr>
                            <w:sz w:val="21"/>
                          </w:rPr>
                          <w:t>活动</w:t>
                        </w:r>
                      </w:p>
                    </w:tc>
                    <w:tc>
                      <w:tcPr>
                        <w:tcW w:w="702" w:type="dxa"/>
                      </w:tcPr>
                      <w:p>
                        <w:pPr>
                          <w:pStyle w:val="TableParagraph"/>
                          <w:spacing w:line="261" w:lineRule="exact"/>
                          <w:ind w:left="237"/>
                          <w:rPr>
                            <w:sz w:val="21"/>
                          </w:rPr>
                        </w:pPr>
                        <w:r>
                          <w:rPr>
                            <w:sz w:val="21"/>
                          </w:rPr>
                          <w:t>9.23</w:t>
                        </w:r>
                      </w:p>
                    </w:tc>
                    <w:tc>
                      <w:tcPr>
                        <w:tcW w:w="2099" w:type="dxa"/>
                        <w:tcBorders>
                          <w:right w:val="dotted" w:sz="6" w:space="0" w:color="000000"/>
                        </w:tcBorders>
                      </w:tcPr>
                      <w:p>
                        <w:pPr>
                          <w:pStyle w:val="TableParagraph"/>
                          <w:spacing w:line="261" w:lineRule="exact"/>
                          <w:ind w:left="61"/>
                          <w:rPr>
                            <w:sz w:val="21"/>
                          </w:rPr>
                        </w:pPr>
                        <w:r>
                          <w:rPr>
                            <w:sz w:val="21"/>
                          </w:rPr>
                          <w:t>保险费约定支付日</w:t>
                        </w:r>
                      </w:p>
                    </w:tc>
                  </w:tr>
                  <w:tr>
                    <w:trPr>
                      <w:trHeight w:val="616" w:hRule="atLeast"/>
                    </w:trPr>
                    <w:tc>
                      <w:tcPr>
                        <w:tcW w:w="2542" w:type="dxa"/>
                        <w:tcBorders>
                          <w:left w:val="dotted" w:sz="6" w:space="0" w:color="000000"/>
                          <w:bottom w:val="dotted" w:sz="6" w:space="0" w:color="000000"/>
                        </w:tcBorders>
                      </w:tcPr>
                      <w:p>
                        <w:pPr>
                          <w:pStyle w:val="TableParagraph"/>
                          <w:spacing w:line="244" w:lineRule="exact"/>
                          <w:ind w:left="504"/>
                          <w:rPr>
                            <w:sz w:val="21"/>
                          </w:rPr>
                        </w:pPr>
                        <w:r>
                          <w:rPr>
                            <w:sz w:val="21"/>
                          </w:rPr>
                          <w:t>5.1 现金价值</w:t>
                        </w:r>
                      </w:p>
                    </w:tc>
                    <w:tc>
                      <w:tcPr>
                        <w:tcW w:w="2823" w:type="dxa"/>
                        <w:tcBorders>
                          <w:bottom w:val="dotted" w:sz="6" w:space="0" w:color="000000"/>
                        </w:tcBorders>
                      </w:tcPr>
                      <w:p>
                        <w:pPr>
                          <w:pStyle w:val="TableParagraph"/>
                          <w:spacing w:line="245" w:lineRule="exact"/>
                          <w:ind w:left="356"/>
                          <w:rPr>
                            <w:sz w:val="21"/>
                          </w:rPr>
                        </w:pPr>
                        <w:r>
                          <w:rPr>
                            <w:sz w:val="21"/>
                          </w:rPr>
                          <w:t>9.8 永久不可逆</w:t>
                        </w:r>
                      </w:p>
                    </w:tc>
                    <w:tc>
                      <w:tcPr>
                        <w:tcW w:w="702" w:type="dxa"/>
                        <w:tcBorders>
                          <w:bottom w:val="dotted" w:sz="6" w:space="0" w:color="000000"/>
                        </w:tcBorders>
                      </w:tcPr>
                      <w:p>
                        <w:pPr>
                          <w:pStyle w:val="TableParagraph"/>
                          <w:rPr>
                            <w:rFonts w:ascii="Times New Roman"/>
                            <w:sz w:val="20"/>
                          </w:rPr>
                        </w:pPr>
                      </w:p>
                    </w:tc>
                    <w:tc>
                      <w:tcPr>
                        <w:tcW w:w="2099" w:type="dxa"/>
                        <w:tcBorders>
                          <w:bottom w:val="dotted" w:sz="6" w:space="0" w:color="000000"/>
                          <w:right w:val="dotted" w:sz="6" w:space="0" w:color="000000"/>
                        </w:tcBorders>
                      </w:tcPr>
                      <w:p>
                        <w:pPr>
                          <w:pStyle w:val="TableParagraph"/>
                          <w:rPr>
                            <w:rFonts w:ascii="Times New Roman"/>
                            <w:sz w:val="20"/>
                          </w:rPr>
                        </w:pPr>
                      </w:p>
                    </w:tc>
                  </w:tr>
                </w:tbl>
                <w:p>
                  <w:pPr>
                    <w:pStyle w:val="BodyText"/>
                  </w:pPr>
                </w:p>
              </w:txbxContent>
            </v:textbox>
            <w10:wrap type="none"/>
          </v:shape>
        </w:pict>
      </w:r>
      <w:r>
        <w:rPr>
          <w:rFonts w:ascii="Arial" w:hAnsi="Arial" w:eastAsia="Arial"/>
          <w:b/>
          <w:w w:val="110"/>
          <w:position w:val="-11"/>
          <w:sz w:val="52"/>
        </w:rPr>
        <w:t></w:t>
        <w:tab/>
      </w:r>
      <w:r>
        <w:rPr>
          <w:b/>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spacing w:line="316" w:lineRule="auto" w:before="380"/>
        <w:ind w:left="8477" w:right="70" w:firstLine="0"/>
        <w:jc w:val="left"/>
        <w:rPr>
          <w:rFonts w:ascii="Times New Roman" w:eastAsia="Times New Roman"/>
          <w:sz w:val="18"/>
        </w:rPr>
      </w:pPr>
      <w:r>
        <w:rPr>
          <w:sz w:val="18"/>
        </w:rPr>
        <w:t>险种简称：康佑重疾险种代码：</w:t>
      </w:r>
      <w:r>
        <w:rPr>
          <w:rFonts w:ascii="Times New Roman" w:eastAsia="Times New Roman"/>
          <w:sz w:val="18"/>
        </w:rPr>
        <w:t>3002</w:t>
      </w:r>
    </w:p>
    <w:p>
      <w:pPr>
        <w:spacing w:after="0" w:line="316" w:lineRule="auto"/>
        <w:jc w:val="left"/>
        <w:rPr>
          <w:rFonts w:ascii="Times New Roman" w:eastAsia="Times New Roman"/>
          <w:sz w:val="18"/>
        </w:rPr>
        <w:sectPr>
          <w:type w:val="continuous"/>
          <w:pgSz w:w="11910" w:h="16840"/>
          <w:pgMar w:top="560" w:bottom="280" w:left="940" w:right="800"/>
        </w:sectPr>
      </w:pPr>
    </w:p>
    <w:p>
      <w:pPr>
        <w:pStyle w:val="BodyText"/>
        <w:ind w:left="403"/>
        <w:rPr>
          <w:rFonts w:ascii="Times New Roman"/>
          <w:sz w:val="20"/>
        </w:rPr>
      </w:pPr>
      <w:r>
        <w:rPr/>
        <w:pict>
          <v:shape style="position:absolute;margin-left:199.560013pt;margin-top:732.47998pt;width:344.65pt;height:44.9pt;mso-position-horizontal-relative:page;mso-position-vertical-relative:page;z-index:-36112" coordorigin="3991,14650" coordsize="6893,898" path="m10884,15274l3991,15274,3991,15547,10884,15547,10884,15274m10884,14962l3991,14962,3991,15235,10884,15235,10884,14962m10884,14650l3991,14650,3991,14923,10884,14923,10884,14650e" filled="true" fillcolor="#dadada" stroked="false">
            <v:path arrowok="t"/>
            <v:fill type="solid"/>
            <w10:wrap type="none"/>
          </v:shape>
        </w:pict>
      </w:r>
      <w:r>
        <w:rPr>
          <w:rFonts w:ascii="Times New Roman"/>
          <w:sz w:val="20"/>
        </w:rPr>
        <w:drawing>
          <wp:inline distT="0" distB="0" distL="0" distR="0">
            <wp:extent cx="2052281"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1" cy="34204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3"/>
        <w:rPr>
          <w:rFonts w:ascii="Times New Roman"/>
          <w:sz w:val="19"/>
        </w:rPr>
      </w:pPr>
      <w:r>
        <w:rPr/>
        <w:drawing>
          <wp:anchor distT="0" distB="0" distL="0" distR="0" allowOverlap="1" layoutInCell="1" locked="0" behindDoc="0" simplePos="0" relativeHeight="1072">
            <wp:simplePos x="0" y="0"/>
            <wp:positionH relativeFrom="page">
              <wp:posOffset>1438528</wp:posOffset>
            </wp:positionH>
            <wp:positionV relativeFrom="paragraph">
              <wp:posOffset>165772</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rPr>
          <w:rFonts w:ascii="Times New Roman"/>
          <w:sz w:val="11"/>
        </w:rPr>
      </w:pPr>
    </w:p>
    <w:p>
      <w:pPr>
        <w:pStyle w:val="Heading1"/>
        <w:spacing w:line="505" w:lineRule="exact"/>
        <w:ind w:left="2317" w:right="2142"/>
      </w:pPr>
      <w:r>
        <w:rPr/>
        <w:t>平安附加康佑英才重大疾病保险条款</w:t>
      </w:r>
    </w:p>
    <w:p>
      <w:pPr>
        <w:pStyle w:val="BodyText"/>
        <w:spacing w:before="107"/>
        <w:ind w:left="2322" w:right="2142"/>
        <w:jc w:val="center"/>
      </w:pPr>
      <w:r>
        <w:rPr/>
        <w:t>（平保寿发［2013］10 号，2013 年 1 月呈报中国保监会备案）</w:t>
      </w:r>
    </w:p>
    <w:p>
      <w:pPr>
        <w:pStyle w:val="BodyText"/>
        <w:rPr>
          <w:sz w:val="20"/>
        </w:rPr>
      </w:pPr>
    </w:p>
    <w:p>
      <w:pPr>
        <w:pStyle w:val="BodyText"/>
        <w:rPr>
          <w:sz w:val="20"/>
        </w:rPr>
      </w:pPr>
    </w:p>
    <w:p>
      <w:pPr>
        <w:pStyle w:val="BodyText"/>
        <w:spacing w:before="137"/>
        <w:ind w:left="400"/>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329"/>
        <w:gridCol w:w="7000"/>
      </w:tblGrid>
      <w:tr>
        <w:trPr>
          <w:trHeight w:val="522" w:hRule="atLeast"/>
        </w:trPr>
        <w:tc>
          <w:tcPr>
            <w:tcW w:w="925"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329" w:type="dxa"/>
            <w:gridSpan w:val="2"/>
            <w:tcBorders>
              <w:bottom w:val="single" w:sz="8" w:space="0" w:color="000000"/>
            </w:tcBorders>
          </w:tcPr>
          <w:p>
            <w:pPr>
              <w:pStyle w:val="TableParagraph"/>
              <w:spacing w:before="14"/>
              <w:ind w:left="459"/>
              <w:rPr>
                <w:b/>
                <w:sz w:val="24"/>
              </w:rPr>
            </w:pPr>
            <w:r>
              <w:rPr>
                <w:b/>
                <w:w w:val="95"/>
                <w:sz w:val="24"/>
              </w:rPr>
              <w:t>您与我们的合同</w:t>
            </w:r>
          </w:p>
        </w:tc>
      </w:tr>
      <w:tr>
        <w:trPr>
          <w:trHeight w:val="1030"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1.1</w:t>
            </w:r>
          </w:p>
        </w:tc>
        <w:tc>
          <w:tcPr>
            <w:tcW w:w="2329" w:type="dxa"/>
            <w:tcBorders>
              <w:top w:val="single" w:sz="8" w:space="0" w:color="000000"/>
            </w:tcBorders>
          </w:tcPr>
          <w:p>
            <w:pPr>
              <w:pStyle w:val="TableParagraph"/>
              <w:spacing w:before="2"/>
              <w:rPr>
                <w:sz w:val="19"/>
              </w:rPr>
            </w:pPr>
          </w:p>
          <w:p>
            <w:pPr>
              <w:pStyle w:val="TableParagraph"/>
              <w:ind w:left="459"/>
              <w:rPr>
                <w:b/>
                <w:sz w:val="21"/>
              </w:rPr>
            </w:pPr>
            <w:r>
              <w:rPr>
                <w:b/>
                <w:sz w:val="21"/>
              </w:rPr>
              <w:t>合同订立</w:t>
            </w:r>
          </w:p>
        </w:tc>
        <w:tc>
          <w:tcPr>
            <w:tcW w:w="7000" w:type="dxa"/>
            <w:tcBorders>
              <w:top w:val="single" w:sz="8" w:space="0" w:color="000000"/>
            </w:tcBorders>
          </w:tcPr>
          <w:p>
            <w:pPr>
              <w:pStyle w:val="TableParagraph"/>
              <w:spacing w:before="2"/>
              <w:rPr>
                <w:sz w:val="19"/>
              </w:rPr>
            </w:pPr>
          </w:p>
          <w:p>
            <w:pPr>
              <w:pStyle w:val="TableParagraph"/>
              <w:spacing w:line="273" w:lineRule="auto"/>
              <w:ind w:right="100"/>
              <w:rPr>
                <w:sz w:val="21"/>
              </w:rPr>
            </w:pPr>
            <w:r>
              <w:rPr>
                <w:spacing w:val="-3"/>
                <w:w w:val="100"/>
                <w:sz w:val="21"/>
              </w:rPr>
              <w:t>“平安附加康佑英才重大疾病保险合同</w:t>
            </w:r>
            <w:r>
              <w:rPr>
                <w:spacing w:val="-121"/>
                <w:w w:val="100"/>
                <w:sz w:val="21"/>
              </w:rPr>
              <w:t>”</w:t>
            </w:r>
            <w:r>
              <w:rPr>
                <w:w w:val="100"/>
                <w:sz w:val="21"/>
              </w:rPr>
              <w:t>（</w:t>
            </w:r>
            <w:r>
              <w:rPr>
                <w:spacing w:val="-14"/>
                <w:w w:val="100"/>
                <w:sz w:val="21"/>
              </w:rPr>
              <w:t>以下简称“本附加险合同”</w:t>
            </w:r>
            <w:r>
              <w:rPr>
                <w:spacing w:val="-15"/>
                <w:w w:val="100"/>
                <w:sz w:val="21"/>
              </w:rPr>
              <w:t>）</w:t>
            </w:r>
            <w:r>
              <w:rPr>
                <w:w w:val="100"/>
                <w:sz w:val="21"/>
              </w:rPr>
              <w:t>由主</w:t>
            </w:r>
            <w:r>
              <w:rPr>
                <w:spacing w:val="-1"/>
                <w:w w:val="100"/>
                <w:sz w:val="21"/>
              </w:rPr>
              <w:t>保险合同</w:t>
            </w:r>
            <w:r>
              <w:rPr>
                <w:spacing w:val="-3"/>
                <w:w w:val="100"/>
                <w:sz w:val="21"/>
              </w:rPr>
              <w:t>（</w:t>
            </w:r>
            <w:r>
              <w:rPr>
                <w:spacing w:val="-14"/>
                <w:w w:val="100"/>
                <w:sz w:val="21"/>
              </w:rPr>
              <w:t>以下简称“主险合同”</w:t>
            </w:r>
            <w:r>
              <w:rPr>
                <w:spacing w:val="-3"/>
                <w:w w:val="100"/>
                <w:sz w:val="21"/>
              </w:rPr>
              <w:t>）投保人提出申请，经我们同意而订立。</w:t>
            </w:r>
          </w:p>
        </w:tc>
      </w:tr>
      <w:tr>
        <w:trPr>
          <w:trHeight w:val="1220" w:hRule="atLeast"/>
        </w:trPr>
        <w:tc>
          <w:tcPr>
            <w:tcW w:w="925" w:type="dxa"/>
          </w:tcPr>
          <w:p>
            <w:pPr>
              <w:pStyle w:val="TableParagraph"/>
              <w:spacing w:before="128"/>
              <w:ind w:left="107"/>
              <w:rPr>
                <w:b/>
                <w:sz w:val="21"/>
              </w:rPr>
            </w:pPr>
            <w:r>
              <w:rPr>
                <w:b/>
                <w:sz w:val="21"/>
              </w:rPr>
              <w:t>1.2</w:t>
            </w:r>
          </w:p>
        </w:tc>
        <w:tc>
          <w:tcPr>
            <w:tcW w:w="2329" w:type="dxa"/>
          </w:tcPr>
          <w:p>
            <w:pPr>
              <w:pStyle w:val="TableParagraph"/>
              <w:spacing w:before="128"/>
              <w:ind w:left="459"/>
              <w:rPr>
                <w:b/>
                <w:sz w:val="21"/>
              </w:rPr>
            </w:pPr>
            <w:r>
              <w:rPr>
                <w:b/>
                <w:sz w:val="21"/>
              </w:rPr>
              <w:t>合同生效</w:t>
            </w:r>
          </w:p>
        </w:tc>
        <w:tc>
          <w:tcPr>
            <w:tcW w:w="7000" w:type="dxa"/>
          </w:tcPr>
          <w:p>
            <w:pPr>
              <w:pStyle w:val="TableParagraph"/>
              <w:spacing w:line="273" w:lineRule="auto" w:before="128"/>
              <w:ind w:right="3212" w:hanging="1"/>
              <w:rPr>
                <w:sz w:val="21"/>
              </w:rPr>
            </w:pPr>
            <w:r>
              <w:rPr>
                <w:spacing w:val="-3"/>
                <w:sz w:val="21"/>
              </w:rPr>
              <w:t>本附加险合同须与主险合同同时投保。 本附加险合同的生效日与主险合同相同。</w:t>
            </w:r>
          </w:p>
          <w:p>
            <w:pPr>
              <w:pStyle w:val="TableParagraph"/>
              <w:spacing w:before="7"/>
              <w:rPr>
                <w:sz w:val="21"/>
              </w:rPr>
            </w:pPr>
            <w:r>
              <w:rPr>
                <w:sz w:val="21"/>
              </w:rPr>
              <w:t>本附加险合同的保单周年日同主险合同的保单周年日。</w:t>
            </w:r>
          </w:p>
        </w:tc>
      </w:tr>
      <w:tr>
        <w:trPr>
          <w:trHeight w:val="1219" w:hRule="atLeast"/>
        </w:trPr>
        <w:tc>
          <w:tcPr>
            <w:tcW w:w="925" w:type="dxa"/>
          </w:tcPr>
          <w:p>
            <w:pPr>
              <w:pStyle w:val="TableParagraph"/>
              <w:spacing w:before="129"/>
              <w:ind w:left="107"/>
              <w:rPr>
                <w:b/>
                <w:sz w:val="21"/>
              </w:rPr>
            </w:pPr>
            <w:r>
              <w:rPr>
                <w:b/>
                <w:sz w:val="21"/>
              </w:rPr>
              <w:t>1.3</w:t>
            </w:r>
          </w:p>
        </w:tc>
        <w:tc>
          <w:tcPr>
            <w:tcW w:w="2329" w:type="dxa"/>
          </w:tcPr>
          <w:p>
            <w:pPr>
              <w:pStyle w:val="TableParagraph"/>
              <w:spacing w:before="129"/>
              <w:ind w:left="459"/>
              <w:rPr>
                <w:b/>
                <w:sz w:val="21"/>
              </w:rPr>
            </w:pPr>
            <w:r>
              <w:rPr>
                <w:b/>
                <w:sz w:val="21"/>
              </w:rPr>
              <w:t>投保年龄</w:t>
            </w:r>
          </w:p>
        </w:tc>
        <w:tc>
          <w:tcPr>
            <w:tcW w:w="7000" w:type="dxa"/>
          </w:tcPr>
          <w:p>
            <w:pPr>
              <w:pStyle w:val="TableParagraph"/>
              <w:spacing w:line="273" w:lineRule="auto" w:before="129"/>
              <w:ind w:right="99" w:hanging="1"/>
              <w:rPr>
                <w:sz w:val="21"/>
              </w:rPr>
            </w:pPr>
            <w:r>
              <w:rPr>
                <w:spacing w:val="-3"/>
                <w:sz w:val="21"/>
              </w:rPr>
              <w:t>指投保时被保险人的年龄，投保年龄以</w:t>
            </w:r>
            <w:r>
              <w:rPr>
                <w:rFonts w:ascii="黑体" w:eastAsia="黑体" w:hint="eastAsia"/>
                <w:b/>
                <w:sz w:val="21"/>
              </w:rPr>
              <w:t>周岁</w:t>
            </w:r>
            <w:r>
              <w:rPr>
                <w:spacing w:val="-3"/>
                <w:sz w:val="21"/>
              </w:rPr>
              <w:t>（</w:t>
            </w:r>
            <w:r>
              <w:rPr>
                <w:spacing w:val="-5"/>
                <w:sz w:val="21"/>
              </w:rPr>
              <w:t>见 </w:t>
            </w:r>
            <w:r>
              <w:rPr>
                <w:sz w:val="21"/>
              </w:rPr>
              <w:t>9.1）</w:t>
            </w:r>
            <w:r>
              <w:rPr>
                <w:spacing w:val="-3"/>
                <w:sz w:val="21"/>
              </w:rPr>
              <w:t>计算。本附加险合同</w:t>
            </w:r>
            <w:r>
              <w:rPr>
                <w:spacing w:val="-7"/>
                <w:sz w:val="21"/>
              </w:rPr>
              <w:t>接受的投保年龄为 </w:t>
            </w:r>
            <w:r>
              <w:rPr>
                <w:sz w:val="21"/>
              </w:rPr>
              <w:t>0</w:t>
            </w:r>
            <w:r>
              <w:rPr>
                <w:spacing w:val="-17"/>
                <w:sz w:val="21"/>
              </w:rPr>
              <w:t> 周岁至 </w:t>
            </w:r>
            <w:r>
              <w:rPr>
                <w:sz w:val="21"/>
              </w:rPr>
              <w:t>13</w:t>
            </w:r>
            <w:r>
              <w:rPr>
                <w:spacing w:val="-11"/>
                <w:sz w:val="21"/>
              </w:rPr>
              <w:t> 周岁，投保时被保险人为 </w:t>
            </w:r>
            <w:r>
              <w:rPr>
                <w:sz w:val="21"/>
              </w:rPr>
              <w:t>0</w:t>
            </w:r>
            <w:r>
              <w:rPr>
                <w:spacing w:val="-7"/>
                <w:sz w:val="21"/>
              </w:rPr>
              <w:t> 周岁的，应当为</w:t>
            </w:r>
          </w:p>
          <w:p>
            <w:pPr>
              <w:pStyle w:val="TableParagraph"/>
              <w:spacing w:before="7"/>
              <w:rPr>
                <w:sz w:val="21"/>
              </w:rPr>
            </w:pPr>
            <w:r>
              <w:rPr>
                <w:sz w:val="21"/>
              </w:rPr>
              <w:t>出生满 28 日且已健康出院的婴儿。</w:t>
            </w:r>
          </w:p>
        </w:tc>
      </w:tr>
      <w:tr>
        <w:trPr>
          <w:trHeight w:val="2466" w:hRule="atLeast"/>
        </w:trPr>
        <w:tc>
          <w:tcPr>
            <w:tcW w:w="925" w:type="dxa"/>
          </w:tcPr>
          <w:p>
            <w:pPr>
              <w:pStyle w:val="TableParagraph"/>
              <w:spacing w:before="127"/>
              <w:ind w:left="107"/>
              <w:rPr>
                <w:b/>
                <w:sz w:val="21"/>
              </w:rPr>
            </w:pPr>
            <w:r>
              <w:rPr>
                <w:b/>
                <w:sz w:val="21"/>
              </w:rPr>
              <w:t>1.4</w:t>
            </w:r>
          </w:p>
        </w:tc>
        <w:tc>
          <w:tcPr>
            <w:tcW w:w="2329" w:type="dxa"/>
          </w:tcPr>
          <w:p>
            <w:pPr>
              <w:pStyle w:val="TableParagraph"/>
              <w:spacing w:before="127"/>
              <w:ind w:left="459"/>
              <w:rPr>
                <w:b/>
                <w:sz w:val="21"/>
              </w:rPr>
            </w:pPr>
            <w:r>
              <w:rPr>
                <w:b/>
                <w:sz w:val="21"/>
              </w:rPr>
              <w:t>犹豫期</w:t>
            </w:r>
          </w:p>
        </w:tc>
        <w:tc>
          <w:tcPr>
            <w:tcW w:w="7000" w:type="dxa"/>
          </w:tcPr>
          <w:p>
            <w:pPr>
              <w:pStyle w:val="TableParagraph"/>
              <w:spacing w:line="273" w:lineRule="auto" w:before="127"/>
              <w:ind w:right="99"/>
              <w:jc w:val="both"/>
              <w:rPr>
                <w:sz w:val="21"/>
              </w:rPr>
            </w:pPr>
            <w:r>
              <w:rPr>
                <w:spacing w:val="-3"/>
                <w:sz w:val="21"/>
              </w:rPr>
              <w:t>自您签收本附加险合同次日起，有 </w:t>
            </w:r>
            <w:r>
              <w:rPr>
                <w:sz w:val="21"/>
              </w:rPr>
              <w:t>10</w:t>
            </w:r>
            <w:r>
              <w:rPr>
                <w:spacing w:val="-3"/>
                <w:sz w:val="21"/>
              </w:rPr>
              <w:t> 日的犹豫期。在此期间请您认真审视</w:t>
            </w:r>
            <w:r>
              <w:rPr>
                <w:spacing w:val="-7"/>
                <w:sz w:val="21"/>
              </w:rPr>
              <w:t>本附加险合同，如果您认为本附加险合同与您的需求不相符，您可以在此期</w:t>
            </w:r>
            <w:r>
              <w:rPr>
                <w:spacing w:val="-5"/>
                <w:sz w:val="21"/>
              </w:rPr>
              <w:t>间提出解除本附加险合同，我们将无息退还您所支付的全部保险费。</w:t>
            </w:r>
          </w:p>
          <w:p>
            <w:pPr>
              <w:pStyle w:val="TableParagraph"/>
              <w:spacing w:line="273" w:lineRule="auto" w:before="8"/>
              <w:ind w:right="99"/>
              <w:jc w:val="both"/>
              <w:rPr>
                <w:sz w:val="21"/>
              </w:rPr>
            </w:pPr>
            <w:r>
              <w:rPr>
                <w:spacing w:val="-6"/>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5"/>
                <w:w w:val="100"/>
                <w:sz w:val="21"/>
              </w:rPr>
              <w:t>证件</w:t>
            </w:r>
            <w:r>
              <w:rPr>
                <w:spacing w:val="-3"/>
                <w:w w:val="100"/>
                <w:sz w:val="21"/>
              </w:rPr>
              <w:t>（</w:t>
            </w:r>
            <w:r>
              <w:rPr>
                <w:w w:val="100"/>
                <w:sz w:val="21"/>
              </w:rPr>
              <w:t>见</w:t>
            </w:r>
            <w:r>
              <w:rPr>
                <w:spacing w:val="-53"/>
                <w:sz w:val="21"/>
              </w:rPr>
              <w:t> </w:t>
            </w:r>
            <w:r>
              <w:rPr>
                <w:spacing w:val="-3"/>
                <w:w w:val="100"/>
                <w:sz w:val="21"/>
              </w:rPr>
              <w:t>9</w:t>
            </w:r>
            <w:r>
              <w:rPr>
                <w:w w:val="100"/>
                <w:sz w:val="21"/>
              </w:rPr>
              <w:t>.</w:t>
            </w:r>
            <w:r>
              <w:rPr>
                <w:spacing w:val="-1"/>
                <w:w w:val="100"/>
                <w:sz w:val="21"/>
              </w:rPr>
              <w:t>2</w:t>
            </w:r>
            <w:r>
              <w:rPr>
                <w:spacing w:val="-106"/>
                <w:w w:val="100"/>
                <w:sz w:val="21"/>
              </w:rPr>
              <w:t>）</w:t>
            </w:r>
            <w:r>
              <w:rPr>
                <w:spacing w:val="-9"/>
                <w:w w:val="100"/>
                <w:sz w:val="21"/>
              </w:rPr>
              <w:t>。自我们收到您解除合同的书面申请时起，本附加险合同即被</w:t>
            </w:r>
            <w:r>
              <w:rPr>
                <w:spacing w:val="-5"/>
                <w:sz w:val="21"/>
              </w:rPr>
              <w:t>解除，合同解除前发生的保险事故我们不承担保险责任。</w:t>
            </w:r>
          </w:p>
          <w:p>
            <w:pPr>
              <w:pStyle w:val="TableParagraph"/>
              <w:spacing w:before="8"/>
              <w:jc w:val="both"/>
              <w:rPr>
                <w:sz w:val="21"/>
              </w:rPr>
            </w:pPr>
            <w:r>
              <w:rPr>
                <w:sz w:val="21"/>
              </w:rPr>
              <w:t>若您申请解除本附加险合同，主险合同必须与本附加险合同同时申请解除。</w:t>
            </w:r>
          </w:p>
        </w:tc>
      </w:tr>
      <w:tr>
        <w:trPr>
          <w:trHeight w:val="960" w:hRule="atLeast"/>
        </w:trPr>
        <w:tc>
          <w:tcPr>
            <w:tcW w:w="925" w:type="dxa"/>
          </w:tcPr>
          <w:p>
            <w:pPr>
              <w:pStyle w:val="TableParagraph"/>
              <w:spacing w:before="128"/>
              <w:ind w:left="107"/>
              <w:rPr>
                <w:b/>
                <w:sz w:val="21"/>
              </w:rPr>
            </w:pPr>
            <w:r>
              <w:rPr>
                <w:b/>
                <w:sz w:val="21"/>
              </w:rPr>
              <w:t>1.5</w:t>
            </w:r>
          </w:p>
        </w:tc>
        <w:tc>
          <w:tcPr>
            <w:tcW w:w="2329" w:type="dxa"/>
          </w:tcPr>
          <w:p>
            <w:pPr>
              <w:pStyle w:val="TableParagraph"/>
              <w:spacing w:before="128"/>
              <w:ind w:left="459"/>
              <w:rPr>
                <w:b/>
                <w:sz w:val="21"/>
              </w:rPr>
            </w:pPr>
            <w:r>
              <w:rPr>
                <w:b/>
                <w:sz w:val="21"/>
              </w:rPr>
              <w:t>保险期间</w:t>
            </w:r>
          </w:p>
        </w:tc>
        <w:tc>
          <w:tcPr>
            <w:tcW w:w="7000" w:type="dxa"/>
          </w:tcPr>
          <w:p>
            <w:pPr>
              <w:pStyle w:val="TableParagraph"/>
              <w:spacing w:line="273" w:lineRule="auto" w:before="128"/>
              <w:ind w:right="46" w:hanging="1"/>
              <w:rPr>
                <w:sz w:val="21"/>
              </w:rPr>
            </w:pPr>
            <w:r>
              <w:rPr>
                <w:sz w:val="21"/>
              </w:rPr>
              <w:t>本附加险合同的保险期间自本附加险合同生效日起至被保险人年满 60 周岁的保单周年日零时止。</w:t>
            </w:r>
          </w:p>
        </w:tc>
      </w:tr>
      <w:tr>
        <w:trPr>
          <w:trHeight w:val="768" w:hRule="atLeast"/>
        </w:trPr>
        <w:tc>
          <w:tcPr>
            <w:tcW w:w="92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9329" w:type="dxa"/>
            <w:gridSpan w:val="2"/>
            <w:tcBorders>
              <w:bottom w:val="single" w:sz="8" w:space="0" w:color="000000"/>
            </w:tcBorders>
          </w:tcPr>
          <w:p>
            <w:pPr>
              <w:pStyle w:val="TableParagraph"/>
              <w:spacing w:before="11"/>
              <w:rPr>
                <w:sz w:val="19"/>
              </w:rPr>
            </w:pPr>
          </w:p>
          <w:p>
            <w:pPr>
              <w:pStyle w:val="TableParagraph"/>
              <w:ind w:left="459"/>
              <w:rPr>
                <w:b/>
                <w:sz w:val="24"/>
              </w:rPr>
            </w:pPr>
            <w:r>
              <w:rPr>
                <w:b/>
                <w:w w:val="95"/>
                <w:sz w:val="24"/>
              </w:rPr>
              <w:t>我们提供的保障</w:t>
            </w:r>
          </w:p>
        </w:tc>
      </w:tr>
      <w:tr>
        <w:trPr>
          <w:trHeight w:val="1030"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2.1</w:t>
            </w:r>
          </w:p>
        </w:tc>
        <w:tc>
          <w:tcPr>
            <w:tcW w:w="2329" w:type="dxa"/>
            <w:tcBorders>
              <w:top w:val="single" w:sz="8" w:space="0" w:color="000000"/>
            </w:tcBorders>
          </w:tcPr>
          <w:p>
            <w:pPr>
              <w:pStyle w:val="TableParagraph"/>
              <w:spacing w:before="2"/>
              <w:rPr>
                <w:sz w:val="19"/>
              </w:rPr>
            </w:pPr>
          </w:p>
          <w:p>
            <w:pPr>
              <w:pStyle w:val="TableParagraph"/>
              <w:ind w:left="459"/>
              <w:rPr>
                <w:b/>
                <w:sz w:val="21"/>
              </w:rPr>
            </w:pPr>
            <w:r>
              <w:rPr>
                <w:b/>
                <w:sz w:val="21"/>
              </w:rPr>
              <w:t>保险金额</w:t>
            </w:r>
          </w:p>
        </w:tc>
        <w:tc>
          <w:tcPr>
            <w:tcW w:w="7000" w:type="dxa"/>
            <w:tcBorders>
              <w:top w:val="single" w:sz="8" w:space="0" w:color="000000"/>
            </w:tcBorders>
          </w:tcPr>
          <w:p>
            <w:pPr>
              <w:pStyle w:val="TableParagraph"/>
              <w:spacing w:before="2"/>
              <w:rPr>
                <w:sz w:val="19"/>
              </w:rPr>
            </w:pPr>
          </w:p>
          <w:p>
            <w:pPr>
              <w:pStyle w:val="TableParagraph"/>
              <w:spacing w:line="273" w:lineRule="auto"/>
              <w:ind w:right="64"/>
              <w:rPr>
                <w:sz w:val="21"/>
              </w:rPr>
            </w:pPr>
            <w:r>
              <w:rPr>
                <w:sz w:val="21"/>
              </w:rPr>
              <w:t>本附加险合同的基本保险金额由您在投保时与我们约定并在保险单上载明。若该金额发生变更，则以变更后的金额为基本保险金额。</w:t>
            </w:r>
          </w:p>
        </w:tc>
      </w:tr>
      <w:tr>
        <w:trPr>
          <w:trHeight w:val="755" w:hRule="atLeast"/>
        </w:trPr>
        <w:tc>
          <w:tcPr>
            <w:tcW w:w="925" w:type="dxa"/>
          </w:tcPr>
          <w:p>
            <w:pPr>
              <w:pStyle w:val="TableParagraph"/>
              <w:spacing w:before="128"/>
              <w:ind w:left="107"/>
              <w:rPr>
                <w:b/>
                <w:sz w:val="21"/>
              </w:rPr>
            </w:pPr>
            <w:r>
              <w:rPr>
                <w:b/>
                <w:sz w:val="21"/>
              </w:rPr>
              <w:t>2.2</w:t>
            </w:r>
          </w:p>
        </w:tc>
        <w:tc>
          <w:tcPr>
            <w:tcW w:w="2329" w:type="dxa"/>
          </w:tcPr>
          <w:p>
            <w:pPr>
              <w:pStyle w:val="TableParagraph"/>
              <w:spacing w:before="128"/>
              <w:ind w:left="459"/>
              <w:rPr>
                <w:b/>
                <w:sz w:val="21"/>
              </w:rPr>
            </w:pPr>
            <w:r>
              <w:rPr>
                <w:b/>
                <w:sz w:val="21"/>
              </w:rPr>
              <w:t>保险责任</w:t>
            </w:r>
          </w:p>
        </w:tc>
        <w:tc>
          <w:tcPr>
            <w:tcW w:w="7000" w:type="dxa"/>
          </w:tcPr>
          <w:p>
            <w:pPr>
              <w:pStyle w:val="TableParagraph"/>
              <w:spacing w:before="128"/>
              <w:rPr>
                <w:sz w:val="21"/>
              </w:rPr>
            </w:pPr>
            <w:r>
              <w:rPr>
                <w:sz w:val="21"/>
              </w:rPr>
              <w:t>在本附加险合同有效期内，我们承担如下保险责任：</w:t>
            </w:r>
          </w:p>
        </w:tc>
      </w:tr>
      <w:tr>
        <w:trPr>
          <w:trHeight w:val="897" w:hRule="atLeast"/>
        </w:trPr>
        <w:tc>
          <w:tcPr>
            <w:tcW w:w="925" w:type="dxa"/>
          </w:tcPr>
          <w:p>
            <w:pPr>
              <w:pStyle w:val="TableParagraph"/>
              <w:rPr>
                <w:rFonts w:ascii="Times New Roman"/>
                <w:sz w:val="20"/>
              </w:rPr>
            </w:pPr>
          </w:p>
        </w:tc>
        <w:tc>
          <w:tcPr>
            <w:tcW w:w="2329" w:type="dxa"/>
          </w:tcPr>
          <w:p>
            <w:pPr>
              <w:pStyle w:val="TableParagraph"/>
              <w:spacing w:line="293" w:lineRule="exact"/>
              <w:ind w:left="459"/>
              <w:rPr>
                <w:rFonts w:ascii="等线" w:eastAsia="等线" w:hint="eastAsia"/>
                <w:b/>
                <w:sz w:val="24"/>
              </w:rPr>
            </w:pPr>
            <w:r>
              <w:rPr>
                <w:rFonts w:ascii="等线" w:eastAsia="等线" w:hint="eastAsia"/>
                <w:b/>
                <w:sz w:val="24"/>
              </w:rPr>
              <w:t>等待期</w:t>
            </w:r>
          </w:p>
        </w:tc>
        <w:tc>
          <w:tcPr>
            <w:tcW w:w="7000" w:type="dxa"/>
            <w:shd w:val="clear" w:color="auto" w:fill="DADADA"/>
          </w:tcPr>
          <w:p>
            <w:pPr>
              <w:pStyle w:val="TableParagraph"/>
              <w:spacing w:line="243" w:lineRule="exact"/>
              <w:rPr>
                <w:sz w:val="21"/>
              </w:rPr>
            </w:pPr>
            <w:r>
              <w:rPr>
                <w:spacing w:val="-5"/>
                <w:sz w:val="21"/>
              </w:rPr>
              <w:t>从本附加险合同生效</w:t>
            </w:r>
            <w:r>
              <w:rPr>
                <w:spacing w:val="-3"/>
                <w:sz w:val="21"/>
              </w:rPr>
              <w:t>（或最后复效</w:t>
            </w:r>
            <w:r>
              <w:rPr>
                <w:spacing w:val="-12"/>
                <w:sz w:val="21"/>
              </w:rPr>
              <w:t>）</w:t>
            </w:r>
            <w:r>
              <w:rPr>
                <w:spacing w:val="-11"/>
                <w:sz w:val="21"/>
              </w:rPr>
              <w:t>之日起 </w:t>
            </w:r>
            <w:r>
              <w:rPr>
                <w:sz w:val="21"/>
              </w:rPr>
              <w:t>180</w:t>
            </w:r>
            <w:r>
              <w:rPr>
                <w:spacing w:val="-9"/>
                <w:sz w:val="21"/>
              </w:rPr>
              <w:t> 日内，被保险人因疾病发生</w:t>
            </w:r>
          </w:p>
          <w:p>
            <w:pPr>
              <w:pStyle w:val="TableParagraph"/>
              <w:spacing w:line="310" w:lineRule="atLeast" w:before="2"/>
              <w:ind w:right="-15"/>
              <w:rPr>
                <w:sz w:val="21"/>
              </w:rPr>
            </w:pPr>
            <w:r>
              <w:rPr>
                <w:spacing w:val="-3"/>
                <w:w w:val="100"/>
                <w:sz w:val="21"/>
              </w:rPr>
              <w:t>下列情形之一的</w:t>
            </w:r>
            <w:r>
              <w:rPr>
                <w:spacing w:val="-137"/>
                <w:w w:val="100"/>
                <w:sz w:val="21"/>
              </w:rPr>
              <w:t>：</w:t>
            </w:r>
            <w:r>
              <w:rPr>
                <w:w w:val="100"/>
                <w:sz w:val="21"/>
              </w:rPr>
              <w:t>（一</w:t>
            </w:r>
            <w:r>
              <w:rPr>
                <w:spacing w:val="-34"/>
                <w:w w:val="100"/>
                <w:sz w:val="21"/>
              </w:rPr>
              <w:t>）</w:t>
            </w:r>
            <w:r>
              <w:rPr>
                <w:spacing w:val="-3"/>
                <w:w w:val="100"/>
                <w:sz w:val="21"/>
              </w:rPr>
              <w:t>“</w:t>
            </w:r>
            <w:r>
              <w:rPr>
                <w:rFonts w:ascii="黑体" w:hAnsi="黑体" w:eastAsia="黑体" w:hint="eastAsia"/>
                <w:b/>
                <w:w w:val="100"/>
                <w:sz w:val="21"/>
              </w:rPr>
              <w:t>重大疾病</w:t>
            </w:r>
            <w:r>
              <w:rPr>
                <w:spacing w:val="-32"/>
                <w:w w:val="100"/>
                <w:sz w:val="21"/>
              </w:rPr>
              <w:t>”</w:t>
            </w:r>
            <w:r>
              <w:rPr>
                <w:spacing w:val="-3"/>
                <w:w w:val="100"/>
                <w:sz w:val="21"/>
              </w:rPr>
              <w:t>（</w:t>
            </w:r>
            <w:r>
              <w:rPr>
                <w:w w:val="100"/>
                <w:sz w:val="21"/>
              </w:rPr>
              <w:t>见</w:t>
            </w:r>
            <w:r>
              <w:rPr>
                <w:spacing w:val="-53"/>
                <w:sz w:val="21"/>
              </w:rPr>
              <w:t> </w:t>
            </w:r>
            <w:r>
              <w:rPr>
                <w:w w:val="100"/>
                <w:sz w:val="21"/>
              </w:rPr>
              <w:t>9</w:t>
            </w:r>
            <w:r>
              <w:rPr>
                <w:spacing w:val="-3"/>
                <w:w w:val="100"/>
                <w:sz w:val="21"/>
              </w:rPr>
              <w:t>.</w:t>
            </w:r>
            <w:r>
              <w:rPr>
                <w:spacing w:val="-1"/>
                <w:w w:val="100"/>
                <w:sz w:val="21"/>
              </w:rPr>
              <w:t>3</w:t>
            </w:r>
            <w:r>
              <w:rPr>
                <w:spacing w:val="-106"/>
                <w:w w:val="100"/>
                <w:sz w:val="21"/>
              </w:rPr>
              <w:t>）</w:t>
            </w:r>
            <w:r>
              <w:rPr>
                <w:spacing w:val="-140"/>
                <w:w w:val="100"/>
                <w:sz w:val="21"/>
              </w:rPr>
              <w:t>、</w:t>
            </w:r>
            <w:r>
              <w:rPr>
                <w:rFonts w:ascii="黑体" w:hAnsi="黑体" w:eastAsia="黑体" w:hint="eastAsia"/>
                <w:b/>
                <w:w w:val="100"/>
                <w:sz w:val="21"/>
              </w:rPr>
              <w:t>“特定重大疾病</w:t>
            </w:r>
            <w:r>
              <w:rPr>
                <w:rFonts w:ascii="黑体" w:hAnsi="黑体" w:eastAsia="黑体" w:hint="eastAsia"/>
                <w:b/>
                <w:spacing w:val="-137"/>
                <w:w w:val="100"/>
                <w:sz w:val="21"/>
              </w:rPr>
              <w:t>”</w:t>
            </w:r>
            <w:r>
              <w:rPr>
                <w:spacing w:val="-3"/>
                <w:w w:val="100"/>
                <w:sz w:val="21"/>
              </w:rPr>
              <w:t>（</w:t>
            </w:r>
            <w:r>
              <w:rPr>
                <w:w w:val="100"/>
                <w:sz w:val="21"/>
              </w:rPr>
              <w:t>见</w:t>
            </w:r>
            <w:r>
              <w:rPr>
                <w:spacing w:val="-53"/>
                <w:sz w:val="21"/>
              </w:rPr>
              <w:t> </w:t>
            </w:r>
            <w:r>
              <w:rPr>
                <w:w w:val="100"/>
                <w:sz w:val="21"/>
              </w:rPr>
              <w:t>9.</w:t>
            </w:r>
            <w:r>
              <w:rPr>
                <w:spacing w:val="-3"/>
                <w:w w:val="100"/>
                <w:sz w:val="21"/>
              </w:rPr>
              <w:t>1</w:t>
            </w:r>
            <w:r>
              <w:rPr>
                <w:spacing w:val="-1"/>
                <w:w w:val="100"/>
                <w:sz w:val="21"/>
              </w:rPr>
              <w:t>0</w:t>
            </w:r>
            <w:r>
              <w:rPr>
                <w:w w:val="100"/>
                <w:sz w:val="21"/>
              </w:rPr>
              <w:t>）</w:t>
            </w:r>
            <w:r>
              <w:rPr>
                <w:spacing w:val="-2"/>
                <w:w w:val="100"/>
                <w:sz w:val="21"/>
              </w:rPr>
              <w:t>或“</w:t>
            </w:r>
            <w:r>
              <w:rPr>
                <w:rFonts w:ascii="黑体" w:hAnsi="黑体" w:eastAsia="黑体" w:hint="eastAsia"/>
                <w:b/>
                <w:w w:val="100"/>
                <w:sz w:val="21"/>
              </w:rPr>
              <w:t>重症手足口病</w:t>
            </w:r>
            <w:r>
              <w:rPr>
                <w:spacing w:val="-44"/>
                <w:w w:val="100"/>
                <w:sz w:val="21"/>
              </w:rPr>
              <w:t>”</w:t>
            </w:r>
            <w:r>
              <w:rPr>
                <w:w w:val="100"/>
                <w:sz w:val="21"/>
              </w:rPr>
              <w:t>（见</w:t>
            </w:r>
            <w:r>
              <w:rPr>
                <w:spacing w:val="-53"/>
                <w:sz w:val="21"/>
              </w:rPr>
              <w:t> </w:t>
            </w:r>
            <w:r>
              <w:rPr>
                <w:spacing w:val="-3"/>
                <w:w w:val="100"/>
                <w:sz w:val="21"/>
              </w:rPr>
              <w:t>9</w:t>
            </w:r>
            <w:r>
              <w:rPr>
                <w:w w:val="100"/>
                <w:sz w:val="21"/>
              </w:rPr>
              <w:t>.12</w:t>
            </w:r>
            <w:r>
              <w:rPr>
                <w:spacing w:val="-106"/>
                <w:w w:val="100"/>
                <w:sz w:val="21"/>
              </w:rPr>
              <w:t>）</w:t>
            </w:r>
            <w:r>
              <w:rPr>
                <w:spacing w:val="-147"/>
                <w:w w:val="100"/>
                <w:sz w:val="21"/>
              </w:rPr>
              <w:t>，</w:t>
            </w:r>
            <w:r>
              <w:rPr>
                <w:spacing w:val="-3"/>
                <w:w w:val="100"/>
                <w:sz w:val="21"/>
              </w:rPr>
              <w:t>（</w:t>
            </w:r>
            <w:r>
              <w:rPr>
                <w:w w:val="100"/>
                <w:sz w:val="21"/>
              </w:rPr>
              <w:t>二</w:t>
            </w:r>
            <w:r>
              <w:rPr>
                <w:spacing w:val="-41"/>
                <w:w w:val="100"/>
                <w:sz w:val="21"/>
              </w:rPr>
              <w:t>）</w:t>
            </w:r>
            <w:r>
              <w:rPr>
                <w:spacing w:val="-19"/>
                <w:w w:val="100"/>
                <w:sz w:val="21"/>
              </w:rPr>
              <w:t>因导致“重大疾病”、“特定重大疾病”</w:t>
            </w:r>
          </w:p>
        </w:tc>
      </w:tr>
    </w:tbl>
    <w:p>
      <w:pPr>
        <w:spacing w:after="0" w:line="310" w:lineRule="atLeast"/>
        <w:rPr>
          <w:sz w:val="21"/>
        </w:rPr>
        <w:sectPr>
          <w:pgSz w:w="11910" w:h="16840"/>
          <w:pgMar w:top="820" w:bottom="280" w:left="62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264"/>
        <w:gridCol w:w="7288"/>
      </w:tblGrid>
      <w:tr>
        <w:trPr>
          <w:trHeight w:val="2276" w:hRule="atLeast"/>
        </w:trPr>
        <w:tc>
          <w:tcPr>
            <w:tcW w:w="997" w:type="dxa"/>
          </w:tcPr>
          <w:p>
            <w:pPr>
              <w:pStyle w:val="TableParagraph"/>
              <w:rPr>
                <w:rFonts w:ascii="Times New Roman"/>
                <w:sz w:val="20"/>
              </w:rPr>
            </w:pPr>
          </w:p>
        </w:tc>
        <w:tc>
          <w:tcPr>
            <w:tcW w:w="2264" w:type="dxa"/>
          </w:tcPr>
          <w:p>
            <w:pPr>
              <w:pStyle w:val="TableParagraph"/>
              <w:rPr>
                <w:rFonts w:ascii="Times New Roman"/>
                <w:sz w:val="20"/>
              </w:rPr>
            </w:pPr>
          </w:p>
        </w:tc>
        <w:tc>
          <w:tcPr>
            <w:tcW w:w="7288" w:type="dxa"/>
          </w:tcPr>
          <w:p>
            <w:pPr>
              <w:pStyle w:val="TableParagraph"/>
              <w:spacing w:line="211" w:lineRule="exact"/>
              <w:ind w:left="85"/>
              <w:rPr>
                <w:sz w:val="21"/>
              </w:rPr>
            </w:pPr>
            <w:r>
              <w:rPr>
                <w:sz w:val="21"/>
                <w:shd w:fill="DADADA" w:color="auto" w:val="clear"/>
              </w:rPr>
              <w:t>或“重症手足口病”的相关疾病就诊，我们不承担保险责任，退还本附加险</w:t>
            </w:r>
          </w:p>
          <w:p>
            <w:pPr>
              <w:pStyle w:val="TableParagraph"/>
              <w:spacing w:line="273" w:lineRule="auto" w:before="37"/>
              <w:ind w:left="85" w:right="197"/>
              <w:rPr>
                <w:sz w:val="21"/>
              </w:rPr>
            </w:pPr>
            <w:r>
              <w:rPr>
                <w:spacing w:val="-7"/>
                <w:sz w:val="21"/>
                <w:shd w:fill="DADADA" w:color="auto" w:val="clear"/>
              </w:rPr>
              <w:t>合同的现金价值，本附加险合同终止；主险合同同时终止，我们退还主险合</w:t>
            </w:r>
            <w:r>
              <w:rPr>
                <w:spacing w:val="-16"/>
                <w:sz w:val="21"/>
                <w:shd w:fill="DADADA" w:color="auto" w:val="clear"/>
              </w:rPr>
              <w:t>同的现金价值。这 </w:t>
            </w:r>
            <w:r>
              <w:rPr>
                <w:sz w:val="21"/>
                <w:shd w:fill="DADADA" w:color="auto" w:val="clear"/>
              </w:rPr>
              <w:t>180</w:t>
            </w:r>
            <w:r>
              <w:rPr>
                <w:spacing w:val="-8"/>
                <w:sz w:val="21"/>
                <w:shd w:fill="DADADA" w:color="auto" w:val="clear"/>
              </w:rPr>
              <w:t> 日的时间称为等待期</w:t>
            </w:r>
            <w:r>
              <w:rPr>
                <w:spacing w:val="-13"/>
                <w:sz w:val="21"/>
              </w:rPr>
              <w:t>；被保险人因</w:t>
            </w:r>
            <w:r>
              <w:rPr>
                <w:rFonts w:ascii="黑体" w:eastAsia="黑体" w:hint="eastAsia"/>
                <w:b/>
                <w:spacing w:val="-17"/>
                <w:sz w:val="21"/>
              </w:rPr>
              <w:t>意外伤害</w:t>
            </w:r>
            <w:r>
              <w:rPr>
                <w:spacing w:val="-3"/>
                <w:sz w:val="21"/>
              </w:rPr>
              <w:t>（</w:t>
            </w:r>
            <w:r>
              <w:rPr>
                <w:spacing w:val="-22"/>
                <w:sz w:val="21"/>
              </w:rPr>
              <w:t>见 </w:t>
            </w:r>
            <w:r>
              <w:rPr>
                <w:sz w:val="21"/>
              </w:rPr>
              <w:t>9.13） </w:t>
            </w:r>
            <w:r>
              <w:rPr>
                <w:spacing w:val="-3"/>
                <w:sz w:val="21"/>
              </w:rPr>
              <w:t>发生上述两项情形之一的，无等待期。</w:t>
            </w:r>
          </w:p>
          <w:p>
            <w:pPr>
              <w:pStyle w:val="TableParagraph"/>
              <w:spacing w:before="7"/>
              <w:ind w:left="85"/>
              <w:rPr>
                <w:sz w:val="21"/>
              </w:rPr>
            </w:pPr>
            <w:r>
              <w:rPr>
                <w:spacing w:val="-10"/>
                <w:sz w:val="21"/>
              </w:rPr>
              <w:t>被保险人于 </w:t>
            </w:r>
            <w:r>
              <w:rPr>
                <w:sz w:val="21"/>
              </w:rPr>
              <w:t>18</w:t>
            </w:r>
            <w:r>
              <w:rPr>
                <w:spacing w:val="-15"/>
                <w:sz w:val="21"/>
              </w:rPr>
              <w:t> 周岁的保单周年日之后</w:t>
            </w:r>
            <w:r>
              <w:rPr>
                <w:spacing w:val="-3"/>
                <w:sz w:val="21"/>
              </w:rPr>
              <w:t>（</w:t>
            </w:r>
            <w:r>
              <w:rPr>
                <w:spacing w:val="-23"/>
                <w:sz w:val="21"/>
              </w:rPr>
              <w:t>含 </w:t>
            </w:r>
            <w:r>
              <w:rPr>
                <w:sz w:val="21"/>
              </w:rPr>
              <w:t>18</w:t>
            </w:r>
            <w:r>
              <w:rPr>
                <w:spacing w:val="-8"/>
                <w:sz w:val="21"/>
              </w:rPr>
              <w:t> 周岁的保单周年日</w:t>
            </w:r>
            <w:r>
              <w:rPr>
                <w:spacing w:val="-87"/>
                <w:sz w:val="21"/>
              </w:rPr>
              <w:t>）</w:t>
            </w:r>
            <w:r>
              <w:rPr>
                <w:spacing w:val="-3"/>
                <w:sz w:val="21"/>
              </w:rPr>
              <w:t>经</w:t>
            </w:r>
            <w:r>
              <w:rPr>
                <w:rFonts w:ascii="黑体" w:eastAsia="黑体" w:hint="eastAsia"/>
                <w:b/>
                <w:spacing w:val="-41"/>
                <w:sz w:val="21"/>
              </w:rPr>
              <w:t>医院</w:t>
            </w:r>
            <w:r>
              <w:rPr>
                <w:spacing w:val="-3"/>
                <w:sz w:val="21"/>
              </w:rPr>
              <w:t>（见</w:t>
            </w:r>
          </w:p>
          <w:p>
            <w:pPr>
              <w:pStyle w:val="TableParagraph"/>
              <w:spacing w:line="273" w:lineRule="auto" w:before="36"/>
              <w:ind w:left="85" w:right="1104" w:hanging="1"/>
              <w:rPr>
                <w:sz w:val="21"/>
              </w:rPr>
            </w:pPr>
            <w:r>
              <w:rPr>
                <w:sz w:val="21"/>
              </w:rPr>
              <w:t>9.14）诊断初次发生“重症手足口病”不适用上述等待期的规定。如果在等待期后发生保险事故，我们按照下列方式给付保险金：</w:t>
            </w:r>
          </w:p>
        </w:tc>
      </w:tr>
      <w:tr>
        <w:trPr>
          <w:trHeight w:val="2780" w:hRule="atLeast"/>
        </w:trPr>
        <w:tc>
          <w:tcPr>
            <w:tcW w:w="997" w:type="dxa"/>
          </w:tcPr>
          <w:p>
            <w:pPr>
              <w:pStyle w:val="TableParagraph"/>
              <w:rPr>
                <w:rFonts w:ascii="Times New Roman"/>
                <w:sz w:val="20"/>
              </w:rPr>
            </w:pPr>
          </w:p>
        </w:tc>
        <w:tc>
          <w:tcPr>
            <w:tcW w:w="2264" w:type="dxa"/>
          </w:tcPr>
          <w:p>
            <w:pPr>
              <w:pStyle w:val="TableParagraph"/>
              <w:spacing w:line="235" w:lineRule="auto" w:before="133"/>
              <w:ind w:left="479" w:right="84"/>
              <w:rPr>
                <w:rFonts w:ascii="等线" w:eastAsia="等线" w:hint="eastAsia"/>
                <w:b/>
                <w:sz w:val="24"/>
              </w:rPr>
            </w:pPr>
            <w:r>
              <w:rPr>
                <w:rFonts w:ascii="等线" w:eastAsia="等线" w:hint="eastAsia"/>
                <w:b/>
                <w:sz w:val="24"/>
              </w:rPr>
              <w:t>重大疾病保险金</w:t>
            </w:r>
          </w:p>
        </w:tc>
        <w:tc>
          <w:tcPr>
            <w:tcW w:w="7288" w:type="dxa"/>
          </w:tcPr>
          <w:p>
            <w:pPr>
              <w:pStyle w:val="TableParagraph"/>
              <w:spacing w:line="273" w:lineRule="auto" w:before="129"/>
              <w:ind w:left="85" w:right="303"/>
              <w:rPr>
                <w:sz w:val="21"/>
              </w:rPr>
            </w:pPr>
            <w:r>
              <w:rPr>
                <w:spacing w:val="-11"/>
                <w:w w:val="100"/>
                <w:sz w:val="21"/>
              </w:rPr>
              <w:t>被保险人经医院诊断初次发生“重大疾病”，且确诊</w:t>
            </w:r>
            <w:r>
              <w:rPr>
                <w:spacing w:val="-11"/>
                <w:sz w:val="21"/>
              </w:rPr>
              <w:t> </w:t>
            </w:r>
            <w:r>
              <w:rPr>
                <w:w w:val="100"/>
                <w:sz w:val="21"/>
              </w:rPr>
              <w:t>28</w:t>
            </w:r>
            <w:r>
              <w:rPr>
                <w:spacing w:val="-53"/>
                <w:sz w:val="21"/>
              </w:rPr>
              <w:t> </w:t>
            </w:r>
            <w:r>
              <w:rPr>
                <w:spacing w:val="-5"/>
                <w:w w:val="100"/>
                <w:sz w:val="21"/>
              </w:rPr>
              <w:t>日后仍生存的，我们</w:t>
            </w:r>
            <w:r>
              <w:rPr>
                <w:spacing w:val="-3"/>
                <w:sz w:val="21"/>
              </w:rPr>
              <w:t>按照基本保险金额给付“重大疾病保险金”。</w:t>
            </w:r>
          </w:p>
          <w:p>
            <w:pPr>
              <w:pStyle w:val="TableParagraph"/>
              <w:spacing w:line="273" w:lineRule="auto" w:before="7"/>
              <w:ind w:left="85" w:right="144"/>
              <w:rPr>
                <w:sz w:val="21"/>
              </w:rPr>
            </w:pPr>
            <w:r>
              <w:rPr>
                <w:spacing w:val="-3"/>
                <w:w w:val="100"/>
                <w:sz w:val="21"/>
              </w:rPr>
              <w:t>如被保险人在年满</w:t>
            </w:r>
            <w:r>
              <w:rPr>
                <w:spacing w:val="-3"/>
                <w:sz w:val="21"/>
              </w:rPr>
              <w:t> </w:t>
            </w:r>
            <w:r>
              <w:rPr>
                <w:w w:val="100"/>
                <w:sz w:val="21"/>
              </w:rPr>
              <w:t>3</w:t>
            </w:r>
            <w:r>
              <w:rPr>
                <w:spacing w:val="-56"/>
                <w:sz w:val="21"/>
              </w:rPr>
              <w:t> </w:t>
            </w:r>
            <w:r>
              <w:rPr>
                <w:spacing w:val="-15"/>
                <w:w w:val="100"/>
                <w:sz w:val="21"/>
              </w:rPr>
              <w:t>周岁前初次发生“重大疾病”，上述“重大疾病保险金”</w:t>
            </w:r>
            <w:r>
              <w:rPr>
                <w:spacing w:val="-7"/>
                <w:sz w:val="21"/>
              </w:rPr>
              <w:t>将乘以下表所对应的比例给付。</w:t>
            </w:r>
          </w:p>
          <w:p>
            <w:pPr>
              <w:pStyle w:val="TableParagraph"/>
              <w:tabs>
                <w:tab w:pos="4707" w:val="left" w:leader="none"/>
              </w:tabs>
              <w:spacing w:before="7"/>
              <w:ind w:left="85"/>
              <w:rPr>
                <w:sz w:val="21"/>
              </w:rPr>
            </w:pPr>
            <w:r>
              <w:rPr>
                <w:sz w:val="21"/>
              </w:rPr>
              <w:t>被保</w:t>
            </w:r>
            <w:r>
              <w:rPr>
                <w:spacing w:val="-3"/>
                <w:sz w:val="21"/>
              </w:rPr>
              <w:t>险</w:t>
            </w:r>
            <w:r>
              <w:rPr>
                <w:sz w:val="21"/>
              </w:rPr>
              <w:t>人</w:t>
            </w:r>
            <w:r>
              <w:rPr>
                <w:spacing w:val="-3"/>
                <w:sz w:val="21"/>
              </w:rPr>
              <w:t>初</w:t>
            </w:r>
            <w:r>
              <w:rPr>
                <w:sz w:val="21"/>
              </w:rPr>
              <w:t>次</w:t>
            </w:r>
            <w:r>
              <w:rPr>
                <w:spacing w:val="-3"/>
                <w:sz w:val="21"/>
              </w:rPr>
              <w:t>发</w:t>
            </w:r>
            <w:r>
              <w:rPr>
                <w:sz w:val="21"/>
              </w:rPr>
              <w:t>生</w:t>
            </w:r>
            <w:r>
              <w:rPr>
                <w:spacing w:val="-3"/>
                <w:sz w:val="21"/>
              </w:rPr>
              <w:t>“</w:t>
            </w:r>
            <w:r>
              <w:rPr>
                <w:sz w:val="21"/>
              </w:rPr>
              <w:t>重</w:t>
            </w:r>
            <w:r>
              <w:rPr>
                <w:spacing w:val="-3"/>
                <w:sz w:val="21"/>
              </w:rPr>
              <w:t>大</w:t>
            </w:r>
            <w:r>
              <w:rPr>
                <w:sz w:val="21"/>
              </w:rPr>
              <w:t>疾病</w:t>
            </w:r>
            <w:r>
              <w:rPr>
                <w:spacing w:val="-3"/>
                <w:sz w:val="21"/>
              </w:rPr>
              <w:t>”</w:t>
            </w:r>
            <w:r>
              <w:rPr>
                <w:sz w:val="21"/>
              </w:rPr>
              <w:t>的</w:t>
            </w:r>
            <w:r>
              <w:rPr>
                <w:spacing w:val="-3"/>
                <w:sz w:val="21"/>
              </w:rPr>
              <w:t>年</w:t>
            </w:r>
            <w:r>
              <w:rPr>
                <w:sz w:val="21"/>
              </w:rPr>
              <w:t>龄</w:t>
              <w:tab/>
              <w:t>给付</w:t>
            </w:r>
            <w:r>
              <w:rPr>
                <w:spacing w:val="-3"/>
                <w:sz w:val="21"/>
              </w:rPr>
              <w:t>比</w:t>
            </w:r>
            <w:r>
              <w:rPr>
                <w:sz w:val="21"/>
              </w:rPr>
              <w:t>例</w:t>
            </w:r>
          </w:p>
          <w:p>
            <w:pPr>
              <w:pStyle w:val="TableParagraph"/>
              <w:tabs>
                <w:tab w:pos="4966" w:val="left" w:leader="none"/>
              </w:tabs>
              <w:spacing w:before="36"/>
              <w:ind w:left="85"/>
              <w:rPr>
                <w:sz w:val="21"/>
              </w:rPr>
            </w:pPr>
            <w:r>
              <w:rPr>
                <w:sz w:val="21"/>
              </w:rPr>
              <w:t>0</w:t>
            </w:r>
            <w:r>
              <w:rPr>
                <w:spacing w:val="-53"/>
                <w:sz w:val="21"/>
              </w:rPr>
              <w:t> </w:t>
            </w:r>
            <w:r>
              <w:rPr>
                <w:sz w:val="21"/>
              </w:rPr>
              <w:t>至</w:t>
            </w:r>
            <w:r>
              <w:rPr>
                <w:spacing w:val="-53"/>
                <w:sz w:val="21"/>
              </w:rPr>
              <w:t> </w:t>
            </w:r>
            <w:r>
              <w:rPr>
                <w:sz w:val="21"/>
              </w:rPr>
              <w:t>1</w:t>
            </w:r>
            <w:r>
              <w:rPr>
                <w:spacing w:val="-55"/>
                <w:sz w:val="21"/>
              </w:rPr>
              <w:t> </w:t>
            </w:r>
            <w:r>
              <w:rPr>
                <w:sz w:val="21"/>
              </w:rPr>
              <w:t>周岁</w:t>
              <w:tab/>
              <w:t>25%</w:t>
            </w:r>
          </w:p>
          <w:p>
            <w:pPr>
              <w:pStyle w:val="TableParagraph"/>
              <w:tabs>
                <w:tab w:pos="4967" w:val="left" w:leader="none"/>
              </w:tabs>
              <w:spacing w:before="36"/>
              <w:ind w:left="85"/>
              <w:rPr>
                <w:sz w:val="21"/>
              </w:rPr>
            </w:pPr>
            <w:r>
              <w:rPr>
                <w:sz w:val="21"/>
              </w:rPr>
              <w:t>1</w:t>
            </w:r>
            <w:r>
              <w:rPr>
                <w:spacing w:val="-52"/>
                <w:sz w:val="21"/>
              </w:rPr>
              <w:t> </w:t>
            </w:r>
            <w:r>
              <w:rPr>
                <w:sz w:val="21"/>
              </w:rPr>
              <w:t>至</w:t>
            </w:r>
            <w:r>
              <w:rPr>
                <w:spacing w:val="-52"/>
                <w:sz w:val="21"/>
              </w:rPr>
              <w:t> </w:t>
            </w:r>
            <w:r>
              <w:rPr>
                <w:sz w:val="21"/>
              </w:rPr>
              <w:t>2</w:t>
            </w:r>
            <w:r>
              <w:rPr>
                <w:spacing w:val="-54"/>
                <w:sz w:val="21"/>
              </w:rPr>
              <w:t> </w:t>
            </w:r>
            <w:r>
              <w:rPr>
                <w:sz w:val="21"/>
              </w:rPr>
              <w:t>周</w:t>
            </w:r>
            <w:r>
              <w:rPr>
                <w:spacing w:val="-3"/>
                <w:sz w:val="21"/>
              </w:rPr>
              <w:t>岁</w:t>
            </w:r>
            <w:r>
              <w:rPr>
                <w:sz w:val="21"/>
              </w:rPr>
              <w:t>（含</w:t>
            </w:r>
            <w:r>
              <w:rPr>
                <w:spacing w:val="-54"/>
                <w:sz w:val="21"/>
              </w:rPr>
              <w:t> </w:t>
            </w:r>
            <w:r>
              <w:rPr>
                <w:sz w:val="21"/>
              </w:rPr>
              <w:t>1</w:t>
            </w:r>
            <w:r>
              <w:rPr>
                <w:spacing w:val="-52"/>
                <w:sz w:val="21"/>
              </w:rPr>
              <w:t> </w:t>
            </w:r>
            <w:r>
              <w:rPr>
                <w:spacing w:val="-3"/>
                <w:sz w:val="21"/>
              </w:rPr>
              <w:t>周</w:t>
            </w:r>
            <w:r>
              <w:rPr>
                <w:sz w:val="21"/>
              </w:rPr>
              <w:t>岁）</w:t>
              <w:tab/>
              <w:t>50%</w:t>
            </w:r>
          </w:p>
          <w:p>
            <w:pPr>
              <w:pStyle w:val="TableParagraph"/>
              <w:tabs>
                <w:tab w:pos="4967" w:val="left" w:leader="none"/>
              </w:tabs>
              <w:spacing w:before="36"/>
              <w:ind w:left="85"/>
              <w:rPr>
                <w:sz w:val="21"/>
              </w:rPr>
            </w:pPr>
            <w:r>
              <w:rPr>
                <w:sz w:val="21"/>
              </w:rPr>
              <w:t>2</w:t>
            </w:r>
            <w:r>
              <w:rPr>
                <w:spacing w:val="-52"/>
                <w:sz w:val="21"/>
              </w:rPr>
              <w:t> </w:t>
            </w:r>
            <w:r>
              <w:rPr>
                <w:sz w:val="21"/>
              </w:rPr>
              <w:t>至</w:t>
            </w:r>
            <w:r>
              <w:rPr>
                <w:spacing w:val="-52"/>
                <w:sz w:val="21"/>
              </w:rPr>
              <w:t> </w:t>
            </w:r>
            <w:r>
              <w:rPr>
                <w:sz w:val="21"/>
              </w:rPr>
              <w:t>3</w:t>
            </w:r>
            <w:r>
              <w:rPr>
                <w:spacing w:val="-54"/>
                <w:sz w:val="21"/>
              </w:rPr>
              <w:t> </w:t>
            </w:r>
            <w:r>
              <w:rPr>
                <w:sz w:val="21"/>
              </w:rPr>
              <w:t>周</w:t>
            </w:r>
            <w:r>
              <w:rPr>
                <w:spacing w:val="-3"/>
                <w:sz w:val="21"/>
              </w:rPr>
              <w:t>岁</w:t>
            </w:r>
            <w:r>
              <w:rPr>
                <w:sz w:val="21"/>
              </w:rPr>
              <w:t>（含</w:t>
            </w:r>
            <w:r>
              <w:rPr>
                <w:spacing w:val="-54"/>
                <w:sz w:val="21"/>
              </w:rPr>
              <w:t> </w:t>
            </w:r>
            <w:r>
              <w:rPr>
                <w:sz w:val="21"/>
              </w:rPr>
              <w:t>2</w:t>
            </w:r>
            <w:r>
              <w:rPr>
                <w:spacing w:val="-52"/>
                <w:sz w:val="21"/>
              </w:rPr>
              <w:t> </w:t>
            </w:r>
            <w:r>
              <w:rPr>
                <w:spacing w:val="-3"/>
                <w:sz w:val="21"/>
              </w:rPr>
              <w:t>周</w:t>
            </w:r>
            <w:r>
              <w:rPr>
                <w:sz w:val="21"/>
              </w:rPr>
              <w:t>岁）</w:t>
              <w:tab/>
              <w:t>75%</w:t>
            </w:r>
          </w:p>
        </w:tc>
      </w:tr>
      <w:tr>
        <w:trPr>
          <w:trHeight w:val="1531" w:hRule="atLeast"/>
        </w:trPr>
        <w:tc>
          <w:tcPr>
            <w:tcW w:w="997" w:type="dxa"/>
          </w:tcPr>
          <w:p>
            <w:pPr>
              <w:pStyle w:val="TableParagraph"/>
              <w:rPr>
                <w:rFonts w:ascii="Times New Roman"/>
                <w:sz w:val="20"/>
              </w:rPr>
            </w:pPr>
          </w:p>
        </w:tc>
        <w:tc>
          <w:tcPr>
            <w:tcW w:w="2264" w:type="dxa"/>
          </w:tcPr>
          <w:p>
            <w:pPr>
              <w:pStyle w:val="TableParagraph"/>
              <w:spacing w:line="235" w:lineRule="auto" w:before="132"/>
              <w:ind w:left="479" w:right="84"/>
              <w:rPr>
                <w:rFonts w:ascii="等线" w:eastAsia="等线" w:hint="eastAsia"/>
                <w:b/>
                <w:sz w:val="24"/>
              </w:rPr>
            </w:pPr>
            <w:r>
              <w:rPr>
                <w:rFonts w:ascii="等线" w:eastAsia="等线" w:hint="eastAsia"/>
                <w:b/>
                <w:sz w:val="24"/>
              </w:rPr>
              <w:t>特定重大疾病保险金</w:t>
            </w:r>
          </w:p>
        </w:tc>
        <w:tc>
          <w:tcPr>
            <w:tcW w:w="7288" w:type="dxa"/>
          </w:tcPr>
          <w:p>
            <w:pPr>
              <w:pStyle w:val="TableParagraph"/>
              <w:spacing w:before="128"/>
              <w:ind w:left="85"/>
              <w:rPr>
                <w:sz w:val="21"/>
              </w:rPr>
            </w:pPr>
            <w:r>
              <w:rPr>
                <w:sz w:val="21"/>
              </w:rPr>
              <w:t>被保险人于 18 周岁的保单周年日之前（不含 18 周岁的保单周年日）经医院</w:t>
            </w:r>
          </w:p>
          <w:p>
            <w:pPr>
              <w:pStyle w:val="TableParagraph"/>
              <w:spacing w:line="273" w:lineRule="auto" w:before="36"/>
              <w:ind w:left="85" w:right="302"/>
              <w:jc w:val="both"/>
              <w:rPr>
                <w:sz w:val="21"/>
              </w:rPr>
            </w:pPr>
            <w:r>
              <w:rPr>
                <w:spacing w:val="-13"/>
                <w:w w:val="100"/>
                <w:sz w:val="21"/>
              </w:rPr>
              <w:t>诊断初次发生的“重大疾病”属于条款约定的“特定重大疾病”，</w:t>
            </w:r>
            <w:r>
              <w:rPr>
                <w:spacing w:val="-13"/>
                <w:sz w:val="21"/>
              </w:rPr>
              <w:t> </w:t>
            </w:r>
            <w:r>
              <w:rPr>
                <w:spacing w:val="-2"/>
                <w:w w:val="100"/>
                <w:sz w:val="21"/>
              </w:rPr>
              <w:t>且确诊</w:t>
            </w:r>
            <w:r>
              <w:rPr>
                <w:spacing w:val="-55"/>
                <w:sz w:val="21"/>
              </w:rPr>
              <w:t> </w:t>
            </w:r>
            <w:r>
              <w:rPr>
                <w:w w:val="100"/>
                <w:sz w:val="21"/>
              </w:rPr>
              <w:t>28</w:t>
            </w:r>
            <w:r>
              <w:rPr>
                <w:spacing w:val="-7"/>
                <w:sz w:val="21"/>
              </w:rPr>
              <w:t>日后仍生存的，我们除给付“重大疾病保险金”外，按照本附加险合同基本</w:t>
            </w:r>
            <w:r>
              <w:rPr>
                <w:spacing w:val="-10"/>
                <w:sz w:val="21"/>
              </w:rPr>
              <w:t>保险金额的 </w:t>
            </w:r>
            <w:r>
              <w:rPr>
                <w:sz w:val="21"/>
              </w:rPr>
              <w:t>10</w:t>
            </w:r>
            <w:r>
              <w:rPr>
                <w:spacing w:val="-3"/>
                <w:sz w:val="21"/>
              </w:rPr>
              <w:t>%给付“特定重大疾病保险金”。</w:t>
            </w:r>
          </w:p>
        </w:tc>
      </w:tr>
      <w:tr>
        <w:trPr>
          <w:trHeight w:val="956" w:hRule="atLeast"/>
        </w:trPr>
        <w:tc>
          <w:tcPr>
            <w:tcW w:w="997" w:type="dxa"/>
          </w:tcPr>
          <w:p>
            <w:pPr>
              <w:pStyle w:val="TableParagraph"/>
              <w:rPr>
                <w:rFonts w:ascii="Times New Roman"/>
                <w:sz w:val="20"/>
              </w:rPr>
            </w:pPr>
          </w:p>
        </w:tc>
        <w:tc>
          <w:tcPr>
            <w:tcW w:w="2264" w:type="dxa"/>
          </w:tcPr>
          <w:p>
            <w:pPr>
              <w:pStyle w:val="TableParagraph"/>
              <w:rPr>
                <w:rFonts w:ascii="Times New Roman"/>
                <w:sz w:val="20"/>
              </w:rPr>
            </w:pPr>
          </w:p>
        </w:tc>
        <w:tc>
          <w:tcPr>
            <w:tcW w:w="7288" w:type="dxa"/>
          </w:tcPr>
          <w:p>
            <w:pPr>
              <w:pStyle w:val="TableParagraph"/>
              <w:spacing w:line="273" w:lineRule="auto" w:before="128"/>
              <w:ind w:left="85" w:right="309"/>
              <w:rPr>
                <w:sz w:val="21"/>
              </w:rPr>
            </w:pPr>
            <w:r>
              <w:rPr>
                <w:spacing w:val="-8"/>
                <w:sz w:val="21"/>
              </w:rPr>
              <w:t>我们给付“重大疾病保险金”或“特定重大疾病保险金”后，本附加险合同</w:t>
            </w:r>
            <w:r>
              <w:rPr>
                <w:spacing w:val="-3"/>
                <w:sz w:val="21"/>
              </w:rPr>
              <w:t>终止；主险合同同时终止，我们退还主险合同的现金价值。</w:t>
            </w:r>
          </w:p>
        </w:tc>
      </w:tr>
      <w:tr>
        <w:trPr>
          <w:trHeight w:val="2218" w:hRule="atLeast"/>
        </w:trPr>
        <w:tc>
          <w:tcPr>
            <w:tcW w:w="997" w:type="dxa"/>
          </w:tcPr>
          <w:p>
            <w:pPr>
              <w:pStyle w:val="TableParagraph"/>
              <w:rPr>
                <w:rFonts w:ascii="Times New Roman"/>
                <w:sz w:val="20"/>
              </w:rPr>
            </w:pPr>
          </w:p>
        </w:tc>
        <w:tc>
          <w:tcPr>
            <w:tcW w:w="2264" w:type="dxa"/>
          </w:tcPr>
          <w:p>
            <w:pPr>
              <w:pStyle w:val="TableParagraph"/>
              <w:spacing w:line="235" w:lineRule="auto" w:before="181"/>
              <w:ind w:left="479" w:right="84"/>
              <w:rPr>
                <w:rFonts w:ascii="等线" w:eastAsia="等线" w:hint="eastAsia"/>
                <w:b/>
                <w:sz w:val="24"/>
              </w:rPr>
            </w:pPr>
            <w:r>
              <w:rPr>
                <w:rFonts w:ascii="等线" w:eastAsia="等线" w:hint="eastAsia"/>
                <w:b/>
                <w:sz w:val="24"/>
              </w:rPr>
              <w:t>重症手足口病保险金</w:t>
            </w:r>
          </w:p>
        </w:tc>
        <w:tc>
          <w:tcPr>
            <w:tcW w:w="7288" w:type="dxa"/>
          </w:tcPr>
          <w:p>
            <w:pPr>
              <w:pStyle w:val="TableParagraph"/>
              <w:spacing w:line="273" w:lineRule="auto" w:before="177"/>
              <w:ind w:left="85" w:right="302" w:hanging="1"/>
              <w:jc w:val="both"/>
              <w:rPr>
                <w:sz w:val="21"/>
              </w:rPr>
            </w:pPr>
            <w:r>
              <w:rPr>
                <w:spacing w:val="-10"/>
                <w:sz w:val="21"/>
              </w:rPr>
              <w:t>被保险人于 </w:t>
            </w:r>
            <w:r>
              <w:rPr>
                <w:sz w:val="21"/>
              </w:rPr>
              <w:t>18</w:t>
            </w:r>
            <w:r>
              <w:rPr>
                <w:spacing w:val="-10"/>
                <w:sz w:val="21"/>
              </w:rPr>
              <w:t> 周岁的保单周年日之前</w:t>
            </w:r>
            <w:r>
              <w:rPr>
                <w:sz w:val="21"/>
              </w:rPr>
              <w:t>（</w:t>
            </w:r>
            <w:r>
              <w:rPr>
                <w:spacing w:val="-17"/>
                <w:sz w:val="21"/>
              </w:rPr>
              <w:t>不含 </w:t>
            </w:r>
            <w:r>
              <w:rPr>
                <w:sz w:val="21"/>
              </w:rPr>
              <w:t>18</w:t>
            </w:r>
            <w:r>
              <w:rPr>
                <w:spacing w:val="-8"/>
                <w:sz w:val="21"/>
              </w:rPr>
              <w:t> 周岁的保单周年日</w:t>
            </w:r>
            <w:r>
              <w:rPr>
                <w:spacing w:val="-22"/>
                <w:sz w:val="21"/>
              </w:rPr>
              <w:t>）</w:t>
            </w:r>
            <w:r>
              <w:rPr>
                <w:spacing w:val="-3"/>
                <w:sz w:val="21"/>
              </w:rPr>
              <w:t>经医院</w:t>
            </w:r>
            <w:r>
              <w:rPr>
                <w:spacing w:val="-8"/>
                <w:w w:val="100"/>
                <w:sz w:val="21"/>
              </w:rPr>
              <w:t>诊断初次发生“重症手足口病”，此前未发生“重大疾病”或“特定重大疾</w:t>
            </w:r>
            <w:r>
              <w:rPr>
                <w:spacing w:val="-21"/>
                <w:w w:val="100"/>
                <w:sz w:val="21"/>
              </w:rPr>
              <w:t>病”，且确诊</w:t>
            </w:r>
            <w:r>
              <w:rPr>
                <w:spacing w:val="-48"/>
                <w:sz w:val="21"/>
              </w:rPr>
              <w:t> </w:t>
            </w:r>
            <w:r>
              <w:rPr>
                <w:w w:val="100"/>
                <w:sz w:val="21"/>
              </w:rPr>
              <w:t>28</w:t>
            </w:r>
            <w:r>
              <w:rPr>
                <w:spacing w:val="-50"/>
                <w:sz w:val="21"/>
              </w:rPr>
              <w:t> </w:t>
            </w:r>
            <w:r>
              <w:rPr>
                <w:spacing w:val="-3"/>
                <w:w w:val="100"/>
                <w:sz w:val="21"/>
              </w:rPr>
              <w:t>日后仍生存的，我们按照基本保险金额的</w:t>
            </w:r>
            <w:r>
              <w:rPr>
                <w:spacing w:val="-50"/>
                <w:sz w:val="21"/>
              </w:rPr>
              <w:t> </w:t>
            </w:r>
            <w:r>
              <w:rPr>
                <w:w w:val="100"/>
                <w:sz w:val="21"/>
              </w:rPr>
              <w:t>10</w:t>
            </w:r>
            <w:r>
              <w:rPr>
                <w:spacing w:val="-3"/>
                <w:w w:val="100"/>
                <w:sz w:val="21"/>
              </w:rPr>
              <w:t>%给付“重症手</w:t>
            </w:r>
            <w:r>
              <w:rPr>
                <w:spacing w:val="-17"/>
                <w:sz w:val="21"/>
              </w:rPr>
              <w:t>足口病保险金”。</w:t>
            </w:r>
          </w:p>
          <w:p>
            <w:pPr>
              <w:pStyle w:val="TableParagraph"/>
              <w:spacing w:line="273" w:lineRule="auto" w:before="7"/>
              <w:ind w:left="85" w:right="197"/>
              <w:rPr>
                <w:sz w:val="21"/>
              </w:rPr>
            </w:pPr>
            <w:r>
              <w:rPr>
                <w:spacing w:val="-13"/>
                <w:sz w:val="21"/>
              </w:rPr>
              <w:t>“重症手足口病保险金”给付以一次为限。我们给付“重症手足口病保险金” </w:t>
            </w:r>
            <w:r>
              <w:rPr>
                <w:spacing w:val="-6"/>
                <w:sz w:val="21"/>
              </w:rPr>
              <w:t>后，本附加险合同继续有效，基本保险金额不变。</w:t>
            </w:r>
          </w:p>
        </w:tc>
      </w:tr>
      <w:tr>
        <w:trPr>
          <w:trHeight w:val="4473" w:hRule="atLeast"/>
        </w:trPr>
        <w:tc>
          <w:tcPr>
            <w:tcW w:w="997" w:type="dxa"/>
          </w:tcPr>
          <w:p>
            <w:pPr>
              <w:pStyle w:val="TableParagraph"/>
              <w:spacing w:before="142"/>
              <w:ind w:left="200"/>
              <w:rPr>
                <w:b/>
                <w:sz w:val="21"/>
              </w:rPr>
            </w:pPr>
            <w:r>
              <w:rPr>
                <w:b/>
                <w:sz w:val="21"/>
              </w:rPr>
              <w:t>2.3</w:t>
            </w:r>
          </w:p>
        </w:tc>
        <w:tc>
          <w:tcPr>
            <w:tcW w:w="2264" w:type="dxa"/>
          </w:tcPr>
          <w:p>
            <w:pPr>
              <w:pStyle w:val="TableParagraph"/>
              <w:spacing w:before="142"/>
              <w:ind w:left="479"/>
              <w:rPr>
                <w:b/>
                <w:sz w:val="21"/>
              </w:rPr>
            </w:pPr>
            <w:r>
              <w:rPr>
                <w:b/>
                <w:sz w:val="21"/>
              </w:rPr>
              <w:t>责任免除</w:t>
            </w:r>
          </w:p>
        </w:tc>
        <w:tc>
          <w:tcPr>
            <w:tcW w:w="7288" w:type="dxa"/>
          </w:tcPr>
          <w:p>
            <w:pPr>
              <w:pStyle w:val="TableParagraph"/>
              <w:spacing w:before="142"/>
              <w:ind w:left="85"/>
              <w:rPr>
                <w:sz w:val="21"/>
              </w:rPr>
            </w:pPr>
            <w:r>
              <w:rPr>
                <w:sz w:val="21"/>
                <w:shd w:fill="DADADA" w:color="auto" w:val="clear"/>
              </w:rPr>
              <w:t>因下列情形之一导致被保险人初次发生“重大疾病”、“特定重大疾病” 或</w:t>
            </w:r>
          </w:p>
          <w:p>
            <w:pPr>
              <w:pStyle w:val="TableParagraph"/>
              <w:spacing w:before="36"/>
              <w:ind w:left="85"/>
              <w:rPr>
                <w:sz w:val="21"/>
              </w:rPr>
            </w:pPr>
            <w:r>
              <w:rPr>
                <w:sz w:val="21"/>
                <w:shd w:fill="DADADA" w:color="auto" w:val="clear"/>
              </w:rPr>
              <w:t>“重症手足口病”的，我们不承担给付保险金的责任：</w:t>
            </w:r>
          </w:p>
          <w:p>
            <w:pPr>
              <w:pStyle w:val="TableParagraph"/>
              <w:spacing w:before="36"/>
              <w:ind w:left="85"/>
              <w:rPr>
                <w:sz w:val="21"/>
              </w:rPr>
            </w:pPr>
            <w:r>
              <w:rPr>
                <w:sz w:val="21"/>
                <w:shd w:fill="DADADA" w:color="auto" w:val="clear"/>
              </w:rPr>
              <w:t>（1）投保人对被保险人的故意杀害、故意伤害；</w:t>
            </w:r>
          </w:p>
          <w:p>
            <w:pPr>
              <w:pStyle w:val="TableParagraph"/>
              <w:spacing w:before="36"/>
              <w:ind w:left="85"/>
              <w:rPr>
                <w:sz w:val="21"/>
              </w:rPr>
            </w:pPr>
            <w:r>
              <w:rPr>
                <w:sz w:val="21"/>
                <w:shd w:fill="DADADA" w:color="auto" w:val="clear"/>
              </w:rPr>
              <w:t>（2）被保险人故意自伤、故意犯罪或者抗拒依法采取的刑事强制措施；</w:t>
            </w:r>
          </w:p>
          <w:p>
            <w:pPr>
              <w:pStyle w:val="TableParagraph"/>
              <w:spacing w:before="36"/>
              <w:ind w:left="85"/>
              <w:rPr>
                <w:sz w:val="21"/>
              </w:rPr>
            </w:pPr>
            <w:r>
              <w:rPr>
                <w:w w:val="100"/>
                <w:sz w:val="21"/>
                <w:shd w:fill="DADADA" w:color="auto" w:val="clear"/>
              </w:rPr>
              <w:t>（3</w:t>
            </w:r>
            <w:r>
              <w:rPr>
                <w:spacing w:val="-3"/>
                <w:w w:val="100"/>
                <w:sz w:val="21"/>
                <w:shd w:fill="DADADA" w:color="auto" w:val="clear"/>
              </w:rPr>
              <w:t>）被保险人主动吸食或注射</w:t>
            </w:r>
            <w:r>
              <w:rPr>
                <w:rFonts w:ascii="黑体" w:eastAsia="黑体" w:hint="eastAsia"/>
                <w:b/>
                <w:w w:val="100"/>
                <w:sz w:val="21"/>
                <w:shd w:fill="DADADA" w:color="auto" w:val="clear"/>
              </w:rPr>
              <w:t>毒品</w:t>
            </w:r>
            <w:r>
              <w:rPr>
                <w:w w:val="100"/>
                <w:sz w:val="21"/>
                <w:shd w:fill="DADADA" w:color="auto" w:val="clear"/>
              </w:rPr>
              <w:t>（见</w:t>
            </w:r>
            <w:r>
              <w:rPr>
                <w:spacing w:val="-55"/>
                <w:sz w:val="21"/>
                <w:shd w:fill="DADADA" w:color="auto" w:val="clear"/>
              </w:rPr>
              <w:t> </w:t>
            </w:r>
            <w:r>
              <w:rPr>
                <w:w w:val="100"/>
                <w:sz w:val="21"/>
                <w:shd w:fill="DADADA" w:color="auto" w:val="clear"/>
              </w:rPr>
              <w:t>9.1</w:t>
            </w:r>
            <w:r>
              <w:rPr>
                <w:spacing w:val="-3"/>
                <w:w w:val="100"/>
                <w:sz w:val="21"/>
                <w:shd w:fill="DADADA" w:color="auto" w:val="clear"/>
              </w:rPr>
              <w:t>5</w:t>
            </w:r>
            <w:r>
              <w:rPr>
                <w:spacing w:val="-106"/>
                <w:w w:val="100"/>
                <w:sz w:val="21"/>
                <w:shd w:fill="DADADA" w:color="auto" w:val="clear"/>
              </w:rPr>
              <w:t>）</w:t>
            </w:r>
            <w:r>
              <w:rPr>
                <w:w w:val="100"/>
                <w:sz w:val="21"/>
                <w:shd w:fill="DADADA" w:color="auto" w:val="clear"/>
              </w:rPr>
              <w:t>；</w:t>
            </w:r>
          </w:p>
          <w:p>
            <w:pPr>
              <w:pStyle w:val="TableParagraph"/>
              <w:spacing w:line="273" w:lineRule="auto" w:before="36"/>
              <w:ind w:left="589" w:right="312" w:hanging="504"/>
              <w:rPr>
                <w:sz w:val="21"/>
              </w:rPr>
            </w:pPr>
            <w:r>
              <w:rPr>
                <w:w w:val="100"/>
                <w:sz w:val="21"/>
                <w:shd w:fill="DADADA" w:color="auto" w:val="clear"/>
              </w:rPr>
              <w:t>（4</w:t>
            </w:r>
            <w:r>
              <w:rPr>
                <w:spacing w:val="-12"/>
                <w:w w:val="100"/>
                <w:sz w:val="21"/>
                <w:shd w:fill="DADADA" w:color="auto" w:val="clear"/>
              </w:rPr>
              <w:t>）</w:t>
            </w:r>
            <w:r>
              <w:rPr>
                <w:spacing w:val="-3"/>
                <w:w w:val="100"/>
                <w:sz w:val="21"/>
                <w:shd w:fill="DADADA" w:color="auto" w:val="clear"/>
              </w:rPr>
              <w:t>被保险人</w:t>
            </w:r>
            <w:r>
              <w:rPr>
                <w:rFonts w:ascii="黑体" w:eastAsia="黑体" w:hint="eastAsia"/>
                <w:b/>
                <w:spacing w:val="-3"/>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6</w:t>
            </w:r>
            <w:r>
              <w:rPr>
                <w:spacing w:val="-106"/>
                <w:w w:val="100"/>
                <w:sz w:val="21"/>
                <w:shd w:fill="DADADA" w:color="auto" w:val="clear"/>
              </w:rPr>
              <w:t>）</w:t>
            </w:r>
            <w:r>
              <w:rPr>
                <w:spacing w:val="-12"/>
                <w:w w:val="100"/>
                <w:sz w:val="21"/>
                <w:shd w:fill="DADADA" w:color="auto" w:val="clear"/>
              </w:rPr>
              <w:t>、</w:t>
            </w:r>
            <w:r>
              <w:rPr>
                <w:rFonts w:ascii="黑体" w:eastAsia="黑体" w:hint="eastAsia"/>
                <w:b/>
                <w:spacing w:val="-2"/>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7</w:t>
            </w:r>
            <w:r>
              <w:rPr>
                <w:spacing w:val="-108"/>
                <w:w w:val="100"/>
                <w:sz w:val="21"/>
                <w:shd w:fill="DADADA" w:color="auto" w:val="clear"/>
              </w:rPr>
              <w:t>）</w:t>
            </w:r>
            <w:r>
              <w:rPr>
                <w:spacing w:val="-10"/>
                <w:w w:val="100"/>
                <w:sz w:val="21"/>
                <w:shd w:fill="DADADA" w:color="auto" w:val="clear"/>
              </w:rPr>
              <w:t>，或</w:t>
            </w: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126"/>
                <w:w w:val="100"/>
                <w:sz w:val="21"/>
                <w:shd w:fill="DADADA" w:color="auto" w:val="clear"/>
              </w:rPr>
              <w:t>9</w:t>
            </w:r>
            <w:r>
              <w:rPr>
                <w:spacing w:val="-129"/>
                <w:w w:val="100"/>
                <w:sz w:val="21"/>
                <w:shd w:fill="DADADA" w:color="auto" w:val="clear"/>
              </w:rPr>
              <w:t>.</w:t>
            </w:r>
            <w:r>
              <w:rPr>
                <w:spacing w:val="-126"/>
                <w:w w:val="100"/>
                <w:sz w:val="21"/>
                <w:shd w:fill="DADADA" w:color="auto" w:val="clear"/>
              </w:rPr>
              <w:t>1</w:t>
            </w:r>
            <w:r>
              <w:rPr>
                <w:spacing w:val="-127"/>
                <w:w w:val="100"/>
                <w:sz w:val="21"/>
                <w:shd w:fill="DADADA" w:color="auto" w:val="clear"/>
              </w:rPr>
              <w:t>8</w:t>
            </w:r>
            <w:r>
              <w:rPr>
                <w:spacing w:val="-126"/>
                <w:w w:val="100"/>
                <w:sz w:val="21"/>
                <w:shd w:fill="DADADA" w:color="auto" w:val="clear"/>
              </w:rPr>
              <w:t>）</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.19</w:t>
            </w:r>
            <w:r>
              <w:rPr>
                <w:spacing w:val="-108"/>
                <w:w w:val="100"/>
                <w:sz w:val="21"/>
                <w:shd w:fill="DADADA" w:color="auto" w:val="clear"/>
              </w:rPr>
              <w:t>）</w:t>
            </w:r>
            <w:r>
              <w:rPr>
                <w:w w:val="100"/>
                <w:sz w:val="21"/>
                <w:shd w:fill="DADADA" w:color="auto" w:val="clear"/>
              </w:rPr>
              <w:t>；</w:t>
            </w:r>
          </w:p>
          <w:p>
            <w:pPr>
              <w:pStyle w:val="TableParagraph"/>
              <w:spacing w:before="7"/>
              <w:ind w:left="85"/>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.2</w:t>
            </w:r>
            <w:r>
              <w:rPr>
                <w:spacing w:val="-3"/>
                <w:w w:val="100"/>
                <w:sz w:val="21"/>
                <w:shd w:fill="DADADA" w:color="auto" w:val="clear"/>
              </w:rPr>
              <w:t>0</w:t>
            </w:r>
            <w:r>
              <w:rPr>
                <w:spacing w:val="-106"/>
                <w:w w:val="100"/>
                <w:sz w:val="21"/>
                <w:shd w:fill="DADADA" w:color="auto" w:val="clear"/>
              </w:rPr>
              <w:t>）</w:t>
            </w:r>
            <w:r>
              <w:rPr>
                <w:w w:val="100"/>
                <w:sz w:val="21"/>
                <w:shd w:fill="DADADA" w:color="auto" w:val="clear"/>
              </w:rPr>
              <w:t>；</w:t>
            </w:r>
          </w:p>
          <w:p>
            <w:pPr>
              <w:pStyle w:val="TableParagraph"/>
              <w:spacing w:before="37"/>
              <w:ind w:left="85"/>
              <w:rPr>
                <w:sz w:val="21"/>
              </w:rPr>
            </w:pPr>
            <w:r>
              <w:rPr>
                <w:sz w:val="21"/>
                <w:shd w:fill="DADADA" w:color="auto" w:val="clear"/>
              </w:rPr>
              <w:t>（6）战争、军事冲突、暴乱或武装叛乱；</w:t>
            </w:r>
          </w:p>
          <w:p>
            <w:pPr>
              <w:pStyle w:val="TableParagraph"/>
              <w:spacing w:before="37"/>
              <w:ind w:left="85"/>
              <w:rPr>
                <w:sz w:val="21"/>
              </w:rPr>
            </w:pPr>
            <w:r>
              <w:rPr>
                <w:sz w:val="21"/>
                <w:shd w:fill="DADADA" w:color="auto" w:val="clear"/>
              </w:rPr>
              <w:t>（7）核爆炸、核辐射或核污染；</w:t>
            </w:r>
          </w:p>
          <w:p>
            <w:pPr>
              <w:pStyle w:val="TableParagraph"/>
              <w:spacing w:line="310" w:lineRule="atLeast" w:before="1"/>
              <w:ind w:left="85" w:right="303"/>
              <w:jc w:val="both"/>
              <w:rPr>
                <w:sz w:val="21"/>
              </w:rPr>
            </w:pPr>
            <w:r>
              <w:rPr>
                <w:w w:val="100"/>
                <w:sz w:val="21"/>
                <w:shd w:fill="DADADA" w:color="auto" w:val="clear"/>
              </w:rPr>
              <w:t>（8</w:t>
            </w:r>
            <w:r>
              <w:rPr>
                <w:spacing w:val="-3"/>
                <w:w w:val="100"/>
                <w:sz w:val="21"/>
                <w:shd w:fill="DADADA" w:color="auto" w:val="clear"/>
              </w:rPr>
              <w:t>）</w:t>
            </w:r>
            <w:r>
              <w:rPr>
                <w:rFonts w:ascii="黑体" w:hAnsi="黑体" w:eastAsia="黑体" w:hint="eastAsia"/>
                <w:b/>
                <w:w w:val="100"/>
                <w:sz w:val="21"/>
                <w:shd w:fill="DADADA" w:color="auto" w:val="clear"/>
              </w:rPr>
              <w:t>遗传性疾病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w:t>
            </w:r>
            <w:r>
              <w:rPr>
                <w:spacing w:val="-3"/>
                <w:w w:val="100"/>
                <w:sz w:val="21"/>
                <w:shd w:fill="DADADA" w:color="auto" w:val="clear"/>
              </w:rPr>
              <w:t>2</w:t>
            </w:r>
            <w:r>
              <w:rPr>
                <w:spacing w:val="-1"/>
                <w:w w:val="100"/>
                <w:sz w:val="21"/>
                <w:shd w:fill="DADADA" w:color="auto" w:val="clear"/>
              </w:rPr>
              <w:t>1</w:t>
            </w:r>
            <w:r>
              <w:rPr>
                <w:spacing w:val="-106"/>
                <w:w w:val="100"/>
                <w:sz w:val="21"/>
                <w:shd w:fill="DADADA" w:color="auto" w:val="clear"/>
              </w:rPr>
              <w:t>）</w:t>
            </w:r>
            <w:r>
              <w:rPr>
                <w:spacing w:val="-3"/>
                <w:w w:val="100"/>
                <w:sz w:val="21"/>
                <w:shd w:fill="DADADA" w:color="auto" w:val="clear"/>
              </w:rPr>
              <w:t>，</w:t>
            </w:r>
            <w:r>
              <w:rPr>
                <w:rFonts w:ascii="黑体" w:hAnsi="黑体" w:eastAsia="黑体" w:hint="eastAsia"/>
                <w:b/>
                <w:spacing w:val="-1"/>
                <w:w w:val="100"/>
                <w:sz w:val="21"/>
                <w:shd w:fill="DADADA" w:color="auto" w:val="clear"/>
              </w:rPr>
              <w:t>先天性畸形、变形或染色体异常</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22</w:t>
            </w:r>
            <w:r>
              <w:rPr>
                <w:spacing w:val="-108"/>
                <w:w w:val="100"/>
                <w:sz w:val="21"/>
                <w:shd w:fill="DADADA" w:color="auto" w:val="clear"/>
              </w:rPr>
              <w:t>）。</w:t>
            </w:r>
            <w:r>
              <w:rPr>
                <w:sz w:val="21"/>
                <w:shd w:fill="DADADA" w:color="auto" w:val="clear"/>
              </w:rPr>
              <w:t>发生上述第（1）项情形导致被保险人初次发生“重大疾病”或“特定重大</w:t>
            </w:r>
            <w:r>
              <w:rPr>
                <w:spacing w:val="-7"/>
                <w:sz w:val="21"/>
                <w:shd w:fill="DADADA" w:color="auto" w:val="clear"/>
              </w:rPr>
              <w:t>疾病”的，本附加险合同终止，主险合同同时终止，我们向被保险人退还本</w:t>
            </w:r>
            <w:r>
              <w:rPr>
                <w:spacing w:val="-3"/>
                <w:sz w:val="21"/>
                <w:shd w:fill="DADADA" w:color="auto" w:val="clear"/>
              </w:rPr>
              <w:t>附加险合同及主险合同的现金价值。</w:t>
            </w:r>
          </w:p>
        </w:tc>
      </w:tr>
    </w:tbl>
    <w:p>
      <w:pPr>
        <w:spacing w:after="0" w:line="310" w:lineRule="atLeast"/>
        <w:jc w:val="both"/>
        <w:rPr>
          <w:sz w:val="21"/>
        </w:rPr>
        <w:sectPr>
          <w:pgSz w:w="11910" w:h="16840"/>
          <w:pgMar w:top="1160" w:bottom="280" w:left="54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126"/>
        <w:gridCol w:w="7203"/>
      </w:tblGrid>
      <w:tr>
        <w:trPr>
          <w:trHeight w:val="1080" w:hRule="atLeast"/>
        </w:trPr>
        <w:tc>
          <w:tcPr>
            <w:tcW w:w="925" w:type="dxa"/>
          </w:tcPr>
          <w:p>
            <w:pPr>
              <w:pStyle w:val="TableParagraph"/>
              <w:rPr>
                <w:rFonts w:ascii="Times New Roman"/>
                <w:sz w:val="20"/>
              </w:rPr>
            </w:pPr>
          </w:p>
        </w:tc>
        <w:tc>
          <w:tcPr>
            <w:tcW w:w="2126" w:type="dxa"/>
          </w:tcPr>
          <w:p>
            <w:pPr>
              <w:pStyle w:val="TableParagraph"/>
              <w:rPr>
                <w:rFonts w:ascii="Times New Roman"/>
                <w:sz w:val="20"/>
              </w:rPr>
            </w:pPr>
          </w:p>
        </w:tc>
        <w:tc>
          <w:tcPr>
            <w:tcW w:w="7203" w:type="dxa"/>
          </w:tcPr>
          <w:p>
            <w:pPr>
              <w:pStyle w:val="TableParagraph"/>
              <w:spacing w:line="211" w:lineRule="exact"/>
              <w:ind w:left="203"/>
              <w:rPr>
                <w:sz w:val="21"/>
              </w:rPr>
            </w:pPr>
            <w:r>
              <w:rPr>
                <w:sz w:val="21"/>
                <w:shd w:fill="DADADA" w:color="auto" w:val="clear"/>
              </w:rPr>
              <w:t>发生上述其他情形导致被保险人初次发生“重大疾病”或“特定重大疾病”</w:t>
            </w:r>
          </w:p>
          <w:p>
            <w:pPr>
              <w:pStyle w:val="TableParagraph"/>
              <w:spacing w:line="273" w:lineRule="auto" w:before="37"/>
              <w:ind w:left="203" w:right="102"/>
              <w:rPr>
                <w:sz w:val="21"/>
              </w:rPr>
            </w:pPr>
            <w:r>
              <w:rPr>
                <w:spacing w:val="-7"/>
                <w:sz w:val="21"/>
                <w:shd w:fill="DADADA" w:color="auto" w:val="clear"/>
              </w:rPr>
              <w:t>的，本附加险合同终止，主险合同同时终止，我们向您退还本附加险合同及</w:t>
            </w:r>
            <w:r>
              <w:rPr>
                <w:spacing w:val="-5"/>
                <w:sz w:val="21"/>
                <w:shd w:fill="DADADA" w:color="auto" w:val="clear"/>
              </w:rPr>
              <w:t>主险合同的现金价值。</w:t>
            </w:r>
          </w:p>
        </w:tc>
      </w:tr>
      <w:tr>
        <w:trPr>
          <w:trHeight w:val="768" w:hRule="atLeast"/>
        </w:trPr>
        <w:tc>
          <w:tcPr>
            <w:tcW w:w="92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9329" w:type="dxa"/>
            <w:gridSpan w:val="2"/>
            <w:tcBorders>
              <w:bottom w:val="single" w:sz="8" w:space="0" w:color="000000"/>
            </w:tcBorders>
          </w:tcPr>
          <w:p>
            <w:pPr>
              <w:pStyle w:val="TableParagraph"/>
              <w:spacing w:before="11"/>
              <w:rPr>
                <w:sz w:val="19"/>
              </w:rPr>
            </w:pPr>
          </w:p>
          <w:p>
            <w:pPr>
              <w:pStyle w:val="TableParagraph"/>
              <w:ind w:left="459"/>
              <w:rPr>
                <w:b/>
                <w:sz w:val="24"/>
              </w:rPr>
            </w:pPr>
            <w:r>
              <w:rPr>
                <w:b/>
                <w:w w:val="95"/>
                <w:sz w:val="24"/>
              </w:rPr>
              <w:t>如何申请领取保险金</w:t>
            </w:r>
          </w:p>
        </w:tc>
      </w:tr>
      <w:tr>
        <w:trPr>
          <w:trHeight w:val="1031"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3.1</w:t>
            </w:r>
          </w:p>
        </w:tc>
        <w:tc>
          <w:tcPr>
            <w:tcW w:w="2126" w:type="dxa"/>
            <w:tcBorders>
              <w:top w:val="single" w:sz="8" w:space="0" w:color="000000"/>
            </w:tcBorders>
          </w:tcPr>
          <w:p>
            <w:pPr>
              <w:pStyle w:val="TableParagraph"/>
              <w:spacing w:before="2"/>
              <w:rPr>
                <w:sz w:val="19"/>
              </w:rPr>
            </w:pPr>
          </w:p>
          <w:p>
            <w:pPr>
              <w:pStyle w:val="TableParagraph"/>
              <w:ind w:left="459"/>
              <w:rPr>
                <w:b/>
                <w:sz w:val="21"/>
              </w:rPr>
            </w:pPr>
            <w:r>
              <w:rPr>
                <w:b/>
                <w:sz w:val="21"/>
              </w:rPr>
              <w:t>受益人</w:t>
            </w:r>
          </w:p>
        </w:tc>
        <w:tc>
          <w:tcPr>
            <w:tcW w:w="7203" w:type="dxa"/>
            <w:tcBorders>
              <w:top w:val="single" w:sz="8" w:space="0" w:color="000000"/>
            </w:tcBorders>
          </w:tcPr>
          <w:p>
            <w:pPr>
              <w:pStyle w:val="TableParagraph"/>
              <w:spacing w:before="2"/>
              <w:rPr>
                <w:sz w:val="19"/>
              </w:rPr>
            </w:pPr>
          </w:p>
          <w:p>
            <w:pPr>
              <w:pStyle w:val="TableParagraph"/>
              <w:spacing w:line="273" w:lineRule="auto"/>
              <w:ind w:left="97" w:right="104"/>
              <w:rPr>
                <w:sz w:val="21"/>
              </w:rPr>
            </w:pPr>
            <w:r>
              <w:rPr>
                <w:sz w:val="21"/>
              </w:rPr>
              <w:t>除另有约定外，重大疾病保险金、特定重大疾病保险金及重症手足口病保险金受益人为被保险人本人。</w:t>
            </w:r>
          </w:p>
        </w:tc>
      </w:tr>
      <w:tr>
        <w:trPr>
          <w:trHeight w:val="596" w:hRule="atLeast"/>
        </w:trPr>
        <w:tc>
          <w:tcPr>
            <w:tcW w:w="925" w:type="dxa"/>
          </w:tcPr>
          <w:p>
            <w:pPr>
              <w:pStyle w:val="TableParagraph"/>
              <w:spacing w:before="129"/>
              <w:ind w:left="107"/>
              <w:rPr>
                <w:b/>
                <w:sz w:val="21"/>
              </w:rPr>
            </w:pPr>
            <w:r>
              <w:rPr>
                <w:b/>
                <w:sz w:val="21"/>
              </w:rPr>
              <w:t>3.2</w:t>
            </w:r>
          </w:p>
        </w:tc>
        <w:tc>
          <w:tcPr>
            <w:tcW w:w="2126" w:type="dxa"/>
          </w:tcPr>
          <w:p>
            <w:pPr>
              <w:pStyle w:val="TableParagraph"/>
              <w:spacing w:before="129"/>
              <w:ind w:left="459"/>
              <w:rPr>
                <w:b/>
                <w:sz w:val="21"/>
              </w:rPr>
            </w:pPr>
            <w:r>
              <w:rPr>
                <w:b/>
                <w:sz w:val="21"/>
              </w:rPr>
              <w:t>保险金申请</w:t>
            </w:r>
          </w:p>
        </w:tc>
        <w:tc>
          <w:tcPr>
            <w:tcW w:w="7203" w:type="dxa"/>
          </w:tcPr>
          <w:p>
            <w:pPr>
              <w:pStyle w:val="TableParagraph"/>
              <w:spacing w:before="129"/>
              <w:ind w:left="97"/>
              <w:rPr>
                <w:sz w:val="21"/>
              </w:rPr>
            </w:pPr>
            <w:r>
              <w:rPr>
                <w:sz w:val="21"/>
              </w:rPr>
              <w:t>在申请保险金时，请按照下列方式办理：</w:t>
            </w:r>
          </w:p>
        </w:tc>
      </w:tr>
      <w:tr>
        <w:trPr>
          <w:trHeight w:val="2778" w:hRule="atLeast"/>
        </w:trPr>
        <w:tc>
          <w:tcPr>
            <w:tcW w:w="925" w:type="dxa"/>
          </w:tcPr>
          <w:p>
            <w:pPr>
              <w:pStyle w:val="TableParagraph"/>
              <w:rPr>
                <w:rFonts w:ascii="Times New Roman"/>
                <w:sz w:val="20"/>
              </w:rPr>
            </w:pPr>
          </w:p>
        </w:tc>
        <w:tc>
          <w:tcPr>
            <w:tcW w:w="2126" w:type="dxa"/>
          </w:tcPr>
          <w:p>
            <w:pPr>
              <w:pStyle w:val="TableParagraph"/>
              <w:spacing w:line="235" w:lineRule="auto" w:before="132"/>
              <w:ind w:left="459" w:right="94"/>
              <w:jc w:val="both"/>
              <w:rPr>
                <w:rFonts w:ascii="等线" w:eastAsia="等线" w:hint="eastAsia"/>
                <w:b/>
                <w:sz w:val="24"/>
              </w:rPr>
            </w:pPr>
            <w:r>
              <w:rPr>
                <w:rFonts w:ascii="等线" w:eastAsia="等线" w:hint="eastAsia"/>
                <w:b/>
                <w:sz w:val="24"/>
              </w:rPr>
              <w:t>重大疾病保险金、特定重大疾病保险金和重症手足口病保险金申请</w:t>
            </w:r>
          </w:p>
        </w:tc>
        <w:tc>
          <w:tcPr>
            <w:tcW w:w="7203" w:type="dxa"/>
          </w:tcPr>
          <w:p>
            <w:pPr>
              <w:pStyle w:val="TableParagraph"/>
              <w:spacing w:before="128"/>
              <w:ind w:left="97"/>
              <w:rPr>
                <w:sz w:val="21"/>
              </w:rPr>
            </w:pPr>
            <w:r>
              <w:rPr>
                <w:sz w:val="21"/>
              </w:rPr>
              <w:t>由受益人填写保险金给付申请书，并提供下列证明和资料：</w:t>
            </w:r>
          </w:p>
          <w:p>
            <w:pPr>
              <w:pStyle w:val="TableParagraph"/>
              <w:spacing w:before="37"/>
              <w:ind w:left="97"/>
              <w:rPr>
                <w:sz w:val="21"/>
              </w:rPr>
            </w:pPr>
            <w:r>
              <w:rPr>
                <w:sz w:val="21"/>
              </w:rPr>
              <w:t>（1）保险合同；</w:t>
            </w:r>
          </w:p>
          <w:p>
            <w:pPr>
              <w:pStyle w:val="TableParagraph"/>
              <w:spacing w:before="37"/>
              <w:ind w:left="97"/>
              <w:rPr>
                <w:sz w:val="21"/>
              </w:rPr>
            </w:pPr>
            <w:r>
              <w:rPr>
                <w:sz w:val="21"/>
              </w:rPr>
              <w:t>（2）受益人的有效身份证件；</w:t>
            </w:r>
          </w:p>
          <w:p>
            <w:pPr>
              <w:pStyle w:val="TableParagraph"/>
              <w:spacing w:line="273" w:lineRule="auto" w:before="37"/>
              <w:ind w:left="638" w:right="43" w:hanging="524"/>
              <w:rPr>
                <w:sz w:val="21"/>
              </w:rPr>
            </w:pPr>
            <w:r>
              <w:rPr>
                <w:sz w:val="21"/>
              </w:rPr>
              <w:t>（3）医院出具的附有病理显微镜检查、血液检验及其他科学方法检验报告的疾病诊断证明书；</w:t>
            </w:r>
          </w:p>
          <w:p>
            <w:pPr>
              <w:pStyle w:val="TableParagraph"/>
              <w:spacing w:line="273" w:lineRule="auto" w:before="8"/>
              <w:ind w:left="98" w:right="104"/>
              <w:rPr>
                <w:sz w:val="21"/>
              </w:rPr>
            </w:pPr>
            <w:r>
              <w:rPr>
                <w:sz w:val="21"/>
              </w:rPr>
              <w:t>（4）</w:t>
            </w:r>
            <w:r>
              <w:rPr>
                <w:spacing w:val="-3"/>
                <w:sz w:val="21"/>
              </w:rPr>
              <w:t>所能提供的与确认保险事故的性质、原因等有关的其他证明和资料。 以上证明和资料不完整的，我们将一次性通知受益人补充提供有关证明和资料。</w:t>
            </w:r>
          </w:p>
        </w:tc>
      </w:tr>
      <w:tr>
        <w:trPr>
          <w:trHeight w:val="3091" w:hRule="atLeast"/>
        </w:trPr>
        <w:tc>
          <w:tcPr>
            <w:tcW w:w="925" w:type="dxa"/>
          </w:tcPr>
          <w:p>
            <w:pPr>
              <w:pStyle w:val="TableParagraph"/>
              <w:spacing w:before="128"/>
              <w:ind w:left="107"/>
              <w:rPr>
                <w:b/>
                <w:sz w:val="21"/>
              </w:rPr>
            </w:pPr>
            <w:r>
              <w:rPr>
                <w:b/>
                <w:sz w:val="21"/>
              </w:rPr>
              <w:t>3.3</w:t>
            </w:r>
          </w:p>
        </w:tc>
        <w:tc>
          <w:tcPr>
            <w:tcW w:w="2126" w:type="dxa"/>
          </w:tcPr>
          <w:p>
            <w:pPr>
              <w:pStyle w:val="TableParagraph"/>
              <w:spacing w:before="128"/>
              <w:ind w:left="459"/>
              <w:rPr>
                <w:b/>
                <w:sz w:val="21"/>
              </w:rPr>
            </w:pPr>
            <w:r>
              <w:rPr>
                <w:b/>
                <w:sz w:val="21"/>
              </w:rPr>
              <w:t>保险金的给付</w:t>
            </w:r>
          </w:p>
        </w:tc>
        <w:tc>
          <w:tcPr>
            <w:tcW w:w="7203" w:type="dxa"/>
          </w:tcPr>
          <w:p>
            <w:pPr>
              <w:pStyle w:val="TableParagraph"/>
              <w:spacing w:before="128"/>
              <w:ind w:left="97"/>
              <w:jc w:val="both"/>
              <w:rPr>
                <w:sz w:val="21"/>
              </w:rPr>
            </w:pPr>
            <w:r>
              <w:rPr>
                <w:sz w:val="21"/>
              </w:rPr>
              <w:t>我们在收到保险金给付申请书及上述有关证明和资料后，将在 5 日内作出核</w:t>
            </w:r>
          </w:p>
          <w:p>
            <w:pPr>
              <w:pStyle w:val="TableParagraph"/>
              <w:spacing w:before="36"/>
              <w:ind w:left="97"/>
              <w:jc w:val="both"/>
              <w:rPr>
                <w:sz w:val="21"/>
              </w:rPr>
            </w:pPr>
            <w:r>
              <w:rPr>
                <w:sz w:val="21"/>
              </w:rPr>
              <w:t>定；情形复杂的，在 30 日内作出核定。</w:t>
            </w:r>
          </w:p>
          <w:p>
            <w:pPr>
              <w:pStyle w:val="TableParagraph"/>
              <w:spacing w:before="36"/>
              <w:ind w:left="98"/>
              <w:jc w:val="both"/>
              <w:rPr>
                <w:sz w:val="21"/>
              </w:rPr>
            </w:pPr>
            <w:r>
              <w:rPr>
                <w:spacing w:val="-7"/>
                <w:sz w:val="21"/>
              </w:rPr>
              <w:t>对属于保险责任的，我们在与受益人达成给付保险金的协议后 </w:t>
            </w:r>
            <w:r>
              <w:rPr>
                <w:sz w:val="21"/>
              </w:rPr>
              <w:t>10</w:t>
            </w:r>
            <w:r>
              <w:rPr>
                <w:spacing w:val="-10"/>
                <w:sz w:val="21"/>
              </w:rPr>
              <w:t> 日内，履行</w:t>
            </w:r>
          </w:p>
          <w:p>
            <w:pPr>
              <w:pStyle w:val="TableParagraph"/>
              <w:spacing w:before="36"/>
              <w:ind w:left="98"/>
              <w:jc w:val="both"/>
              <w:rPr>
                <w:sz w:val="21"/>
              </w:rPr>
            </w:pPr>
            <w:r>
              <w:rPr>
                <w:spacing w:val="-8"/>
                <w:sz w:val="21"/>
              </w:rPr>
              <w:t>给付保险金义务；若我们在收齐相关证明和资料后第 </w:t>
            </w:r>
            <w:r>
              <w:rPr>
                <w:sz w:val="21"/>
              </w:rPr>
              <w:t>30</w:t>
            </w:r>
            <w:r>
              <w:rPr>
                <w:spacing w:val="-9"/>
                <w:sz w:val="21"/>
              </w:rPr>
              <w:t> 日仍未作出核定，除</w:t>
            </w:r>
          </w:p>
          <w:p>
            <w:pPr>
              <w:pStyle w:val="TableParagraph"/>
              <w:spacing w:line="273" w:lineRule="auto" w:before="36"/>
              <w:ind w:left="98" w:right="102"/>
              <w:jc w:val="both"/>
              <w:rPr>
                <w:sz w:val="21"/>
              </w:rPr>
            </w:pPr>
            <w:r>
              <w:rPr>
                <w:spacing w:val="-11"/>
                <w:sz w:val="21"/>
              </w:rPr>
              <w:t>支付保险金外，我们将从第 </w:t>
            </w:r>
            <w:r>
              <w:rPr>
                <w:sz w:val="21"/>
              </w:rPr>
              <w:t>31</w:t>
            </w:r>
            <w:r>
              <w:rPr>
                <w:spacing w:val="-8"/>
                <w:sz w:val="21"/>
              </w:rPr>
              <w:t> 日起按超过天数赔偿受益人因此受到的利息损失。利息按照我们公示的利率按单利计算，且保证该利率不低于中国人民银</w:t>
            </w:r>
            <w:r>
              <w:rPr>
                <w:spacing w:val="-5"/>
                <w:sz w:val="21"/>
              </w:rPr>
              <w:t>行公布的同期金融机构人民币活期存款基准利率。</w:t>
            </w:r>
          </w:p>
          <w:p>
            <w:pPr>
              <w:pStyle w:val="TableParagraph"/>
              <w:spacing w:line="273" w:lineRule="auto" w:before="7"/>
              <w:ind w:left="97" w:right="99"/>
              <w:jc w:val="both"/>
              <w:rPr>
                <w:sz w:val="21"/>
              </w:rPr>
            </w:pPr>
            <w:r>
              <w:rPr>
                <w:spacing w:val="-3"/>
                <w:sz w:val="21"/>
              </w:rPr>
              <w:t>对不属于保险责任的，我们自作出核定之日起 </w:t>
            </w:r>
            <w:r>
              <w:rPr>
                <w:sz w:val="21"/>
              </w:rPr>
              <w:t>3</w:t>
            </w:r>
            <w:r>
              <w:rPr>
                <w:spacing w:val="-3"/>
                <w:sz w:val="21"/>
              </w:rPr>
              <w:t> 日内向受益人发出拒绝给付保险金通知书并说明理由。</w:t>
            </w:r>
          </w:p>
        </w:tc>
      </w:tr>
      <w:tr>
        <w:trPr>
          <w:trHeight w:val="960" w:hRule="atLeast"/>
        </w:trPr>
        <w:tc>
          <w:tcPr>
            <w:tcW w:w="925" w:type="dxa"/>
          </w:tcPr>
          <w:p>
            <w:pPr>
              <w:pStyle w:val="TableParagraph"/>
              <w:spacing w:before="128"/>
              <w:ind w:left="107"/>
              <w:rPr>
                <w:b/>
                <w:sz w:val="21"/>
              </w:rPr>
            </w:pPr>
            <w:r>
              <w:rPr>
                <w:b/>
                <w:sz w:val="21"/>
              </w:rPr>
              <w:t>3.4</w:t>
            </w:r>
          </w:p>
        </w:tc>
        <w:tc>
          <w:tcPr>
            <w:tcW w:w="2126" w:type="dxa"/>
          </w:tcPr>
          <w:p>
            <w:pPr>
              <w:pStyle w:val="TableParagraph"/>
              <w:spacing w:before="128"/>
              <w:ind w:left="459"/>
              <w:rPr>
                <w:b/>
                <w:sz w:val="21"/>
              </w:rPr>
            </w:pPr>
            <w:r>
              <w:rPr>
                <w:b/>
                <w:sz w:val="21"/>
              </w:rPr>
              <w:t>诉讼时效</w:t>
            </w:r>
          </w:p>
        </w:tc>
        <w:tc>
          <w:tcPr>
            <w:tcW w:w="7203" w:type="dxa"/>
          </w:tcPr>
          <w:p>
            <w:pPr>
              <w:pStyle w:val="TableParagraph"/>
              <w:spacing w:line="273" w:lineRule="auto" w:before="128"/>
              <w:ind w:left="97" w:right="44"/>
              <w:rPr>
                <w:sz w:val="21"/>
              </w:rPr>
            </w:pPr>
            <w:r>
              <w:rPr>
                <w:sz w:val="21"/>
              </w:rPr>
              <w:t>受益人向我们请求给付保险金的诉讼时效期间为 2 年，自其知道或者应当知道保险事故发生之日起计算。</w:t>
            </w:r>
          </w:p>
        </w:tc>
      </w:tr>
      <w:tr>
        <w:trPr>
          <w:trHeight w:val="768" w:hRule="atLeast"/>
        </w:trPr>
        <w:tc>
          <w:tcPr>
            <w:tcW w:w="92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2126" w:type="dxa"/>
            <w:tcBorders>
              <w:bottom w:val="single" w:sz="8" w:space="0" w:color="000000"/>
            </w:tcBorders>
          </w:tcPr>
          <w:p>
            <w:pPr>
              <w:pStyle w:val="TableParagraph"/>
              <w:spacing w:before="11"/>
              <w:rPr>
                <w:sz w:val="19"/>
              </w:rPr>
            </w:pPr>
          </w:p>
          <w:p>
            <w:pPr>
              <w:pStyle w:val="TableParagraph"/>
              <w:ind w:left="459" w:right="-29"/>
              <w:rPr>
                <w:b/>
                <w:sz w:val="24"/>
              </w:rPr>
            </w:pPr>
            <w:r>
              <w:rPr>
                <w:b/>
                <w:w w:val="95"/>
                <w:sz w:val="24"/>
              </w:rPr>
              <w:t>如何支付保险费</w:t>
            </w:r>
          </w:p>
        </w:tc>
        <w:tc>
          <w:tcPr>
            <w:tcW w:w="7203" w:type="dxa"/>
            <w:tcBorders>
              <w:bottom w:val="single" w:sz="8" w:space="0" w:color="000000"/>
            </w:tcBorders>
          </w:tcPr>
          <w:p>
            <w:pPr>
              <w:pStyle w:val="TableParagraph"/>
              <w:rPr>
                <w:rFonts w:ascii="Times New Roman"/>
                <w:sz w:val="20"/>
              </w:rPr>
            </w:pPr>
          </w:p>
        </w:tc>
      </w:tr>
      <w:tr>
        <w:trPr>
          <w:trHeight w:val="1342"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4.1</w:t>
            </w:r>
          </w:p>
        </w:tc>
        <w:tc>
          <w:tcPr>
            <w:tcW w:w="2126" w:type="dxa"/>
            <w:tcBorders>
              <w:top w:val="single" w:sz="8" w:space="0" w:color="000000"/>
            </w:tcBorders>
          </w:tcPr>
          <w:p>
            <w:pPr>
              <w:pStyle w:val="TableParagraph"/>
              <w:spacing w:before="2"/>
              <w:rPr>
                <w:sz w:val="19"/>
              </w:rPr>
            </w:pPr>
          </w:p>
          <w:p>
            <w:pPr>
              <w:pStyle w:val="TableParagraph"/>
              <w:ind w:left="459"/>
              <w:rPr>
                <w:b/>
                <w:sz w:val="21"/>
              </w:rPr>
            </w:pPr>
            <w:r>
              <w:rPr>
                <w:b/>
                <w:sz w:val="21"/>
              </w:rPr>
              <w:t>保险费的支付</w:t>
            </w:r>
          </w:p>
        </w:tc>
        <w:tc>
          <w:tcPr>
            <w:tcW w:w="7203" w:type="dxa"/>
            <w:tcBorders>
              <w:top w:val="single" w:sz="8" w:space="0" w:color="000000"/>
            </w:tcBorders>
          </w:tcPr>
          <w:p>
            <w:pPr>
              <w:pStyle w:val="TableParagraph"/>
              <w:spacing w:before="2"/>
              <w:rPr>
                <w:sz w:val="19"/>
              </w:rPr>
            </w:pPr>
          </w:p>
          <w:p>
            <w:pPr>
              <w:pStyle w:val="TableParagraph"/>
              <w:spacing w:line="273" w:lineRule="auto"/>
              <w:ind w:left="203" w:right="102"/>
              <w:rPr>
                <w:sz w:val="21"/>
              </w:rPr>
            </w:pPr>
            <w:r>
              <w:rPr>
                <w:spacing w:val="-3"/>
                <w:sz w:val="21"/>
              </w:rPr>
              <w:t>本附加险合同的交费方式和交费期间由您和我们约定并在保险单上载明。 </w:t>
            </w:r>
            <w:r>
              <w:rPr>
                <w:spacing w:val="-6"/>
                <w:sz w:val="21"/>
              </w:rPr>
              <w:t>分期支付保险费的，在支付首期保险费后，您应当在</w:t>
            </w:r>
            <w:r>
              <w:rPr>
                <w:rFonts w:ascii="黑体" w:eastAsia="黑体" w:hint="eastAsia"/>
                <w:b/>
                <w:spacing w:val="-2"/>
                <w:sz w:val="21"/>
              </w:rPr>
              <w:t>保险费约定支付日</w:t>
            </w:r>
            <w:r>
              <w:rPr>
                <w:spacing w:val="-3"/>
                <w:sz w:val="21"/>
              </w:rPr>
              <w:t>（见</w:t>
            </w:r>
          </w:p>
          <w:p>
            <w:pPr>
              <w:pStyle w:val="TableParagraph"/>
              <w:spacing w:before="7"/>
              <w:ind w:left="203"/>
              <w:rPr>
                <w:sz w:val="21"/>
              </w:rPr>
            </w:pPr>
            <w:r>
              <w:rPr>
                <w:sz w:val="21"/>
              </w:rPr>
              <w:t>9.23）支付其余各期的保险费。</w:t>
            </w:r>
          </w:p>
        </w:tc>
      </w:tr>
      <w:tr>
        <w:trPr>
          <w:trHeight w:val="1962" w:hRule="atLeast"/>
        </w:trPr>
        <w:tc>
          <w:tcPr>
            <w:tcW w:w="925" w:type="dxa"/>
          </w:tcPr>
          <w:p>
            <w:pPr>
              <w:pStyle w:val="TableParagraph"/>
              <w:spacing w:before="128"/>
              <w:ind w:left="107"/>
              <w:rPr>
                <w:b/>
                <w:sz w:val="21"/>
              </w:rPr>
            </w:pPr>
            <w:r>
              <w:rPr>
                <w:b/>
                <w:sz w:val="21"/>
              </w:rPr>
              <w:t>4.2</w:t>
            </w:r>
          </w:p>
        </w:tc>
        <w:tc>
          <w:tcPr>
            <w:tcW w:w="2126" w:type="dxa"/>
          </w:tcPr>
          <w:p>
            <w:pPr>
              <w:pStyle w:val="TableParagraph"/>
              <w:spacing w:before="128"/>
              <w:ind w:left="459"/>
              <w:rPr>
                <w:b/>
                <w:sz w:val="21"/>
              </w:rPr>
            </w:pPr>
            <w:r>
              <w:rPr>
                <w:b/>
                <w:sz w:val="21"/>
              </w:rPr>
              <w:t>保险费率调整</w:t>
            </w:r>
          </w:p>
        </w:tc>
        <w:tc>
          <w:tcPr>
            <w:tcW w:w="7203" w:type="dxa"/>
          </w:tcPr>
          <w:p>
            <w:pPr>
              <w:pStyle w:val="TableParagraph"/>
              <w:spacing w:line="273" w:lineRule="auto" w:before="128"/>
              <w:ind w:left="203" w:right="98"/>
              <w:jc w:val="both"/>
              <w:rPr>
                <w:sz w:val="21"/>
              </w:rPr>
            </w:pPr>
            <w:r>
              <w:rPr>
                <w:spacing w:val="-5"/>
                <w:sz w:val="21"/>
              </w:rPr>
              <w:t>我们将根据本附加险合同计算费率所用的重大疾病、特定重大疾病及重症手足口病发生率与实际情况的偏差程度，决定保险费率是否调整。本附加险合</w:t>
            </w:r>
            <w:r>
              <w:rPr>
                <w:spacing w:val="-6"/>
                <w:sz w:val="21"/>
              </w:rPr>
              <w:t>同的费率调整针对所有被保险人或同一投保年龄的所有被保险人。如果您不</w:t>
            </w:r>
            <w:r>
              <w:rPr>
                <w:spacing w:val="-8"/>
                <w:sz w:val="21"/>
              </w:rPr>
              <w:t>同意费率调整，可以申请解除合同。自我们收到解除合同申请书时起，本附</w:t>
            </w:r>
            <w:r>
              <w:rPr>
                <w:spacing w:val="-3"/>
                <w:sz w:val="21"/>
              </w:rPr>
              <w:t>加险合同终止，我们向您退还本附加险合同的现金价值。</w:t>
            </w:r>
          </w:p>
          <w:p>
            <w:pPr>
              <w:pStyle w:val="TableParagraph"/>
              <w:spacing w:line="255" w:lineRule="exact" w:before="7"/>
              <w:ind w:left="203"/>
              <w:jc w:val="both"/>
              <w:rPr>
                <w:sz w:val="21"/>
              </w:rPr>
            </w:pPr>
            <w:r>
              <w:rPr>
                <w:sz w:val="21"/>
              </w:rPr>
              <w:t>我们进行保险费率调整后，您须按调整后的保险费率支付续期保险费。</w:t>
            </w:r>
          </w:p>
        </w:tc>
      </w:tr>
    </w:tbl>
    <w:p>
      <w:pPr>
        <w:spacing w:after="0" w:line="255" w:lineRule="exact"/>
        <w:jc w:val="both"/>
        <w:rPr>
          <w:sz w:val="21"/>
        </w:rPr>
        <w:sectPr>
          <w:pgSz w:w="11910" w:h="16840"/>
          <w:pgMar w:top="1160" w:bottom="280" w:left="620" w:right="800"/>
        </w:sectPr>
      </w:pPr>
    </w:p>
    <w:p>
      <w:pPr>
        <w:tabs>
          <w:tab w:pos="1501" w:val="left" w:leader="none"/>
        </w:tabs>
        <w:spacing w:before="49"/>
        <w:ind w:left="224" w:right="0" w:firstLine="0"/>
        <w:jc w:val="left"/>
        <w:rPr>
          <w:b/>
          <w:sz w:val="24"/>
        </w:rPr>
      </w:pPr>
      <w:r>
        <w:rPr/>
        <w:pict>
          <v:group style="position:absolute;margin-left:36.840pt;margin-top:28.770754pt;width:512.8pt;height:1pt;mso-position-horizontal-relative:page;mso-position-vertical-relative:paragraph;z-index:1120;mso-wrap-distance-left:0;mso-wrap-distance-right:0" coordorigin="737,575" coordsize="10256,20">
            <v:line style="position:absolute" from="737,585" to="2014,585" stroked="true" strokeweight=".959pt" strokecolor="#000000">
              <v:stroke dashstyle="solid"/>
            </v:line>
            <v:rect style="position:absolute;left:2013;top:575;width:20;height:20" filled="true" fillcolor="#000000" stroked="false">
              <v:fill type="solid"/>
            </v:rect>
            <v:line style="position:absolute" from="2033,585" to="3883,585" stroked="true" strokeweight=".959pt" strokecolor="#000000">
              <v:stroke dashstyle="solid"/>
            </v:line>
            <v:rect style="position:absolute;left:3883;top:575;width:20;height:20" filled="true" fillcolor="#000000" stroked="false">
              <v:fill type="solid"/>
            </v:rect>
            <v:line style="position:absolute" from="3902,585" to="10992,585" stroked="true" strokeweight=".959pt" strokecolor="#000000">
              <v:stroke dashstyle="solid"/>
            </v:line>
            <w10:wrap type="topAndBottom"/>
          </v:group>
        </w:pict>
      </w:r>
      <w:r>
        <w:rPr>
          <w:rFonts w:ascii="Arial" w:hAnsi="Arial" w:eastAsia="Arial"/>
          <w:b/>
          <w:position w:val="-5"/>
          <w:sz w:val="40"/>
        </w:rPr>
        <w:t></w:t>
        <w:tab/>
      </w:r>
      <w:r>
        <w:rPr>
          <w:b/>
          <w:w w:val="95"/>
          <w:sz w:val="24"/>
        </w:rPr>
        <w:t>现金价值权益</w:t>
      </w:r>
    </w:p>
    <w:p>
      <w:pPr>
        <w:pStyle w:val="BodyText"/>
        <w:spacing w:before="2"/>
        <w:rPr>
          <w:b/>
          <w:sz w:val="14"/>
        </w:rPr>
      </w:pPr>
    </w:p>
    <w:p>
      <w:pPr>
        <w:tabs>
          <w:tab w:pos="1501" w:val="left" w:leader="none"/>
          <w:tab w:pos="3371" w:val="left" w:leader="none"/>
        </w:tabs>
        <w:spacing w:before="37"/>
        <w:ind w:left="224" w:right="0" w:firstLine="0"/>
        <w:jc w:val="left"/>
        <w:rPr>
          <w:sz w:val="21"/>
        </w:rPr>
      </w:pPr>
      <w:r>
        <w:rPr>
          <w:b/>
          <w:sz w:val="21"/>
        </w:rPr>
        <w:t>5.1</w:t>
        <w:tab/>
        <w:t>现金价值</w:t>
        <w:tab/>
      </w:r>
      <w:r>
        <w:rPr>
          <w:sz w:val="21"/>
        </w:rPr>
        <w:t>本附</w:t>
      </w:r>
      <w:r>
        <w:rPr>
          <w:spacing w:val="-3"/>
          <w:sz w:val="21"/>
        </w:rPr>
        <w:t>加</w:t>
      </w:r>
      <w:r>
        <w:rPr>
          <w:sz w:val="21"/>
        </w:rPr>
        <w:t>险</w:t>
      </w:r>
      <w:r>
        <w:rPr>
          <w:spacing w:val="-3"/>
          <w:sz w:val="21"/>
        </w:rPr>
        <w:t>合</w:t>
      </w:r>
      <w:r>
        <w:rPr>
          <w:sz w:val="21"/>
        </w:rPr>
        <w:t>同</w:t>
      </w:r>
      <w:r>
        <w:rPr>
          <w:spacing w:val="-3"/>
          <w:sz w:val="21"/>
        </w:rPr>
        <w:t>保</w:t>
      </w:r>
      <w:r>
        <w:rPr>
          <w:sz w:val="21"/>
        </w:rPr>
        <w:t>单</w:t>
      </w:r>
      <w:r>
        <w:rPr>
          <w:spacing w:val="-3"/>
          <w:sz w:val="21"/>
        </w:rPr>
        <w:t>年</w:t>
      </w:r>
      <w:r>
        <w:rPr>
          <w:sz w:val="21"/>
        </w:rPr>
        <w:t>度</w:t>
      </w:r>
      <w:r>
        <w:rPr>
          <w:spacing w:val="-3"/>
          <w:sz w:val="21"/>
        </w:rPr>
        <w:t>末</w:t>
      </w:r>
      <w:r>
        <w:rPr>
          <w:sz w:val="21"/>
        </w:rPr>
        <w:t>的现</w:t>
      </w:r>
      <w:r>
        <w:rPr>
          <w:spacing w:val="-3"/>
          <w:sz w:val="21"/>
        </w:rPr>
        <w:t>金</w:t>
      </w:r>
      <w:r>
        <w:rPr>
          <w:sz w:val="21"/>
        </w:rPr>
        <w:t>价</w:t>
      </w:r>
      <w:r>
        <w:rPr>
          <w:spacing w:val="-3"/>
          <w:sz w:val="21"/>
        </w:rPr>
        <w:t>值</w:t>
      </w:r>
      <w:r>
        <w:rPr>
          <w:sz w:val="21"/>
        </w:rPr>
        <w:t>会</w:t>
      </w:r>
      <w:r>
        <w:rPr>
          <w:spacing w:val="-3"/>
          <w:sz w:val="21"/>
        </w:rPr>
        <w:t>在</w:t>
      </w:r>
      <w:r>
        <w:rPr>
          <w:sz w:val="21"/>
        </w:rPr>
        <w:t>保</w:t>
      </w:r>
      <w:r>
        <w:rPr>
          <w:spacing w:val="-3"/>
          <w:sz w:val="21"/>
        </w:rPr>
        <w:t>险</w:t>
      </w:r>
      <w:r>
        <w:rPr>
          <w:sz w:val="21"/>
        </w:rPr>
        <w:t>单</w:t>
      </w:r>
      <w:r>
        <w:rPr>
          <w:spacing w:val="-3"/>
          <w:sz w:val="21"/>
        </w:rPr>
        <w:t>上</w:t>
      </w:r>
      <w:r>
        <w:rPr>
          <w:sz w:val="21"/>
        </w:rPr>
        <w:t>载</w:t>
      </w:r>
      <w:r>
        <w:rPr>
          <w:spacing w:val="-3"/>
          <w:sz w:val="21"/>
        </w:rPr>
        <w:t>明</w:t>
      </w:r>
      <w:r>
        <w:rPr>
          <w:spacing w:val="-37"/>
          <w:sz w:val="21"/>
        </w:rPr>
        <w:t>。</w:t>
      </w:r>
      <w:r>
        <w:rPr>
          <w:spacing w:val="-3"/>
          <w:sz w:val="21"/>
        </w:rPr>
        <w:t>保</w:t>
      </w:r>
      <w:r>
        <w:rPr>
          <w:sz w:val="21"/>
        </w:rPr>
        <w:t>单</w:t>
      </w:r>
      <w:r>
        <w:rPr>
          <w:spacing w:val="-3"/>
          <w:sz w:val="21"/>
        </w:rPr>
        <w:t>年</w:t>
      </w:r>
      <w:r>
        <w:rPr>
          <w:sz w:val="21"/>
        </w:rPr>
        <w:t>度</w:t>
      </w:r>
      <w:r>
        <w:rPr>
          <w:spacing w:val="-3"/>
          <w:sz w:val="21"/>
        </w:rPr>
        <w:t>内</w:t>
      </w:r>
      <w:r>
        <w:rPr>
          <w:sz w:val="21"/>
        </w:rPr>
        <w:t>的</w:t>
      </w:r>
      <w:r>
        <w:rPr>
          <w:spacing w:val="-3"/>
          <w:sz w:val="21"/>
        </w:rPr>
        <w:t>现金</w:t>
      </w:r>
    </w:p>
    <w:p>
      <w:pPr>
        <w:pStyle w:val="BodyText"/>
        <w:spacing w:before="37"/>
        <w:ind w:left="3371"/>
      </w:pPr>
      <w:r>
        <w:rPr/>
        <w:t>价值，您可以向我们咨询。</w:t>
      </w:r>
    </w:p>
    <w:p>
      <w:pPr>
        <w:pStyle w:val="BodyText"/>
        <w:rPr>
          <w:sz w:val="20"/>
        </w:rPr>
      </w:pPr>
    </w:p>
    <w:p>
      <w:pPr>
        <w:pStyle w:val="BodyText"/>
        <w:spacing w:before="10"/>
        <w:rPr>
          <w:sz w:val="14"/>
        </w:rPr>
      </w:pPr>
    </w:p>
    <w:p>
      <w:pPr>
        <w:tabs>
          <w:tab w:pos="1501" w:val="left" w:leader="none"/>
        </w:tabs>
        <w:spacing w:before="1"/>
        <w:ind w:left="224" w:right="0" w:firstLine="0"/>
        <w:jc w:val="left"/>
        <w:rPr>
          <w:b/>
          <w:sz w:val="24"/>
        </w:rPr>
      </w:pPr>
      <w:r>
        <w:rPr/>
        <w:pict>
          <v:group style="position:absolute;margin-left:36.840pt;margin-top:28.209753pt;width:512.8pt;height:1pt;mso-position-horizontal-relative:page;mso-position-vertical-relative:paragraph;z-index:1144;mso-wrap-distance-left:0;mso-wrap-distance-right:0" coordorigin="737,564" coordsize="10256,20">
            <v:line style="position:absolute" from="737,574" to="2014,574" stroked="true" strokeweight=".96pt" strokecolor="#000000">
              <v:stroke dashstyle="solid"/>
            </v:line>
            <v:rect style="position:absolute;left:2013;top:564;width:20;height:20" filled="true" fillcolor="#000000" stroked="false">
              <v:fill type="solid"/>
            </v:rect>
            <v:line style="position:absolute" from="2033,574" to="3883,574" stroked="true" strokeweight=".96pt" strokecolor="#000000">
              <v:stroke dashstyle="solid"/>
            </v:line>
            <v:rect style="position:absolute;left:3883;top:564;width:20;height:20" filled="true" fillcolor="#000000" stroked="false">
              <v:fill type="solid"/>
            </v:rect>
            <v:line style="position:absolute" from="3902,574" to="10992,574" stroked="true" strokeweight=".96pt" strokecolor="#000000">
              <v:stroke dashstyle="solid"/>
            </v:line>
            <w10:wrap type="topAndBottom"/>
          </v:group>
        </w:pict>
      </w:r>
      <w:r>
        <w:rPr>
          <w:rFonts w:ascii="Arial" w:hAnsi="Arial" w:eastAsia="Arial"/>
          <w:b/>
          <w:position w:val="-3"/>
          <w:sz w:val="40"/>
        </w:rPr>
        <w:t></w:t>
        <w:tab/>
      </w:r>
      <w:r>
        <w:rPr>
          <w:b/>
          <w:w w:val="95"/>
          <w:sz w:val="24"/>
        </w:rPr>
        <w:t>合同效力的恢复</w:t>
      </w:r>
    </w:p>
    <w:p>
      <w:pPr>
        <w:pStyle w:val="BodyText"/>
        <w:spacing w:before="2"/>
        <w:rPr>
          <w:b/>
          <w:sz w:val="14"/>
        </w:rPr>
      </w:pPr>
    </w:p>
    <w:p>
      <w:pPr>
        <w:tabs>
          <w:tab w:pos="1501" w:val="left" w:leader="none"/>
          <w:tab w:pos="3371" w:val="left" w:leader="none"/>
        </w:tabs>
        <w:spacing w:before="37"/>
        <w:ind w:left="224" w:right="0" w:firstLine="0"/>
        <w:jc w:val="left"/>
        <w:rPr>
          <w:sz w:val="21"/>
        </w:rPr>
      </w:pPr>
      <w:r>
        <w:rPr>
          <w:b/>
          <w:sz w:val="21"/>
        </w:rPr>
        <w:t>6.1</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sz w:val="21"/>
        </w:rPr>
        <w:t>2</w:t>
      </w:r>
      <w:r>
        <w:rPr>
          <w:spacing w:val="-34"/>
          <w:sz w:val="21"/>
        </w:rPr>
        <w:t> </w:t>
      </w:r>
      <w:r>
        <w:rPr>
          <w:sz w:val="21"/>
        </w:rPr>
        <w:t>年</w:t>
      </w:r>
      <w:r>
        <w:rPr>
          <w:spacing w:val="-3"/>
          <w:sz w:val="21"/>
        </w:rPr>
        <w:t>内</w:t>
      </w:r>
      <w:r>
        <w:rPr>
          <w:spacing w:val="-20"/>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复合</w:t>
      </w:r>
      <w:r>
        <w:rPr>
          <w:sz w:val="21"/>
        </w:rPr>
        <w:t>同效</w:t>
      </w:r>
      <w:r>
        <w:rPr>
          <w:spacing w:val="-3"/>
          <w:sz w:val="21"/>
        </w:rPr>
        <w:t>力</w:t>
      </w:r>
      <w:r>
        <w:rPr>
          <w:spacing w:val="-20"/>
          <w:sz w:val="21"/>
        </w:rPr>
        <w:t>。</w:t>
      </w:r>
      <w:r>
        <w:rPr>
          <w:spacing w:val="-3"/>
          <w:sz w:val="21"/>
        </w:rPr>
        <w:t>经</w:t>
      </w:r>
      <w:r>
        <w:rPr>
          <w:sz w:val="21"/>
        </w:rPr>
        <w:t>您</w:t>
      </w:r>
      <w:r>
        <w:rPr>
          <w:spacing w:val="-3"/>
          <w:sz w:val="21"/>
        </w:rPr>
        <w:t>与</w:t>
      </w:r>
      <w:r>
        <w:rPr>
          <w:sz w:val="21"/>
        </w:rPr>
        <w:t>我</w:t>
      </w:r>
      <w:r>
        <w:rPr>
          <w:spacing w:val="-3"/>
          <w:sz w:val="21"/>
        </w:rPr>
        <w:t>们协</w:t>
      </w:r>
    </w:p>
    <w:p>
      <w:pPr>
        <w:pStyle w:val="BodyText"/>
        <w:spacing w:line="273" w:lineRule="auto" w:before="37"/>
        <w:ind w:left="3371" w:right="1648"/>
      </w:pPr>
      <w:r>
        <w:rPr>
          <w:spacing w:val="-3"/>
        </w:rPr>
        <w:t>商并达成协议，在您补交保险费之日起，合同效力恢复。 主险合同效力中止期间，本附加险合同不得单独申请复效。</w:t>
      </w:r>
    </w:p>
    <w:p>
      <w:pPr>
        <w:pStyle w:val="BodyText"/>
        <w:spacing w:line="273" w:lineRule="auto" w:before="7"/>
        <w:ind w:left="3371" w:right="215" w:hanging="1"/>
        <w:jc w:val="both"/>
      </w:pPr>
      <w:r>
        <w:rPr>
          <w:spacing w:val="-6"/>
        </w:rPr>
        <w:t>自本附加险合同效力中止之日起满 </w:t>
      </w:r>
      <w:r>
        <w:rPr/>
        <w:t>2</w:t>
      </w:r>
      <w:r>
        <w:rPr>
          <w:spacing w:val="-11"/>
        </w:rPr>
        <w:t> 年您和我们未达成协议的，我们有权解</w:t>
      </w:r>
      <w:r>
        <w:rPr>
          <w:spacing w:val="-7"/>
        </w:rPr>
        <w:t>除合同。我们解除合同的，向您退还合同效力中止时本附加险合同的现金价值。</w:t>
      </w:r>
    </w:p>
    <w:p>
      <w:pPr>
        <w:pStyle w:val="BodyText"/>
        <w:spacing w:before="10"/>
        <w:rPr>
          <w:sz w:val="27"/>
        </w:rPr>
      </w:pPr>
    </w:p>
    <w:p>
      <w:pPr>
        <w:pStyle w:val="Heading2"/>
        <w:tabs>
          <w:tab w:pos="1501" w:val="left" w:leader="none"/>
        </w:tabs>
        <w:spacing w:before="0"/>
        <w:ind w:left="224"/>
        <w:rPr>
          <w:rFonts w:ascii="宋体" w:hAnsi="宋体" w:eastAsia="宋体" w:hint="eastAsia"/>
        </w:rPr>
      </w:pPr>
      <w:r>
        <w:rPr/>
        <w:pict>
          <v:group style="position:absolute;margin-left:36.840pt;margin-top:28.160759pt;width:512.8pt;height:1pt;mso-position-horizontal-relative:page;mso-position-vertical-relative:paragraph;z-index:1168;mso-wrap-distance-left:0;mso-wrap-distance-right:0" coordorigin="737,563" coordsize="10256,20">
            <v:line style="position:absolute" from="737,573" to="2014,573" stroked="true" strokeweight=".959pt" strokecolor="#000000">
              <v:stroke dashstyle="solid"/>
            </v:line>
            <v:rect style="position:absolute;left:2013;top:563;width:20;height:20" filled="true" fillcolor="#000000" stroked="false">
              <v:fill type="solid"/>
            </v:rect>
            <v:line style="position:absolute" from="2033,573" to="3883,573" stroked="true" strokeweight=".959pt" strokecolor="#000000">
              <v:stroke dashstyle="solid"/>
            </v:line>
            <v:rect style="position:absolute;left:3883;top:563;width:20;height:20" filled="true" fillcolor="#000000" stroked="false">
              <v:fill type="solid"/>
            </v:rect>
            <v:line style="position:absolute" from="3902,573" to="10992,573"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2"/>
        <w:rPr>
          <w:b/>
          <w:sz w:val="9"/>
        </w:rPr>
      </w:pPr>
    </w:p>
    <w:p>
      <w:pPr>
        <w:spacing w:after="0"/>
        <w:rPr>
          <w:sz w:val="9"/>
        </w:rPr>
        <w:sectPr>
          <w:pgSz w:w="11910" w:h="16840"/>
          <w:pgMar w:top="1360" w:bottom="280" w:left="620" w:right="800"/>
        </w:sectPr>
      </w:pPr>
    </w:p>
    <w:p>
      <w:pPr>
        <w:pStyle w:val="Heading3"/>
        <w:tabs>
          <w:tab w:pos="1501" w:val="left" w:leader="none"/>
        </w:tabs>
        <w:spacing w:line="273" w:lineRule="auto" w:before="37"/>
        <w:ind w:left="1501" w:hanging="1277"/>
      </w:pPr>
      <w:r>
        <w:rPr/>
        <w:t>7.1</w:t>
        <w:tab/>
      </w:r>
      <w:r>
        <w:rPr>
          <w:spacing w:val="26"/>
        </w:rPr>
        <w:t>您解除合同的手 </w:t>
      </w:r>
      <w:r>
        <w:rPr/>
        <w:t>续及风险</w:t>
      </w:r>
    </w:p>
    <w:p>
      <w:pPr>
        <w:pStyle w:val="BodyText"/>
        <w:spacing w:line="273" w:lineRule="auto" w:before="37"/>
        <w:ind w:left="147" w:right="168"/>
      </w:pPr>
      <w:r>
        <w:rPr/>
        <w:br w:type="column"/>
      </w:r>
      <w:r>
        <w:rPr/>
        <w:t>您在犹豫期后可以申请解除本附加险合同，请填写解除合同申请书并向我们提供下列资料：</w:t>
      </w:r>
    </w:p>
    <w:p>
      <w:pPr>
        <w:pStyle w:val="BodyText"/>
        <w:spacing w:before="7"/>
        <w:ind w:left="147"/>
      </w:pPr>
      <w:r>
        <w:rPr/>
        <w:t>（1）保险合同；</w:t>
      </w:r>
    </w:p>
    <w:p>
      <w:pPr>
        <w:pStyle w:val="BodyText"/>
        <w:spacing w:before="36"/>
        <w:ind w:left="147"/>
      </w:pPr>
      <w:r>
        <w:rPr/>
        <w:t>（2）您的有效身份证件。</w:t>
      </w:r>
    </w:p>
    <w:p>
      <w:pPr>
        <w:pStyle w:val="BodyText"/>
        <w:spacing w:line="273" w:lineRule="auto" w:before="36"/>
        <w:ind w:left="147" w:right="188" w:hanging="1"/>
      </w:pPr>
      <w:r>
        <w:rPr/>
        <w:t>自我们收到解除合同申请书时起，本附加险合同终止。我们自收到解除合同申请书之日起 30 日内向您退还本附加险合同的现金价值。</w:t>
      </w:r>
    </w:p>
    <w:p>
      <w:pPr>
        <w:pStyle w:val="BodyText"/>
        <w:spacing w:line="273" w:lineRule="auto" w:before="7"/>
        <w:ind w:left="147" w:right="180"/>
      </w:pPr>
      <w:r>
        <w:rPr/>
        <w:t>若您申请解除本附加险合同，主险合同必须与本附加险合同同时申请解除。您在犹豫期后解除合同会遭受一定损失。</w:t>
      </w:r>
    </w:p>
    <w:p>
      <w:pPr>
        <w:spacing w:after="0" w:line="273" w:lineRule="auto"/>
        <w:sectPr>
          <w:type w:val="continuous"/>
          <w:pgSz w:w="11910" w:h="16840"/>
          <w:pgMar w:top="560" w:bottom="280" w:left="620" w:right="800"/>
          <w:cols w:num="2" w:equalWidth="0">
            <w:col w:w="3184" w:space="40"/>
            <w:col w:w="7266"/>
          </w:cols>
        </w:sectPr>
      </w:pPr>
    </w:p>
    <w:p>
      <w:pPr>
        <w:pStyle w:val="BodyText"/>
        <w:spacing w:before="3"/>
        <w:rPr>
          <w:sz w:val="23"/>
        </w:rPr>
      </w:pPr>
    </w:p>
    <w:p>
      <w:pPr>
        <w:pStyle w:val="Heading2"/>
        <w:tabs>
          <w:tab w:pos="1501" w:val="left" w:leader="none"/>
        </w:tabs>
        <w:spacing w:before="60"/>
        <w:ind w:left="224"/>
        <w:rPr>
          <w:rFonts w:ascii="宋体" w:hAnsi="宋体" w:eastAsia="宋体" w:hint="eastAsia"/>
        </w:rPr>
      </w:pPr>
      <w:r>
        <w:rPr/>
        <w:pict>
          <v:group style="position:absolute;margin-left:36.840pt;margin-top:31.159761pt;width:512.8pt;height:1pt;mso-position-horizontal-relative:page;mso-position-vertical-relative:paragraph;z-index:1192;mso-wrap-distance-left:0;mso-wrap-distance-right:0" coordorigin="737,623" coordsize="10256,20">
            <v:line style="position:absolute" from="737,633" to="2014,633" stroked="true" strokeweight=".96pt" strokecolor="#000000">
              <v:stroke dashstyle="solid"/>
            </v:line>
            <v:rect style="position:absolute;left:2013;top:623;width:20;height:20" filled="true" fillcolor="#000000" stroked="false">
              <v:fill type="solid"/>
            </v:rect>
            <v:line style="position:absolute" from="2033,633" to="3883,633" stroked="true" strokeweight=".96pt" strokecolor="#000000">
              <v:stroke dashstyle="solid"/>
            </v:line>
            <v:rect style="position:absolute;left:3883;top:623;width:20;height:20" filled="true" fillcolor="#000000" stroked="false">
              <v:fill type="solid"/>
            </v:rect>
            <v:line style="position:absolute" from="3902,633" to="10992,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5"/>
        <w:rPr>
          <w:b/>
          <w:sz w:val="14"/>
        </w:rPr>
      </w:pPr>
    </w:p>
    <w:p>
      <w:pPr>
        <w:pStyle w:val="ListParagraph"/>
        <w:numPr>
          <w:ilvl w:val="1"/>
          <w:numId w:val="2"/>
        </w:numPr>
        <w:tabs>
          <w:tab w:pos="1501" w:val="left" w:leader="none"/>
          <w:tab w:pos="1502" w:val="left" w:leader="none"/>
          <w:tab w:pos="3373" w:val="left" w:leader="none"/>
        </w:tabs>
        <w:spacing w:line="240" w:lineRule="auto" w:before="36" w:after="0"/>
        <w:ind w:left="1501" w:right="0" w:hanging="1277"/>
        <w:jc w:val="left"/>
        <w:rPr>
          <w:sz w:val="21"/>
        </w:rPr>
      </w:pPr>
      <w:r>
        <w:rPr>
          <w:b/>
          <w:sz w:val="21"/>
        </w:rPr>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41"/>
          <w:sz w:val="21"/>
        </w:rPr>
        <w:t>，</w:t>
      </w:r>
      <w:r>
        <w:rPr>
          <w:sz w:val="21"/>
        </w:rPr>
        <w:t>应</w:t>
      </w:r>
      <w:r>
        <w:rPr>
          <w:spacing w:val="-3"/>
          <w:sz w:val="21"/>
        </w:rPr>
        <w:t>将与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保书</w:t>
      </w:r>
    </w:p>
    <w:p>
      <w:pPr>
        <w:pStyle w:val="BodyText"/>
        <w:spacing w:before="37"/>
        <w:ind w:left="3371"/>
      </w:pPr>
      <w:r>
        <w:rPr/>
        <w:t>上填明，如果发生错误按照下列方式办理：</w:t>
      </w:r>
    </w:p>
    <w:p>
      <w:pPr>
        <w:pStyle w:val="BodyText"/>
        <w:spacing w:line="273" w:lineRule="auto" w:before="37"/>
        <w:ind w:left="3874" w:right="213" w:hanging="504"/>
        <w:jc w:val="both"/>
      </w:pPr>
      <w:r>
        <w:rPr/>
        <w:t>（1）</w:t>
      </w:r>
      <w:r>
        <w:rPr>
          <w:shd w:fill="DADADA" w:color="auto" w:val="clear"/>
        </w:rPr>
        <w:t>您申报的被保险人年龄不真实，并且其真实年龄不符合本附加险合同约定投保年龄限制的，我们有权解除合同，并向您退还本附加险合同的现金价值。</w:t>
      </w:r>
      <w:r>
        <w:rPr>
          <w:spacing w:val="-21"/>
        </w:rPr>
        <w:t>我们行使合同解除权适用</w:t>
      </w:r>
      <w:r>
        <w:rPr/>
        <w:t>“8.3（5）本公司合同解除权的</w:t>
      </w:r>
      <w:r>
        <w:rPr>
          <w:spacing w:val="-3"/>
        </w:rPr>
        <w:t>限制”的规定。</w:t>
      </w:r>
    </w:p>
    <w:p>
      <w:pPr>
        <w:pStyle w:val="BodyText"/>
        <w:spacing w:line="273" w:lineRule="auto" w:before="7"/>
        <w:ind w:left="3875" w:right="69" w:hanging="505"/>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3875" w:right="69" w:hanging="505"/>
      </w:pPr>
      <w:r>
        <w:rPr/>
        <w:t>（3）您申报的被保险人年龄不真实，致使您实付保险费多于应付保险费的， 我们会将多收的保险费退还给您。</w:t>
      </w:r>
    </w:p>
    <w:p>
      <w:pPr>
        <w:pStyle w:val="BodyText"/>
        <w:spacing w:before="2"/>
        <w:rPr>
          <w:sz w:val="22"/>
        </w:rPr>
      </w:pPr>
    </w:p>
    <w:p>
      <w:pPr>
        <w:pStyle w:val="ListParagraph"/>
        <w:numPr>
          <w:ilvl w:val="1"/>
          <w:numId w:val="2"/>
        </w:numPr>
        <w:tabs>
          <w:tab w:pos="1501" w:val="left" w:leader="none"/>
          <w:tab w:pos="1502" w:val="left" w:leader="none"/>
          <w:tab w:pos="3371" w:val="left" w:leader="none"/>
        </w:tabs>
        <w:spacing w:line="240" w:lineRule="auto" w:before="0" w:after="0"/>
        <w:ind w:left="1501" w:right="0" w:hanging="1277"/>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6"/>
        <w:ind w:left="3371"/>
      </w:pPr>
      <w:r>
        <w:rPr/>
        <w:t>（1）主险合同效力终止；</w:t>
      </w:r>
    </w:p>
    <w:p>
      <w:pPr>
        <w:pStyle w:val="BodyText"/>
        <w:spacing w:before="36"/>
        <w:ind w:left="3371"/>
      </w:pPr>
      <w:r>
        <w:rPr/>
        <w:t>（2）您申请解除本附加险合同。</w:t>
      </w:r>
    </w:p>
    <w:p>
      <w:pPr>
        <w:spacing w:after="0"/>
        <w:sectPr>
          <w:type w:val="continuous"/>
          <w:pgSz w:w="11910" w:h="16840"/>
          <w:pgMar w:top="560" w:bottom="280" w:left="62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235"/>
        <w:gridCol w:w="7097"/>
      </w:tblGrid>
      <w:tr>
        <w:trPr>
          <w:trHeight w:val="573" w:hRule="atLeast"/>
        </w:trPr>
        <w:tc>
          <w:tcPr>
            <w:tcW w:w="925" w:type="dxa"/>
          </w:tcPr>
          <w:p>
            <w:pPr>
              <w:pStyle w:val="TableParagraph"/>
              <w:spacing w:line="211" w:lineRule="exact"/>
              <w:ind w:left="107"/>
              <w:rPr>
                <w:b/>
                <w:sz w:val="21"/>
              </w:rPr>
            </w:pPr>
            <w:r>
              <w:rPr>
                <w:b/>
                <w:sz w:val="21"/>
              </w:rPr>
              <w:t>8.3</w:t>
            </w:r>
          </w:p>
        </w:tc>
        <w:tc>
          <w:tcPr>
            <w:tcW w:w="2235" w:type="dxa"/>
          </w:tcPr>
          <w:p>
            <w:pPr>
              <w:pStyle w:val="TableParagraph"/>
              <w:spacing w:line="211" w:lineRule="exact"/>
              <w:ind w:left="459"/>
              <w:rPr>
                <w:b/>
                <w:sz w:val="21"/>
              </w:rPr>
            </w:pPr>
            <w:r>
              <w:rPr>
                <w:b/>
                <w:sz w:val="21"/>
              </w:rPr>
              <w:t>适用主险合同条</w:t>
            </w:r>
          </w:p>
          <w:p>
            <w:pPr>
              <w:pStyle w:val="TableParagraph"/>
              <w:spacing w:before="37"/>
              <w:ind w:left="459"/>
              <w:rPr>
                <w:b/>
                <w:sz w:val="21"/>
              </w:rPr>
            </w:pPr>
            <w:r>
              <w:rPr>
                <w:b/>
                <w:w w:val="100"/>
                <w:sz w:val="21"/>
              </w:rPr>
              <w:t>款</w:t>
            </w:r>
          </w:p>
        </w:tc>
        <w:tc>
          <w:tcPr>
            <w:tcW w:w="7097" w:type="dxa"/>
          </w:tcPr>
          <w:p>
            <w:pPr>
              <w:pStyle w:val="TableParagraph"/>
              <w:spacing w:line="211" w:lineRule="exact"/>
              <w:ind w:left="94"/>
              <w:rPr>
                <w:sz w:val="21"/>
              </w:rPr>
            </w:pPr>
            <w:r>
              <w:rPr>
                <w:sz w:val="21"/>
              </w:rPr>
              <w:t>下列各项条款，适用主险合同条款：</w:t>
            </w:r>
          </w:p>
          <w:p>
            <w:pPr>
              <w:pStyle w:val="TableParagraph"/>
              <w:spacing w:before="37"/>
              <w:ind w:left="94"/>
              <w:rPr>
                <w:sz w:val="21"/>
              </w:rPr>
            </w:pPr>
            <w:r>
              <w:rPr>
                <w:sz w:val="21"/>
              </w:rPr>
              <w:t>（1）保险事故通知；</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94"/>
              <w:rPr>
                <w:sz w:val="21"/>
              </w:rPr>
            </w:pPr>
            <w:r>
              <w:rPr>
                <w:sz w:val="21"/>
              </w:rPr>
              <w:t>（2）宽限期；</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94"/>
              <w:rPr>
                <w:sz w:val="21"/>
              </w:rPr>
            </w:pPr>
            <w:r>
              <w:rPr>
                <w:sz w:val="21"/>
              </w:rPr>
              <w:t>（3）效力中止；</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94"/>
              <w:rPr>
                <w:sz w:val="21"/>
              </w:rPr>
            </w:pPr>
            <w:r>
              <w:rPr>
                <w:sz w:val="21"/>
              </w:rPr>
              <w:t>（4）明确说明与如实告知；</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94"/>
              <w:rPr>
                <w:sz w:val="21"/>
              </w:rPr>
            </w:pPr>
            <w:r>
              <w:rPr>
                <w:sz w:val="21"/>
              </w:rPr>
              <w:t>（5）本公司合同解除权的限制；</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94"/>
              <w:rPr>
                <w:sz w:val="21"/>
              </w:rPr>
            </w:pPr>
            <w:r>
              <w:rPr>
                <w:sz w:val="21"/>
              </w:rPr>
              <w:t>（6）未还款项；</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94"/>
              <w:rPr>
                <w:sz w:val="21"/>
              </w:rPr>
            </w:pPr>
            <w:r>
              <w:rPr>
                <w:sz w:val="21"/>
              </w:rPr>
              <w:t>（7）合同内容变更；</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94"/>
              <w:rPr>
                <w:sz w:val="21"/>
              </w:rPr>
            </w:pPr>
            <w:r>
              <w:rPr>
                <w:sz w:val="21"/>
              </w:rPr>
              <w:t>（8）联系方式变更；</w:t>
            </w:r>
          </w:p>
        </w:tc>
      </w:tr>
      <w:tr>
        <w:trPr>
          <w:trHeight w:val="478"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94"/>
              <w:rPr>
                <w:sz w:val="21"/>
              </w:rPr>
            </w:pPr>
            <w:r>
              <w:rPr>
                <w:sz w:val="21"/>
              </w:rPr>
              <w:t>（9）争议处理。</w:t>
            </w:r>
          </w:p>
        </w:tc>
      </w:tr>
      <w:tr>
        <w:trPr>
          <w:trHeight w:val="739" w:hRule="atLeast"/>
        </w:trPr>
        <w:tc>
          <w:tcPr>
            <w:tcW w:w="925" w:type="dxa"/>
            <w:tcBorders>
              <w:bottom w:val="single" w:sz="8" w:space="0" w:color="000000"/>
            </w:tcBorders>
          </w:tcPr>
          <w:p>
            <w:pPr>
              <w:pStyle w:val="TableParagraph"/>
              <w:spacing w:before="180"/>
              <w:ind w:left="107"/>
              <w:rPr>
                <w:rFonts w:ascii="Arial" w:hAnsi="Arial"/>
                <w:b/>
                <w:sz w:val="40"/>
              </w:rPr>
            </w:pPr>
            <w:r>
              <w:rPr>
                <w:rFonts w:ascii="Arial" w:hAnsi="Arial"/>
                <w:b/>
                <w:w w:val="119"/>
                <w:sz w:val="40"/>
              </w:rPr>
              <w:t></w:t>
            </w:r>
          </w:p>
        </w:tc>
        <w:tc>
          <w:tcPr>
            <w:tcW w:w="2235" w:type="dxa"/>
            <w:tcBorders>
              <w:bottom w:val="single" w:sz="8" w:space="0" w:color="000000"/>
            </w:tcBorders>
          </w:tcPr>
          <w:p>
            <w:pPr>
              <w:pStyle w:val="TableParagraph"/>
              <w:spacing w:before="9"/>
              <w:rPr>
                <w:sz w:val="17"/>
              </w:rPr>
            </w:pPr>
          </w:p>
          <w:p>
            <w:pPr>
              <w:pStyle w:val="TableParagraph"/>
              <w:ind w:left="459"/>
              <w:rPr>
                <w:b/>
                <w:sz w:val="24"/>
              </w:rPr>
            </w:pPr>
            <w:r>
              <w:rPr>
                <w:b/>
                <w:sz w:val="24"/>
              </w:rPr>
              <w:t>释义</w:t>
            </w:r>
          </w:p>
        </w:tc>
        <w:tc>
          <w:tcPr>
            <w:tcW w:w="7097" w:type="dxa"/>
            <w:tcBorders>
              <w:bottom w:val="single" w:sz="8" w:space="0" w:color="000000"/>
            </w:tcBorders>
          </w:tcPr>
          <w:p>
            <w:pPr>
              <w:pStyle w:val="TableParagraph"/>
              <w:rPr>
                <w:rFonts w:ascii="Times New Roman"/>
                <w:sz w:val="20"/>
              </w:rPr>
            </w:pPr>
          </w:p>
        </w:tc>
      </w:tr>
      <w:tr>
        <w:trPr>
          <w:trHeight w:val="588"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9.1</w:t>
            </w:r>
          </w:p>
        </w:tc>
        <w:tc>
          <w:tcPr>
            <w:tcW w:w="2235" w:type="dxa"/>
            <w:tcBorders>
              <w:top w:val="single" w:sz="8" w:space="0" w:color="000000"/>
            </w:tcBorders>
          </w:tcPr>
          <w:p>
            <w:pPr>
              <w:pStyle w:val="TableParagraph"/>
              <w:rPr>
                <w:sz w:val="21"/>
              </w:rPr>
            </w:pPr>
          </w:p>
          <w:p>
            <w:pPr>
              <w:pStyle w:val="TableParagraph"/>
              <w:ind w:left="459"/>
              <w:rPr>
                <w:b/>
                <w:sz w:val="21"/>
              </w:rPr>
            </w:pPr>
            <w:r>
              <w:rPr>
                <w:b/>
                <w:sz w:val="21"/>
              </w:rPr>
              <w:t>周岁</w:t>
            </w:r>
          </w:p>
        </w:tc>
        <w:tc>
          <w:tcPr>
            <w:tcW w:w="7097" w:type="dxa"/>
            <w:tcBorders>
              <w:top w:val="single" w:sz="8" w:space="0" w:color="000000"/>
            </w:tcBorders>
          </w:tcPr>
          <w:p>
            <w:pPr>
              <w:pStyle w:val="TableParagraph"/>
              <w:spacing w:before="2"/>
              <w:rPr>
                <w:sz w:val="19"/>
              </w:rPr>
            </w:pPr>
          </w:p>
          <w:p>
            <w:pPr>
              <w:pStyle w:val="TableParagraph"/>
              <w:ind w:left="209" w:right="-15"/>
              <w:rPr>
                <w:sz w:val="21"/>
              </w:rPr>
            </w:pPr>
            <w:r>
              <w:rPr>
                <w:spacing w:val="-6"/>
                <w:sz w:val="21"/>
              </w:rPr>
              <w:t>指按有效身份证件中记载的出生日期计算的年龄，自出生之日起为零周岁，</w:t>
            </w:r>
          </w:p>
        </w:tc>
      </w:tr>
      <w:tr>
        <w:trPr>
          <w:trHeight w:val="44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49" w:lineRule="exact"/>
              <w:ind w:left="209"/>
              <w:rPr>
                <w:sz w:val="21"/>
              </w:rPr>
            </w:pPr>
            <w:r>
              <w:rPr>
                <w:sz w:val="21"/>
              </w:rPr>
              <w:t>每经过一年增加一岁，不足一年的不计。</w:t>
            </w:r>
          </w:p>
        </w:tc>
      </w:tr>
      <w:tr>
        <w:trPr>
          <w:trHeight w:val="465" w:hRule="atLeast"/>
        </w:trPr>
        <w:tc>
          <w:tcPr>
            <w:tcW w:w="925" w:type="dxa"/>
          </w:tcPr>
          <w:p>
            <w:pPr>
              <w:pStyle w:val="TableParagraph"/>
              <w:spacing w:before="128"/>
              <w:ind w:left="107"/>
              <w:rPr>
                <w:b/>
                <w:sz w:val="21"/>
              </w:rPr>
            </w:pPr>
            <w:r>
              <w:rPr>
                <w:b/>
                <w:sz w:val="21"/>
              </w:rPr>
              <w:t>9.2</w:t>
            </w:r>
          </w:p>
        </w:tc>
        <w:tc>
          <w:tcPr>
            <w:tcW w:w="2235" w:type="dxa"/>
          </w:tcPr>
          <w:p>
            <w:pPr>
              <w:pStyle w:val="TableParagraph"/>
              <w:spacing w:before="152"/>
              <w:ind w:left="459"/>
              <w:rPr>
                <w:b/>
                <w:sz w:val="21"/>
              </w:rPr>
            </w:pPr>
            <w:r>
              <w:rPr>
                <w:b/>
                <w:sz w:val="21"/>
              </w:rPr>
              <w:t>有效身份证件</w:t>
            </w:r>
          </w:p>
        </w:tc>
        <w:tc>
          <w:tcPr>
            <w:tcW w:w="7097" w:type="dxa"/>
          </w:tcPr>
          <w:p>
            <w:pPr>
              <w:pStyle w:val="TableParagraph"/>
              <w:spacing w:before="128"/>
              <w:ind w:left="209"/>
              <w:rPr>
                <w:sz w:val="21"/>
              </w:rPr>
            </w:pPr>
            <w:r>
              <w:rPr>
                <w:sz w:val="21"/>
              </w:rPr>
              <w:t>指由政府主管部门规定的证明个人身份的证件，如：居民身份证、按规定</w:t>
            </w:r>
          </w:p>
        </w:tc>
      </w:tr>
      <w:tr>
        <w:trPr>
          <w:trHeight w:val="44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49" w:lineRule="exact"/>
              <w:ind w:left="209"/>
              <w:rPr>
                <w:sz w:val="21"/>
              </w:rPr>
            </w:pPr>
            <w:r>
              <w:rPr>
                <w:sz w:val="21"/>
              </w:rPr>
              <w:t>可使用的有效护照、军官证、警官证、士兵证等证件。</w:t>
            </w:r>
          </w:p>
        </w:tc>
      </w:tr>
      <w:tr>
        <w:trPr>
          <w:trHeight w:val="465" w:hRule="atLeast"/>
        </w:trPr>
        <w:tc>
          <w:tcPr>
            <w:tcW w:w="925" w:type="dxa"/>
          </w:tcPr>
          <w:p>
            <w:pPr>
              <w:pStyle w:val="TableParagraph"/>
              <w:spacing w:before="128"/>
              <w:ind w:left="107"/>
              <w:rPr>
                <w:b/>
                <w:sz w:val="21"/>
              </w:rPr>
            </w:pPr>
            <w:r>
              <w:rPr>
                <w:b/>
                <w:sz w:val="21"/>
              </w:rPr>
              <w:t>9.3</w:t>
            </w:r>
          </w:p>
        </w:tc>
        <w:tc>
          <w:tcPr>
            <w:tcW w:w="2235" w:type="dxa"/>
          </w:tcPr>
          <w:p>
            <w:pPr>
              <w:pStyle w:val="TableParagraph"/>
              <w:spacing w:before="152"/>
              <w:ind w:left="459"/>
              <w:rPr>
                <w:b/>
                <w:sz w:val="21"/>
              </w:rPr>
            </w:pPr>
            <w:r>
              <w:rPr>
                <w:b/>
                <w:sz w:val="21"/>
              </w:rPr>
              <w:t>重大疾病</w:t>
            </w:r>
          </w:p>
        </w:tc>
        <w:tc>
          <w:tcPr>
            <w:tcW w:w="7097" w:type="dxa"/>
          </w:tcPr>
          <w:p>
            <w:pPr>
              <w:pStyle w:val="TableParagraph"/>
              <w:spacing w:before="128"/>
              <w:ind w:left="209"/>
              <w:rPr>
                <w:sz w:val="21"/>
              </w:rPr>
            </w:pPr>
            <w:r>
              <w:rPr>
                <w:sz w:val="21"/>
              </w:rPr>
              <w:t>重大疾病是指被保险人初次发生符合下列定义的疾病，或初次接受符合下</w:t>
            </w:r>
          </w:p>
        </w:tc>
      </w:tr>
      <w:tr>
        <w:trPr>
          <w:trHeight w:val="44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49" w:lineRule="exact"/>
              <w:ind w:left="209"/>
              <w:rPr>
                <w:sz w:val="21"/>
              </w:rPr>
            </w:pPr>
            <w:r>
              <w:rPr>
                <w:sz w:val="21"/>
              </w:rPr>
              <w:t>列定义的手术。该疾病或手术应当由</w:t>
            </w:r>
            <w:r>
              <w:rPr>
                <w:rFonts w:ascii="黑体" w:eastAsia="黑体" w:hint="eastAsia"/>
                <w:b/>
                <w:sz w:val="21"/>
              </w:rPr>
              <w:t>专科医Th</w:t>
            </w:r>
            <w:r>
              <w:rPr>
                <w:sz w:val="21"/>
              </w:rPr>
              <w:t>（见 9.4）明确诊断。</w:t>
            </w:r>
          </w:p>
        </w:tc>
      </w:tr>
      <w:tr>
        <w:trPr>
          <w:trHeight w:val="453"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before="128"/>
              <w:ind w:left="209"/>
              <w:rPr>
                <w:sz w:val="21"/>
              </w:rPr>
            </w:pPr>
            <w:r>
              <w:rPr>
                <w:sz w:val="21"/>
              </w:rPr>
              <w:t>以下重大疾病是中国保险行业协会与中国医师协会制定了规范定义的疾</w:t>
            </w:r>
          </w:p>
        </w:tc>
      </w:tr>
      <w:tr>
        <w:trPr>
          <w:trHeight w:val="453"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sz w:val="21"/>
              </w:rPr>
              <w:t>病。</w:t>
            </w:r>
          </w:p>
        </w:tc>
      </w:tr>
      <w:tr>
        <w:trPr>
          <w:trHeight w:val="765" w:hRule="atLeast"/>
        </w:trPr>
        <w:tc>
          <w:tcPr>
            <w:tcW w:w="925" w:type="dxa"/>
          </w:tcPr>
          <w:p>
            <w:pPr>
              <w:pStyle w:val="TableParagraph"/>
              <w:rPr>
                <w:rFonts w:ascii="Times New Roman"/>
                <w:sz w:val="20"/>
              </w:rPr>
            </w:pPr>
          </w:p>
        </w:tc>
        <w:tc>
          <w:tcPr>
            <w:tcW w:w="2235" w:type="dxa"/>
          </w:tcPr>
          <w:p>
            <w:pPr>
              <w:pStyle w:val="TableParagraph"/>
              <w:spacing w:before="126"/>
              <w:ind w:left="459"/>
              <w:rPr>
                <w:rFonts w:ascii="等线" w:eastAsia="等线" w:hint="eastAsia"/>
                <w:b/>
                <w:sz w:val="24"/>
              </w:rPr>
            </w:pPr>
            <w:r>
              <w:rPr>
                <w:rFonts w:ascii="等线" w:eastAsia="等线" w:hint="eastAsia"/>
                <w:b/>
                <w:sz w:val="24"/>
              </w:rPr>
              <w:t>恶性肿瘤</w:t>
            </w:r>
          </w:p>
        </w:tc>
        <w:tc>
          <w:tcPr>
            <w:tcW w:w="7097" w:type="dxa"/>
          </w:tcPr>
          <w:p>
            <w:pPr>
              <w:pStyle w:val="TableParagraph"/>
              <w:spacing w:line="273" w:lineRule="auto" w:before="128"/>
              <w:ind w:left="209" w:right="105"/>
              <w:rPr>
                <w:sz w:val="21"/>
              </w:rPr>
            </w:pPr>
            <w:r>
              <w:rPr>
                <w:sz w:val="21"/>
              </w:rPr>
              <w:t>指恶性细胞不受控制的进行性增长和扩散，浸润和破坏周围正常组织，可以经血管、淋巴管和体腔扩散转移到身体其它部位的疾病。经病理学检查</w:t>
            </w:r>
          </w:p>
        </w:tc>
      </w:tr>
      <w:tr>
        <w:trPr>
          <w:trHeight w:val="312"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sz w:val="21"/>
              </w:rPr>
              <w:t>结果明确诊断，临床诊断属于世界卫生组织《疾病和有关健康问题的国际</w:t>
            </w:r>
          </w:p>
        </w:tc>
      </w:tr>
      <w:tr>
        <w:trPr>
          <w:trHeight w:val="312"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sz w:val="21"/>
              </w:rPr>
              <w:t>统计分类》（ICD-10）的恶性肿瘤范畴。</w:t>
            </w:r>
            <w:r>
              <w:rPr>
                <w:sz w:val="21"/>
                <w:shd w:fill="DADADA" w:color="auto" w:val="clear"/>
              </w:rPr>
              <w:t>下列疾病不在保障范围内：</w:t>
            </w:r>
          </w:p>
        </w:tc>
      </w:tr>
      <w:tr>
        <w:trPr>
          <w:trHeight w:val="312"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sz w:val="21"/>
                <w:shd w:fill="DADADA" w:color="auto" w:val="clear"/>
              </w:rPr>
              <w:t>（1）原位癌；</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sz w:val="21"/>
                <w:shd w:fill="DADADA" w:color="auto" w:val="clear"/>
              </w:rPr>
              <w:t>（2）相当于 Binet 分期方案 A 期程度的慢性淋巴细胞白血病；</w:t>
            </w:r>
          </w:p>
        </w:tc>
      </w:tr>
      <w:tr>
        <w:trPr>
          <w:trHeight w:val="312"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sz w:val="21"/>
                <w:shd w:fill="DADADA" w:color="auto" w:val="clear"/>
              </w:rPr>
              <w:t>（3）相当于 Ann Arbor 分期方案 I 期程度的何杰金氏病；</w:t>
            </w:r>
          </w:p>
        </w:tc>
      </w:tr>
      <w:tr>
        <w:trPr>
          <w:trHeight w:val="312"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sz w:val="21"/>
                <w:shd w:fill="DADADA" w:color="auto" w:val="clear"/>
              </w:rPr>
              <w:t>（6）感染艾滋病病毒或患艾滋病期间所患恶性肿瘤。</w:t>
            </w:r>
          </w:p>
        </w:tc>
      </w:tr>
      <w:tr>
        <w:trPr>
          <w:trHeight w:val="765" w:hRule="atLeast"/>
        </w:trPr>
        <w:tc>
          <w:tcPr>
            <w:tcW w:w="925" w:type="dxa"/>
          </w:tcPr>
          <w:p>
            <w:pPr>
              <w:pStyle w:val="TableParagraph"/>
              <w:rPr>
                <w:rFonts w:ascii="Times New Roman"/>
                <w:sz w:val="20"/>
              </w:rPr>
            </w:pPr>
          </w:p>
        </w:tc>
        <w:tc>
          <w:tcPr>
            <w:tcW w:w="2235" w:type="dxa"/>
          </w:tcPr>
          <w:p>
            <w:pPr>
              <w:pStyle w:val="TableParagraph"/>
              <w:spacing w:before="126"/>
              <w:ind w:left="459"/>
              <w:rPr>
                <w:rFonts w:ascii="等线" w:eastAsia="等线" w:hint="eastAsia"/>
                <w:b/>
                <w:sz w:val="24"/>
              </w:rPr>
            </w:pPr>
            <w:r>
              <w:rPr>
                <w:rFonts w:ascii="等线" w:eastAsia="等线" w:hint="eastAsia"/>
                <w:b/>
                <w:w w:val="105"/>
                <w:sz w:val="24"/>
              </w:rPr>
              <w:t>急性心ft梗塞</w:t>
            </w:r>
          </w:p>
        </w:tc>
        <w:tc>
          <w:tcPr>
            <w:tcW w:w="7097" w:type="dxa"/>
          </w:tcPr>
          <w:p>
            <w:pPr>
              <w:pStyle w:val="TableParagraph"/>
              <w:spacing w:line="273" w:lineRule="auto" w:before="128"/>
              <w:ind w:left="209" w:right="105"/>
              <w:rPr>
                <w:sz w:val="21"/>
              </w:rPr>
            </w:pPr>
            <w:r>
              <w:rPr>
                <w:sz w:val="21"/>
              </w:rPr>
              <w:t>指因冠状动脉阻塞导致的相应区域供血不足造成部分心肌坏死。须满足下列至少三项条件：</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sz w:val="21"/>
              </w:rPr>
              <w:t>（1）典型临床表现，例如急性胸痛等；</w:t>
            </w:r>
          </w:p>
        </w:tc>
      </w:tr>
      <w:tr>
        <w:trPr>
          <w:trHeight w:val="311" w:hRule="atLeast"/>
        </w:trPr>
        <w:tc>
          <w:tcPr>
            <w:tcW w:w="925" w:type="dxa"/>
          </w:tcPr>
          <w:p>
            <w:pPr>
              <w:pStyle w:val="TableParagraph"/>
              <w:rPr>
                <w:rFonts w:ascii="Times New Roman"/>
                <w:sz w:val="20"/>
              </w:rPr>
            </w:pPr>
          </w:p>
        </w:tc>
        <w:tc>
          <w:tcPr>
            <w:tcW w:w="2235" w:type="dxa"/>
          </w:tcPr>
          <w:p>
            <w:pPr>
              <w:pStyle w:val="TableParagraph"/>
              <w:rPr>
                <w:rFonts w:ascii="Times New Roman"/>
                <w:sz w:val="20"/>
              </w:rPr>
            </w:pPr>
          </w:p>
        </w:tc>
        <w:tc>
          <w:tcPr>
            <w:tcW w:w="7097" w:type="dxa"/>
          </w:tcPr>
          <w:p>
            <w:pPr>
              <w:pStyle w:val="TableParagraph"/>
              <w:spacing w:line="261" w:lineRule="exact"/>
              <w:ind w:left="209"/>
              <w:rPr>
                <w:sz w:val="21"/>
              </w:rPr>
            </w:pPr>
            <w:r>
              <w:rPr>
                <w:sz w:val="21"/>
              </w:rPr>
              <w:t>（2）新近的心电图改变提示急性心肌梗塞；</w:t>
            </w:r>
          </w:p>
        </w:tc>
      </w:tr>
      <w:tr>
        <w:trPr>
          <w:trHeight w:val="261" w:hRule="atLeast"/>
        </w:trPr>
        <w:tc>
          <w:tcPr>
            <w:tcW w:w="925" w:type="dxa"/>
          </w:tcPr>
          <w:p>
            <w:pPr>
              <w:pStyle w:val="TableParagraph"/>
              <w:rPr>
                <w:rFonts w:ascii="Times New Roman"/>
                <w:sz w:val="18"/>
              </w:rPr>
            </w:pPr>
          </w:p>
        </w:tc>
        <w:tc>
          <w:tcPr>
            <w:tcW w:w="2235" w:type="dxa"/>
          </w:tcPr>
          <w:p>
            <w:pPr>
              <w:pStyle w:val="TableParagraph"/>
              <w:rPr>
                <w:rFonts w:ascii="Times New Roman"/>
                <w:sz w:val="18"/>
              </w:rPr>
            </w:pPr>
          </w:p>
        </w:tc>
        <w:tc>
          <w:tcPr>
            <w:tcW w:w="7097" w:type="dxa"/>
          </w:tcPr>
          <w:p>
            <w:pPr>
              <w:pStyle w:val="TableParagraph"/>
              <w:spacing w:line="242" w:lineRule="exact"/>
              <w:ind w:left="209"/>
              <w:rPr>
                <w:sz w:val="21"/>
              </w:rPr>
            </w:pPr>
            <w:r>
              <w:rPr>
                <w:sz w:val="21"/>
              </w:rPr>
              <w:t>（3）心肌酶或肌钙蛋白有诊断意义的升高，或呈符合急性心肌梗塞的动态</w:t>
            </w:r>
          </w:p>
        </w:tc>
      </w:tr>
    </w:tbl>
    <w:p>
      <w:pPr>
        <w:pStyle w:val="BodyText"/>
        <w:spacing w:before="46"/>
        <w:ind w:left="525" w:right="2142"/>
        <w:jc w:val="center"/>
      </w:pPr>
      <w:r>
        <w:rPr/>
        <w:t>性变化；</w:t>
      </w:r>
    </w:p>
    <w:p>
      <w:pPr>
        <w:pStyle w:val="BodyText"/>
        <w:spacing w:before="37"/>
        <w:ind w:left="3486"/>
      </w:pPr>
      <w:r>
        <w:rPr/>
        <w:t>（4）发病 90 日后，经检查证实左心室功能降低，如左心室射血分数低于</w:t>
      </w:r>
    </w:p>
    <w:p>
      <w:pPr>
        <w:pStyle w:val="BodyText"/>
        <w:spacing w:before="37"/>
        <w:ind w:left="210" w:right="2142"/>
        <w:jc w:val="center"/>
      </w:pPr>
      <w:r>
        <w:rPr/>
        <w:t>50%。</w:t>
      </w:r>
    </w:p>
    <w:p>
      <w:pPr>
        <w:spacing w:after="0"/>
        <w:jc w:val="center"/>
        <w:sectPr>
          <w:pgSz w:w="11910" w:h="16840"/>
          <w:pgMar w:top="1440" w:bottom="280" w:left="620" w:right="80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7189"/>
      </w:tblGrid>
      <w:tr>
        <w:trPr>
          <w:trHeight w:val="2275" w:hRule="atLeast"/>
        </w:trPr>
        <w:tc>
          <w:tcPr>
            <w:tcW w:w="2084" w:type="dxa"/>
          </w:tcPr>
          <w:p>
            <w:pPr>
              <w:pStyle w:val="TableParagraph"/>
              <w:spacing w:line="261" w:lineRule="exact"/>
              <w:ind w:left="200"/>
              <w:rPr>
                <w:rFonts w:ascii="等线" w:eastAsia="等线" w:hint="eastAsia"/>
                <w:b/>
                <w:sz w:val="24"/>
              </w:rPr>
            </w:pPr>
            <w:r>
              <w:rPr>
                <w:rFonts w:ascii="等线" w:eastAsia="等线" w:hint="eastAsia"/>
                <w:b/>
                <w:sz w:val="24"/>
              </w:rPr>
              <w:t>脑中风后遗症</w:t>
            </w:r>
          </w:p>
        </w:tc>
        <w:tc>
          <w:tcPr>
            <w:tcW w:w="7189" w:type="dxa"/>
          </w:tcPr>
          <w:p>
            <w:pPr>
              <w:pStyle w:val="TableParagraph"/>
              <w:spacing w:line="211" w:lineRule="exact"/>
              <w:ind w:left="100"/>
              <w:rPr>
                <w:sz w:val="21"/>
              </w:rPr>
            </w:pPr>
            <w:r>
              <w:rPr>
                <w:sz w:val="21"/>
              </w:rPr>
              <w:t>指因脑血管的突发病变引起脑血管出血、栓塞或梗塞，并导致神经系统永</w:t>
            </w:r>
          </w:p>
          <w:p>
            <w:pPr>
              <w:pStyle w:val="TableParagraph"/>
              <w:spacing w:line="273" w:lineRule="auto" w:before="37"/>
              <w:ind w:left="100" w:right="244"/>
              <w:rPr>
                <w:sz w:val="21"/>
              </w:rPr>
            </w:pPr>
            <w:r>
              <w:rPr>
                <w:sz w:val="21"/>
              </w:rPr>
              <w:t>久性的功能障碍。神经系统永久性的功能障碍，指疾病确诊 180 日后，仍遗留下列一种或一种以上障碍：</w:t>
            </w:r>
          </w:p>
          <w:p>
            <w:pPr>
              <w:pStyle w:val="TableParagraph"/>
              <w:spacing w:before="7"/>
              <w:ind w:left="100"/>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pStyle w:val="TableParagraph"/>
              <w:spacing w:before="36"/>
              <w:ind w:left="100"/>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pStyle w:val="TableParagraph"/>
              <w:spacing w:before="36"/>
              <w:ind w:left="100"/>
              <w:rPr>
                <w:sz w:val="21"/>
              </w:rPr>
            </w:pPr>
            <w:r>
              <w:rPr>
                <w:sz w:val="21"/>
              </w:rPr>
              <w:t>（3）自主生活能力完全丧失，无法独立完成</w:t>
            </w:r>
            <w:r>
              <w:rPr>
                <w:rFonts w:ascii="黑体" w:eastAsia="黑体" w:hint="eastAsia"/>
                <w:b/>
                <w:sz w:val="21"/>
              </w:rPr>
              <w:t>六项基本日常Th活活动</w:t>
            </w:r>
            <w:r>
              <w:rPr>
                <w:sz w:val="21"/>
              </w:rPr>
              <w:t>（见</w:t>
            </w:r>
          </w:p>
          <w:p>
            <w:pPr>
              <w:pStyle w:val="TableParagraph"/>
              <w:spacing w:before="36"/>
              <w:ind w:left="626"/>
              <w:rPr>
                <w:sz w:val="21"/>
              </w:rPr>
            </w:pPr>
            <w:r>
              <w:rPr>
                <w:sz w:val="21"/>
              </w:rPr>
              <w:t>9.7）中的三项或三项以上。</w:t>
            </w:r>
          </w:p>
        </w:tc>
      </w:tr>
      <w:tr>
        <w:trPr>
          <w:trHeight w:val="1843" w:hRule="atLeast"/>
        </w:trPr>
        <w:tc>
          <w:tcPr>
            <w:tcW w:w="2084" w:type="dxa"/>
          </w:tcPr>
          <w:p>
            <w:pPr>
              <w:pStyle w:val="TableParagraph"/>
              <w:spacing w:line="235" w:lineRule="auto" w:before="132"/>
              <w:ind w:left="200" w:right="98"/>
              <w:jc w:val="both"/>
              <w:rPr>
                <w:rFonts w:ascii="等线" w:eastAsia="等线" w:hint="eastAsia"/>
                <w:b/>
                <w:sz w:val="24"/>
              </w:rPr>
            </w:pPr>
            <w:r>
              <w:rPr>
                <w:rFonts w:ascii="等线" w:eastAsia="等线" w:hint="eastAsia"/>
                <w:b/>
                <w:sz w:val="24"/>
              </w:rPr>
              <w:t>重大器官移植术或造血干细胞移植术</w:t>
            </w:r>
          </w:p>
        </w:tc>
        <w:tc>
          <w:tcPr>
            <w:tcW w:w="7189" w:type="dxa"/>
          </w:tcPr>
          <w:p>
            <w:pPr>
              <w:pStyle w:val="TableParagraph"/>
              <w:spacing w:line="273" w:lineRule="auto" w:before="128"/>
              <w:ind w:left="100" w:right="306"/>
              <w:rPr>
                <w:sz w:val="21"/>
              </w:rPr>
            </w:pPr>
            <w:r>
              <w:rPr>
                <w:sz w:val="21"/>
              </w:rPr>
              <w:t>重大器官移植术，指因相应器官功能衰竭，已经实施了肾脏、肝脏、心脏或肺脏的异体移植手术。</w:t>
            </w:r>
          </w:p>
          <w:p>
            <w:pPr>
              <w:pStyle w:val="TableParagraph"/>
              <w:spacing w:line="273" w:lineRule="auto" w:before="7"/>
              <w:ind w:left="100" w:right="198"/>
              <w:rPr>
                <w:sz w:val="21"/>
              </w:rPr>
            </w:pPr>
            <w:r>
              <w:rPr>
                <w:sz w:val="21"/>
              </w:rPr>
              <w:t>造血干细胞移植术，指因造血功能损害或造血系统恶性肿瘤，已经实施了</w:t>
            </w:r>
            <w:r>
              <w:rPr>
                <w:spacing w:val="-7"/>
                <w:sz w:val="21"/>
              </w:rPr>
              <w:t>造血干细胞</w:t>
            </w:r>
            <w:r>
              <w:rPr>
                <w:sz w:val="21"/>
              </w:rPr>
              <w:t>（</w:t>
            </w:r>
            <w:r>
              <w:rPr>
                <w:spacing w:val="-6"/>
                <w:sz w:val="21"/>
              </w:rPr>
              <w:t>包括骨髓造血干细胞、外周血造血干细胞和脐血造血干细胞</w:t>
            </w:r>
            <w:r>
              <w:rPr>
                <w:sz w:val="21"/>
              </w:rPr>
              <w:t>） </w:t>
            </w:r>
            <w:r>
              <w:rPr>
                <w:spacing w:val="-3"/>
                <w:sz w:val="21"/>
              </w:rPr>
              <w:t>的异体移植手术。</w:t>
            </w:r>
          </w:p>
        </w:tc>
      </w:tr>
      <w:tr>
        <w:trPr>
          <w:trHeight w:val="1531" w:hRule="atLeast"/>
        </w:trPr>
        <w:tc>
          <w:tcPr>
            <w:tcW w:w="2084" w:type="dxa"/>
          </w:tcPr>
          <w:p>
            <w:pPr>
              <w:pStyle w:val="TableParagraph"/>
              <w:spacing w:line="324" w:lineRule="exact" w:before="126"/>
              <w:ind w:left="200"/>
              <w:rPr>
                <w:rFonts w:ascii="等线" w:eastAsia="等线" w:hint="eastAsia"/>
                <w:b/>
                <w:sz w:val="24"/>
              </w:rPr>
            </w:pPr>
            <w:r>
              <w:rPr>
                <w:rFonts w:ascii="等线" w:eastAsia="等线" w:hint="eastAsia"/>
                <w:b/>
                <w:sz w:val="24"/>
              </w:rPr>
              <w:t>冠状动脉搭桥术</w:t>
            </w:r>
          </w:p>
          <w:p>
            <w:pPr>
              <w:pStyle w:val="TableParagraph"/>
              <w:spacing w:line="235" w:lineRule="auto" w:before="4"/>
              <w:ind w:left="200" w:right="98"/>
              <w:rPr>
                <w:rFonts w:ascii="等线" w:eastAsia="等线" w:hint="eastAsia"/>
                <w:b/>
                <w:sz w:val="24"/>
              </w:rPr>
            </w:pPr>
            <w:r>
              <w:rPr>
                <w:rFonts w:ascii="等线" w:eastAsia="等线" w:hint="eastAsia"/>
                <w:b/>
                <w:sz w:val="24"/>
              </w:rPr>
              <w:t>（或称冠状动脉旁路移植术）</w:t>
            </w:r>
          </w:p>
        </w:tc>
        <w:tc>
          <w:tcPr>
            <w:tcW w:w="7189" w:type="dxa"/>
          </w:tcPr>
          <w:p>
            <w:pPr>
              <w:pStyle w:val="TableParagraph"/>
              <w:spacing w:line="273" w:lineRule="auto" w:before="128"/>
              <w:ind w:left="100" w:right="306"/>
              <w:rPr>
                <w:sz w:val="21"/>
              </w:rPr>
            </w:pPr>
            <w:r>
              <w:rPr>
                <w:sz w:val="21"/>
              </w:rPr>
              <w:t>指为治疗严重的冠心病，实际实施了开胸进行的冠状动脉血管旁路移植的手术。</w:t>
            </w:r>
          </w:p>
          <w:p>
            <w:pPr>
              <w:pStyle w:val="TableParagraph"/>
              <w:spacing w:line="273" w:lineRule="auto" w:before="7"/>
              <w:ind w:left="100" w:right="306"/>
              <w:rPr>
                <w:sz w:val="21"/>
              </w:rPr>
            </w:pPr>
            <w:r>
              <w:rPr>
                <w:sz w:val="21"/>
                <w:shd w:fill="DADADA" w:color="auto" w:val="clear"/>
              </w:rPr>
              <w:t>冠状动脉支架植入术、心导管球囊扩张术、激光射频技术及其它非开胸的</w:t>
            </w:r>
            <w:r>
              <w:rPr>
                <w:spacing w:val="-3"/>
                <w:sz w:val="21"/>
                <w:shd w:fill="DADADA" w:color="auto" w:val="clear"/>
              </w:rPr>
              <w:t>介入手术、腔镜手术不在保障范</w:t>
            </w:r>
            <w:r>
              <w:rPr>
                <w:spacing w:val="-72"/>
                <w:sz w:val="21"/>
                <w:shd w:fill="DADADA" w:color="auto" w:val="clear"/>
              </w:rPr>
              <w:t>围内。</w:t>
            </w:r>
          </w:p>
        </w:tc>
      </w:tr>
      <w:tr>
        <w:trPr>
          <w:trHeight w:val="1265" w:hRule="atLeast"/>
        </w:trPr>
        <w:tc>
          <w:tcPr>
            <w:tcW w:w="2084" w:type="dxa"/>
          </w:tcPr>
          <w:p>
            <w:pPr>
              <w:pStyle w:val="TableParagraph"/>
              <w:spacing w:line="235" w:lineRule="auto" w:before="132"/>
              <w:ind w:left="200" w:right="98"/>
              <w:jc w:val="both"/>
              <w:rPr>
                <w:rFonts w:ascii="等线" w:eastAsia="等线" w:hint="eastAsia"/>
                <w:b/>
                <w:sz w:val="24"/>
              </w:rPr>
            </w:pPr>
            <w:r>
              <w:rPr>
                <w:rFonts w:ascii="等线" w:eastAsia="等线" w:hint="eastAsia"/>
                <w:b/>
                <w:sz w:val="24"/>
              </w:rPr>
              <w:t>终末期肾病（或称慢性肾功能衰竭尿毒症期）</w:t>
            </w:r>
          </w:p>
        </w:tc>
        <w:tc>
          <w:tcPr>
            <w:tcW w:w="7189" w:type="dxa"/>
          </w:tcPr>
          <w:p>
            <w:pPr>
              <w:pStyle w:val="TableParagraph"/>
              <w:spacing w:before="128"/>
              <w:ind w:left="100"/>
              <w:rPr>
                <w:sz w:val="21"/>
              </w:rPr>
            </w:pPr>
            <w:r>
              <w:rPr>
                <w:sz w:val="21"/>
              </w:rPr>
              <w:t>指双肾功能慢性不可逆性衰竭，达到尿毒症期，经诊断后已经进行了至少</w:t>
            </w:r>
          </w:p>
          <w:p>
            <w:pPr>
              <w:pStyle w:val="TableParagraph"/>
              <w:spacing w:before="37"/>
              <w:ind w:left="100"/>
              <w:rPr>
                <w:sz w:val="21"/>
              </w:rPr>
            </w:pPr>
            <w:r>
              <w:rPr>
                <w:sz w:val="21"/>
              </w:rPr>
              <w:t>90 日的规律性透析治疗或实施了肾脏移植手术。</w:t>
            </w:r>
          </w:p>
        </w:tc>
      </w:tr>
      <w:tr>
        <w:trPr>
          <w:trHeight w:val="885" w:hRule="atLeast"/>
        </w:trPr>
        <w:tc>
          <w:tcPr>
            <w:tcW w:w="2084"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189" w:type="dxa"/>
          </w:tcPr>
          <w:p>
            <w:pPr>
              <w:pStyle w:val="TableParagraph"/>
              <w:spacing w:line="273" w:lineRule="auto" w:before="106"/>
              <w:ind w:left="100" w:right="306"/>
              <w:rPr>
                <w:sz w:val="21"/>
              </w:rPr>
            </w:pPr>
            <w:r>
              <w:rPr>
                <w:sz w:val="21"/>
              </w:rPr>
              <w:t>指因疾病或意外伤害导致两个或两个以上肢体自腕关节或踝关节近端（靠近躯干端）以上完全性断离。</w:t>
            </w:r>
          </w:p>
        </w:tc>
      </w:tr>
      <w:tr>
        <w:trPr>
          <w:trHeight w:val="2155" w:hRule="atLeast"/>
        </w:trPr>
        <w:tc>
          <w:tcPr>
            <w:tcW w:w="2084" w:type="dxa"/>
          </w:tcPr>
          <w:p>
            <w:pPr>
              <w:pStyle w:val="TableParagraph"/>
              <w:spacing w:line="235" w:lineRule="auto" w:before="132"/>
              <w:ind w:left="200" w:right="98"/>
              <w:rPr>
                <w:rFonts w:ascii="等线" w:eastAsia="等线" w:hint="eastAsia"/>
                <w:b/>
                <w:sz w:val="24"/>
              </w:rPr>
            </w:pPr>
            <w:r>
              <w:rPr>
                <w:rFonts w:ascii="等线" w:eastAsia="等线" w:hint="eastAsia"/>
                <w:b/>
                <w:sz w:val="24"/>
              </w:rPr>
              <w:t>急性或亚急性重症肝炎</w:t>
            </w:r>
          </w:p>
        </w:tc>
        <w:tc>
          <w:tcPr>
            <w:tcW w:w="7189" w:type="dxa"/>
          </w:tcPr>
          <w:p>
            <w:pPr>
              <w:pStyle w:val="TableParagraph"/>
              <w:spacing w:line="273" w:lineRule="auto" w:before="128"/>
              <w:ind w:left="100" w:right="306"/>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spacing w:before="36"/>
              <w:ind w:left="100"/>
              <w:rPr>
                <w:sz w:val="21"/>
              </w:rPr>
            </w:pPr>
            <w:r>
              <w:rPr>
                <w:sz w:val="21"/>
              </w:rPr>
              <w:t>（2）肝性脑病；</w:t>
            </w:r>
          </w:p>
          <w:p>
            <w:pPr>
              <w:pStyle w:val="TableParagraph"/>
              <w:spacing w:before="36"/>
              <w:ind w:left="100"/>
              <w:rPr>
                <w:sz w:val="21"/>
              </w:rPr>
            </w:pPr>
            <w:r>
              <w:rPr>
                <w:sz w:val="21"/>
              </w:rPr>
              <w:t>（3）B 超或其它影像学检查显示肝脏体积急速萎缩；</w:t>
            </w:r>
          </w:p>
          <w:p>
            <w:pPr>
              <w:pStyle w:val="TableParagraph"/>
              <w:spacing w:before="36"/>
              <w:ind w:left="100"/>
              <w:rPr>
                <w:sz w:val="21"/>
              </w:rPr>
            </w:pPr>
            <w:r>
              <w:rPr>
                <w:sz w:val="21"/>
              </w:rPr>
              <w:t>（4）肝功能指标进行性恶化。</w:t>
            </w:r>
          </w:p>
        </w:tc>
      </w:tr>
      <w:tr>
        <w:trPr>
          <w:trHeight w:val="2467" w:hRule="atLeast"/>
        </w:trPr>
        <w:tc>
          <w:tcPr>
            <w:tcW w:w="2084"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189" w:type="dxa"/>
          </w:tcPr>
          <w:p>
            <w:pPr>
              <w:pStyle w:val="TableParagraph"/>
              <w:spacing w:line="273" w:lineRule="auto" w:before="128"/>
              <w:ind w:left="100" w:right="306"/>
              <w:jc w:val="both"/>
              <w:rPr>
                <w:sz w:val="21"/>
              </w:rPr>
            </w:pPr>
            <w:r>
              <w:rPr>
                <w:sz w:val="21"/>
              </w:rPr>
              <w:t>指脑的良性肿瘤，已经引起颅内压增高，临床表现为视神经乳头水肿、精</w:t>
            </w:r>
            <w:r>
              <w:rPr>
                <w:spacing w:val="-3"/>
                <w:w w:val="100"/>
                <w:sz w:val="21"/>
              </w:rPr>
              <w:t>神症状、癫痫及运动感觉障碍等，并危及生命。须由头颅断层扫描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z w:val="21"/>
              </w:rPr>
              <w:t>核磁共振检查（MRI）或正电子发射断层扫描（PET）等影像学检查证实， </w:t>
            </w:r>
            <w:r>
              <w:rPr>
                <w:spacing w:val="-3"/>
                <w:sz w:val="21"/>
              </w:rPr>
              <w:t>并须满足下列至少一项条件：</w:t>
            </w:r>
          </w:p>
          <w:p>
            <w:pPr>
              <w:pStyle w:val="TableParagraph"/>
              <w:spacing w:before="7"/>
              <w:ind w:left="100"/>
              <w:jc w:val="both"/>
              <w:rPr>
                <w:sz w:val="21"/>
              </w:rPr>
            </w:pPr>
            <w:r>
              <w:rPr>
                <w:sz w:val="21"/>
              </w:rPr>
              <w:t>（1）实际实施了开颅进行的脑肿瘤完全切除或部分切除的手术；</w:t>
            </w:r>
          </w:p>
          <w:p>
            <w:pPr>
              <w:pStyle w:val="TableParagraph"/>
              <w:spacing w:before="36"/>
              <w:ind w:left="100"/>
              <w:jc w:val="both"/>
              <w:rPr>
                <w:sz w:val="21"/>
              </w:rPr>
            </w:pPr>
            <w:r>
              <w:rPr>
                <w:sz w:val="21"/>
              </w:rPr>
              <w:t>（2）实际实施了对脑肿瘤进行的放射治疗。</w:t>
            </w:r>
          </w:p>
          <w:p>
            <w:pPr>
              <w:pStyle w:val="TableParagraph"/>
              <w:spacing w:before="36"/>
              <w:ind w:left="100"/>
              <w:jc w:val="both"/>
              <w:rPr>
                <w:sz w:val="21"/>
              </w:rPr>
            </w:pPr>
            <w:r>
              <w:rPr>
                <w:sz w:val="21"/>
                <w:shd w:fill="DADADA" w:color="auto" w:val="clear"/>
              </w:rPr>
              <w:t>脑垂体瘤、脑囊肿、脑血管性疾病不在保障范围内。</w:t>
            </w:r>
          </w:p>
        </w:tc>
      </w:tr>
      <w:tr>
        <w:trPr>
          <w:trHeight w:val="1963" w:hRule="atLeast"/>
        </w:trPr>
        <w:tc>
          <w:tcPr>
            <w:tcW w:w="2084" w:type="dxa"/>
          </w:tcPr>
          <w:p>
            <w:pPr>
              <w:pStyle w:val="TableParagraph"/>
              <w:spacing w:line="235" w:lineRule="auto" w:before="132"/>
              <w:ind w:left="200" w:right="98"/>
              <w:rPr>
                <w:rFonts w:ascii="等线" w:eastAsia="等线" w:hint="eastAsia"/>
                <w:b/>
                <w:sz w:val="24"/>
              </w:rPr>
            </w:pPr>
            <w:r>
              <w:rPr>
                <w:rFonts w:ascii="等线" w:eastAsia="等线" w:hint="eastAsia"/>
                <w:b/>
                <w:sz w:val="24"/>
              </w:rPr>
              <w:t>慢性肝功能衰竭失代偿期</w:t>
            </w:r>
          </w:p>
        </w:tc>
        <w:tc>
          <w:tcPr>
            <w:tcW w:w="7189" w:type="dxa"/>
          </w:tcPr>
          <w:p>
            <w:pPr>
              <w:pStyle w:val="TableParagraph"/>
              <w:spacing w:before="128"/>
              <w:ind w:left="100"/>
              <w:rPr>
                <w:sz w:val="21"/>
              </w:rPr>
            </w:pPr>
            <w:r>
              <w:rPr>
                <w:sz w:val="21"/>
              </w:rPr>
              <w:t>指因慢性肝脏疾病导致肝功能衰竭。须满足下列全部条件：</w:t>
            </w:r>
          </w:p>
          <w:p>
            <w:pPr>
              <w:pStyle w:val="TableParagraph"/>
              <w:spacing w:before="37"/>
              <w:ind w:left="100"/>
              <w:rPr>
                <w:sz w:val="21"/>
              </w:rPr>
            </w:pPr>
            <w:r>
              <w:rPr>
                <w:sz w:val="21"/>
              </w:rPr>
              <w:t>（1）持续性黄疸；</w:t>
            </w:r>
          </w:p>
          <w:p>
            <w:pPr>
              <w:pStyle w:val="TableParagraph"/>
              <w:spacing w:before="37"/>
              <w:ind w:left="100"/>
              <w:rPr>
                <w:sz w:val="21"/>
              </w:rPr>
            </w:pPr>
            <w:r>
              <w:rPr>
                <w:sz w:val="21"/>
              </w:rPr>
              <w:t>（2）腹水；</w:t>
            </w:r>
          </w:p>
          <w:p>
            <w:pPr>
              <w:pStyle w:val="TableParagraph"/>
              <w:spacing w:before="37"/>
              <w:ind w:left="100"/>
              <w:rPr>
                <w:sz w:val="21"/>
              </w:rPr>
            </w:pPr>
            <w:r>
              <w:rPr>
                <w:sz w:val="21"/>
              </w:rPr>
              <w:t>（3）肝性脑病；</w:t>
            </w:r>
          </w:p>
          <w:p>
            <w:pPr>
              <w:pStyle w:val="TableParagraph"/>
              <w:spacing w:line="312" w:lineRule="exact" w:before="33"/>
              <w:ind w:left="100" w:right="1937"/>
              <w:rPr>
                <w:sz w:val="21"/>
              </w:rPr>
            </w:pPr>
            <w:r>
              <w:rPr>
                <w:sz w:val="21"/>
              </w:rPr>
              <w:t>（4）充血性脾肿大伴脾功能亢进或食管胃底静脉曲张。</w:t>
            </w:r>
            <w:r>
              <w:rPr>
                <w:sz w:val="21"/>
                <w:shd w:fill="DADADA" w:color="auto" w:val="clear"/>
              </w:rPr>
              <w:t>因酗酒或药物滥用导致的肝功能衰竭不在保障范围内。</w:t>
            </w:r>
          </w:p>
        </w:tc>
      </w:tr>
    </w:tbl>
    <w:p>
      <w:pPr>
        <w:spacing w:after="0" w:line="312" w:lineRule="exact"/>
        <w:rPr>
          <w:sz w:val="21"/>
        </w:rPr>
        <w:sectPr>
          <w:pgSz w:w="11910" w:h="16840"/>
          <w:pgMar w:top="1160" w:bottom="280" w:left="1680" w:right="60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7084"/>
      </w:tblGrid>
      <w:tr>
        <w:trPr>
          <w:trHeight w:val="1935" w:hRule="atLeast"/>
        </w:trPr>
        <w:tc>
          <w:tcPr>
            <w:tcW w:w="2084" w:type="dxa"/>
          </w:tcPr>
          <w:p>
            <w:pPr>
              <w:pStyle w:val="TableParagraph"/>
              <w:spacing w:line="258" w:lineRule="exact"/>
              <w:ind w:left="200"/>
              <w:rPr>
                <w:rFonts w:ascii="等线" w:eastAsia="等线" w:hint="eastAsia"/>
                <w:b/>
                <w:sz w:val="24"/>
              </w:rPr>
            </w:pPr>
            <w:r>
              <w:rPr>
                <w:rFonts w:ascii="等线" w:eastAsia="等线" w:hint="eastAsia"/>
                <w:b/>
                <w:sz w:val="24"/>
              </w:rPr>
              <w:t>脑炎后遗症或脑</w:t>
            </w:r>
          </w:p>
          <w:p>
            <w:pPr>
              <w:pStyle w:val="TableParagraph"/>
              <w:spacing w:line="324" w:lineRule="exact"/>
              <w:ind w:left="200"/>
              <w:rPr>
                <w:rFonts w:ascii="等线" w:eastAsia="等线" w:hint="eastAsia"/>
                <w:b/>
                <w:sz w:val="24"/>
              </w:rPr>
            </w:pPr>
            <w:r>
              <w:rPr>
                <w:rFonts w:ascii="等线" w:eastAsia="等线" w:hint="eastAsia"/>
                <w:b/>
                <w:sz w:val="24"/>
              </w:rPr>
              <w:t>膜炎后遗症</w:t>
            </w:r>
          </w:p>
        </w:tc>
        <w:tc>
          <w:tcPr>
            <w:tcW w:w="7084" w:type="dxa"/>
          </w:tcPr>
          <w:p>
            <w:pPr>
              <w:pStyle w:val="TableParagraph"/>
              <w:spacing w:line="211" w:lineRule="exact"/>
              <w:ind w:left="100"/>
              <w:rPr>
                <w:sz w:val="21"/>
              </w:rPr>
            </w:pPr>
            <w:r>
              <w:rPr>
                <w:sz w:val="21"/>
              </w:rPr>
              <w:t>指因患脑炎或脑膜炎导致的神经系统永久性的功能障碍。神经系统永久性</w:t>
            </w:r>
          </w:p>
          <w:p>
            <w:pPr>
              <w:pStyle w:val="TableParagraph"/>
              <w:spacing w:before="37"/>
              <w:ind w:left="100"/>
              <w:rPr>
                <w:sz w:val="21"/>
              </w:rPr>
            </w:pPr>
            <w:r>
              <w:rPr>
                <w:sz w:val="21"/>
              </w:rPr>
              <w:t>的功能障碍，指疾病确诊 180 日后，仍遗留下列一种或一种以上障碍：</w:t>
            </w:r>
          </w:p>
          <w:p>
            <w:pPr>
              <w:pStyle w:val="TableParagraph"/>
              <w:spacing w:before="37"/>
              <w:ind w:left="101"/>
              <w:rPr>
                <w:sz w:val="21"/>
              </w:rPr>
            </w:pPr>
            <w:r>
              <w:rPr>
                <w:sz w:val="21"/>
              </w:rPr>
              <w:t>（1）一肢或一肢以上肢体机能完全丧失；</w:t>
            </w:r>
          </w:p>
          <w:p>
            <w:pPr>
              <w:pStyle w:val="TableParagraph"/>
              <w:spacing w:before="37"/>
              <w:ind w:left="101"/>
              <w:rPr>
                <w:sz w:val="21"/>
              </w:rPr>
            </w:pPr>
            <w:r>
              <w:rPr>
                <w:sz w:val="21"/>
              </w:rPr>
              <w:t>（2）语言能力或咀嚼吞咽能力完全丧失；</w:t>
            </w:r>
          </w:p>
          <w:p>
            <w:pPr>
              <w:pStyle w:val="TableParagraph"/>
              <w:spacing w:line="273" w:lineRule="auto" w:before="37"/>
              <w:ind w:left="626" w:right="143" w:hanging="526"/>
              <w:rPr>
                <w:sz w:val="21"/>
              </w:rPr>
            </w:pPr>
            <w:r>
              <w:rPr>
                <w:sz w:val="21"/>
              </w:rPr>
              <w:t>（3）自主生活能力完全丧失，无法独立完成六项基本日常生活活动中的三项或三项以上。</w:t>
            </w:r>
          </w:p>
        </w:tc>
      </w:tr>
      <w:tr>
        <w:trPr>
          <w:trHeight w:val="1476" w:hRule="atLeast"/>
        </w:trPr>
        <w:tc>
          <w:tcPr>
            <w:tcW w:w="2084" w:type="dxa"/>
          </w:tcPr>
          <w:p>
            <w:pPr>
              <w:pStyle w:val="TableParagraph"/>
              <w:spacing w:before="98"/>
              <w:ind w:left="200"/>
              <w:rPr>
                <w:rFonts w:ascii="等线" w:eastAsia="等线" w:hint="eastAsia"/>
                <w:b/>
                <w:sz w:val="24"/>
              </w:rPr>
            </w:pPr>
            <w:r>
              <w:rPr>
                <w:rFonts w:ascii="等线" w:eastAsia="等线" w:hint="eastAsia"/>
                <w:b/>
                <w:sz w:val="24"/>
              </w:rPr>
              <w:t>深度昏迷</w:t>
            </w:r>
          </w:p>
        </w:tc>
        <w:tc>
          <w:tcPr>
            <w:tcW w:w="7084" w:type="dxa"/>
          </w:tcPr>
          <w:p>
            <w:pPr>
              <w:pStyle w:val="TableParagraph"/>
              <w:spacing w:line="273" w:lineRule="auto" w:before="100"/>
              <w:ind w:left="100" w:right="201"/>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1"/>
                <w:sz w:val="21"/>
              </w:rPr>
              <w:t>结果为 </w:t>
            </w:r>
            <w:r>
              <w:rPr>
                <w:sz w:val="21"/>
              </w:rPr>
              <w:t>5</w:t>
            </w:r>
            <w:r>
              <w:rPr>
                <w:spacing w:val="-19"/>
                <w:sz w:val="21"/>
              </w:rPr>
              <w:t> 分或 </w:t>
            </w:r>
            <w:r>
              <w:rPr>
                <w:sz w:val="21"/>
              </w:rPr>
              <w:t>5</w:t>
            </w:r>
            <w:r>
              <w:rPr>
                <w:spacing w:val="-19"/>
                <w:sz w:val="21"/>
              </w:rPr>
              <w:t> 分</w:t>
            </w:r>
            <w:r>
              <w:rPr>
                <w:spacing w:val="-10"/>
                <w:sz w:val="21"/>
              </w:rPr>
              <w:t>以下，且已经持续使用呼吸机及其它生命维持系统 </w:t>
            </w:r>
            <w:r>
              <w:rPr>
                <w:sz w:val="21"/>
              </w:rPr>
              <w:t>96</w:t>
            </w:r>
            <w:r>
              <w:rPr>
                <w:spacing w:val="-9"/>
                <w:sz w:val="21"/>
              </w:rPr>
              <w:t> 小时以上。</w:t>
            </w:r>
          </w:p>
          <w:p>
            <w:pPr>
              <w:pStyle w:val="TableParagraph"/>
              <w:spacing w:before="7"/>
              <w:ind w:left="100"/>
              <w:jc w:val="both"/>
              <w:rPr>
                <w:sz w:val="21"/>
              </w:rPr>
            </w:pPr>
            <w:r>
              <w:rPr>
                <w:sz w:val="21"/>
                <w:shd w:fill="DADADA" w:color="auto" w:val="clear"/>
              </w:rPr>
              <w:t>因酗酒或药物滥用导致的深度昏迷不在保障范围内。</w:t>
            </w:r>
          </w:p>
        </w:tc>
      </w:tr>
      <w:tr>
        <w:trPr>
          <w:trHeight w:val="1786" w:hRule="atLeast"/>
        </w:trPr>
        <w:tc>
          <w:tcPr>
            <w:tcW w:w="2084" w:type="dxa"/>
          </w:tcPr>
          <w:p>
            <w:pPr>
              <w:pStyle w:val="TableParagraph"/>
              <w:spacing w:before="98"/>
              <w:ind w:left="200"/>
              <w:rPr>
                <w:rFonts w:ascii="等线" w:eastAsia="等线" w:hint="eastAsia"/>
                <w:b/>
                <w:sz w:val="24"/>
              </w:rPr>
            </w:pPr>
            <w:r>
              <w:rPr>
                <w:rFonts w:ascii="等线" w:eastAsia="等线" w:hint="eastAsia"/>
                <w:b/>
                <w:sz w:val="24"/>
              </w:rPr>
              <w:t>双耳失聪</w:t>
            </w:r>
          </w:p>
        </w:tc>
        <w:tc>
          <w:tcPr>
            <w:tcW w:w="7084" w:type="dxa"/>
          </w:tcPr>
          <w:p>
            <w:pPr>
              <w:pStyle w:val="TableParagraph"/>
              <w:spacing w:line="273" w:lineRule="auto" w:before="100"/>
              <w:ind w:left="100" w:right="198"/>
              <w:jc w:val="both"/>
              <w:rPr>
                <w:sz w:val="21"/>
              </w:rPr>
            </w:pPr>
            <w:r>
              <w:rPr>
                <w:sz w:val="21"/>
              </w:rPr>
              <w:t>指因疾病或意外伤害导致双耳听力</w:t>
            </w:r>
            <w:r>
              <w:rPr>
                <w:rFonts w:ascii="黑体" w:eastAsia="黑体" w:hint="eastAsia"/>
                <w:b/>
                <w:sz w:val="21"/>
              </w:rPr>
              <w:t>永久不可逆</w:t>
            </w:r>
            <w:r>
              <w:rPr>
                <w:sz w:val="21"/>
              </w:rPr>
              <w:t>（见9.8）性丧失，在500赫兹、1000赫兹和2000赫兹语音频率下，平均听阈大于90分贝，且经纯音听力测试、声导抗检测或听觉诱发电位检测等证实。</w:t>
            </w:r>
          </w:p>
          <w:p>
            <w:pPr>
              <w:pStyle w:val="TableParagraph"/>
              <w:spacing w:line="273" w:lineRule="auto" w:before="7"/>
              <w:ind w:left="100" w:right="198"/>
              <w:jc w:val="both"/>
              <w:rPr>
                <w:sz w:val="21"/>
              </w:rPr>
            </w:pPr>
            <w:r>
              <w:rPr>
                <w:sz w:val="21"/>
                <w:shd w:fill="DADADA" w:color="auto" w:val="clear"/>
              </w:rPr>
              <w:t>若被保险人在0至3周岁保单周年日期间双耳失聪，在本附加险合同有效期内我</w:t>
            </w:r>
            <w:r>
              <w:rPr>
                <w:spacing w:val="-212"/>
                <w:sz w:val="21"/>
                <w:shd w:fill="DADADA" w:color="auto" w:val="clear"/>
              </w:rPr>
              <w:t>们</w:t>
            </w:r>
            <w:r>
              <w:rPr>
                <w:spacing w:val="-3"/>
                <w:sz w:val="21"/>
                <w:shd w:fill="DADADA" w:color="auto" w:val="clear"/>
              </w:rPr>
              <w:t>对双耳失聪不承担保险责任。</w:t>
            </w:r>
          </w:p>
        </w:tc>
      </w:tr>
      <w:tr>
        <w:trPr>
          <w:trHeight w:val="2098" w:hRule="atLeast"/>
        </w:trPr>
        <w:tc>
          <w:tcPr>
            <w:tcW w:w="2084" w:type="dxa"/>
          </w:tcPr>
          <w:p>
            <w:pPr>
              <w:pStyle w:val="TableParagraph"/>
              <w:spacing w:before="97"/>
              <w:ind w:left="200"/>
              <w:rPr>
                <w:rFonts w:ascii="等线" w:eastAsia="等线" w:hint="eastAsia"/>
                <w:b/>
                <w:sz w:val="24"/>
              </w:rPr>
            </w:pPr>
            <w:r>
              <w:rPr>
                <w:rFonts w:ascii="等线" w:eastAsia="等线" w:hint="eastAsia"/>
                <w:b/>
                <w:sz w:val="24"/>
              </w:rPr>
              <w:t>双目失明</w:t>
            </w:r>
          </w:p>
        </w:tc>
        <w:tc>
          <w:tcPr>
            <w:tcW w:w="7084" w:type="dxa"/>
          </w:tcPr>
          <w:p>
            <w:pPr>
              <w:pStyle w:val="TableParagraph"/>
              <w:spacing w:line="273" w:lineRule="auto" w:before="99"/>
              <w:ind w:left="100" w:right="201"/>
              <w:rPr>
                <w:sz w:val="21"/>
              </w:rPr>
            </w:pPr>
            <w:r>
              <w:rPr>
                <w:sz w:val="21"/>
              </w:rPr>
              <w:t>指因疾病或意外伤害导致双眼视力永久不可逆性丧失，双眼中较好眼须满足下列至少一项条件：</w:t>
            </w:r>
          </w:p>
          <w:p>
            <w:pPr>
              <w:pStyle w:val="TableParagraph"/>
              <w:spacing w:before="7"/>
              <w:ind w:left="100"/>
              <w:rPr>
                <w:sz w:val="21"/>
              </w:rPr>
            </w:pPr>
            <w:r>
              <w:rPr>
                <w:sz w:val="21"/>
              </w:rPr>
              <w:t>（1）眼球缺失或摘除；</w:t>
            </w:r>
          </w:p>
          <w:p>
            <w:pPr>
              <w:pStyle w:val="TableParagraph"/>
              <w:spacing w:line="273" w:lineRule="auto" w:before="37"/>
              <w:ind w:left="626" w:right="200" w:hanging="526"/>
              <w:rPr>
                <w:sz w:val="21"/>
              </w:rPr>
            </w:pPr>
            <w:r>
              <w:rPr>
                <w:spacing w:val="-13"/>
                <w:sz w:val="21"/>
              </w:rPr>
              <w:t>（2）</w:t>
            </w:r>
            <w:r>
              <w:rPr>
                <w:spacing w:val="-6"/>
                <w:sz w:val="21"/>
              </w:rPr>
              <w:t>矫正视力低于 </w:t>
            </w:r>
            <w:r>
              <w:rPr>
                <w:spacing w:val="-8"/>
                <w:sz w:val="21"/>
              </w:rPr>
              <w:t>0.02（</w:t>
            </w:r>
            <w:r>
              <w:rPr>
                <w:spacing w:val="-7"/>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8"/>
              <w:ind w:left="101"/>
              <w:rPr>
                <w:sz w:val="21"/>
              </w:rPr>
            </w:pPr>
            <w:r>
              <w:rPr>
                <w:sz w:val="21"/>
              </w:rPr>
              <w:t>（3）视野半径小于 5 度。</w:t>
            </w:r>
          </w:p>
        </w:tc>
      </w:tr>
      <w:tr>
        <w:trPr>
          <w:trHeight w:val="1162" w:hRule="atLeast"/>
        </w:trPr>
        <w:tc>
          <w:tcPr>
            <w:tcW w:w="2084" w:type="dxa"/>
          </w:tcPr>
          <w:p>
            <w:pPr>
              <w:pStyle w:val="TableParagraph"/>
              <w:spacing w:before="98"/>
              <w:ind w:left="200"/>
              <w:rPr>
                <w:rFonts w:ascii="等线" w:eastAsia="等线" w:hint="eastAsia"/>
                <w:b/>
                <w:sz w:val="24"/>
              </w:rPr>
            </w:pPr>
            <w:r>
              <w:rPr>
                <w:rFonts w:ascii="等线" w:eastAsia="等线" w:hint="eastAsia"/>
                <w:b/>
                <w:sz w:val="24"/>
              </w:rPr>
              <w:t>瘫痪</w:t>
            </w:r>
          </w:p>
        </w:tc>
        <w:tc>
          <w:tcPr>
            <w:tcW w:w="7084" w:type="dxa"/>
          </w:tcPr>
          <w:p>
            <w:pPr>
              <w:pStyle w:val="TableParagraph"/>
              <w:spacing w:line="273" w:lineRule="auto" w:before="100"/>
              <w:ind w:left="100" w:right="200"/>
              <w:jc w:val="both"/>
              <w:rPr>
                <w:sz w:val="21"/>
              </w:rPr>
            </w:pPr>
            <w:r>
              <w:rPr>
                <w:sz w:val="21"/>
              </w:rPr>
              <w:t>指因疾病或意外伤害导致两肢或两肢以上肢体机能永久完全丧失。肢体机</w:t>
            </w:r>
            <w:r>
              <w:rPr>
                <w:spacing w:val="-5"/>
                <w:sz w:val="21"/>
              </w:rPr>
              <w:t>能永久完全丧失，指疾病确诊 </w:t>
            </w:r>
            <w:r>
              <w:rPr>
                <w:sz w:val="21"/>
              </w:rPr>
              <w:t>180</w:t>
            </w:r>
            <w:r>
              <w:rPr>
                <w:spacing w:val="-10"/>
                <w:sz w:val="21"/>
              </w:rPr>
              <w:t> 日后或意外伤害发生 </w:t>
            </w:r>
            <w:r>
              <w:rPr>
                <w:sz w:val="21"/>
              </w:rPr>
              <w:t>180</w:t>
            </w:r>
            <w:r>
              <w:rPr>
                <w:spacing w:val="-8"/>
                <w:sz w:val="21"/>
              </w:rPr>
              <w:t> 日后，每肢三</w:t>
            </w:r>
            <w:r>
              <w:rPr>
                <w:spacing w:val="-3"/>
                <w:sz w:val="21"/>
              </w:rPr>
              <w:t>大关节中的两大关节仍然完全僵硬，或不能随意识活动。</w:t>
            </w:r>
          </w:p>
        </w:tc>
      </w:tr>
      <w:tr>
        <w:trPr>
          <w:trHeight w:val="850" w:hRule="atLeast"/>
        </w:trPr>
        <w:tc>
          <w:tcPr>
            <w:tcW w:w="2084" w:type="dxa"/>
          </w:tcPr>
          <w:p>
            <w:pPr>
              <w:pStyle w:val="TableParagraph"/>
              <w:spacing w:before="97"/>
              <w:ind w:left="200"/>
              <w:rPr>
                <w:rFonts w:ascii="等线" w:eastAsia="等线" w:hint="eastAsia"/>
                <w:b/>
                <w:sz w:val="24"/>
              </w:rPr>
            </w:pPr>
            <w:r>
              <w:rPr>
                <w:rFonts w:ascii="等线" w:eastAsia="等线" w:hint="eastAsia"/>
                <w:b/>
                <w:sz w:val="24"/>
              </w:rPr>
              <w:t>心脏瓣膜手术</w:t>
            </w:r>
          </w:p>
        </w:tc>
        <w:tc>
          <w:tcPr>
            <w:tcW w:w="7084" w:type="dxa"/>
          </w:tcPr>
          <w:p>
            <w:pPr>
              <w:pStyle w:val="TableParagraph"/>
              <w:spacing w:line="273" w:lineRule="auto" w:before="99"/>
              <w:ind w:left="100" w:right="201"/>
              <w:rPr>
                <w:sz w:val="21"/>
              </w:rPr>
            </w:pPr>
            <w:r>
              <w:rPr>
                <w:sz w:val="21"/>
              </w:rPr>
              <w:t>指为治疗心脏瓣膜疾病，实际实施了开胸进行的心脏瓣膜置换或修复的手术。</w:t>
            </w:r>
          </w:p>
        </w:tc>
      </w:tr>
      <w:tr>
        <w:trPr>
          <w:trHeight w:val="2098" w:hRule="atLeast"/>
        </w:trPr>
        <w:tc>
          <w:tcPr>
            <w:tcW w:w="2084" w:type="dxa"/>
          </w:tcPr>
          <w:p>
            <w:pPr>
              <w:pStyle w:val="TableParagraph"/>
              <w:spacing w:line="235" w:lineRule="auto" w:before="105"/>
              <w:ind w:left="200" w:right="98"/>
              <w:rPr>
                <w:rFonts w:ascii="等线" w:eastAsia="等线" w:hint="eastAsia"/>
                <w:b/>
                <w:sz w:val="24"/>
              </w:rPr>
            </w:pPr>
            <w:r>
              <w:rPr>
                <w:rFonts w:ascii="等线" w:eastAsia="等线" w:hint="eastAsia"/>
                <w:b/>
                <w:sz w:val="24"/>
              </w:rPr>
              <w:t>严重阿尔茨海默病</w:t>
            </w:r>
          </w:p>
        </w:tc>
        <w:tc>
          <w:tcPr>
            <w:tcW w:w="7084" w:type="dxa"/>
          </w:tcPr>
          <w:p>
            <w:pPr>
              <w:pStyle w:val="TableParagraph"/>
              <w:spacing w:line="273" w:lineRule="auto" w:before="100"/>
              <w:ind w:left="100" w:right="198"/>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）或正电子发射</w:t>
            </w:r>
            <w:r>
              <w:rPr>
                <w:spacing w:val="-4"/>
                <w:sz w:val="21"/>
              </w:rPr>
              <w:t>断层扫描（PET）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7"/>
              <w:ind w:left="100"/>
              <w:jc w:val="both"/>
              <w:rPr>
                <w:sz w:val="21"/>
              </w:rPr>
            </w:pPr>
            <w:r>
              <w:rPr>
                <w:sz w:val="21"/>
                <w:shd w:fill="DADADA" w:color="auto" w:val="clear"/>
              </w:rPr>
              <w:t>神经官能症和精神疾病不在保障范围内。</w:t>
            </w:r>
          </w:p>
        </w:tc>
      </w:tr>
      <w:tr>
        <w:trPr>
          <w:trHeight w:val="2557" w:hRule="atLeast"/>
        </w:trPr>
        <w:tc>
          <w:tcPr>
            <w:tcW w:w="2084" w:type="dxa"/>
          </w:tcPr>
          <w:p>
            <w:pPr>
              <w:pStyle w:val="TableParagraph"/>
              <w:spacing w:before="97"/>
              <w:ind w:left="200"/>
              <w:rPr>
                <w:rFonts w:ascii="等线" w:eastAsia="等线" w:hint="eastAsia"/>
                <w:b/>
                <w:sz w:val="24"/>
              </w:rPr>
            </w:pPr>
            <w:r>
              <w:rPr>
                <w:rFonts w:ascii="等线" w:eastAsia="等线" w:hint="eastAsia"/>
                <w:b/>
                <w:sz w:val="24"/>
              </w:rPr>
              <w:t>严重脑损伤</w:t>
            </w:r>
          </w:p>
        </w:tc>
        <w:tc>
          <w:tcPr>
            <w:tcW w:w="7084" w:type="dxa"/>
          </w:tcPr>
          <w:p>
            <w:pPr>
              <w:pStyle w:val="TableParagraph"/>
              <w:spacing w:line="273" w:lineRule="auto" w:before="99"/>
              <w:ind w:left="100" w:right="198"/>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）或正电子发射</w:t>
            </w:r>
            <w:r>
              <w:rPr>
                <w:spacing w:val="-4"/>
                <w:sz w:val="21"/>
              </w:rPr>
              <w:t>断层扫描（PET）</w:t>
            </w:r>
            <w:r>
              <w:rPr>
                <w:spacing w:val="-6"/>
                <w:sz w:val="21"/>
              </w:rPr>
              <w: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before="7"/>
              <w:ind w:left="101"/>
              <w:rPr>
                <w:sz w:val="21"/>
              </w:rPr>
            </w:pPr>
            <w:r>
              <w:rPr>
                <w:sz w:val="21"/>
              </w:rPr>
              <w:t>（1）一肢或一肢以上肢体机能完全丧失；</w:t>
            </w:r>
          </w:p>
          <w:p>
            <w:pPr>
              <w:pStyle w:val="TableParagraph"/>
              <w:spacing w:before="37"/>
              <w:ind w:left="101"/>
              <w:rPr>
                <w:sz w:val="21"/>
              </w:rPr>
            </w:pPr>
            <w:r>
              <w:rPr>
                <w:sz w:val="21"/>
              </w:rPr>
              <w:t>（2）语言能力或咀嚼吞咽能力完全丧失；</w:t>
            </w:r>
          </w:p>
          <w:p>
            <w:pPr>
              <w:pStyle w:val="TableParagraph"/>
              <w:spacing w:line="310" w:lineRule="atLeast" w:before="2"/>
              <w:ind w:left="626" w:right="143"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440" w:bottom="280" w:left="1680" w:right="700"/>
        </w:sectPr>
      </w:pPr>
    </w:p>
    <w:p>
      <w:pPr>
        <w:pStyle w:val="BodyText"/>
        <w:tabs>
          <w:tab w:pos="2426" w:val="left" w:leader="none"/>
        </w:tabs>
        <w:spacing w:line="232" w:lineRule="auto" w:before="10"/>
        <w:ind w:left="2426" w:right="217" w:hanging="1985"/>
      </w:pPr>
      <w:r>
        <w:rPr>
          <w:rFonts w:ascii="等线" w:eastAsia="等线" w:hint="eastAsia"/>
          <w:b/>
          <w:position w:val="-1"/>
          <w:sz w:val="24"/>
        </w:rPr>
        <w:t>严重帕金森病</w:t>
        <w:tab/>
      </w:r>
      <w:r>
        <w:rPr/>
        <w:t>是一种中枢神经系统的退行性疾病，临床表现为震颤麻痹、共济失调等。 须满</w:t>
      </w:r>
      <w:r>
        <w:rPr>
          <w:spacing w:val="-3"/>
        </w:rPr>
        <w:t>足</w:t>
      </w:r>
      <w:r>
        <w:rPr/>
        <w:t>下</w:t>
      </w:r>
      <w:r>
        <w:rPr>
          <w:spacing w:val="-3"/>
        </w:rPr>
        <w:t>列</w:t>
      </w:r>
      <w:r>
        <w:rPr/>
        <w:t>全</w:t>
      </w:r>
      <w:r>
        <w:rPr>
          <w:spacing w:val="-3"/>
        </w:rPr>
        <w:t>部</w:t>
      </w:r>
      <w:r>
        <w:rPr/>
        <w:t>条</w:t>
      </w:r>
      <w:r>
        <w:rPr>
          <w:spacing w:val="-3"/>
        </w:rPr>
        <w:t>件</w:t>
      </w:r>
      <w:r>
        <w:rPr/>
        <w:t>：</w:t>
      </w:r>
    </w:p>
    <w:p>
      <w:pPr>
        <w:pStyle w:val="BodyText"/>
        <w:spacing w:before="36"/>
        <w:ind w:left="2426"/>
      </w:pPr>
      <w:r>
        <w:rPr/>
        <w:t>（1）药物治疗无法控制病情；</w:t>
      </w:r>
    </w:p>
    <w:p>
      <w:pPr>
        <w:pStyle w:val="BodyText"/>
        <w:spacing w:line="273" w:lineRule="auto" w:before="36"/>
        <w:ind w:left="2952" w:right="163" w:hanging="526"/>
      </w:pPr>
      <w:r>
        <w:rPr/>
        <w:t>（2）自主生活能力完全丧失，无法独立完成六项基本日常生活活动中的三项或三项以上。</w:t>
      </w:r>
    </w:p>
    <w:p>
      <w:pPr>
        <w:pStyle w:val="BodyText"/>
        <w:spacing w:before="7"/>
        <w:ind w:left="2426"/>
      </w:pPr>
      <w:r>
        <w:rPr>
          <w:shd w:fill="DADADA" w:color="auto" w:val="clear"/>
        </w:rPr>
        <w:t>继发性帕金森综合征不在保障范围内。</w:t>
      </w:r>
    </w:p>
    <w:p>
      <w:pPr>
        <w:pStyle w:val="BodyText"/>
        <w:spacing w:before="8"/>
        <w:rPr>
          <w:sz w:val="24"/>
        </w:rPr>
      </w:pPr>
    </w:p>
    <w:p>
      <w:pPr>
        <w:pStyle w:val="BodyText"/>
        <w:tabs>
          <w:tab w:pos="2426" w:val="left" w:leader="none"/>
        </w:tabs>
        <w:spacing w:line="232" w:lineRule="auto"/>
        <w:ind w:left="2426" w:right="114" w:hanging="1985"/>
      </w:pPr>
      <w:r>
        <w:rPr>
          <w:rFonts w:ascii="等线" w:hAnsi="等线" w:eastAsia="等线" w:hint="eastAsia"/>
          <w:b/>
          <w:position w:val="-1"/>
          <w:sz w:val="24"/>
        </w:rPr>
        <w:t>严重Ⅲ度烧伤</w:t>
        <w:tab/>
      </w:r>
      <w:r>
        <w:rPr/>
        <w:t>指烧</w:t>
      </w:r>
      <w:r>
        <w:rPr>
          <w:spacing w:val="-3"/>
        </w:rPr>
        <w:t>伤</w:t>
      </w:r>
      <w:r>
        <w:rPr/>
        <w:t>程</w:t>
      </w:r>
      <w:r>
        <w:rPr>
          <w:spacing w:val="-3"/>
        </w:rPr>
        <w:t>度</w:t>
      </w:r>
      <w:r>
        <w:rPr/>
        <w:t>为</w:t>
      </w:r>
      <w:r>
        <w:rPr>
          <w:spacing w:val="-3"/>
        </w:rPr>
        <w:t>Ⅲ</w:t>
      </w:r>
      <w:r>
        <w:rPr/>
        <w:t>度</w:t>
      </w:r>
      <w:r>
        <w:rPr>
          <w:spacing w:val="-109"/>
        </w:rPr>
        <w:t>，</w:t>
      </w:r>
      <w:r>
        <w:rPr/>
        <w:t>且</w:t>
      </w:r>
      <w:r>
        <w:rPr>
          <w:spacing w:val="-3"/>
        </w:rPr>
        <w:t>Ⅲ度</w:t>
      </w:r>
      <w:r>
        <w:rPr/>
        <w:t>烧伤</w:t>
      </w:r>
      <w:r>
        <w:rPr>
          <w:spacing w:val="-3"/>
        </w:rPr>
        <w:t>的</w:t>
      </w:r>
      <w:r>
        <w:rPr/>
        <w:t>面</w:t>
      </w:r>
      <w:r>
        <w:rPr>
          <w:spacing w:val="-3"/>
        </w:rPr>
        <w:t>积</w:t>
      </w:r>
      <w:r>
        <w:rPr/>
        <w:t>达</w:t>
      </w:r>
      <w:r>
        <w:rPr>
          <w:spacing w:val="-3"/>
        </w:rPr>
        <w:t>到</w:t>
      </w:r>
      <w:r>
        <w:rPr/>
        <w:t>全</w:t>
      </w:r>
      <w:r>
        <w:rPr>
          <w:spacing w:val="-3"/>
        </w:rPr>
        <w:t>身</w:t>
      </w:r>
      <w:r>
        <w:rPr/>
        <w:t>体</w:t>
      </w:r>
      <w:r>
        <w:rPr>
          <w:spacing w:val="-3"/>
        </w:rPr>
        <w:t>表</w:t>
      </w:r>
      <w:r>
        <w:rPr/>
        <w:t>面积</w:t>
      </w:r>
      <w:r>
        <w:rPr>
          <w:spacing w:val="23"/>
        </w:rPr>
        <w:t>的</w:t>
      </w:r>
      <w:r>
        <w:rPr/>
        <w:t>20%</w:t>
      </w:r>
      <w:r>
        <w:rPr>
          <w:spacing w:val="23"/>
        </w:rPr>
        <w:t>或</w:t>
      </w:r>
      <w:r>
        <w:rPr/>
        <w:t>20%以</w:t>
      </w:r>
      <w:r>
        <w:rPr>
          <w:spacing w:val="-3"/>
        </w:rPr>
        <w:t>上。 </w:t>
      </w:r>
      <w:r>
        <w:rPr/>
        <w:t>体表</w:t>
      </w:r>
      <w:r>
        <w:rPr>
          <w:spacing w:val="-3"/>
        </w:rPr>
        <w:t>面</w:t>
      </w:r>
      <w:r>
        <w:rPr/>
        <w:t>积</w:t>
      </w:r>
      <w:r>
        <w:rPr>
          <w:spacing w:val="-3"/>
        </w:rPr>
        <w:t>根</w:t>
      </w:r>
      <w:r>
        <w:rPr/>
        <w:t>据</w:t>
      </w:r>
      <w:r>
        <w:rPr>
          <w:spacing w:val="-3"/>
        </w:rPr>
        <w:t>《</w:t>
      </w:r>
      <w:r>
        <w:rPr/>
        <w:t>中</w:t>
      </w:r>
      <w:r>
        <w:rPr>
          <w:spacing w:val="-3"/>
        </w:rPr>
        <w:t>国</w:t>
      </w:r>
      <w:r>
        <w:rPr/>
        <w:t>新</w:t>
      </w:r>
      <w:r>
        <w:rPr>
          <w:spacing w:val="-3"/>
        </w:rPr>
        <w:t>九</w:t>
      </w:r>
      <w:r>
        <w:rPr/>
        <w:t>分法</w:t>
      </w:r>
      <w:r>
        <w:rPr>
          <w:spacing w:val="-3"/>
        </w:rPr>
        <w:t>》</w:t>
      </w:r>
      <w:r>
        <w:rPr/>
        <w:t>计</w:t>
      </w:r>
      <w:r>
        <w:rPr>
          <w:spacing w:val="-3"/>
        </w:rPr>
        <w:t>算</w:t>
      </w:r>
      <w:r>
        <w:rPr/>
        <w:t>。</w:t>
      </w:r>
    </w:p>
    <w:p>
      <w:pPr>
        <w:pStyle w:val="BodyText"/>
        <w:spacing w:before="8"/>
      </w:pPr>
    </w:p>
    <w:p>
      <w:pPr>
        <w:spacing w:after="0"/>
        <w:sectPr>
          <w:pgSz w:w="11910" w:h="16840"/>
          <w:pgMar w:top="1380" w:bottom="280" w:left="1680" w:right="800"/>
        </w:sectPr>
      </w:pPr>
    </w:p>
    <w:p>
      <w:pPr>
        <w:pStyle w:val="Heading2"/>
        <w:spacing w:line="235" w:lineRule="auto"/>
      </w:pPr>
      <w:r>
        <w:rPr/>
        <w:t>严重原发性肺动脉高压</w:t>
      </w:r>
    </w:p>
    <w:p>
      <w:pPr>
        <w:pStyle w:val="BodyText"/>
        <w:spacing w:line="273" w:lineRule="auto" w:before="37"/>
        <w:ind w:left="161" w:right="215"/>
        <w:jc w:val="both"/>
      </w:pPr>
      <w:r>
        <w:rPr/>
        <w:br w:type="column"/>
      </w:r>
      <w:r>
        <w:rPr/>
        <w:t>指不明原因的肺动脉压力持续性增高，进行性发展而导致的慢性疾病，已经造成永久不可逆性的体力活动能力受限，达到美国纽约心脏病学会</w:t>
      </w:r>
      <w:r>
        <w:rPr>
          <w:rFonts w:ascii="黑体" w:eastAsia="黑体" w:hint="eastAsia"/>
          <w:b/>
        </w:rPr>
        <w:t>心功能状态分级</w:t>
      </w:r>
      <w:r>
        <w:rPr/>
        <w:t>（见 9.9）IV 级，且静息状态下肺动脉平均压超过 30mmHg。</w:t>
      </w:r>
    </w:p>
    <w:p>
      <w:pPr>
        <w:spacing w:after="0" w:line="273" w:lineRule="auto"/>
        <w:jc w:val="both"/>
        <w:sectPr>
          <w:type w:val="continuous"/>
          <w:pgSz w:w="11910" w:h="16840"/>
          <w:pgMar w:top="560" w:bottom="280" w:left="1680" w:right="800"/>
          <w:cols w:num="2" w:equalWidth="0">
            <w:col w:w="2225" w:space="40"/>
            <w:col w:w="7165"/>
          </w:cols>
        </w:sectPr>
      </w:pPr>
    </w:p>
    <w:p>
      <w:pPr>
        <w:pStyle w:val="BodyText"/>
        <w:spacing w:before="8"/>
        <w:rPr>
          <w:sz w:val="19"/>
        </w:rPr>
      </w:pPr>
    </w:p>
    <w:p>
      <w:pPr>
        <w:spacing w:after="0"/>
        <w:rPr>
          <w:sz w:val="19"/>
        </w:rPr>
        <w:sectPr>
          <w:type w:val="continuous"/>
          <w:pgSz w:w="11910" w:h="16840"/>
          <w:pgMar w:top="560" w:bottom="280" w:left="1680" w:right="800"/>
        </w:sectPr>
      </w:pPr>
    </w:p>
    <w:p>
      <w:pPr>
        <w:pStyle w:val="Heading2"/>
        <w:spacing w:line="235" w:lineRule="auto"/>
      </w:pPr>
      <w:r>
        <w:rPr/>
        <w:t>严重运动神经元病</w:t>
      </w:r>
    </w:p>
    <w:p>
      <w:pPr>
        <w:pStyle w:val="BodyText"/>
        <w:spacing w:line="273" w:lineRule="auto" w:before="37"/>
        <w:ind w:left="161" w:right="21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60" w:bottom="280" w:left="1680" w:right="800"/>
          <w:cols w:num="2" w:equalWidth="0">
            <w:col w:w="2225" w:space="40"/>
            <w:col w:w="7165"/>
          </w:cols>
        </w:sectPr>
      </w:pPr>
    </w:p>
    <w:p>
      <w:pPr>
        <w:pStyle w:val="BodyText"/>
        <w:spacing w:before="6"/>
        <w:rPr>
          <w:sz w:val="19"/>
        </w:rPr>
      </w:pPr>
    </w:p>
    <w:p>
      <w:pPr>
        <w:pStyle w:val="BodyText"/>
        <w:tabs>
          <w:tab w:pos="2426" w:val="left" w:leader="none"/>
        </w:tabs>
        <w:spacing w:line="232" w:lineRule="auto" w:before="39"/>
        <w:ind w:left="2426" w:right="220" w:hanging="1985"/>
      </w:pPr>
      <w:r>
        <w:rPr>
          <w:rFonts w:ascii="等线" w:eastAsia="等线" w:hint="eastAsia"/>
          <w:b/>
          <w:position w:val="-1"/>
          <w:sz w:val="24"/>
        </w:rPr>
        <w:t>语言能力丧失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109"/>
        </w:rPr>
        <w:t>，</w:t>
      </w:r>
      <w:r>
        <w:rPr/>
        <w:t>经</w:t>
      </w:r>
      <w:r>
        <w:rPr>
          <w:spacing w:val="-3"/>
        </w:rPr>
        <w:t>过积</w:t>
      </w:r>
      <w:r>
        <w:rPr/>
        <w:t>极治</w:t>
      </w:r>
      <w:r>
        <w:rPr>
          <w:spacing w:val="-3"/>
        </w:rPr>
        <w:t>疗</w:t>
      </w:r>
      <w:r>
        <w:rPr/>
        <w:t>至</w:t>
      </w:r>
      <w:r>
        <w:rPr>
          <w:spacing w:val="25"/>
        </w:rPr>
        <w:t>少</w:t>
      </w:r>
      <w:r>
        <w:rPr/>
        <w:t>12</w:t>
      </w:r>
      <w:r>
        <w:rPr>
          <w:spacing w:val="-37"/>
        </w:rPr>
        <w:t> </w:t>
      </w:r>
      <w:r>
        <w:rPr>
          <w:spacing w:val="-3"/>
        </w:rPr>
        <w:t>个</w:t>
      </w:r>
      <w:r>
        <w:rPr>
          <w:spacing w:val="-106"/>
        </w:rPr>
        <w:t>月</w:t>
      </w:r>
      <w:r>
        <w:rPr>
          <w:spacing w:val="-3"/>
        </w:rPr>
        <w:t>（声</w:t>
      </w:r>
      <w:r>
        <w:rPr>
          <w:w w:val="100"/>
        </w:rPr>
        <w:t>带完</w:t>
      </w:r>
      <w:r>
        <w:rPr>
          <w:spacing w:val="-3"/>
          <w:w w:val="100"/>
        </w:rPr>
        <w:t>全</w:t>
      </w:r>
      <w:r>
        <w:rPr>
          <w:w w:val="100"/>
        </w:rPr>
        <w:t>切</w:t>
      </w:r>
      <w:r>
        <w:rPr>
          <w:spacing w:val="-3"/>
          <w:w w:val="100"/>
        </w:rPr>
        <w:t>除</w:t>
      </w:r>
      <w:r>
        <w:rPr>
          <w:w w:val="100"/>
        </w:rPr>
        <w:t>不</w:t>
      </w:r>
      <w:r>
        <w:rPr>
          <w:spacing w:val="-3"/>
          <w:w w:val="100"/>
        </w:rPr>
        <w:t>受</w:t>
      </w:r>
      <w:r>
        <w:rPr>
          <w:w w:val="100"/>
        </w:rPr>
        <w:t>此</w:t>
      </w:r>
      <w:r>
        <w:rPr>
          <w:spacing w:val="-3"/>
          <w:w w:val="100"/>
        </w:rPr>
        <w:t>时</w:t>
      </w:r>
      <w:r>
        <w:rPr>
          <w:w w:val="100"/>
        </w:rPr>
        <w:t>间</w:t>
      </w:r>
      <w:r>
        <w:rPr>
          <w:spacing w:val="-3"/>
          <w:w w:val="100"/>
        </w:rPr>
        <w:t>限</w:t>
      </w:r>
      <w:r>
        <w:rPr>
          <w:w w:val="100"/>
        </w:rPr>
        <w:t>制</w:t>
      </w:r>
      <w:r>
        <w:rPr>
          <w:spacing w:val="-106"/>
          <w:w w:val="100"/>
        </w:rPr>
        <w:t>）</w:t>
      </w:r>
      <w:r>
        <w:rPr>
          <w:spacing w:val="-3"/>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医疗</w:t>
      </w:r>
      <w:r>
        <w:rPr>
          <w:spacing w:val="-1"/>
          <w:w w:val="100"/>
        </w:rPr>
        <w:t>手</w:t>
      </w:r>
      <w:r>
        <w:rPr>
          <w:w w:val="100"/>
        </w:rPr>
        <w:t>段</w:t>
      </w:r>
      <w:r>
        <w:rPr>
          <w:spacing w:val="-3"/>
          <w:w w:val="100"/>
        </w:rPr>
        <w:t>恢</w:t>
      </w:r>
      <w:r>
        <w:rPr>
          <w:w w:val="100"/>
        </w:rPr>
        <w:t>复。</w:t>
      </w:r>
    </w:p>
    <w:p>
      <w:pPr>
        <w:pStyle w:val="BodyText"/>
        <w:spacing w:before="36"/>
        <w:ind w:left="2426"/>
      </w:pPr>
      <w:r>
        <w:rPr>
          <w:shd w:fill="DADADA" w:color="auto" w:val="clear"/>
        </w:rPr>
        <w:t>精神心理因素所致的语言能力丧失不在保障范围内。</w:t>
      </w:r>
    </w:p>
    <w:p>
      <w:pPr>
        <w:pStyle w:val="BodyText"/>
        <w:spacing w:line="273" w:lineRule="auto" w:before="36"/>
        <w:ind w:left="2426" w:right="215"/>
      </w:pPr>
      <w:r>
        <w:rPr>
          <w:spacing w:val="-6"/>
          <w:shd w:fill="DADADA" w:color="auto" w:val="clear"/>
        </w:rPr>
        <w:t>若被保险人在 </w:t>
      </w:r>
      <w:r>
        <w:rPr>
          <w:shd w:fill="DADADA" w:color="auto" w:val="clear"/>
        </w:rPr>
        <w:t>0</w:t>
      </w:r>
      <w:r>
        <w:rPr>
          <w:spacing w:val="-21"/>
          <w:shd w:fill="DADADA" w:color="auto" w:val="clear"/>
        </w:rPr>
        <w:t> 至 </w:t>
      </w:r>
      <w:r>
        <w:rPr>
          <w:shd w:fill="DADADA" w:color="auto" w:val="clear"/>
        </w:rPr>
        <w:t>3</w:t>
      </w:r>
      <w:r>
        <w:rPr>
          <w:spacing w:val="-7"/>
          <w:shd w:fill="DADADA" w:color="auto" w:val="clear"/>
        </w:rPr>
        <w:t> 周岁保单周年日期间语言能力丧失，在本附加险合同有效</w:t>
      </w:r>
      <w:r>
        <w:rPr>
          <w:spacing w:val="-17"/>
          <w:shd w:fill="DADADA" w:color="auto" w:val="clear"/>
        </w:rPr>
        <w:t>期内我们对语言能力丧失不承担保险责任。</w:t>
      </w:r>
    </w:p>
    <w:p>
      <w:pPr>
        <w:pStyle w:val="BodyText"/>
        <w:spacing w:before="5"/>
        <w:rPr>
          <w:sz w:val="19"/>
        </w:rPr>
      </w:pPr>
    </w:p>
    <w:p>
      <w:pPr>
        <w:spacing w:after="0"/>
        <w:rPr>
          <w:sz w:val="19"/>
        </w:rPr>
        <w:sectPr>
          <w:type w:val="continuous"/>
          <w:pgSz w:w="11910" w:h="16840"/>
          <w:pgMar w:top="560" w:bottom="280" w:left="1680" w:right="800"/>
        </w:sectPr>
      </w:pPr>
    </w:p>
    <w:p>
      <w:pPr>
        <w:pStyle w:val="Heading2"/>
        <w:spacing w:line="235" w:lineRule="auto"/>
      </w:pPr>
      <w:r>
        <w:rPr/>
        <w:t>重型再生障碍性贫血</w:t>
      </w:r>
    </w:p>
    <w:p>
      <w:pPr>
        <w:pStyle w:val="BodyText"/>
        <w:spacing w:line="273" w:lineRule="auto" w:before="36"/>
        <w:ind w:left="161" w:right="217"/>
      </w:pPr>
      <w:r>
        <w:rPr/>
        <w:br w:type="column"/>
      </w:r>
      <w:r>
        <w:rPr/>
        <w:t>指因骨髓造血功能慢性持续性衰竭导致的贫血、中性粒细胞减少及血小板减少。须满足下列全部条件：</w:t>
      </w:r>
    </w:p>
    <w:p>
      <w:pPr>
        <w:pStyle w:val="BodyText"/>
        <w:spacing w:before="7"/>
        <w:ind w:left="161"/>
      </w:pPr>
      <w:r>
        <w:rPr/>
        <w:t>（1）骨髓穿刺检查或骨髓活检结果支持诊断；</w:t>
      </w:r>
    </w:p>
    <w:p>
      <w:pPr>
        <w:pStyle w:val="BodyText"/>
        <w:spacing w:before="37"/>
        <w:ind w:left="161"/>
      </w:pPr>
      <w:r>
        <w:rPr/>
        <w:t>（2）外周血象须具备以下三项条件：</w:t>
      </w:r>
    </w:p>
    <w:p>
      <w:pPr>
        <w:pStyle w:val="BodyText"/>
        <w:spacing w:before="37"/>
        <w:ind w:left="372"/>
      </w:pPr>
      <w:r>
        <w:rPr/>
        <w:t>① 中性粒细胞绝对值≤0.5×10</w:t>
      </w:r>
      <w:r>
        <w:rPr>
          <w:position w:val="11"/>
          <w:sz w:val="11"/>
        </w:rPr>
        <w:t>9</w:t>
      </w:r>
      <w:r>
        <w:rPr/>
        <w:t>/L；</w:t>
      </w:r>
    </w:p>
    <w:p>
      <w:pPr>
        <w:pStyle w:val="BodyText"/>
        <w:spacing w:before="37"/>
        <w:ind w:left="372"/>
      </w:pPr>
      <w:r>
        <w:rPr/>
        <w:t>② 网织红细胞＜1%；</w:t>
      </w:r>
    </w:p>
    <w:p>
      <w:pPr>
        <w:pStyle w:val="BodyText"/>
        <w:spacing w:before="37"/>
        <w:ind w:left="373"/>
      </w:pPr>
      <w:r>
        <w:rPr/>
        <w:t>③ 血小板绝对值≤20×10</w:t>
      </w:r>
      <w:r>
        <w:rPr>
          <w:position w:val="11"/>
          <w:sz w:val="11"/>
        </w:rPr>
        <w:t>9</w:t>
      </w:r>
      <w:r>
        <w:rPr/>
        <w:t>/L。</w:t>
      </w:r>
    </w:p>
    <w:p>
      <w:pPr>
        <w:spacing w:after="0"/>
        <w:sectPr>
          <w:type w:val="continuous"/>
          <w:pgSz w:w="11910" w:h="16840"/>
          <w:pgMar w:top="560" w:bottom="280" w:left="1680" w:right="800"/>
          <w:cols w:num="2" w:equalWidth="0">
            <w:col w:w="2225" w:space="40"/>
            <w:col w:w="7165"/>
          </w:cols>
        </w:sectPr>
      </w:pPr>
    </w:p>
    <w:p>
      <w:pPr>
        <w:pStyle w:val="BodyText"/>
        <w:spacing w:before="9"/>
      </w:pPr>
    </w:p>
    <w:p>
      <w:pPr>
        <w:pStyle w:val="BodyText"/>
        <w:tabs>
          <w:tab w:pos="2426" w:val="left" w:leader="none"/>
        </w:tabs>
        <w:spacing w:line="252" w:lineRule="auto" w:before="30"/>
        <w:ind w:left="2426" w:right="217" w:hanging="1985"/>
        <w:jc w:val="both"/>
      </w:pPr>
      <w:r>
        <w:rPr>
          <w:rFonts w:ascii="等线" w:eastAsia="等线" w:hint="eastAsia"/>
          <w:b/>
          <w:position w:val="-1"/>
          <w:sz w:val="24"/>
        </w:rPr>
        <w:t>主动脉手术</w:t>
        <w:tab/>
      </w:r>
      <w:r>
        <w:rPr/>
        <w:t>指为治疗主动脉疾病，实际实施了开胸或开腹进行的切除、置换、修补病 损主动脉血管的手术。主动脉指胸主动脉和腹主动脉，不包括胸主动脉和腹主</w:t>
      </w:r>
      <w:r>
        <w:rPr>
          <w:spacing w:val="-3"/>
        </w:rPr>
        <w:t>动</w:t>
      </w:r>
      <w:r>
        <w:rPr/>
        <w:t>脉</w:t>
      </w:r>
      <w:r>
        <w:rPr>
          <w:spacing w:val="-3"/>
        </w:rPr>
        <w:t>的</w:t>
      </w:r>
      <w:r>
        <w:rPr/>
        <w:t>分</w:t>
      </w:r>
      <w:r>
        <w:rPr>
          <w:spacing w:val="-3"/>
        </w:rPr>
        <w:t>支</w:t>
      </w:r>
      <w:r>
        <w:rPr/>
        <w:t>血</w:t>
      </w:r>
      <w:r>
        <w:rPr>
          <w:spacing w:val="-3"/>
        </w:rPr>
        <w:t>管</w:t>
      </w:r>
      <w:r>
        <w:rPr/>
        <w:t>。</w:t>
      </w:r>
    </w:p>
    <w:p>
      <w:pPr>
        <w:pStyle w:val="BodyText"/>
        <w:spacing w:before="26"/>
        <w:ind w:left="2426"/>
      </w:pPr>
      <w:r>
        <w:rPr>
          <w:shd w:fill="DADADA" w:color="auto" w:val="clear"/>
        </w:rPr>
        <w:t>动脉内血管成形术不在保障范围内。</w:t>
      </w:r>
    </w:p>
    <w:p>
      <w:pPr>
        <w:pStyle w:val="BodyText"/>
        <w:spacing w:before="5"/>
        <w:rPr>
          <w:sz w:val="24"/>
        </w:rPr>
      </w:pPr>
    </w:p>
    <w:p>
      <w:pPr>
        <w:pStyle w:val="BodyText"/>
        <w:spacing w:line="273" w:lineRule="auto"/>
        <w:ind w:left="2426" w:right="217"/>
      </w:pPr>
      <w:r>
        <w:rPr/>
        <w:t>以下重大疾病是本公司在中国保险行业协会与中国医师协会制定了规范定义的疾病范围之外增加的疾病。</w:t>
      </w:r>
    </w:p>
    <w:p>
      <w:pPr>
        <w:pStyle w:val="BodyText"/>
        <w:spacing w:before="5"/>
        <w:rPr>
          <w:sz w:val="19"/>
        </w:rPr>
      </w:pPr>
    </w:p>
    <w:p>
      <w:pPr>
        <w:spacing w:after="0"/>
        <w:rPr>
          <w:sz w:val="19"/>
        </w:rPr>
        <w:sectPr>
          <w:type w:val="continuous"/>
          <w:pgSz w:w="11910" w:h="16840"/>
          <w:pgMar w:top="560" w:bottom="280" w:left="1680" w:right="800"/>
        </w:sectPr>
      </w:pPr>
    </w:p>
    <w:p>
      <w:pPr>
        <w:pStyle w:val="Heading2"/>
        <w:spacing w:line="235" w:lineRule="auto"/>
      </w:pPr>
      <w:r>
        <w:rPr/>
        <w:t>严重的多发性硬化</w:t>
      </w:r>
    </w:p>
    <w:p>
      <w:pPr>
        <w:pStyle w:val="BodyText"/>
        <w:spacing w:line="273" w:lineRule="auto" w:before="36"/>
        <w:ind w:left="161" w:right="110"/>
      </w:pPr>
      <w:r>
        <w:rPr/>
        <w:br w:type="column"/>
      </w:r>
      <w:r>
        <w:rPr/>
        <w:t>指因中枢神经系统脱髓鞘而导致的不可逆的身体部位的功能障碍，需由神</w:t>
      </w:r>
      <w:r>
        <w:rPr>
          <w:spacing w:val="-14"/>
          <w:w w:val="100"/>
        </w:rPr>
        <w:t>经科专科医生提供明确诊断，并有头颅断层扫描</w:t>
      </w:r>
      <w:r>
        <w:rPr>
          <w:spacing w:val="-1"/>
          <w:w w:val="100"/>
        </w:rPr>
        <w:t>（</w:t>
      </w:r>
      <w:r>
        <w:rPr>
          <w:w w:val="100"/>
        </w:rPr>
        <w:t>C</w:t>
      </w:r>
      <w:r>
        <w:rPr>
          <w:spacing w:val="-3"/>
          <w:w w:val="100"/>
        </w:rPr>
        <w:t>T</w:t>
      </w:r>
      <w:r>
        <w:rPr>
          <w:spacing w:val="-92"/>
          <w:w w:val="100"/>
        </w:rPr>
        <w:t>）</w:t>
      </w:r>
      <w:r>
        <w:rPr>
          <w:spacing w:val="-16"/>
          <w:w w:val="100"/>
        </w:rPr>
        <w:t>或核磁共振检查</w:t>
      </w:r>
      <w:r>
        <w:rPr>
          <w:spacing w:val="-1"/>
          <w:w w:val="100"/>
        </w:rPr>
        <w:t>（</w:t>
      </w:r>
      <w:r>
        <w:rPr>
          <w:w w:val="100"/>
        </w:rPr>
        <w:t>M</w:t>
      </w:r>
      <w:r>
        <w:rPr>
          <w:spacing w:val="-3"/>
          <w:w w:val="100"/>
        </w:rPr>
        <w:t>R</w:t>
      </w:r>
      <w:r>
        <w:rPr>
          <w:spacing w:val="-1"/>
          <w:w w:val="100"/>
        </w:rPr>
        <w:t>I</w:t>
      </w:r>
      <w:r>
        <w:rPr>
          <w:w w:val="100"/>
        </w:rPr>
        <w:t>）</w:t>
      </w:r>
      <w:r>
        <w:rPr/>
        <w:t>结果诊断报告。不可逆的身体部位功能障碍指诊断为功能障碍后需已经持</w:t>
      </w:r>
      <w:r>
        <w:rPr>
          <w:spacing w:val="-25"/>
        </w:rPr>
        <w:t>续 </w:t>
      </w:r>
      <w:r>
        <w:rPr/>
        <w:t>180</w:t>
      </w:r>
      <w:r>
        <w:rPr>
          <w:spacing w:val="-12"/>
        </w:rPr>
        <w:t> 日以上。</w:t>
      </w:r>
    </w:p>
    <w:p>
      <w:pPr>
        <w:pStyle w:val="BodyText"/>
        <w:spacing w:before="7"/>
        <w:ind w:left="161"/>
      </w:pPr>
      <w:r>
        <w:rPr/>
        <w:t>由神经科专科医生提供的明确诊断必须同时包含下列内容：</w:t>
      </w:r>
    </w:p>
    <w:p>
      <w:pPr>
        <w:spacing w:after="0"/>
        <w:sectPr>
          <w:type w:val="continuous"/>
          <w:pgSz w:w="11910" w:h="16840"/>
          <w:pgMar w:top="560" w:bottom="280" w:left="1680" w:right="800"/>
          <w:cols w:num="2" w:equalWidth="0">
            <w:col w:w="2225" w:space="40"/>
            <w:col w:w="7165"/>
          </w:cols>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7058"/>
      </w:tblGrid>
      <w:tr>
        <w:trPr>
          <w:trHeight w:val="1028" w:hRule="atLeast"/>
        </w:trPr>
        <w:tc>
          <w:tcPr>
            <w:tcW w:w="2109" w:type="dxa"/>
          </w:tcPr>
          <w:p>
            <w:pPr>
              <w:pStyle w:val="TableParagraph"/>
              <w:rPr>
                <w:rFonts w:ascii="Times New Roman"/>
                <w:sz w:val="20"/>
              </w:rPr>
            </w:pPr>
          </w:p>
        </w:tc>
        <w:tc>
          <w:tcPr>
            <w:tcW w:w="7058" w:type="dxa"/>
          </w:tcPr>
          <w:p>
            <w:pPr>
              <w:pStyle w:val="TableParagraph"/>
              <w:spacing w:line="211" w:lineRule="exact"/>
              <w:ind w:left="75"/>
              <w:rPr>
                <w:sz w:val="21"/>
              </w:rPr>
            </w:pPr>
            <w:r>
              <w:rPr>
                <w:sz w:val="21"/>
              </w:rPr>
              <w:t>（1）明确出现因视神经、脑干和脊髓损伤而导致的临床表现；</w:t>
            </w:r>
          </w:p>
          <w:p>
            <w:pPr>
              <w:pStyle w:val="TableParagraph"/>
              <w:spacing w:before="37"/>
              <w:ind w:left="75"/>
              <w:rPr>
                <w:sz w:val="21"/>
              </w:rPr>
            </w:pPr>
            <w:r>
              <w:rPr>
                <w:sz w:val="21"/>
              </w:rPr>
              <w:t>（2）神经系统散在的多部位病变；</w:t>
            </w:r>
          </w:p>
          <w:p>
            <w:pPr>
              <w:pStyle w:val="TableParagraph"/>
              <w:spacing w:before="37"/>
              <w:ind w:left="75"/>
              <w:rPr>
                <w:sz w:val="21"/>
              </w:rPr>
            </w:pPr>
            <w:r>
              <w:rPr>
                <w:sz w:val="21"/>
              </w:rPr>
              <w:t>（3）有明确的上述症状及神经损伤反复恶化、减轻的病史纪录。</w:t>
            </w:r>
          </w:p>
        </w:tc>
      </w:tr>
      <w:tr>
        <w:trPr>
          <w:trHeight w:val="2468" w:hRule="atLeast"/>
        </w:trPr>
        <w:tc>
          <w:tcPr>
            <w:tcW w:w="2109" w:type="dxa"/>
          </w:tcPr>
          <w:p>
            <w:pPr>
              <w:pStyle w:val="TableParagraph"/>
              <w:spacing w:line="235" w:lineRule="auto" w:before="133"/>
              <w:ind w:left="200" w:right="138"/>
              <w:rPr>
                <w:rFonts w:ascii="等线" w:eastAsia="等线" w:hint="eastAsia"/>
                <w:b/>
                <w:sz w:val="24"/>
              </w:rPr>
            </w:pPr>
            <w:r>
              <w:rPr>
                <w:rFonts w:ascii="等线" w:eastAsia="等线" w:hint="eastAsia"/>
                <w:b/>
                <w:sz w:val="24"/>
              </w:rPr>
              <w:t>严重的 1 型糖尿病</w:t>
            </w:r>
          </w:p>
        </w:tc>
        <w:tc>
          <w:tcPr>
            <w:tcW w:w="7058" w:type="dxa"/>
          </w:tcPr>
          <w:p>
            <w:pPr>
              <w:pStyle w:val="TableParagraph"/>
              <w:spacing w:line="273" w:lineRule="auto" w:before="129"/>
              <w:ind w:left="75" w:right="197"/>
              <w:jc w:val="both"/>
              <w:rPr>
                <w:sz w:val="21"/>
              </w:rPr>
            </w:pPr>
            <w:r>
              <w:rPr>
                <w:spacing w:val="-4"/>
                <w:sz w:val="21"/>
              </w:rPr>
              <w:t>严重的 </w:t>
            </w:r>
            <w:r>
              <w:rPr>
                <w:sz w:val="21"/>
              </w:rPr>
              <w:t>1</w:t>
            </w:r>
            <w:r>
              <w:rPr>
                <w:spacing w:val="-4"/>
                <w:sz w:val="21"/>
              </w:rPr>
              <w:t> 型糖尿病为由于胰岛素分泌绝对不足引起的慢性血糖升高，且已经持续性地依赖外源性胰岛素维持 </w:t>
            </w:r>
            <w:r>
              <w:rPr>
                <w:sz w:val="21"/>
              </w:rPr>
              <w:t>180</w:t>
            </w:r>
            <w:r>
              <w:rPr>
                <w:spacing w:val="-4"/>
                <w:sz w:val="21"/>
              </w:rPr>
              <w:t> 日以上。须经血胰岛素测定、血 </w:t>
            </w:r>
            <w:r>
              <w:rPr>
                <w:sz w:val="21"/>
              </w:rPr>
              <w:t>C </w:t>
            </w:r>
            <w:r>
              <w:rPr>
                <w:spacing w:val="-3"/>
                <w:sz w:val="21"/>
              </w:rPr>
              <w:t>肽测定或尿 </w:t>
            </w:r>
            <w:r>
              <w:rPr>
                <w:sz w:val="21"/>
              </w:rPr>
              <w:t>C</w:t>
            </w:r>
            <w:r>
              <w:rPr>
                <w:spacing w:val="-4"/>
                <w:sz w:val="21"/>
              </w:rPr>
              <w:t> 肽测定，结果异常，并由内分泌科专科医生明确诊断。并须</w:t>
            </w:r>
            <w:r>
              <w:rPr>
                <w:spacing w:val="-5"/>
                <w:sz w:val="21"/>
              </w:rPr>
              <w:t>在本附加险合同有效期内，满足下述至少 </w:t>
            </w:r>
            <w:r>
              <w:rPr>
                <w:sz w:val="21"/>
              </w:rPr>
              <w:t>1</w:t>
            </w:r>
            <w:r>
              <w:rPr>
                <w:spacing w:val="-11"/>
                <w:sz w:val="21"/>
              </w:rPr>
              <w:t> 个条件：</w:t>
            </w:r>
          </w:p>
          <w:p>
            <w:pPr>
              <w:pStyle w:val="TableParagraph"/>
              <w:spacing w:before="7"/>
              <w:ind w:left="75"/>
              <w:jc w:val="both"/>
              <w:rPr>
                <w:sz w:val="21"/>
              </w:rPr>
            </w:pPr>
            <w:r>
              <w:rPr>
                <w:sz w:val="21"/>
              </w:rPr>
              <w:t>（1）已出现增殖性视网膜病变；</w:t>
            </w:r>
          </w:p>
          <w:p>
            <w:pPr>
              <w:pStyle w:val="TableParagraph"/>
              <w:spacing w:before="37"/>
              <w:ind w:left="75"/>
              <w:jc w:val="both"/>
              <w:rPr>
                <w:sz w:val="21"/>
              </w:rPr>
            </w:pPr>
            <w:r>
              <w:rPr>
                <w:sz w:val="21"/>
              </w:rPr>
              <w:t>（2）须植入心脏起搏器治疗心脏病；</w:t>
            </w:r>
          </w:p>
          <w:p>
            <w:pPr>
              <w:pStyle w:val="TableParagraph"/>
              <w:spacing w:before="37"/>
              <w:ind w:left="75"/>
              <w:jc w:val="both"/>
              <w:rPr>
                <w:sz w:val="21"/>
              </w:rPr>
            </w:pPr>
            <w:r>
              <w:rPr>
                <w:sz w:val="21"/>
              </w:rPr>
              <w:t>（3）因坏疽需切除至少一个脚趾。</w:t>
            </w:r>
          </w:p>
        </w:tc>
      </w:tr>
      <w:tr>
        <w:trPr>
          <w:trHeight w:val="1279" w:hRule="atLeast"/>
        </w:trPr>
        <w:tc>
          <w:tcPr>
            <w:tcW w:w="2109" w:type="dxa"/>
          </w:tcPr>
          <w:p>
            <w:pPr>
              <w:pStyle w:val="TableParagraph"/>
              <w:spacing w:line="323" w:lineRule="exact" w:before="126"/>
              <w:ind w:left="200"/>
              <w:rPr>
                <w:rFonts w:ascii="等线" w:eastAsia="等线" w:hint="eastAsia"/>
                <w:b/>
                <w:sz w:val="24"/>
              </w:rPr>
            </w:pPr>
            <w:r>
              <w:rPr>
                <w:rFonts w:ascii="等线" w:eastAsia="等线" w:hint="eastAsia"/>
                <w:b/>
                <w:sz w:val="24"/>
              </w:rPr>
              <w:t>侵 蚀性葡 萄胎 </w:t>
            </w:r>
          </w:p>
          <w:p>
            <w:pPr>
              <w:pStyle w:val="TableParagraph"/>
              <w:spacing w:line="235" w:lineRule="auto" w:before="2"/>
              <w:ind w:left="200" w:right="123"/>
              <w:rPr>
                <w:rFonts w:ascii="等线" w:eastAsia="等线" w:hint="eastAsia"/>
                <w:b/>
                <w:sz w:val="24"/>
              </w:rPr>
            </w:pPr>
            <w:r>
              <w:rPr>
                <w:rFonts w:ascii="等线" w:eastAsia="等线" w:hint="eastAsia"/>
                <w:b/>
                <w:sz w:val="24"/>
              </w:rPr>
              <w:t>（或称恶性葡萄胎）</w:t>
            </w:r>
          </w:p>
        </w:tc>
        <w:tc>
          <w:tcPr>
            <w:tcW w:w="7058" w:type="dxa"/>
          </w:tcPr>
          <w:p>
            <w:pPr>
              <w:pStyle w:val="TableParagraph"/>
              <w:spacing w:line="273" w:lineRule="auto" w:before="128"/>
              <w:ind w:left="75" w:right="200"/>
              <w:rPr>
                <w:sz w:val="21"/>
              </w:rPr>
            </w:pPr>
            <w:r>
              <w:rPr>
                <w:sz w:val="21"/>
              </w:rPr>
              <w:t>该类疾病是指异常增生的绒毛组织浸润性生长浸入子宫肌层或转移至其他器官或组织的葡萄胎，并已经进行化疗或手术治疗的。</w:t>
            </w:r>
          </w:p>
        </w:tc>
      </w:tr>
      <w:tr>
        <w:trPr>
          <w:trHeight w:val="6515" w:hRule="atLeast"/>
        </w:trPr>
        <w:tc>
          <w:tcPr>
            <w:tcW w:w="2109" w:type="dxa"/>
          </w:tcPr>
          <w:p>
            <w:pPr>
              <w:pStyle w:val="TableParagraph"/>
              <w:spacing w:line="235" w:lineRule="auto" w:before="125"/>
              <w:ind w:left="200" w:right="123"/>
              <w:jc w:val="both"/>
              <w:rPr>
                <w:rFonts w:ascii="等线" w:eastAsia="等线" w:hint="eastAsia"/>
                <w:b/>
                <w:sz w:val="24"/>
              </w:rPr>
            </w:pPr>
            <w:r>
              <w:rPr>
                <w:rFonts w:ascii="等线" w:eastAsia="等线" w:hint="eastAsia"/>
                <w:b/>
                <w:sz w:val="24"/>
              </w:rPr>
              <w:t>系统性红斑狼疮并发重度的肾功能损害</w:t>
            </w:r>
          </w:p>
        </w:tc>
        <w:tc>
          <w:tcPr>
            <w:tcW w:w="7058" w:type="dxa"/>
          </w:tcPr>
          <w:p>
            <w:pPr>
              <w:pStyle w:val="TableParagraph"/>
              <w:spacing w:before="120"/>
              <w:ind w:left="75"/>
              <w:rPr>
                <w:sz w:val="21"/>
              </w:rPr>
            </w:pPr>
            <w:r>
              <w:rPr>
                <w:sz w:val="21"/>
              </w:rPr>
              <w:t>该类疾病保障仅限于女性。</w:t>
            </w:r>
          </w:p>
          <w:p>
            <w:pPr>
              <w:pStyle w:val="TableParagraph"/>
              <w:spacing w:line="273" w:lineRule="auto" w:before="36"/>
              <w:ind w:left="75" w:right="200"/>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7"/>
              <w:ind w:left="75"/>
              <w:jc w:val="both"/>
              <w:rPr>
                <w:sz w:val="21"/>
              </w:rPr>
            </w:pPr>
            <w:r>
              <w:rPr>
                <w:sz w:val="21"/>
              </w:rPr>
              <w:t>（1）临床表现至少具备下列条件中的 4 个：</w:t>
            </w:r>
          </w:p>
          <w:p>
            <w:pPr>
              <w:pStyle w:val="TableParagraph"/>
              <w:spacing w:before="36"/>
              <w:ind w:left="265"/>
              <w:rPr>
                <w:sz w:val="21"/>
              </w:rPr>
            </w:pPr>
            <w:r>
              <w:rPr>
                <w:sz w:val="21"/>
              </w:rPr>
              <w:t>① 蝶形红斑或盘形红斑；</w:t>
            </w:r>
          </w:p>
          <w:p>
            <w:pPr>
              <w:pStyle w:val="TableParagraph"/>
              <w:spacing w:before="36"/>
              <w:ind w:left="265"/>
              <w:rPr>
                <w:sz w:val="21"/>
              </w:rPr>
            </w:pPr>
            <w:r>
              <w:rPr>
                <w:sz w:val="21"/>
              </w:rPr>
              <w:t>② 光敏感；</w:t>
            </w:r>
          </w:p>
          <w:p>
            <w:pPr>
              <w:pStyle w:val="TableParagraph"/>
              <w:spacing w:before="36"/>
              <w:ind w:left="265"/>
              <w:rPr>
                <w:sz w:val="21"/>
              </w:rPr>
            </w:pPr>
            <w:r>
              <w:rPr>
                <w:sz w:val="21"/>
              </w:rPr>
              <w:t>③ 口鼻腔黏膜溃疡；</w:t>
            </w:r>
          </w:p>
          <w:p>
            <w:pPr>
              <w:pStyle w:val="TableParagraph"/>
              <w:spacing w:before="36"/>
              <w:ind w:left="265"/>
              <w:rPr>
                <w:sz w:val="21"/>
              </w:rPr>
            </w:pPr>
            <w:r>
              <w:rPr>
                <w:sz w:val="21"/>
              </w:rPr>
              <w:t>④ 非畸形性关节炎或多关节痛；</w:t>
            </w:r>
          </w:p>
          <w:p>
            <w:pPr>
              <w:pStyle w:val="TableParagraph"/>
              <w:spacing w:before="36"/>
              <w:ind w:left="265"/>
              <w:rPr>
                <w:sz w:val="21"/>
              </w:rPr>
            </w:pPr>
            <w:r>
              <w:rPr>
                <w:sz w:val="21"/>
              </w:rPr>
              <w:t>⑤ 胸膜炎或心包炎；</w:t>
            </w:r>
          </w:p>
          <w:p>
            <w:pPr>
              <w:pStyle w:val="TableParagraph"/>
              <w:spacing w:before="36"/>
              <w:ind w:left="265"/>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579" w:right="200" w:hanging="315"/>
              <w:rPr>
                <w:sz w:val="21"/>
              </w:rPr>
            </w:pPr>
            <w:r>
              <w:rPr>
                <w:spacing w:val="-6"/>
                <w:sz w:val="21"/>
              </w:rPr>
              <w:t>⑦ 血象异常</w:t>
            </w:r>
            <w:r>
              <w:rPr>
                <w:spacing w:val="-3"/>
                <w:sz w:val="21"/>
              </w:rPr>
              <w:t>（</w:t>
            </w:r>
            <w:r>
              <w:rPr>
                <w:spacing w:val="-12"/>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before="7"/>
              <w:ind w:left="75"/>
              <w:jc w:val="both"/>
              <w:rPr>
                <w:sz w:val="21"/>
              </w:rPr>
            </w:pPr>
            <w:r>
              <w:rPr>
                <w:sz w:val="21"/>
              </w:rPr>
              <w:t>（2）检测结果至少具备下列条件中的 2 个：</w:t>
            </w:r>
          </w:p>
          <w:p>
            <w:pPr>
              <w:pStyle w:val="TableParagraph"/>
              <w:spacing w:before="37"/>
              <w:ind w:left="265"/>
              <w:rPr>
                <w:sz w:val="21"/>
              </w:rPr>
            </w:pPr>
            <w:r>
              <w:rPr>
                <w:sz w:val="21"/>
              </w:rPr>
              <w:t>① 抗 dsDNA 抗体阳性；</w:t>
            </w:r>
          </w:p>
          <w:p>
            <w:pPr>
              <w:pStyle w:val="TableParagraph"/>
              <w:spacing w:before="37"/>
              <w:ind w:left="265"/>
              <w:rPr>
                <w:sz w:val="21"/>
              </w:rPr>
            </w:pPr>
            <w:r>
              <w:rPr>
                <w:sz w:val="21"/>
              </w:rPr>
              <w:t>② 抗 Sm 抗体阳性；</w:t>
            </w:r>
          </w:p>
          <w:p>
            <w:pPr>
              <w:pStyle w:val="TableParagraph"/>
              <w:spacing w:before="37"/>
              <w:ind w:left="265"/>
              <w:rPr>
                <w:sz w:val="21"/>
              </w:rPr>
            </w:pPr>
            <w:r>
              <w:rPr>
                <w:sz w:val="21"/>
              </w:rPr>
              <w:t>③ 抗核抗体阳性；</w:t>
            </w:r>
          </w:p>
          <w:p>
            <w:pPr>
              <w:pStyle w:val="TableParagraph"/>
              <w:spacing w:before="37"/>
              <w:ind w:left="265"/>
              <w:rPr>
                <w:sz w:val="21"/>
              </w:rPr>
            </w:pPr>
            <w:r>
              <w:rPr>
                <w:sz w:val="21"/>
              </w:rPr>
              <w:t>④ 皮肤狼疮带试验（非病损部位）或肾活检阳性；</w:t>
            </w:r>
          </w:p>
          <w:p>
            <w:pPr>
              <w:pStyle w:val="TableParagraph"/>
              <w:spacing w:before="37"/>
              <w:ind w:left="265"/>
              <w:rPr>
                <w:sz w:val="21"/>
              </w:rPr>
            </w:pPr>
            <w:r>
              <w:rPr>
                <w:sz w:val="21"/>
              </w:rPr>
              <w:t>⑤ C3 低于正常值。</w:t>
            </w:r>
          </w:p>
          <w:p>
            <w:pPr>
              <w:pStyle w:val="TableParagraph"/>
              <w:spacing w:before="37"/>
              <w:ind w:left="76"/>
              <w:jc w:val="both"/>
              <w:rPr>
                <w:sz w:val="21"/>
              </w:rPr>
            </w:pPr>
            <w:r>
              <w:rPr>
                <w:sz w:val="21"/>
              </w:rPr>
              <w:t>（3）狼疮肾炎致使肾功能减弱，内生肌酐清除率低于每分钟 30ml。</w:t>
            </w:r>
          </w:p>
        </w:tc>
      </w:tr>
      <w:tr>
        <w:trPr>
          <w:trHeight w:val="2275" w:hRule="atLeast"/>
        </w:trPr>
        <w:tc>
          <w:tcPr>
            <w:tcW w:w="2109" w:type="dxa"/>
          </w:tcPr>
          <w:p>
            <w:pPr>
              <w:pStyle w:val="TableParagraph"/>
              <w:spacing w:line="235" w:lineRule="auto" w:before="133"/>
              <w:ind w:left="200" w:right="123"/>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058" w:type="dxa"/>
          </w:tcPr>
          <w:p>
            <w:pPr>
              <w:pStyle w:val="TableParagraph"/>
              <w:spacing w:line="273" w:lineRule="auto" w:before="128"/>
              <w:ind w:left="75" w:right="197"/>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w w:val="100"/>
                <w:sz w:val="21"/>
              </w:rPr>
              <w:t>态分级的标准判定，心功能状态已达到</w:t>
            </w:r>
            <w:r>
              <w:rPr>
                <w:spacing w:val="-3"/>
                <w:sz w:val="21"/>
              </w:rPr>
              <w:t> </w:t>
            </w:r>
            <w:r>
              <w:rPr>
                <w:spacing w:val="-3"/>
                <w:w w:val="100"/>
                <w:sz w:val="21"/>
              </w:rPr>
              <w:t>I</w:t>
            </w:r>
            <w:r>
              <w:rPr>
                <w:w w:val="100"/>
                <w:sz w:val="21"/>
              </w:rPr>
              <w:t>V</w:t>
            </w:r>
            <w:r>
              <w:rPr>
                <w:sz w:val="21"/>
              </w:rPr>
              <w:t> </w:t>
            </w:r>
            <w:r>
              <w:rPr>
                <w:w w:val="100"/>
                <w:sz w:val="21"/>
              </w:rPr>
              <w:t>级</w:t>
            </w:r>
            <w:r>
              <w:rPr>
                <w:spacing w:val="-109"/>
                <w:w w:val="100"/>
                <w:sz w:val="21"/>
              </w:rPr>
              <w:t>）</w:t>
            </w:r>
            <w:r>
              <w:rPr>
                <w:spacing w:val="-3"/>
                <w:w w:val="100"/>
                <w:sz w:val="21"/>
              </w:rPr>
              <w:t>，且有相关住院医疗记录显</w:t>
            </w:r>
            <w:r>
              <w:rPr>
                <w:spacing w:val="-26"/>
                <w:sz w:val="21"/>
              </w:rPr>
              <w:t>示 </w:t>
            </w:r>
            <w:r>
              <w:rPr>
                <w:sz w:val="21"/>
              </w:rPr>
              <w:t>IV</w:t>
            </w:r>
            <w:r>
              <w:rPr>
                <w:spacing w:val="-12"/>
                <w:sz w:val="21"/>
              </w:rPr>
              <w:t> 级心功能衰竭状态已持续至少 </w:t>
            </w:r>
            <w:r>
              <w:rPr>
                <w:sz w:val="21"/>
              </w:rPr>
              <w:t>180</w:t>
            </w:r>
            <w:r>
              <w:rPr>
                <w:spacing w:val="-19"/>
                <w:sz w:val="21"/>
              </w:rPr>
              <w:t> 日。</w:t>
            </w:r>
          </w:p>
          <w:p>
            <w:pPr>
              <w:pStyle w:val="TableParagraph"/>
              <w:spacing w:line="312" w:lineRule="exact" w:before="2"/>
              <w:ind w:left="75" w:right="200"/>
              <w:jc w:val="both"/>
              <w:rPr>
                <w:sz w:val="21"/>
              </w:rPr>
            </w:pPr>
            <w:r>
              <w:rPr>
                <w:sz w:val="21"/>
              </w:rPr>
              <w:t>本病须经专科医生明确诊断。</w:t>
            </w:r>
            <w:r>
              <w:rPr>
                <w:sz w:val="21"/>
                <w:shd w:fill="DADADA" w:color="auto" w:val="clear"/>
              </w:rPr>
              <w:t>继发于全身性疾病或其它器官系统疾病造成</w:t>
            </w:r>
            <w:r>
              <w:rPr>
                <w:spacing w:val="-212"/>
                <w:sz w:val="21"/>
                <w:shd w:fill="DADADA" w:color="auto" w:val="clear"/>
              </w:rPr>
              <w:t>的</w:t>
            </w:r>
            <w:r>
              <w:rPr>
                <w:spacing w:val="-3"/>
                <w:sz w:val="21"/>
                <w:shd w:fill="DADADA" w:color="auto" w:val="clear"/>
              </w:rPr>
              <w:t>心肌病变不在保障范围内。</w:t>
            </w:r>
          </w:p>
        </w:tc>
      </w:tr>
    </w:tbl>
    <w:p>
      <w:pPr>
        <w:spacing w:after="0" w:line="312" w:lineRule="exact"/>
        <w:jc w:val="both"/>
        <w:rPr>
          <w:sz w:val="21"/>
        </w:rPr>
        <w:sectPr>
          <w:pgSz w:w="11910" w:h="16840"/>
          <w:pgMar w:top="1160" w:bottom="280" w:left="1680" w:right="7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364"/>
        <w:gridCol w:w="7083"/>
      </w:tblGrid>
      <w:tr>
        <w:trPr>
          <w:trHeight w:val="1074" w:hRule="atLeast"/>
        </w:trPr>
        <w:tc>
          <w:tcPr>
            <w:tcW w:w="997" w:type="dxa"/>
          </w:tcPr>
          <w:p>
            <w:pPr>
              <w:pStyle w:val="TableParagraph"/>
              <w:rPr>
                <w:rFonts w:ascii="Times New Roman"/>
                <w:sz w:val="20"/>
              </w:rPr>
            </w:pPr>
          </w:p>
        </w:tc>
        <w:tc>
          <w:tcPr>
            <w:tcW w:w="2364" w:type="dxa"/>
          </w:tcPr>
          <w:p>
            <w:pPr>
              <w:pStyle w:val="TableParagraph"/>
              <w:spacing w:line="258" w:lineRule="exact"/>
              <w:ind w:left="479"/>
              <w:rPr>
                <w:rFonts w:ascii="等线" w:eastAsia="等线" w:hint="eastAsia"/>
                <w:b/>
                <w:sz w:val="24"/>
              </w:rPr>
            </w:pPr>
            <w:r>
              <w:rPr>
                <w:rFonts w:ascii="等线" w:eastAsia="等线" w:hint="eastAsia"/>
                <w:b/>
                <w:sz w:val="24"/>
              </w:rPr>
              <w:t>严重克罗恩病伴</w:t>
            </w:r>
          </w:p>
          <w:p>
            <w:pPr>
              <w:pStyle w:val="TableParagraph"/>
              <w:spacing w:line="235" w:lineRule="auto" w:before="3"/>
              <w:ind w:left="479" w:right="100"/>
              <w:rPr>
                <w:rFonts w:ascii="等线" w:eastAsia="等线" w:hint="eastAsia"/>
                <w:b/>
                <w:sz w:val="24"/>
              </w:rPr>
            </w:pPr>
            <w:r>
              <w:rPr>
                <w:rFonts w:ascii="等线" w:eastAsia="等线" w:hint="eastAsia"/>
                <w:b/>
                <w:sz w:val="24"/>
              </w:rPr>
              <w:t>有肠梗阻或肠穿孔</w:t>
            </w:r>
          </w:p>
        </w:tc>
        <w:tc>
          <w:tcPr>
            <w:tcW w:w="7083" w:type="dxa"/>
          </w:tcPr>
          <w:p>
            <w:pPr>
              <w:pStyle w:val="TableParagraph"/>
              <w:spacing w:line="211" w:lineRule="exact"/>
              <w:ind w:left="100"/>
              <w:rPr>
                <w:sz w:val="21"/>
              </w:rPr>
            </w:pPr>
            <w:r>
              <w:rPr>
                <w:sz w:val="21"/>
              </w:rPr>
              <w:t>是一种慢性肉芽肿性肠炎，具有特征性的克罗恩病病理组织学变化。疾病</w:t>
            </w:r>
          </w:p>
          <w:p>
            <w:pPr>
              <w:pStyle w:val="TableParagraph"/>
              <w:spacing w:line="273" w:lineRule="auto" w:before="37"/>
              <w:ind w:left="100" w:right="200"/>
              <w:rPr>
                <w:sz w:val="21"/>
              </w:rPr>
            </w:pPr>
            <w:r>
              <w:rPr>
                <w:sz w:val="21"/>
              </w:rPr>
              <w:t>诊断必须经专科医生确认被保险人所患的克罗恩病已经造成瘘管形成并伴有肠梗阻或肠穿孔。</w:t>
            </w:r>
          </w:p>
        </w:tc>
      </w:tr>
      <w:tr>
        <w:trPr>
          <w:trHeight w:val="1510" w:hRule="atLeast"/>
        </w:trPr>
        <w:tc>
          <w:tcPr>
            <w:tcW w:w="997" w:type="dxa"/>
          </w:tcPr>
          <w:p>
            <w:pPr>
              <w:pStyle w:val="TableParagraph"/>
              <w:rPr>
                <w:rFonts w:ascii="Times New Roman"/>
                <w:sz w:val="20"/>
              </w:rPr>
            </w:pPr>
          </w:p>
        </w:tc>
        <w:tc>
          <w:tcPr>
            <w:tcW w:w="2364" w:type="dxa"/>
          </w:tcPr>
          <w:p>
            <w:pPr>
              <w:pStyle w:val="TableParagraph"/>
              <w:spacing w:before="105"/>
              <w:ind w:left="479"/>
              <w:rPr>
                <w:rFonts w:ascii="等线" w:eastAsia="等线" w:hint="eastAsia"/>
                <w:b/>
                <w:sz w:val="24"/>
              </w:rPr>
            </w:pPr>
            <w:r>
              <w:rPr>
                <w:rFonts w:ascii="等线" w:eastAsia="等线" w:hint="eastAsia"/>
                <w:b/>
                <w:sz w:val="24"/>
              </w:rPr>
              <w:t>坏死性筋膜炎</w:t>
            </w:r>
          </w:p>
        </w:tc>
        <w:tc>
          <w:tcPr>
            <w:tcW w:w="7083" w:type="dxa"/>
          </w:tcPr>
          <w:p>
            <w:pPr>
              <w:pStyle w:val="TableParagraph"/>
              <w:spacing w:line="273" w:lineRule="auto" w:before="107"/>
              <w:ind w:left="100" w:right="200"/>
              <w:jc w:val="both"/>
              <w:rPr>
                <w:sz w:val="21"/>
              </w:rPr>
            </w:pPr>
            <w:r>
              <w:rPr>
                <w:sz w:val="21"/>
              </w:rPr>
              <w:t>是一种由细菌侵入皮下组织和筋膜引起的急性坏死性软组织感染，可伴有毒血症、败血症、中毒性休克、弥漫性血管内凝血及多器官衰竭。该疾病的诊断必须由专科医生根据临床表现和细菌培养检出致病菌而做出，并且需进行手术来清除坏死组织以及接受抗菌剂治疗。</w:t>
            </w:r>
          </w:p>
        </w:tc>
      </w:tr>
      <w:tr>
        <w:trPr>
          <w:trHeight w:val="3091" w:hRule="atLeast"/>
        </w:trPr>
        <w:tc>
          <w:tcPr>
            <w:tcW w:w="997" w:type="dxa"/>
          </w:tcPr>
          <w:p>
            <w:pPr>
              <w:pStyle w:val="TableParagraph"/>
              <w:rPr>
                <w:rFonts w:ascii="Times New Roman"/>
                <w:sz w:val="20"/>
              </w:rPr>
            </w:pPr>
          </w:p>
        </w:tc>
        <w:tc>
          <w:tcPr>
            <w:tcW w:w="2364" w:type="dxa"/>
          </w:tcPr>
          <w:p>
            <w:pPr>
              <w:pStyle w:val="TableParagraph"/>
              <w:spacing w:line="235" w:lineRule="auto" w:before="132"/>
              <w:ind w:left="479" w:right="100"/>
              <w:rPr>
                <w:rFonts w:ascii="等线" w:eastAsia="等线" w:hint="eastAsia"/>
                <w:b/>
                <w:sz w:val="24"/>
              </w:rPr>
            </w:pPr>
            <w:r>
              <w:rPr>
                <w:rFonts w:ascii="等线" w:eastAsia="等线" w:hint="eastAsia"/>
                <w:b/>
                <w:sz w:val="24"/>
              </w:rPr>
              <w:t>川崎氏病伴有冠状动脉瘤</w:t>
            </w:r>
          </w:p>
        </w:tc>
        <w:tc>
          <w:tcPr>
            <w:tcW w:w="7083" w:type="dxa"/>
          </w:tcPr>
          <w:p>
            <w:pPr>
              <w:pStyle w:val="TableParagraph"/>
              <w:spacing w:line="273" w:lineRule="auto" w:before="128"/>
              <w:ind w:left="100" w:right="198"/>
              <w:rPr>
                <w:sz w:val="21"/>
              </w:rPr>
            </w:pPr>
            <w:r>
              <w:rPr>
                <w:sz w:val="21"/>
              </w:rPr>
              <w:t>本保障仅限于伴有冠状动脉瘤的川崎氏病，必须有超声心动图（Echo）检查诊断，并且临床表现至少具备如下条件的 5 个：</w:t>
            </w:r>
          </w:p>
          <w:p>
            <w:pPr>
              <w:pStyle w:val="TableParagraph"/>
              <w:spacing w:before="7"/>
              <w:ind w:left="100"/>
              <w:rPr>
                <w:sz w:val="21"/>
              </w:rPr>
            </w:pPr>
            <w:r>
              <w:rPr>
                <w:sz w:val="21"/>
              </w:rPr>
              <w:t>（1）不明原因的发热，持续 5 天或更久；</w:t>
            </w:r>
          </w:p>
          <w:p>
            <w:pPr>
              <w:pStyle w:val="TableParagraph"/>
              <w:spacing w:before="36"/>
              <w:ind w:left="100"/>
              <w:rPr>
                <w:sz w:val="21"/>
              </w:rPr>
            </w:pPr>
            <w:r>
              <w:rPr>
                <w:sz w:val="21"/>
              </w:rPr>
              <w:t>（2）双侧结膜炎；</w:t>
            </w:r>
          </w:p>
          <w:p>
            <w:pPr>
              <w:pStyle w:val="TableParagraph"/>
              <w:spacing w:line="273" w:lineRule="auto" w:before="36"/>
              <w:ind w:left="626" w:right="197" w:hanging="526"/>
              <w:rPr>
                <w:sz w:val="21"/>
              </w:rPr>
            </w:pPr>
            <w:r>
              <w:rPr>
                <w:spacing w:val="-5"/>
                <w:sz w:val="21"/>
              </w:rPr>
              <w:t>（3）</w:t>
            </w:r>
            <w:r>
              <w:rPr>
                <w:spacing w:val="-7"/>
                <w:sz w:val="21"/>
              </w:rPr>
              <w:t>口腔及咽部的变化，包括口唇发红和干裂，杨梅舌，及咽粘膜弥漫性发红；</w:t>
            </w:r>
          </w:p>
          <w:p>
            <w:pPr>
              <w:pStyle w:val="TableParagraph"/>
              <w:spacing w:before="7"/>
              <w:ind w:left="101"/>
              <w:rPr>
                <w:sz w:val="21"/>
              </w:rPr>
            </w:pPr>
            <w:r>
              <w:rPr>
                <w:sz w:val="21"/>
              </w:rPr>
              <w:t>（4）发病初期手足硬肿和掌趾发红，以及恢复期指端出现膜状脱皮；</w:t>
            </w:r>
          </w:p>
          <w:p>
            <w:pPr>
              <w:pStyle w:val="TableParagraph"/>
              <w:spacing w:before="37"/>
              <w:ind w:left="101"/>
              <w:rPr>
                <w:sz w:val="21"/>
              </w:rPr>
            </w:pPr>
            <w:r>
              <w:rPr>
                <w:sz w:val="21"/>
              </w:rPr>
              <w:t>（5）躯干多形性红斑疹，但无水泡及结痂；</w:t>
            </w:r>
          </w:p>
          <w:p>
            <w:pPr>
              <w:pStyle w:val="TableParagraph"/>
              <w:spacing w:before="37"/>
              <w:ind w:left="101"/>
              <w:rPr>
                <w:sz w:val="21"/>
              </w:rPr>
            </w:pPr>
            <w:r>
              <w:rPr>
                <w:sz w:val="21"/>
              </w:rPr>
              <w:t>（6）颈淋巴结非化脓性肿胀。</w:t>
            </w:r>
          </w:p>
        </w:tc>
      </w:tr>
      <w:tr>
        <w:trPr>
          <w:trHeight w:val="2468" w:hRule="atLeast"/>
        </w:trPr>
        <w:tc>
          <w:tcPr>
            <w:tcW w:w="997" w:type="dxa"/>
          </w:tcPr>
          <w:p>
            <w:pPr>
              <w:pStyle w:val="TableParagraph"/>
              <w:spacing w:before="128"/>
              <w:ind w:left="200"/>
              <w:rPr>
                <w:b/>
                <w:sz w:val="21"/>
              </w:rPr>
            </w:pPr>
            <w:r>
              <w:rPr>
                <w:b/>
                <w:sz w:val="21"/>
              </w:rPr>
              <w:t>9.4</w:t>
            </w:r>
          </w:p>
        </w:tc>
        <w:tc>
          <w:tcPr>
            <w:tcW w:w="2364" w:type="dxa"/>
          </w:tcPr>
          <w:p>
            <w:pPr>
              <w:pStyle w:val="TableParagraph"/>
              <w:spacing w:before="152"/>
              <w:ind w:left="479"/>
              <w:rPr>
                <w:b/>
                <w:sz w:val="21"/>
              </w:rPr>
            </w:pPr>
            <w:r>
              <w:rPr>
                <w:b/>
                <w:sz w:val="21"/>
              </w:rPr>
              <w:t>专科医生</w:t>
            </w:r>
          </w:p>
        </w:tc>
        <w:tc>
          <w:tcPr>
            <w:tcW w:w="7083" w:type="dxa"/>
          </w:tcPr>
          <w:p>
            <w:pPr>
              <w:pStyle w:val="TableParagraph"/>
              <w:spacing w:before="128"/>
              <w:ind w:left="100"/>
              <w:rPr>
                <w:sz w:val="21"/>
              </w:rPr>
            </w:pPr>
            <w:r>
              <w:rPr>
                <w:sz w:val="21"/>
              </w:rPr>
              <w:t>专科医生应当同时满足以下四项资格条件：</w:t>
            </w:r>
          </w:p>
          <w:p>
            <w:pPr>
              <w:pStyle w:val="TableParagraph"/>
              <w:spacing w:before="36"/>
              <w:ind w:left="100"/>
              <w:rPr>
                <w:sz w:val="21"/>
              </w:rPr>
            </w:pPr>
            <w:r>
              <w:rPr>
                <w:sz w:val="21"/>
              </w:rPr>
              <w:t>（1）具有有效的中华人民共和国《医师资格证书》；</w:t>
            </w:r>
          </w:p>
          <w:p>
            <w:pPr>
              <w:pStyle w:val="TableParagraph"/>
              <w:spacing w:line="273" w:lineRule="auto" w:before="36"/>
              <w:ind w:left="626" w:right="144" w:hanging="526"/>
              <w:rPr>
                <w:sz w:val="21"/>
              </w:rPr>
            </w:pPr>
            <w:r>
              <w:rPr>
                <w:sz w:val="21"/>
              </w:rPr>
              <w:t>（2）具有有效的中华人民共和国《医师执业证书》，并按期到相关部门登记注册；</w:t>
            </w:r>
          </w:p>
          <w:p>
            <w:pPr>
              <w:pStyle w:val="TableParagraph"/>
              <w:spacing w:line="273" w:lineRule="auto" w:before="7"/>
              <w:ind w:left="626" w:right="137" w:hanging="526"/>
              <w:rPr>
                <w:sz w:val="21"/>
              </w:rPr>
            </w:pPr>
            <w:r>
              <w:rPr>
                <w:sz w:val="21"/>
              </w:rPr>
              <w:t>（3）具有有效的中华人民共和国主治医师或主治医师以上职称的《医师职称证书》；</w:t>
            </w:r>
          </w:p>
          <w:p>
            <w:pPr>
              <w:pStyle w:val="TableParagraph"/>
              <w:spacing w:before="7"/>
              <w:ind w:left="100"/>
              <w:rPr>
                <w:sz w:val="21"/>
              </w:rPr>
            </w:pPr>
            <w:r>
              <w:rPr>
                <w:sz w:val="21"/>
              </w:rPr>
              <w:t>（4）在二级或二级以上医院的相应科室从事临床工作三年以上。</w:t>
            </w:r>
          </w:p>
        </w:tc>
      </w:tr>
      <w:tr>
        <w:trPr>
          <w:trHeight w:val="926" w:hRule="atLeast"/>
        </w:trPr>
        <w:tc>
          <w:tcPr>
            <w:tcW w:w="997" w:type="dxa"/>
          </w:tcPr>
          <w:p>
            <w:pPr>
              <w:pStyle w:val="TableParagraph"/>
              <w:spacing w:before="129"/>
              <w:ind w:left="200"/>
              <w:rPr>
                <w:b/>
                <w:sz w:val="21"/>
              </w:rPr>
            </w:pPr>
            <w:r>
              <w:rPr>
                <w:b/>
                <w:sz w:val="21"/>
              </w:rPr>
              <w:t>9.5</w:t>
            </w:r>
          </w:p>
        </w:tc>
        <w:tc>
          <w:tcPr>
            <w:tcW w:w="2364" w:type="dxa"/>
          </w:tcPr>
          <w:p>
            <w:pPr>
              <w:pStyle w:val="TableParagraph"/>
              <w:spacing w:before="153"/>
              <w:ind w:left="479"/>
              <w:rPr>
                <w:b/>
                <w:sz w:val="21"/>
              </w:rPr>
            </w:pPr>
            <w:r>
              <w:rPr>
                <w:b/>
                <w:sz w:val="21"/>
              </w:rPr>
              <w:t>肢体机能完全丧失</w:t>
            </w:r>
          </w:p>
        </w:tc>
        <w:tc>
          <w:tcPr>
            <w:tcW w:w="7083" w:type="dxa"/>
          </w:tcPr>
          <w:p>
            <w:pPr>
              <w:pStyle w:val="TableParagraph"/>
              <w:spacing w:line="273" w:lineRule="auto" w:before="129"/>
              <w:ind w:left="100" w:right="200"/>
              <w:rPr>
                <w:sz w:val="21"/>
              </w:rPr>
            </w:pPr>
            <w:r>
              <w:rPr>
                <w:sz w:val="21"/>
              </w:rPr>
              <w:t>指肢体的三大关节中的两大关节僵硬，或不能随意识活动。肢体是指包括肩关节的整个上肢或包括髋关节的整个下肢。</w:t>
            </w:r>
          </w:p>
        </w:tc>
      </w:tr>
      <w:tr>
        <w:trPr>
          <w:trHeight w:val="1861" w:hRule="atLeast"/>
        </w:trPr>
        <w:tc>
          <w:tcPr>
            <w:tcW w:w="997" w:type="dxa"/>
          </w:tcPr>
          <w:p>
            <w:pPr>
              <w:pStyle w:val="TableParagraph"/>
              <w:spacing w:before="146"/>
              <w:ind w:left="200"/>
              <w:rPr>
                <w:b/>
                <w:sz w:val="21"/>
              </w:rPr>
            </w:pPr>
            <w:r>
              <w:rPr>
                <w:b/>
                <w:sz w:val="21"/>
              </w:rPr>
              <w:t>9.6</w:t>
            </w:r>
          </w:p>
        </w:tc>
        <w:tc>
          <w:tcPr>
            <w:tcW w:w="2364" w:type="dxa"/>
          </w:tcPr>
          <w:p>
            <w:pPr>
              <w:pStyle w:val="TableParagraph"/>
              <w:spacing w:line="278" w:lineRule="auto" w:before="170"/>
              <w:ind w:left="479" w:right="98"/>
              <w:rPr>
                <w:b/>
                <w:sz w:val="21"/>
              </w:rPr>
            </w:pPr>
            <w:r>
              <w:rPr>
                <w:b/>
                <w:sz w:val="21"/>
              </w:rPr>
              <w:t>语言能力或咀嚼吞咽能力完全丧失</w:t>
            </w:r>
          </w:p>
        </w:tc>
        <w:tc>
          <w:tcPr>
            <w:tcW w:w="7083" w:type="dxa"/>
          </w:tcPr>
          <w:p>
            <w:pPr>
              <w:pStyle w:val="TableParagraph"/>
              <w:spacing w:line="273" w:lineRule="auto" w:before="146"/>
              <w:ind w:left="100" w:right="200"/>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0" w:right="200"/>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468" w:hRule="atLeast"/>
        </w:trPr>
        <w:tc>
          <w:tcPr>
            <w:tcW w:w="997" w:type="dxa"/>
          </w:tcPr>
          <w:p>
            <w:pPr>
              <w:pStyle w:val="TableParagraph"/>
              <w:spacing w:before="128"/>
              <w:ind w:left="200"/>
              <w:rPr>
                <w:b/>
                <w:sz w:val="21"/>
              </w:rPr>
            </w:pPr>
            <w:r>
              <w:rPr>
                <w:b/>
                <w:sz w:val="21"/>
              </w:rPr>
              <w:t>9.7</w:t>
            </w:r>
          </w:p>
        </w:tc>
        <w:tc>
          <w:tcPr>
            <w:tcW w:w="2364" w:type="dxa"/>
          </w:tcPr>
          <w:p>
            <w:pPr>
              <w:pStyle w:val="TableParagraph"/>
              <w:spacing w:line="280" w:lineRule="auto" w:before="152"/>
              <w:ind w:left="479" w:right="98"/>
              <w:rPr>
                <w:b/>
                <w:sz w:val="21"/>
              </w:rPr>
            </w:pPr>
            <w:r>
              <w:rPr>
                <w:b/>
                <w:sz w:val="21"/>
              </w:rPr>
              <w:t>六项基本日常生活活动</w:t>
            </w:r>
          </w:p>
        </w:tc>
        <w:tc>
          <w:tcPr>
            <w:tcW w:w="7083" w:type="dxa"/>
          </w:tcPr>
          <w:p>
            <w:pPr>
              <w:pStyle w:val="TableParagraph"/>
              <w:spacing w:before="128"/>
              <w:ind w:left="100"/>
              <w:rPr>
                <w:sz w:val="21"/>
              </w:rPr>
            </w:pPr>
            <w:r>
              <w:rPr>
                <w:sz w:val="21"/>
              </w:rPr>
              <w:t>六项基本日常生活活动是指：</w:t>
            </w:r>
          </w:p>
          <w:p>
            <w:pPr>
              <w:pStyle w:val="TableParagraph"/>
              <w:spacing w:before="36"/>
              <w:ind w:left="100"/>
              <w:rPr>
                <w:sz w:val="21"/>
              </w:rPr>
            </w:pPr>
            <w:r>
              <w:rPr>
                <w:sz w:val="21"/>
              </w:rPr>
              <w:t>（1）穿衣：自己能够穿衣及脱衣；</w:t>
            </w:r>
          </w:p>
          <w:p>
            <w:pPr>
              <w:pStyle w:val="TableParagraph"/>
              <w:spacing w:before="36"/>
              <w:ind w:left="100"/>
              <w:rPr>
                <w:sz w:val="21"/>
              </w:rPr>
            </w:pPr>
            <w:r>
              <w:rPr>
                <w:sz w:val="21"/>
              </w:rPr>
              <w:t>（2）移动：自己从一个房间到另一个房间；</w:t>
            </w:r>
          </w:p>
          <w:p>
            <w:pPr>
              <w:pStyle w:val="TableParagraph"/>
              <w:spacing w:before="36"/>
              <w:ind w:left="100"/>
              <w:rPr>
                <w:sz w:val="21"/>
              </w:rPr>
            </w:pPr>
            <w:r>
              <w:rPr>
                <w:sz w:val="21"/>
              </w:rPr>
              <w:t>（3）行动：自己上下床或上下轮椅；</w:t>
            </w:r>
          </w:p>
          <w:p>
            <w:pPr>
              <w:pStyle w:val="TableParagraph"/>
              <w:spacing w:before="36"/>
              <w:ind w:left="100"/>
              <w:rPr>
                <w:sz w:val="21"/>
              </w:rPr>
            </w:pPr>
            <w:r>
              <w:rPr>
                <w:sz w:val="21"/>
              </w:rPr>
              <w:t>（4）如厕：自己控制进行大小便；</w:t>
            </w:r>
          </w:p>
          <w:p>
            <w:pPr>
              <w:pStyle w:val="TableParagraph"/>
              <w:spacing w:before="36"/>
              <w:ind w:left="100"/>
              <w:rPr>
                <w:sz w:val="21"/>
              </w:rPr>
            </w:pPr>
            <w:r>
              <w:rPr>
                <w:sz w:val="21"/>
              </w:rPr>
              <w:t>（5）进食：自己从已准备好的碗或碟中取食物放入口中；</w:t>
            </w:r>
          </w:p>
          <w:p>
            <w:pPr>
              <w:pStyle w:val="TableParagraph"/>
              <w:spacing w:before="36"/>
              <w:ind w:left="100"/>
              <w:rPr>
                <w:sz w:val="21"/>
              </w:rPr>
            </w:pPr>
            <w:r>
              <w:rPr>
                <w:sz w:val="21"/>
              </w:rPr>
              <w:t>（6）洗澡：自己进行淋浴或盆浴。</w:t>
            </w:r>
          </w:p>
        </w:tc>
      </w:tr>
      <w:tr>
        <w:trPr>
          <w:trHeight w:val="716" w:hRule="atLeast"/>
        </w:trPr>
        <w:tc>
          <w:tcPr>
            <w:tcW w:w="997" w:type="dxa"/>
          </w:tcPr>
          <w:p>
            <w:pPr>
              <w:pStyle w:val="TableParagraph"/>
              <w:spacing w:before="129"/>
              <w:ind w:left="200"/>
              <w:rPr>
                <w:b/>
                <w:sz w:val="21"/>
              </w:rPr>
            </w:pPr>
            <w:r>
              <w:rPr>
                <w:b/>
                <w:sz w:val="21"/>
              </w:rPr>
              <w:t>9.8</w:t>
            </w:r>
          </w:p>
        </w:tc>
        <w:tc>
          <w:tcPr>
            <w:tcW w:w="2364" w:type="dxa"/>
          </w:tcPr>
          <w:p>
            <w:pPr>
              <w:pStyle w:val="TableParagraph"/>
              <w:spacing w:before="153"/>
              <w:ind w:left="479"/>
              <w:rPr>
                <w:b/>
                <w:sz w:val="21"/>
              </w:rPr>
            </w:pPr>
            <w:r>
              <w:rPr>
                <w:b/>
                <w:sz w:val="21"/>
              </w:rPr>
              <w:t>永久不可逆</w:t>
            </w:r>
          </w:p>
        </w:tc>
        <w:tc>
          <w:tcPr>
            <w:tcW w:w="7083" w:type="dxa"/>
          </w:tcPr>
          <w:p>
            <w:pPr>
              <w:pStyle w:val="TableParagraph"/>
              <w:spacing w:line="310" w:lineRule="atLeast" w:before="94"/>
              <w:ind w:left="100" w:right="138"/>
              <w:rPr>
                <w:sz w:val="21"/>
              </w:rPr>
            </w:pPr>
            <w:r>
              <w:rPr>
                <w:sz w:val="21"/>
              </w:rPr>
              <w:t>指自疾病确诊或意外伤害发生之日起，经过积极治疗 180 日后，仍无法通过现有医疗手段恢复。</w:t>
            </w:r>
          </w:p>
        </w:tc>
      </w:tr>
    </w:tbl>
    <w:p>
      <w:pPr>
        <w:spacing w:after="0" w:line="310" w:lineRule="atLeast"/>
        <w:rPr>
          <w:sz w:val="21"/>
        </w:rPr>
        <w:sectPr>
          <w:pgSz w:w="11910" w:h="16840"/>
          <w:pgMar w:top="1160" w:bottom="280" w:left="540" w:right="7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312"/>
        <w:gridCol w:w="7189"/>
      </w:tblGrid>
      <w:tr>
        <w:trPr>
          <w:trHeight w:val="2588" w:hRule="atLeast"/>
        </w:trPr>
        <w:tc>
          <w:tcPr>
            <w:tcW w:w="1050" w:type="dxa"/>
          </w:tcPr>
          <w:p>
            <w:pPr>
              <w:pStyle w:val="TableParagraph"/>
              <w:spacing w:line="211" w:lineRule="exact"/>
              <w:ind w:left="200"/>
              <w:rPr>
                <w:b/>
                <w:sz w:val="21"/>
              </w:rPr>
            </w:pPr>
            <w:r>
              <w:rPr>
                <w:b/>
                <w:sz w:val="21"/>
              </w:rPr>
              <w:t>9.9</w:t>
            </w:r>
          </w:p>
        </w:tc>
        <w:tc>
          <w:tcPr>
            <w:tcW w:w="2312" w:type="dxa"/>
          </w:tcPr>
          <w:p>
            <w:pPr>
              <w:pStyle w:val="TableParagraph"/>
              <w:spacing w:line="235" w:lineRule="exact"/>
              <w:ind w:left="426"/>
              <w:rPr>
                <w:b/>
                <w:sz w:val="21"/>
              </w:rPr>
            </w:pPr>
            <w:r>
              <w:rPr>
                <w:b/>
                <w:sz w:val="21"/>
              </w:rPr>
              <w:t>心功能状态分级</w:t>
            </w:r>
          </w:p>
        </w:tc>
        <w:tc>
          <w:tcPr>
            <w:tcW w:w="7189" w:type="dxa"/>
          </w:tcPr>
          <w:p>
            <w:pPr>
              <w:pStyle w:val="TableParagraph"/>
              <w:spacing w:line="211" w:lineRule="exact"/>
              <w:ind w:left="99"/>
              <w:rPr>
                <w:sz w:val="21"/>
              </w:rPr>
            </w:pPr>
            <w:r>
              <w:rPr>
                <w:sz w:val="21"/>
              </w:rPr>
              <w:t>指美国纽约心脏病学会心功能状态的分级标准：</w:t>
            </w:r>
          </w:p>
          <w:p>
            <w:pPr>
              <w:pStyle w:val="TableParagraph"/>
              <w:spacing w:line="273" w:lineRule="auto" w:before="37"/>
              <w:ind w:left="730" w:right="307" w:hanging="632"/>
              <w:rPr>
                <w:sz w:val="21"/>
              </w:rPr>
            </w:pPr>
            <w:r>
              <w:rPr>
                <w:sz w:val="21"/>
              </w:rPr>
              <w:t>Ⅰ级：体力活动不受限制，日常活动不引起乏力、心悸、呼吸困难或心绞痛等症状。</w:t>
            </w:r>
          </w:p>
          <w:p>
            <w:pPr>
              <w:pStyle w:val="TableParagraph"/>
              <w:spacing w:line="273" w:lineRule="auto" w:before="7"/>
              <w:ind w:left="730" w:right="199" w:hanging="632"/>
              <w:rPr>
                <w:sz w:val="21"/>
              </w:rPr>
            </w:pPr>
            <w:r>
              <w:rPr>
                <w:spacing w:val="-7"/>
                <w:sz w:val="21"/>
              </w:rPr>
              <w:t>Ⅱ级：体力活动轻度受限，休息时无症状，日常活动即可引起乏力、心悸、</w:t>
            </w:r>
            <w:r>
              <w:rPr>
                <w:spacing w:val="-5"/>
                <w:sz w:val="21"/>
              </w:rPr>
              <w:t>呼吸困难或心绞痛等症状。</w:t>
            </w:r>
          </w:p>
          <w:p>
            <w:pPr>
              <w:pStyle w:val="TableParagraph"/>
              <w:spacing w:line="273" w:lineRule="auto" w:before="7"/>
              <w:ind w:left="730" w:right="307" w:hanging="632"/>
              <w:rPr>
                <w:sz w:val="21"/>
              </w:rPr>
            </w:pPr>
            <w:r>
              <w:rPr>
                <w:sz w:val="21"/>
              </w:rPr>
              <w:t>Ⅲ级：体力活动明显受限，休息时无症状，轻于日常的活动即可引起上述症状。</w:t>
            </w:r>
          </w:p>
          <w:p>
            <w:pPr>
              <w:pStyle w:val="TableParagraph"/>
              <w:spacing w:before="7"/>
              <w:ind w:left="99"/>
              <w:rPr>
                <w:sz w:val="21"/>
              </w:rPr>
            </w:pPr>
            <w:r>
              <w:rPr>
                <w:sz w:val="21"/>
              </w:rPr>
              <w:t>Ⅳ级：不能从事任何体力活动，休息时亦有症状，体力活动后加重。</w:t>
            </w:r>
          </w:p>
        </w:tc>
      </w:tr>
      <w:tr>
        <w:trPr>
          <w:trHeight w:val="908" w:hRule="atLeast"/>
        </w:trPr>
        <w:tc>
          <w:tcPr>
            <w:tcW w:w="1050" w:type="dxa"/>
          </w:tcPr>
          <w:p>
            <w:pPr>
              <w:pStyle w:val="TableParagraph"/>
              <w:spacing w:before="129"/>
              <w:ind w:left="200"/>
              <w:rPr>
                <w:b/>
                <w:sz w:val="21"/>
              </w:rPr>
            </w:pPr>
            <w:r>
              <w:rPr>
                <w:b/>
                <w:sz w:val="21"/>
              </w:rPr>
              <w:t>9.10</w:t>
            </w:r>
          </w:p>
        </w:tc>
        <w:tc>
          <w:tcPr>
            <w:tcW w:w="2312" w:type="dxa"/>
          </w:tcPr>
          <w:p>
            <w:pPr>
              <w:pStyle w:val="TableParagraph"/>
              <w:spacing w:before="153"/>
              <w:ind w:left="426"/>
              <w:rPr>
                <w:b/>
                <w:sz w:val="21"/>
              </w:rPr>
            </w:pPr>
            <w:r>
              <w:rPr>
                <w:b/>
                <w:sz w:val="21"/>
              </w:rPr>
              <w:t>特定重大疾病</w:t>
            </w:r>
          </w:p>
        </w:tc>
        <w:tc>
          <w:tcPr>
            <w:tcW w:w="7189" w:type="dxa"/>
          </w:tcPr>
          <w:p>
            <w:pPr>
              <w:pStyle w:val="TableParagraph"/>
              <w:spacing w:line="273" w:lineRule="auto" w:before="129"/>
              <w:ind w:left="99" w:right="306"/>
              <w:rPr>
                <w:sz w:val="21"/>
              </w:rPr>
            </w:pPr>
            <w:r>
              <w:rPr>
                <w:spacing w:val="-3"/>
                <w:w w:val="100"/>
                <w:sz w:val="21"/>
              </w:rPr>
              <w:t>特定重大疾病是指</w:t>
            </w:r>
            <w:r>
              <w:rPr>
                <w:rFonts w:ascii="黑体" w:hAnsi="黑体" w:eastAsia="黑体" w:hint="eastAsia"/>
                <w:b/>
                <w:spacing w:val="-5"/>
                <w:w w:val="100"/>
                <w:sz w:val="21"/>
              </w:rPr>
              <w:t>白血病</w:t>
            </w:r>
            <w:r>
              <w:rPr>
                <w:w w:val="100"/>
                <w:sz w:val="21"/>
              </w:rPr>
              <w:t>（见</w:t>
            </w:r>
            <w:r>
              <w:rPr>
                <w:spacing w:val="-53"/>
                <w:sz w:val="21"/>
              </w:rPr>
              <w:t> </w:t>
            </w:r>
            <w:r>
              <w:rPr>
                <w:spacing w:val="-3"/>
                <w:w w:val="100"/>
                <w:sz w:val="21"/>
              </w:rPr>
              <w:t>9</w:t>
            </w:r>
            <w:r>
              <w:rPr>
                <w:w w:val="100"/>
                <w:sz w:val="21"/>
              </w:rPr>
              <w:t>.11</w:t>
            </w:r>
            <w:r>
              <w:rPr>
                <w:spacing w:val="-108"/>
                <w:w w:val="100"/>
                <w:sz w:val="21"/>
              </w:rPr>
              <w:t>）</w:t>
            </w:r>
            <w:r>
              <w:rPr>
                <w:spacing w:val="-17"/>
                <w:w w:val="100"/>
                <w:sz w:val="21"/>
              </w:rPr>
              <w:t>、</w:t>
            </w:r>
            <w:r>
              <w:rPr>
                <w:rFonts w:ascii="黑体" w:hAnsi="黑体" w:eastAsia="黑体" w:hint="eastAsia"/>
                <w:b/>
                <w:spacing w:val="-3"/>
                <w:w w:val="100"/>
                <w:sz w:val="21"/>
              </w:rPr>
              <w:t>严重脑损伤</w:t>
            </w:r>
            <w:r>
              <w:rPr>
                <w:spacing w:val="-3"/>
                <w:w w:val="100"/>
                <w:sz w:val="21"/>
              </w:rPr>
              <w:t>（</w:t>
            </w:r>
            <w:r>
              <w:rPr>
                <w:w w:val="100"/>
                <w:sz w:val="21"/>
              </w:rPr>
              <w:t>见</w:t>
            </w:r>
            <w:r>
              <w:rPr>
                <w:spacing w:val="-53"/>
                <w:sz w:val="21"/>
              </w:rPr>
              <w:t> </w:t>
            </w:r>
            <w:r>
              <w:rPr>
                <w:w w:val="100"/>
                <w:sz w:val="21"/>
              </w:rPr>
              <w:t>9.</w:t>
            </w:r>
            <w:r>
              <w:rPr>
                <w:spacing w:val="-3"/>
                <w:w w:val="100"/>
                <w:sz w:val="21"/>
              </w:rPr>
              <w:t>3</w:t>
            </w:r>
            <w:r>
              <w:rPr>
                <w:spacing w:val="-15"/>
                <w:w w:val="100"/>
                <w:sz w:val="21"/>
              </w:rPr>
              <w:t>）</w:t>
            </w:r>
            <w:r>
              <w:rPr>
                <w:spacing w:val="-3"/>
                <w:w w:val="100"/>
                <w:sz w:val="21"/>
              </w:rPr>
              <w:t>及</w:t>
            </w:r>
            <w:r>
              <w:rPr>
                <w:rFonts w:ascii="黑体" w:hAnsi="黑体" w:eastAsia="黑体" w:hint="eastAsia"/>
                <w:b/>
                <w:w w:val="100"/>
                <w:sz w:val="21"/>
              </w:rPr>
              <w:t>严重Ⅲ度烧伤</w:t>
            </w:r>
            <w:r>
              <w:rPr>
                <w:w w:val="100"/>
                <w:sz w:val="21"/>
              </w:rPr>
              <w:t>（见</w:t>
            </w:r>
            <w:r>
              <w:rPr>
                <w:spacing w:val="-55"/>
                <w:sz w:val="21"/>
              </w:rPr>
              <w:t> </w:t>
            </w:r>
            <w:r>
              <w:rPr>
                <w:w w:val="100"/>
                <w:sz w:val="21"/>
              </w:rPr>
              <w:t>9.3</w:t>
            </w:r>
            <w:r>
              <w:rPr>
                <w:spacing w:val="-108"/>
                <w:w w:val="100"/>
                <w:sz w:val="21"/>
              </w:rPr>
              <w:t>）。</w:t>
            </w:r>
          </w:p>
        </w:tc>
      </w:tr>
      <w:tr>
        <w:trPr>
          <w:trHeight w:val="1531" w:hRule="atLeast"/>
        </w:trPr>
        <w:tc>
          <w:tcPr>
            <w:tcW w:w="1050" w:type="dxa"/>
          </w:tcPr>
          <w:p>
            <w:pPr>
              <w:pStyle w:val="TableParagraph"/>
              <w:spacing w:before="128"/>
              <w:ind w:left="200"/>
              <w:rPr>
                <w:b/>
                <w:sz w:val="21"/>
              </w:rPr>
            </w:pPr>
            <w:r>
              <w:rPr>
                <w:b/>
                <w:sz w:val="21"/>
              </w:rPr>
              <w:t>9.11</w:t>
            </w:r>
          </w:p>
        </w:tc>
        <w:tc>
          <w:tcPr>
            <w:tcW w:w="2312" w:type="dxa"/>
          </w:tcPr>
          <w:p>
            <w:pPr>
              <w:pStyle w:val="TableParagraph"/>
              <w:spacing w:before="152"/>
              <w:ind w:left="426"/>
              <w:rPr>
                <w:b/>
                <w:sz w:val="21"/>
              </w:rPr>
            </w:pPr>
            <w:r>
              <w:rPr>
                <w:b/>
                <w:sz w:val="21"/>
              </w:rPr>
              <w:t>白血病</w:t>
            </w:r>
          </w:p>
        </w:tc>
        <w:tc>
          <w:tcPr>
            <w:tcW w:w="7189" w:type="dxa"/>
          </w:tcPr>
          <w:p>
            <w:pPr>
              <w:pStyle w:val="TableParagraph"/>
              <w:spacing w:line="273" w:lineRule="auto" w:before="128"/>
              <w:ind w:left="99" w:right="307"/>
              <w:jc w:val="both"/>
              <w:rPr>
                <w:sz w:val="21"/>
              </w:rPr>
            </w:pPr>
            <w:r>
              <w:rPr>
                <w:sz w:val="21"/>
              </w:rPr>
              <w:t>是一组系造血干细胞或祖细胞突变引起的造血系统恶性肿瘤。必须经专科医生诊断并且经血涂片和骨髓检查确诊，属于世界卫生组织《疾病和有关健康问题的国际统计分类》（ICD-10）的白血病范畴。</w:t>
            </w:r>
          </w:p>
          <w:p>
            <w:pPr>
              <w:pStyle w:val="TableParagraph"/>
              <w:spacing w:before="7"/>
              <w:ind w:left="99"/>
              <w:jc w:val="both"/>
              <w:rPr>
                <w:sz w:val="21"/>
              </w:rPr>
            </w:pPr>
            <w:r>
              <w:rPr>
                <w:sz w:val="21"/>
                <w:shd w:fill="DADADA" w:color="auto" w:val="clear"/>
              </w:rPr>
              <w:t>相当于 Binet 分期方案 A 期程度的慢性淋巴细胞白血病不在保障范围内。</w:t>
            </w:r>
          </w:p>
        </w:tc>
      </w:tr>
      <w:tr>
        <w:trPr>
          <w:trHeight w:val="2164" w:hRule="atLeast"/>
        </w:trPr>
        <w:tc>
          <w:tcPr>
            <w:tcW w:w="1050" w:type="dxa"/>
          </w:tcPr>
          <w:p>
            <w:pPr>
              <w:pStyle w:val="TableParagraph"/>
              <w:spacing w:before="128"/>
              <w:ind w:left="200"/>
              <w:rPr>
                <w:b/>
                <w:sz w:val="21"/>
              </w:rPr>
            </w:pPr>
            <w:r>
              <w:rPr>
                <w:b/>
                <w:sz w:val="21"/>
              </w:rPr>
              <w:t>9.12</w:t>
            </w:r>
          </w:p>
        </w:tc>
        <w:tc>
          <w:tcPr>
            <w:tcW w:w="2312" w:type="dxa"/>
          </w:tcPr>
          <w:p>
            <w:pPr>
              <w:pStyle w:val="TableParagraph"/>
              <w:spacing w:before="128"/>
              <w:ind w:left="426"/>
              <w:rPr>
                <w:b/>
                <w:sz w:val="21"/>
              </w:rPr>
            </w:pPr>
            <w:r>
              <w:rPr>
                <w:b/>
                <w:sz w:val="21"/>
              </w:rPr>
              <w:t>重症手足口病</w:t>
            </w:r>
          </w:p>
        </w:tc>
        <w:tc>
          <w:tcPr>
            <w:tcW w:w="7189" w:type="dxa"/>
          </w:tcPr>
          <w:p>
            <w:pPr>
              <w:pStyle w:val="TableParagraph"/>
              <w:spacing w:line="273" w:lineRule="auto" w:before="128"/>
              <w:ind w:left="99" w:right="307"/>
              <w:rPr>
                <w:sz w:val="21"/>
              </w:rPr>
            </w:pPr>
            <w:r>
              <w:rPr>
                <w:sz w:val="21"/>
              </w:rPr>
              <w:t>是由肠道病毒引起的急性传染病，主要症状表现为手、足、口腔等部位的斑丘疹、疱疹。重症手足口病必须符合下列全部条件：</w:t>
            </w:r>
          </w:p>
          <w:p>
            <w:pPr>
              <w:pStyle w:val="TableParagraph"/>
              <w:spacing w:before="7"/>
              <w:ind w:left="99"/>
              <w:rPr>
                <w:sz w:val="21"/>
              </w:rPr>
            </w:pPr>
            <w:r>
              <w:rPr>
                <w:sz w:val="21"/>
              </w:rPr>
              <w:t>（</w:t>
            </w:r>
            <w:r>
              <w:rPr>
                <w:rFonts w:ascii="Times New Roman" w:eastAsia="Times New Roman"/>
                <w:sz w:val="21"/>
              </w:rPr>
              <w:t>1</w:t>
            </w:r>
            <w:r>
              <w:rPr>
                <w:sz w:val="21"/>
              </w:rPr>
              <w:t>）经专科医生诊断为手足口病；</w:t>
            </w:r>
          </w:p>
          <w:p>
            <w:pPr>
              <w:pStyle w:val="TableParagraph"/>
              <w:spacing w:line="256" w:lineRule="auto" w:before="20"/>
              <w:ind w:left="625" w:right="307" w:hanging="526"/>
              <w:rPr>
                <w:sz w:val="21"/>
              </w:rPr>
            </w:pPr>
            <w:r>
              <w:rPr>
                <w:spacing w:val="-4"/>
                <w:sz w:val="21"/>
              </w:rPr>
              <w:t>（</w:t>
            </w:r>
            <w:r>
              <w:rPr>
                <w:rFonts w:ascii="Times New Roman" w:eastAsia="Times New Roman"/>
                <w:spacing w:val="-4"/>
                <w:sz w:val="21"/>
              </w:rPr>
              <w:t>2</w:t>
            </w:r>
            <w:r>
              <w:rPr>
                <w:spacing w:val="-4"/>
                <w:sz w:val="21"/>
              </w:rPr>
              <w:t>）</w:t>
            </w:r>
            <w:r>
              <w:rPr>
                <w:spacing w:val="-7"/>
                <w:sz w:val="21"/>
              </w:rPr>
              <w:t>伴有所列危重并发症之一：脑膜炎、脑炎、脑脊髓炎、肺水肿或心肌炎；</w:t>
            </w:r>
          </w:p>
          <w:p>
            <w:pPr>
              <w:pStyle w:val="TableParagraph"/>
              <w:spacing w:before="21"/>
              <w:ind w:left="99"/>
              <w:rPr>
                <w:sz w:val="21"/>
              </w:rPr>
            </w:pPr>
            <w:r>
              <w:rPr>
                <w:sz w:val="21"/>
              </w:rPr>
              <w:t>（</w:t>
            </w:r>
            <w:r>
              <w:rPr>
                <w:rFonts w:ascii="Times New Roman" w:eastAsia="Times New Roman"/>
                <w:sz w:val="21"/>
              </w:rPr>
              <w:t>3</w:t>
            </w:r>
            <w:r>
              <w:rPr>
                <w:sz w:val="21"/>
              </w:rPr>
              <w:t>）接受了住院治疗。</w:t>
            </w:r>
          </w:p>
        </w:tc>
      </w:tr>
      <w:tr>
        <w:trPr>
          <w:trHeight w:val="588" w:hRule="atLeast"/>
        </w:trPr>
        <w:tc>
          <w:tcPr>
            <w:tcW w:w="1050" w:type="dxa"/>
          </w:tcPr>
          <w:p>
            <w:pPr>
              <w:pStyle w:val="TableParagraph"/>
              <w:spacing w:before="121"/>
              <w:ind w:left="200"/>
              <w:rPr>
                <w:b/>
                <w:sz w:val="21"/>
              </w:rPr>
            </w:pPr>
            <w:r>
              <w:rPr>
                <w:b/>
                <w:sz w:val="21"/>
              </w:rPr>
              <w:t>9.13</w:t>
            </w:r>
          </w:p>
        </w:tc>
        <w:tc>
          <w:tcPr>
            <w:tcW w:w="2312" w:type="dxa"/>
          </w:tcPr>
          <w:p>
            <w:pPr>
              <w:pStyle w:val="TableParagraph"/>
              <w:spacing w:before="121"/>
              <w:ind w:left="426"/>
              <w:rPr>
                <w:b/>
                <w:sz w:val="21"/>
              </w:rPr>
            </w:pPr>
            <w:r>
              <w:rPr>
                <w:b/>
                <w:sz w:val="21"/>
              </w:rPr>
              <w:t>意外伤害</w:t>
            </w:r>
          </w:p>
        </w:tc>
        <w:tc>
          <w:tcPr>
            <w:tcW w:w="7189" w:type="dxa"/>
          </w:tcPr>
          <w:p>
            <w:pPr>
              <w:pStyle w:val="TableParagraph"/>
              <w:spacing w:before="121"/>
              <w:ind w:left="99"/>
              <w:rPr>
                <w:sz w:val="21"/>
              </w:rPr>
            </w:pPr>
            <w:r>
              <w:rPr>
                <w:sz w:val="21"/>
              </w:rPr>
              <w:t>指遭受外来的、突发的、非本意的、非疾病的使身体受到伤害的客观事件。</w:t>
            </w:r>
          </w:p>
        </w:tc>
      </w:tr>
      <w:tr>
        <w:trPr>
          <w:trHeight w:val="1843" w:hRule="atLeast"/>
        </w:trPr>
        <w:tc>
          <w:tcPr>
            <w:tcW w:w="1050" w:type="dxa"/>
          </w:tcPr>
          <w:p>
            <w:pPr>
              <w:pStyle w:val="TableParagraph"/>
              <w:spacing w:before="128"/>
              <w:ind w:left="200"/>
              <w:rPr>
                <w:b/>
                <w:sz w:val="21"/>
              </w:rPr>
            </w:pPr>
            <w:r>
              <w:rPr>
                <w:b/>
                <w:sz w:val="21"/>
              </w:rPr>
              <w:t>9.14</w:t>
            </w:r>
          </w:p>
        </w:tc>
        <w:tc>
          <w:tcPr>
            <w:tcW w:w="2312" w:type="dxa"/>
          </w:tcPr>
          <w:p>
            <w:pPr>
              <w:pStyle w:val="TableParagraph"/>
              <w:spacing w:before="128"/>
              <w:ind w:left="426"/>
              <w:rPr>
                <w:b/>
                <w:sz w:val="21"/>
              </w:rPr>
            </w:pPr>
            <w:r>
              <w:rPr>
                <w:b/>
                <w:sz w:val="21"/>
              </w:rPr>
              <w:t>医院</w:t>
            </w:r>
          </w:p>
        </w:tc>
        <w:tc>
          <w:tcPr>
            <w:tcW w:w="7189" w:type="dxa"/>
          </w:tcPr>
          <w:p>
            <w:pPr>
              <w:pStyle w:val="TableParagraph"/>
              <w:spacing w:line="273" w:lineRule="auto" w:before="128"/>
              <w:ind w:left="99" w:right="307"/>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532" w:hRule="atLeast"/>
        </w:trPr>
        <w:tc>
          <w:tcPr>
            <w:tcW w:w="1050" w:type="dxa"/>
          </w:tcPr>
          <w:p>
            <w:pPr>
              <w:pStyle w:val="TableParagraph"/>
              <w:spacing w:before="128"/>
              <w:ind w:left="200"/>
              <w:rPr>
                <w:b/>
                <w:sz w:val="21"/>
              </w:rPr>
            </w:pPr>
            <w:r>
              <w:rPr>
                <w:b/>
                <w:sz w:val="21"/>
              </w:rPr>
              <w:t>9.15</w:t>
            </w:r>
          </w:p>
        </w:tc>
        <w:tc>
          <w:tcPr>
            <w:tcW w:w="2312" w:type="dxa"/>
          </w:tcPr>
          <w:p>
            <w:pPr>
              <w:pStyle w:val="TableParagraph"/>
              <w:spacing w:before="128"/>
              <w:ind w:left="426"/>
              <w:rPr>
                <w:b/>
                <w:sz w:val="21"/>
              </w:rPr>
            </w:pPr>
            <w:r>
              <w:rPr>
                <w:b/>
                <w:sz w:val="21"/>
              </w:rPr>
              <w:t>毒品</w:t>
            </w:r>
          </w:p>
        </w:tc>
        <w:tc>
          <w:tcPr>
            <w:tcW w:w="7189" w:type="dxa"/>
          </w:tcPr>
          <w:p>
            <w:pPr>
              <w:pStyle w:val="TableParagraph"/>
              <w:spacing w:line="273" w:lineRule="auto" w:before="128"/>
              <w:ind w:left="99" w:right="257"/>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、吗啡、大麻、可卡因以及国家规定管制的其他能够使人形成瘾癖的麻醉药品和精神药品，但不包括由医生开具并遵医嘱使用的用于治疗疾病但含有毒品成</w:t>
            </w:r>
            <w:r>
              <w:rPr>
                <w:spacing w:val="-3"/>
                <w:sz w:val="21"/>
              </w:rPr>
              <w:t>分的处方药品。</w:t>
            </w:r>
          </w:p>
        </w:tc>
      </w:tr>
      <w:tr>
        <w:trPr>
          <w:trHeight w:val="1220" w:hRule="atLeast"/>
        </w:trPr>
        <w:tc>
          <w:tcPr>
            <w:tcW w:w="1050" w:type="dxa"/>
          </w:tcPr>
          <w:p>
            <w:pPr>
              <w:pStyle w:val="TableParagraph"/>
              <w:spacing w:before="129"/>
              <w:ind w:left="200"/>
              <w:rPr>
                <w:b/>
                <w:sz w:val="21"/>
              </w:rPr>
            </w:pPr>
            <w:r>
              <w:rPr>
                <w:b/>
                <w:sz w:val="21"/>
              </w:rPr>
              <w:t>9.16</w:t>
            </w:r>
          </w:p>
        </w:tc>
        <w:tc>
          <w:tcPr>
            <w:tcW w:w="2312" w:type="dxa"/>
          </w:tcPr>
          <w:p>
            <w:pPr>
              <w:pStyle w:val="TableParagraph"/>
              <w:spacing w:before="129"/>
              <w:ind w:left="426"/>
              <w:rPr>
                <w:b/>
                <w:sz w:val="21"/>
              </w:rPr>
            </w:pPr>
            <w:r>
              <w:rPr>
                <w:b/>
                <w:sz w:val="21"/>
              </w:rPr>
              <w:t>酒后驾驶</w:t>
            </w:r>
          </w:p>
        </w:tc>
        <w:tc>
          <w:tcPr>
            <w:tcW w:w="7189" w:type="dxa"/>
          </w:tcPr>
          <w:p>
            <w:pPr>
              <w:pStyle w:val="TableParagraph"/>
              <w:spacing w:line="273" w:lineRule="auto" w:before="129"/>
              <w:ind w:left="99" w:right="30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62" w:hRule="atLeast"/>
        </w:trPr>
        <w:tc>
          <w:tcPr>
            <w:tcW w:w="1050" w:type="dxa"/>
          </w:tcPr>
          <w:p>
            <w:pPr>
              <w:pStyle w:val="TableParagraph"/>
              <w:spacing w:before="128"/>
              <w:ind w:left="200"/>
              <w:rPr>
                <w:b/>
                <w:sz w:val="21"/>
              </w:rPr>
            </w:pPr>
            <w:r>
              <w:rPr>
                <w:b/>
                <w:sz w:val="21"/>
              </w:rPr>
              <w:t>9.17</w:t>
            </w:r>
          </w:p>
        </w:tc>
        <w:tc>
          <w:tcPr>
            <w:tcW w:w="2312" w:type="dxa"/>
          </w:tcPr>
          <w:p>
            <w:pPr>
              <w:pStyle w:val="TableParagraph"/>
              <w:spacing w:line="273" w:lineRule="auto" w:before="128"/>
              <w:ind w:left="426" w:right="99"/>
              <w:rPr>
                <w:b/>
                <w:sz w:val="21"/>
              </w:rPr>
            </w:pPr>
            <w:r>
              <w:rPr>
                <w:b/>
                <w:sz w:val="21"/>
              </w:rPr>
              <w:t>无合法有效驾驶证驾驶</w:t>
            </w:r>
          </w:p>
        </w:tc>
        <w:tc>
          <w:tcPr>
            <w:tcW w:w="7189" w:type="dxa"/>
          </w:tcPr>
          <w:p>
            <w:pPr>
              <w:pStyle w:val="TableParagraph"/>
              <w:spacing w:before="128"/>
              <w:ind w:left="99"/>
              <w:rPr>
                <w:sz w:val="21"/>
              </w:rPr>
            </w:pPr>
            <w:r>
              <w:rPr>
                <w:sz w:val="21"/>
              </w:rPr>
              <w:t>指下列情形之一：</w:t>
            </w:r>
          </w:p>
          <w:p>
            <w:pPr>
              <w:pStyle w:val="TableParagraph"/>
              <w:spacing w:before="37"/>
              <w:ind w:left="99"/>
              <w:rPr>
                <w:sz w:val="21"/>
              </w:rPr>
            </w:pPr>
            <w:r>
              <w:rPr>
                <w:sz w:val="21"/>
              </w:rPr>
              <w:t>（1）没有取得驾驶资格；</w:t>
            </w:r>
          </w:p>
          <w:p>
            <w:pPr>
              <w:pStyle w:val="TableParagraph"/>
              <w:spacing w:before="37"/>
              <w:ind w:left="99"/>
              <w:rPr>
                <w:sz w:val="21"/>
              </w:rPr>
            </w:pPr>
            <w:r>
              <w:rPr>
                <w:sz w:val="21"/>
              </w:rPr>
              <w:t>（2）驾驶与驾驶证准驾车型不相符合的车辆；</w:t>
            </w:r>
          </w:p>
          <w:p>
            <w:pPr>
              <w:pStyle w:val="TableParagraph"/>
              <w:spacing w:before="37"/>
              <w:ind w:left="99"/>
              <w:rPr>
                <w:sz w:val="21"/>
              </w:rPr>
            </w:pPr>
            <w:r>
              <w:rPr>
                <w:sz w:val="21"/>
              </w:rPr>
              <w:t>（3）持审验不合格的驾驶证驾驶；</w:t>
            </w:r>
          </w:p>
          <w:p>
            <w:pPr>
              <w:pStyle w:val="TableParagraph"/>
              <w:spacing w:line="310" w:lineRule="atLeast" w:before="2"/>
              <w:ind w:left="625" w:right="258" w:hanging="526"/>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top="1160" w:bottom="280" w:left="540" w:right="6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312"/>
        <w:gridCol w:w="7196"/>
      </w:tblGrid>
      <w:tr>
        <w:trPr>
          <w:trHeight w:val="1367" w:hRule="atLeast"/>
        </w:trPr>
        <w:tc>
          <w:tcPr>
            <w:tcW w:w="1050" w:type="dxa"/>
          </w:tcPr>
          <w:p>
            <w:pPr>
              <w:pStyle w:val="TableParagraph"/>
              <w:spacing w:line="211" w:lineRule="exact"/>
              <w:ind w:left="200"/>
              <w:rPr>
                <w:b/>
                <w:sz w:val="21"/>
              </w:rPr>
            </w:pPr>
            <w:r>
              <w:rPr>
                <w:b/>
                <w:sz w:val="21"/>
              </w:rPr>
              <w:t>9.18</w:t>
            </w:r>
          </w:p>
        </w:tc>
        <w:tc>
          <w:tcPr>
            <w:tcW w:w="2312" w:type="dxa"/>
          </w:tcPr>
          <w:p>
            <w:pPr>
              <w:pStyle w:val="TableParagraph"/>
              <w:spacing w:line="211" w:lineRule="exact"/>
              <w:ind w:left="426"/>
              <w:rPr>
                <w:b/>
                <w:sz w:val="21"/>
              </w:rPr>
            </w:pPr>
            <w:r>
              <w:rPr>
                <w:b/>
                <w:sz w:val="21"/>
              </w:rPr>
              <w:t>无有效行驶证</w:t>
            </w:r>
          </w:p>
        </w:tc>
        <w:tc>
          <w:tcPr>
            <w:tcW w:w="7196" w:type="dxa"/>
          </w:tcPr>
          <w:p>
            <w:pPr>
              <w:pStyle w:val="TableParagraph"/>
              <w:spacing w:line="211" w:lineRule="exact"/>
              <w:ind w:left="99"/>
              <w:rPr>
                <w:sz w:val="21"/>
              </w:rPr>
            </w:pPr>
            <w:r>
              <w:rPr>
                <w:sz w:val="21"/>
              </w:rPr>
              <w:t>指下列情形之一：</w:t>
            </w:r>
          </w:p>
          <w:p>
            <w:pPr>
              <w:pStyle w:val="TableParagraph"/>
              <w:spacing w:before="37"/>
              <w:ind w:left="99"/>
              <w:rPr>
                <w:sz w:val="21"/>
              </w:rPr>
            </w:pPr>
            <w:r>
              <w:rPr>
                <w:sz w:val="21"/>
              </w:rPr>
              <w:t>（1）未取得行驶证；</w:t>
            </w:r>
          </w:p>
          <w:p>
            <w:pPr>
              <w:pStyle w:val="TableParagraph"/>
              <w:spacing w:before="37"/>
              <w:ind w:left="99"/>
              <w:rPr>
                <w:sz w:val="21"/>
              </w:rPr>
            </w:pPr>
            <w:r>
              <w:rPr>
                <w:sz w:val="21"/>
              </w:rPr>
              <w:t>（2）机动车被依法注销登记的；</w:t>
            </w:r>
          </w:p>
          <w:p>
            <w:pPr>
              <w:pStyle w:val="TableParagraph"/>
              <w:spacing w:before="37"/>
              <w:ind w:left="99"/>
              <w:rPr>
                <w:sz w:val="21"/>
              </w:rPr>
            </w:pPr>
            <w:r>
              <w:rPr>
                <w:sz w:val="21"/>
              </w:rPr>
              <w:t>（3）未依法按时进行或通过机动车安全技术检验。</w:t>
            </w:r>
          </w:p>
        </w:tc>
      </w:tr>
      <w:tr>
        <w:trPr>
          <w:trHeight w:val="963" w:hRule="atLeast"/>
        </w:trPr>
        <w:tc>
          <w:tcPr>
            <w:tcW w:w="1050" w:type="dxa"/>
          </w:tcPr>
          <w:p>
            <w:pPr>
              <w:pStyle w:val="TableParagraph"/>
              <w:spacing w:before="157"/>
              <w:ind w:left="200"/>
              <w:rPr>
                <w:b/>
                <w:sz w:val="21"/>
              </w:rPr>
            </w:pPr>
            <w:r>
              <w:rPr>
                <w:b/>
                <w:sz w:val="21"/>
              </w:rPr>
              <w:t>9.19</w:t>
            </w:r>
          </w:p>
        </w:tc>
        <w:tc>
          <w:tcPr>
            <w:tcW w:w="2312" w:type="dxa"/>
          </w:tcPr>
          <w:p>
            <w:pPr>
              <w:pStyle w:val="TableParagraph"/>
              <w:spacing w:before="157"/>
              <w:ind w:left="426"/>
              <w:rPr>
                <w:b/>
                <w:sz w:val="21"/>
              </w:rPr>
            </w:pPr>
            <w:r>
              <w:rPr>
                <w:b/>
                <w:sz w:val="21"/>
              </w:rPr>
              <w:t>机动车</w:t>
            </w:r>
          </w:p>
        </w:tc>
        <w:tc>
          <w:tcPr>
            <w:tcW w:w="7196" w:type="dxa"/>
          </w:tcPr>
          <w:p>
            <w:pPr>
              <w:pStyle w:val="TableParagraph"/>
              <w:spacing w:line="273" w:lineRule="auto" w:before="157"/>
              <w:ind w:left="99" w:right="314"/>
              <w:rPr>
                <w:sz w:val="21"/>
              </w:rPr>
            </w:pPr>
            <w:r>
              <w:rPr>
                <w:sz w:val="21"/>
              </w:rPr>
              <w:t>指以动力装置驱动或者牵引，上道路行驶的供人员乘用或者用于运送物品以及进行工程专项作业的轮式车辆。</w:t>
            </w:r>
          </w:p>
        </w:tc>
      </w:tr>
      <w:tr>
        <w:trPr>
          <w:trHeight w:val="1871" w:hRule="atLeast"/>
        </w:trPr>
        <w:tc>
          <w:tcPr>
            <w:tcW w:w="1050" w:type="dxa"/>
          </w:tcPr>
          <w:p>
            <w:pPr>
              <w:pStyle w:val="TableParagraph"/>
              <w:spacing w:before="156"/>
              <w:ind w:left="200"/>
              <w:rPr>
                <w:b/>
                <w:sz w:val="21"/>
              </w:rPr>
            </w:pPr>
            <w:r>
              <w:rPr>
                <w:b/>
                <w:sz w:val="21"/>
              </w:rPr>
              <w:t>9.20</w:t>
            </w:r>
          </w:p>
        </w:tc>
        <w:tc>
          <w:tcPr>
            <w:tcW w:w="2312" w:type="dxa"/>
          </w:tcPr>
          <w:p>
            <w:pPr>
              <w:pStyle w:val="TableParagraph"/>
              <w:spacing w:line="273" w:lineRule="auto" w:before="156"/>
              <w:ind w:left="426" w:right="99"/>
              <w:rPr>
                <w:b/>
                <w:sz w:val="21"/>
              </w:rPr>
            </w:pPr>
            <w:r>
              <w:rPr>
                <w:b/>
                <w:sz w:val="21"/>
              </w:rPr>
              <w:t>感染艾滋病病毒或患艾滋病</w:t>
            </w:r>
          </w:p>
        </w:tc>
        <w:tc>
          <w:tcPr>
            <w:tcW w:w="7196" w:type="dxa"/>
          </w:tcPr>
          <w:p>
            <w:pPr>
              <w:pStyle w:val="TableParagraph"/>
              <w:spacing w:line="273" w:lineRule="auto" w:before="156"/>
              <w:ind w:left="99" w:right="312"/>
              <w:jc w:val="both"/>
              <w:rPr>
                <w:sz w:val="21"/>
              </w:rPr>
            </w:pPr>
            <w:r>
              <w:rPr>
                <w:spacing w:val="-8"/>
                <w:sz w:val="21"/>
              </w:rPr>
              <w:t>艾滋病病毒指人类免疫缺陷病毒，英文缩写为 </w:t>
            </w:r>
            <w:r>
              <w:rPr>
                <w:sz w:val="21"/>
              </w:rPr>
              <w:t>HIV</w:t>
            </w:r>
            <w:r>
              <w:rPr>
                <w:spacing w:val="-9"/>
                <w:sz w:val="21"/>
              </w:rPr>
              <w:t>。艾滋病指人类免疫缺陷</w:t>
            </w:r>
            <w:r>
              <w:rPr>
                <w:spacing w:val="-7"/>
                <w:sz w:val="21"/>
              </w:rPr>
              <w:t>病毒引起的获得性免疫缺陷综合征，英文缩写为 </w:t>
            </w:r>
            <w:r>
              <w:rPr>
                <w:sz w:val="21"/>
              </w:rPr>
              <w:t>AIDS。</w:t>
            </w:r>
          </w:p>
          <w:p>
            <w:pPr>
              <w:pStyle w:val="TableParagraph"/>
              <w:spacing w:line="273" w:lineRule="auto" w:before="8"/>
              <w:ind w:left="99" w:right="314"/>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08" w:hRule="atLeast"/>
        </w:trPr>
        <w:tc>
          <w:tcPr>
            <w:tcW w:w="1050" w:type="dxa"/>
          </w:tcPr>
          <w:p>
            <w:pPr>
              <w:pStyle w:val="TableParagraph"/>
              <w:spacing w:before="129"/>
              <w:ind w:left="200"/>
              <w:rPr>
                <w:b/>
                <w:sz w:val="21"/>
              </w:rPr>
            </w:pPr>
            <w:r>
              <w:rPr>
                <w:b/>
                <w:sz w:val="21"/>
              </w:rPr>
              <w:t>9.21</w:t>
            </w:r>
          </w:p>
        </w:tc>
        <w:tc>
          <w:tcPr>
            <w:tcW w:w="2312" w:type="dxa"/>
          </w:tcPr>
          <w:p>
            <w:pPr>
              <w:pStyle w:val="TableParagraph"/>
              <w:spacing w:before="129"/>
              <w:ind w:left="426"/>
              <w:rPr>
                <w:b/>
                <w:sz w:val="21"/>
              </w:rPr>
            </w:pPr>
            <w:r>
              <w:rPr>
                <w:b/>
                <w:sz w:val="21"/>
              </w:rPr>
              <w:t>遗传性疾病</w:t>
            </w:r>
          </w:p>
        </w:tc>
        <w:tc>
          <w:tcPr>
            <w:tcW w:w="7196" w:type="dxa"/>
          </w:tcPr>
          <w:p>
            <w:pPr>
              <w:pStyle w:val="TableParagraph"/>
              <w:spacing w:line="273" w:lineRule="auto" w:before="129"/>
              <w:ind w:left="99" w:right="314"/>
              <w:rPr>
                <w:sz w:val="21"/>
              </w:rPr>
            </w:pPr>
            <w:r>
              <w:rPr>
                <w:sz w:val="21"/>
              </w:rPr>
              <w:t>指生殖细胞或受精卵的遗传物质（染色体和基因）发生突变或畸变所引起的疾病，通常具有由亲代传至后代的垂直传递的特征。</w:t>
            </w:r>
          </w:p>
        </w:tc>
      </w:tr>
      <w:tr>
        <w:trPr>
          <w:trHeight w:val="1246" w:hRule="atLeast"/>
        </w:trPr>
        <w:tc>
          <w:tcPr>
            <w:tcW w:w="1050" w:type="dxa"/>
          </w:tcPr>
          <w:p>
            <w:pPr>
              <w:pStyle w:val="TableParagraph"/>
              <w:spacing w:before="128"/>
              <w:ind w:left="200"/>
              <w:rPr>
                <w:b/>
                <w:sz w:val="21"/>
              </w:rPr>
            </w:pPr>
            <w:r>
              <w:rPr>
                <w:b/>
                <w:sz w:val="21"/>
              </w:rPr>
              <w:t>9.22</w:t>
            </w:r>
          </w:p>
        </w:tc>
        <w:tc>
          <w:tcPr>
            <w:tcW w:w="2312" w:type="dxa"/>
          </w:tcPr>
          <w:p>
            <w:pPr>
              <w:pStyle w:val="TableParagraph"/>
              <w:spacing w:line="273" w:lineRule="auto" w:before="128"/>
              <w:ind w:left="426" w:right="99"/>
              <w:rPr>
                <w:b/>
                <w:sz w:val="21"/>
              </w:rPr>
            </w:pPr>
            <w:r>
              <w:rPr>
                <w:b/>
                <w:sz w:val="21"/>
              </w:rPr>
              <w:t>先天性畸形、变形或染色体异常</w:t>
            </w:r>
          </w:p>
        </w:tc>
        <w:tc>
          <w:tcPr>
            <w:tcW w:w="7196" w:type="dxa"/>
          </w:tcPr>
          <w:p>
            <w:pPr>
              <w:pStyle w:val="TableParagraph"/>
              <w:spacing w:line="273" w:lineRule="auto" w:before="128"/>
              <w:ind w:left="99" w:right="20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99"/>
              <w:rPr>
                <w:sz w:val="21"/>
              </w:rPr>
            </w:pPr>
            <w:r>
              <w:rPr>
                <w:sz w:val="21"/>
              </w:rPr>
              <w:t>（ICD-10）确定。</w:t>
            </w:r>
          </w:p>
        </w:tc>
      </w:tr>
      <w:tr>
        <w:trPr>
          <w:trHeight w:val="742" w:hRule="atLeast"/>
        </w:trPr>
        <w:tc>
          <w:tcPr>
            <w:tcW w:w="1050" w:type="dxa"/>
          </w:tcPr>
          <w:p>
            <w:pPr>
              <w:pStyle w:val="TableParagraph"/>
              <w:spacing w:before="156"/>
              <w:ind w:left="200"/>
              <w:rPr>
                <w:b/>
                <w:sz w:val="21"/>
              </w:rPr>
            </w:pPr>
            <w:r>
              <w:rPr>
                <w:b/>
                <w:sz w:val="21"/>
              </w:rPr>
              <w:t>9.23</w:t>
            </w:r>
          </w:p>
        </w:tc>
        <w:tc>
          <w:tcPr>
            <w:tcW w:w="2312" w:type="dxa"/>
          </w:tcPr>
          <w:p>
            <w:pPr>
              <w:pStyle w:val="TableParagraph"/>
              <w:spacing w:before="156"/>
              <w:ind w:left="426"/>
              <w:rPr>
                <w:b/>
                <w:sz w:val="21"/>
              </w:rPr>
            </w:pPr>
            <w:r>
              <w:rPr>
                <w:b/>
                <w:sz w:val="21"/>
              </w:rPr>
              <w:t>保险费约定支付日</w:t>
            </w:r>
          </w:p>
        </w:tc>
        <w:tc>
          <w:tcPr>
            <w:tcW w:w="7196" w:type="dxa"/>
          </w:tcPr>
          <w:p>
            <w:pPr>
              <w:pStyle w:val="TableParagraph"/>
              <w:spacing w:line="310" w:lineRule="atLeast" w:before="120"/>
              <w:ind w:left="99" w:right="314"/>
              <w:rPr>
                <w:sz w:val="21"/>
              </w:rPr>
            </w:pPr>
            <w:r>
              <w:rPr>
                <w:sz w:val="21"/>
              </w:rPr>
              <w:t>指保险合同生效日在每月、每季、每半年或每年（根据交费方式确定）的对应日。如果当月无对应的同一日，则以该月最后一日为对应日。</w:t>
            </w:r>
          </w:p>
        </w:tc>
      </w:tr>
    </w:tbl>
    <w:sectPr>
      <w:pgSz w:w="11910" w:h="16840"/>
      <w:pgMar w:top="1500" w:bottom="280" w:left="5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8"/>
      <w:numFmt w:val="decimal"/>
      <w:lvlText w:val="%1"/>
      <w:lvlJc w:val="left"/>
      <w:pPr>
        <w:ind w:left="1501" w:hanging="1277"/>
        <w:jc w:val="left"/>
      </w:pPr>
      <w:rPr>
        <w:rFonts w:hint="default"/>
      </w:rPr>
    </w:lvl>
    <w:lvl w:ilvl="1">
      <w:start w:val="1"/>
      <w:numFmt w:val="decimal"/>
      <w:lvlText w:val="%1.%2"/>
      <w:lvlJc w:val="left"/>
      <w:pPr>
        <w:ind w:left="1501" w:hanging="1277"/>
        <w:jc w:val="left"/>
      </w:pPr>
      <w:rPr>
        <w:rFonts w:hint="default" w:ascii="宋体" w:hAnsi="宋体" w:eastAsia="宋体" w:cs="宋体"/>
        <w:b/>
        <w:bCs/>
        <w:w w:val="99"/>
        <w:sz w:val="21"/>
        <w:szCs w:val="21"/>
      </w:rPr>
    </w:lvl>
    <w:lvl w:ilvl="2">
      <w:start w:val="0"/>
      <w:numFmt w:val="bullet"/>
      <w:lvlText w:val="•"/>
      <w:lvlJc w:val="left"/>
      <w:pPr>
        <w:ind w:left="3297" w:hanging="1277"/>
      </w:pPr>
      <w:rPr>
        <w:rFonts w:hint="default"/>
      </w:rPr>
    </w:lvl>
    <w:lvl w:ilvl="3">
      <w:start w:val="0"/>
      <w:numFmt w:val="bullet"/>
      <w:lvlText w:val="•"/>
      <w:lvlJc w:val="left"/>
      <w:pPr>
        <w:ind w:left="4195" w:hanging="1277"/>
      </w:pPr>
      <w:rPr>
        <w:rFonts w:hint="default"/>
      </w:rPr>
    </w:lvl>
    <w:lvl w:ilvl="4">
      <w:start w:val="0"/>
      <w:numFmt w:val="bullet"/>
      <w:lvlText w:val="•"/>
      <w:lvlJc w:val="left"/>
      <w:pPr>
        <w:ind w:left="5094" w:hanging="1277"/>
      </w:pPr>
      <w:rPr>
        <w:rFonts w:hint="default"/>
      </w:rPr>
    </w:lvl>
    <w:lvl w:ilvl="5">
      <w:start w:val="0"/>
      <w:numFmt w:val="bullet"/>
      <w:lvlText w:val="•"/>
      <w:lvlJc w:val="left"/>
      <w:pPr>
        <w:ind w:left="5993" w:hanging="1277"/>
      </w:pPr>
      <w:rPr>
        <w:rFonts w:hint="default"/>
      </w:rPr>
    </w:lvl>
    <w:lvl w:ilvl="6">
      <w:start w:val="0"/>
      <w:numFmt w:val="bullet"/>
      <w:lvlText w:val="•"/>
      <w:lvlJc w:val="left"/>
      <w:pPr>
        <w:ind w:left="6891" w:hanging="1277"/>
      </w:pPr>
      <w:rPr>
        <w:rFonts w:hint="default"/>
      </w:rPr>
    </w:lvl>
    <w:lvl w:ilvl="7">
      <w:start w:val="0"/>
      <w:numFmt w:val="bullet"/>
      <w:lvlText w:val="•"/>
      <w:lvlJc w:val="left"/>
      <w:pPr>
        <w:ind w:left="7790" w:hanging="1277"/>
      </w:pPr>
      <w:rPr>
        <w:rFonts w:hint="default"/>
      </w:rPr>
    </w:lvl>
    <w:lvl w:ilvl="8">
      <w:start w:val="0"/>
      <w:numFmt w:val="bullet"/>
      <w:lvlText w:val="•"/>
      <w:lvlJc w:val="left"/>
      <w:pPr>
        <w:ind w:left="8689" w:hanging="1277"/>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492" w:hanging="420"/>
      </w:pPr>
      <w:rPr>
        <w:rFonts w:hint="default"/>
      </w:rPr>
    </w:lvl>
    <w:lvl w:ilvl="2">
      <w:start w:val="0"/>
      <w:numFmt w:val="bullet"/>
      <w:lvlText w:val="•"/>
      <w:lvlJc w:val="left"/>
      <w:pPr>
        <w:ind w:left="3345" w:hanging="420"/>
      </w:pPr>
      <w:rPr>
        <w:rFonts w:hint="default"/>
      </w:rPr>
    </w:lvl>
    <w:lvl w:ilvl="3">
      <w:start w:val="0"/>
      <w:numFmt w:val="bullet"/>
      <w:lvlText w:val="•"/>
      <w:lvlJc w:val="left"/>
      <w:pPr>
        <w:ind w:left="4197" w:hanging="420"/>
      </w:pPr>
      <w:rPr>
        <w:rFonts w:hint="default"/>
      </w:rPr>
    </w:lvl>
    <w:lvl w:ilvl="4">
      <w:start w:val="0"/>
      <w:numFmt w:val="bullet"/>
      <w:lvlText w:val="•"/>
      <w:lvlJc w:val="left"/>
      <w:pPr>
        <w:ind w:left="5050" w:hanging="420"/>
      </w:pPr>
      <w:rPr>
        <w:rFonts w:hint="default"/>
      </w:rPr>
    </w:lvl>
    <w:lvl w:ilvl="5">
      <w:start w:val="0"/>
      <w:numFmt w:val="bullet"/>
      <w:lvlText w:val="•"/>
      <w:lvlJc w:val="left"/>
      <w:pPr>
        <w:ind w:left="5903" w:hanging="420"/>
      </w:pPr>
      <w:rPr>
        <w:rFonts w:hint="default"/>
      </w:rPr>
    </w:lvl>
    <w:lvl w:ilvl="6">
      <w:start w:val="0"/>
      <w:numFmt w:val="bullet"/>
      <w:lvlText w:val="•"/>
      <w:lvlJc w:val="left"/>
      <w:pPr>
        <w:ind w:left="6755" w:hanging="420"/>
      </w:pPr>
      <w:rPr>
        <w:rFonts w:hint="default"/>
      </w:rPr>
    </w:lvl>
    <w:lvl w:ilvl="7">
      <w:start w:val="0"/>
      <w:numFmt w:val="bullet"/>
      <w:lvlText w:val="•"/>
      <w:lvlJc w:val="left"/>
      <w:pPr>
        <w:ind w:left="7608" w:hanging="420"/>
      </w:pPr>
      <w:rPr>
        <w:rFonts w:hint="default"/>
      </w:rPr>
    </w:lvl>
    <w:lvl w:ilvl="8">
      <w:start w:val="0"/>
      <w:numFmt w:val="bullet"/>
      <w:lvlText w:val="•"/>
      <w:lvlJc w:val="left"/>
      <w:pPr>
        <w:ind w:left="8461"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441"/>
      <w:outlineLvl w:val="2"/>
    </w:pPr>
    <w:rPr>
      <w:rFonts w:ascii="等线" w:hAnsi="等线" w:eastAsia="等线" w:cs="等线"/>
      <w:b/>
      <w:bCs/>
      <w:sz w:val="24"/>
      <w:szCs w:val="24"/>
    </w:rPr>
  </w:style>
  <w:style w:styleId="Heading3" w:type="paragraph">
    <w:name w:val="Heading 3"/>
    <w:basedOn w:val="Normal"/>
    <w:uiPriority w:val="1"/>
    <w:qFormat/>
    <w:pPr>
      <w:spacing w:before="22"/>
      <w:ind w:left="245"/>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2018-10-20T02:35:01Z</dcterms:created>
  <dcterms:modified xsi:type="dcterms:W3CDTF">2018-10-20T02:35:01Z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