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1048">
            <wp:simplePos x="0" y="0"/>
            <wp:positionH relativeFrom="page">
              <wp:posOffset>6323837</wp:posOffset>
            </wp:positionH>
            <wp:positionV relativeFrom="paragraph">
              <wp:posOffset>236394</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032 </w:t>
      </w:r>
      <w:r>
        <w:rPr>
          <w:sz w:val="16"/>
        </w:rPr>
        <w:t>号</w:t>
      </w:r>
    </w:p>
    <w:p>
      <w:pPr>
        <w:pStyle w:val="BodyText"/>
        <w:spacing w:before="8"/>
      </w:pPr>
    </w:p>
    <w:p>
      <w:pPr>
        <w:pStyle w:val="BodyText"/>
        <w:spacing w:before="0"/>
        <w:ind w:left="2965"/>
        <w:rPr>
          <w:sz w:val="20"/>
        </w:rPr>
      </w:pPr>
      <w:r>
        <w:rPr>
          <w:sz w:val="20"/>
        </w:rPr>
        <w:drawing>
          <wp:inline distT="0" distB="0" distL="0" distR="0">
            <wp:extent cx="2895599" cy="438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inline>
        </w:drawing>
      </w:r>
      <w:r>
        <w:rPr>
          <w:sz w:val="20"/>
        </w:rPr>
      </w:r>
    </w:p>
    <w:p>
      <w:pPr>
        <w:spacing w:after="0"/>
        <w:rPr>
          <w:sz w:val="20"/>
        </w:rPr>
        <w:sectPr>
          <w:type w:val="continuous"/>
          <w:pgSz w:w="11910" w:h="16840"/>
          <w:pgMar w:top="440" w:bottom="280" w:left="680" w:right="180"/>
        </w:sectPr>
      </w:pPr>
    </w:p>
    <w:p>
      <w:pPr>
        <w:pStyle w:val="Heading1"/>
        <w:spacing w:line="531" w:lineRule="exact"/>
      </w:pPr>
      <w:r>
        <w:rPr>
          <w:w w:val="95"/>
        </w:rPr>
        <w:t>福佑一生团体重大疾病保险条款</w:t>
      </w:r>
    </w:p>
    <w:p>
      <w:pPr>
        <w:spacing w:before="204"/>
        <w:ind w:left="1956" w:right="0" w:firstLine="0"/>
        <w:jc w:val="center"/>
        <w:rPr>
          <w:b/>
          <w:sz w:val="44"/>
        </w:rPr>
      </w:pPr>
      <w:r>
        <w:rPr>
          <w:b/>
          <w:w w:val="95"/>
          <w:sz w:val="44"/>
        </w:rPr>
        <w:t>阅读指引</w:t>
      </w:r>
    </w:p>
    <w:p>
      <w:pPr>
        <w:pStyle w:val="BodyText"/>
        <w:spacing w:before="234"/>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贵</w:t>
      </w:r>
      <w:r>
        <w:rPr>
          <w:spacing w:val="-63"/>
          <w:position w:val="-7"/>
        </w:rPr>
        <w:t>．</w:t>
      </w:r>
      <w:r>
        <w:rPr>
          <w:spacing w:val="-148"/>
        </w:rPr>
        <w:t>单</w:t>
      </w:r>
      <w:r>
        <w:rPr>
          <w:spacing w:val="-63"/>
          <w:position w:val="-7"/>
        </w:rPr>
        <w:t>．</w:t>
      </w:r>
      <w:r>
        <w:rPr>
          <w:spacing w:val="-148"/>
        </w:rPr>
        <w:t>位</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3"/>
        <w:rPr>
          <w:sz w:val="28"/>
        </w:rPr>
      </w:pPr>
      <w:r>
        <w:rPr/>
        <w:br w:type="column"/>
      </w:r>
      <w:r>
        <w:rPr>
          <w:sz w:val="28"/>
        </w:rPr>
      </w:r>
    </w:p>
    <w:p>
      <w:pPr>
        <w:spacing w:before="0"/>
        <w:ind w:left="419" w:right="0" w:firstLine="0"/>
        <w:jc w:val="left"/>
        <w:rPr>
          <w:sz w:val="16"/>
        </w:rPr>
      </w:pP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before="0"/>
        <w:ind w:left="266"/>
      </w:pPr>
      <w:r>
        <w:rPr/>
        <w:drawing>
          <wp:anchor distT="0" distB="0" distL="0" distR="0" allowOverlap="1" layoutInCell="1" locked="0" behindDoc="1" simplePos="0" relativeHeight="268393607">
            <wp:simplePos x="0" y="0"/>
            <wp:positionH relativeFrom="page">
              <wp:posOffset>502919</wp:posOffset>
            </wp:positionH>
            <wp:positionV relativeFrom="paragraph">
              <wp:posOffset>-207283</wp:posOffset>
            </wp:positionV>
            <wp:extent cx="6559295" cy="758571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295" cy="7585710"/>
                    </a:xfrm>
                    <a:prstGeom prst="rect">
                      <a:avLst/>
                    </a:prstGeom>
                  </pic:spPr>
                </pic:pic>
              </a:graphicData>
            </a:graphic>
          </wp:anchor>
        </w:drawing>
      </w:r>
      <w:r>
        <w:rPr>
          <w:rFonts w:ascii="Yu Gothic" w:hAnsi="Yu Gothic" w:eastAsia="Yu Gothic" w:hint="eastAsia"/>
          <w:w w:val="150"/>
          <w:position w:val="-11"/>
          <w:sz w:val="52"/>
        </w:rPr>
        <w:t>¤</w:t>
        <w:tab/>
      </w:r>
      <w:r>
        <w:rPr>
          <w:w w:val="95"/>
        </w:rPr>
        <w:t>贵单位拥有的重要权益</w:t>
      </w:r>
    </w:p>
    <w:p>
      <w:pPr>
        <w:pStyle w:val="ListParagraph"/>
        <w:numPr>
          <w:ilvl w:val="0"/>
          <w:numId w:val="1"/>
        </w:numPr>
        <w:tabs>
          <w:tab w:pos="1685" w:val="left" w:leader="none"/>
          <w:tab w:pos="1686" w:val="left" w:leader="none"/>
          <w:tab w:pos="9979" w:val="right" w:leader="dot"/>
        </w:tabs>
        <w:spacing w:line="263" w:lineRule="exact" w:before="0" w:after="0"/>
        <w:ind w:left="1685" w:right="0" w:hanging="447"/>
        <w:jc w:val="left"/>
        <w:rPr>
          <w:sz w:val="21"/>
        </w:rPr>
      </w:pPr>
      <w:r>
        <w:rPr>
          <w:sz w:val="21"/>
        </w:rPr>
        <w:t>被保险人可以享受本合同提供的保障</w:t>
        <w:tab/>
        <w:t>2.1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贵单位有解除合同的权利</w:t>
        <w:tab/>
        <w:t>9.1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贵单位可按本合同约定增加或减少被保险人</w:t>
        <w:tab/>
        <w:t>6</w:t>
      </w:r>
    </w:p>
    <w:p>
      <w:pPr>
        <w:pStyle w:val="Heading4"/>
        <w:tabs>
          <w:tab w:pos="1277" w:val="left" w:leader="none"/>
        </w:tabs>
        <w:spacing w:line="769" w:lineRule="exact" w:before="0"/>
        <w:ind w:left="266"/>
      </w:pPr>
      <w:r>
        <w:rPr>
          <w:rFonts w:ascii="Yu Gothic" w:hAnsi="Yu Gothic" w:eastAsia="Yu Gothic" w:hint="eastAsia"/>
          <w:w w:val="150"/>
          <w:position w:val="-11"/>
          <w:sz w:val="52"/>
        </w:rPr>
        <w:t>¤</w:t>
        <w:tab/>
      </w:r>
      <w:r>
        <w:rPr>
          <w:w w:val="95"/>
        </w:rPr>
        <w:t>贵单位应当特别注意的事项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2.2;3.2;8.1;10.2;12.16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保险事故发生后请贵单位及时通知我们</w:t>
        <w:tab/>
        <w:t>3.2</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贵单位应当按时交纳保险费</w:t>
        <w:tab/>
        <w:t>4.1</w:t>
      </w:r>
    </w:p>
    <w:p>
      <w:pPr>
        <w:pStyle w:val="ListParagraph"/>
        <w:numPr>
          <w:ilvl w:val="0"/>
          <w:numId w:val="1"/>
        </w:numPr>
        <w:tabs>
          <w:tab w:pos="1676" w:val="left" w:leader="none"/>
          <w:tab w:pos="1677" w:val="left" w:leader="none"/>
          <w:tab w:pos="9970" w:val="right" w:leader="dot"/>
        </w:tabs>
        <w:spacing w:line="240" w:lineRule="auto" w:before="37" w:after="0"/>
        <w:ind w:left="1676" w:right="0" w:hanging="438"/>
        <w:jc w:val="left"/>
        <w:rPr>
          <w:sz w:val="21"/>
        </w:rPr>
      </w:pPr>
      <w:r>
        <w:rPr>
          <w:sz w:val="21"/>
        </w:rPr>
        <w:t>解除合同会给贵单位造成一定的损失，请贵单位慎重决策</w:t>
        <w:tab/>
        <w:t>9.1</w:t>
      </w:r>
    </w:p>
    <w:p>
      <w:pPr>
        <w:pStyle w:val="ListParagraph"/>
        <w:numPr>
          <w:ilvl w:val="0"/>
          <w:numId w:val="1"/>
        </w:numPr>
        <w:tabs>
          <w:tab w:pos="1677" w:val="left" w:leader="none"/>
          <w:tab w:pos="1678" w:val="left" w:leader="none"/>
          <w:tab w:pos="10077" w:val="right" w:leader="dot"/>
        </w:tabs>
        <w:spacing w:line="240" w:lineRule="auto" w:before="37" w:after="0"/>
        <w:ind w:left="1677" w:right="0" w:hanging="439"/>
        <w:jc w:val="left"/>
        <w:rPr>
          <w:sz w:val="21"/>
        </w:rPr>
      </w:pPr>
      <w:r>
        <w:rPr>
          <w:sz w:val="21"/>
        </w:rPr>
        <w:t>贵单位有如实告知的义务</w:t>
        <w:tab/>
        <w:t>10.2</w:t>
      </w:r>
    </w:p>
    <w:p>
      <w:pPr>
        <w:pStyle w:val="ListParagraph"/>
        <w:numPr>
          <w:ilvl w:val="0"/>
          <w:numId w:val="1"/>
        </w:numPr>
        <w:tabs>
          <w:tab w:pos="1677" w:val="left" w:leader="none"/>
          <w:tab w:pos="1678" w:val="left" w:leader="none"/>
          <w:tab w:pos="9867" w:val="right" w:leader="dot"/>
        </w:tabs>
        <w:spacing w:line="179" w:lineRule="exact" w:before="37" w:after="0"/>
        <w:ind w:left="1677" w:right="0" w:hanging="439"/>
        <w:jc w:val="left"/>
        <w:rPr>
          <w:sz w:val="21"/>
        </w:rPr>
      </w:pPr>
      <w:r>
        <w:rPr>
          <w:sz w:val="21"/>
        </w:rPr>
        <w:t>我们对一些重要术语进行了解释，并作了显著标识，请贵单位注意</w:t>
        <w:tab/>
        <w:t>12</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条款是保险合同的重要内容，为充分保障贵单位的权益，请贵单位仔细阅读本条款。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line="288" w:lineRule="exact" w:before="0"/>
        <w:ind w:left="1112"/>
        <w:rPr>
          <w:rFonts w:ascii="Microsoft JhengHei" w:eastAsia="Microsoft JhengHei" w:hint="eastAsia"/>
        </w:rPr>
      </w:pPr>
      <w:r>
        <w:rPr/>
        <w:t>1.</w:t>
      </w:r>
      <w:r>
        <w:rPr>
          <w:rFonts w:ascii="Microsoft JhengHei" w:eastAsia="Microsoft JhengHei" w:hint="eastAsia"/>
        </w:rPr>
        <w:t>贵单位与我们订立的合同</w:t>
      </w:r>
    </w:p>
    <w:p>
      <w:pPr>
        <w:pStyle w:val="ListParagraph"/>
        <w:numPr>
          <w:ilvl w:val="1"/>
          <w:numId w:val="2"/>
        </w:numPr>
        <w:tabs>
          <w:tab w:pos="1743" w:val="left" w:leader="none"/>
        </w:tabs>
        <w:spacing w:line="240" w:lineRule="auto" w:before="13" w:after="0"/>
        <w:ind w:left="1742" w:right="0" w:hanging="420"/>
        <w:jc w:val="left"/>
        <w:rPr>
          <w:sz w:val="21"/>
        </w:rPr>
      </w:pPr>
      <w:r>
        <w:rPr>
          <w:sz w:val="21"/>
        </w:rPr>
        <w:t>合同构成</w:t>
      </w:r>
    </w:p>
    <w:p>
      <w:pPr>
        <w:pStyle w:val="ListParagraph"/>
        <w:numPr>
          <w:ilvl w:val="1"/>
          <w:numId w:val="2"/>
        </w:numPr>
        <w:tabs>
          <w:tab w:pos="1743" w:val="left" w:leader="none"/>
        </w:tabs>
        <w:spacing w:line="240" w:lineRule="auto" w:before="37" w:after="0"/>
        <w:ind w:left="1742" w:right="0" w:hanging="419"/>
        <w:jc w:val="left"/>
        <w:rPr>
          <w:sz w:val="21"/>
        </w:rPr>
      </w:pPr>
      <w:r>
        <w:rPr>
          <w:sz w:val="21"/>
        </w:rPr>
        <w:t>合同成立与生效</w:t>
      </w:r>
    </w:p>
    <w:p>
      <w:pPr>
        <w:pStyle w:val="ListParagraph"/>
        <w:numPr>
          <w:ilvl w:val="1"/>
          <w:numId w:val="2"/>
        </w:numPr>
        <w:tabs>
          <w:tab w:pos="1744" w:val="left" w:leader="none"/>
        </w:tabs>
        <w:spacing w:line="260" w:lineRule="exact" w:before="37" w:after="0"/>
        <w:ind w:left="1743" w:right="0" w:hanging="420"/>
        <w:jc w:val="left"/>
        <w:rPr>
          <w:sz w:val="21"/>
        </w:rPr>
      </w:pPr>
      <w:r>
        <w:rPr>
          <w:spacing w:val="-1"/>
          <w:sz w:val="21"/>
        </w:rPr>
        <w:t>投保范围</w:t>
      </w:r>
    </w:p>
    <w:p>
      <w:pPr>
        <w:pStyle w:val="Heading4"/>
        <w:spacing w:line="351" w:lineRule="exact" w:before="0"/>
        <w:ind w:left="1112"/>
        <w:rPr>
          <w:rFonts w:ascii="Microsoft JhengHei" w:eastAsia="Microsoft JhengHei" w:hint="eastAsia"/>
        </w:rPr>
      </w:pPr>
      <w:r>
        <w:rPr/>
        <w:t>2.</w:t>
      </w:r>
      <w:r>
        <w:rPr>
          <w:rFonts w:ascii="Microsoft JhengHei" w:eastAsia="Microsoft JhengHei" w:hint="eastAsia"/>
        </w:rPr>
        <w:t>我们提供的保障</w:t>
      </w:r>
    </w:p>
    <w:p>
      <w:pPr>
        <w:spacing w:line="291" w:lineRule="exact" w:before="0"/>
        <w:ind w:left="476"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保险费的交纳</w:t>
      </w:r>
    </w:p>
    <w:p>
      <w:pPr>
        <w:pStyle w:val="ListParagraph"/>
        <w:numPr>
          <w:ilvl w:val="1"/>
          <w:numId w:val="3"/>
        </w:numPr>
        <w:tabs>
          <w:tab w:pos="1107" w:val="left" w:leader="none"/>
        </w:tabs>
        <w:spacing w:line="240" w:lineRule="auto" w:before="13" w:after="0"/>
        <w:ind w:left="1106" w:right="0" w:hanging="420"/>
        <w:jc w:val="left"/>
        <w:rPr>
          <w:sz w:val="21"/>
        </w:rPr>
      </w:pPr>
      <w:r>
        <w:rPr>
          <w:spacing w:val="-1"/>
          <w:sz w:val="21"/>
        </w:rPr>
        <w:t>保险费的交纳</w:t>
      </w:r>
    </w:p>
    <w:p>
      <w:pPr>
        <w:pStyle w:val="ListParagraph"/>
        <w:numPr>
          <w:ilvl w:val="1"/>
          <w:numId w:val="3"/>
        </w:numPr>
        <w:tabs>
          <w:tab w:pos="1107" w:val="left" w:leader="none"/>
        </w:tabs>
        <w:spacing w:line="260" w:lineRule="exact" w:before="37" w:after="0"/>
        <w:ind w:left="1106" w:right="0" w:hanging="420"/>
        <w:jc w:val="left"/>
        <w:rPr>
          <w:sz w:val="21"/>
        </w:rPr>
      </w:pPr>
      <w:r>
        <w:rPr>
          <w:spacing w:val="-1"/>
          <w:sz w:val="21"/>
        </w:rPr>
        <w:t>宽限期</w:t>
      </w:r>
    </w:p>
    <w:p>
      <w:pPr>
        <w:pStyle w:val="Heading4"/>
        <w:spacing w:line="351" w:lineRule="exact" w:before="0"/>
        <w:ind w:left="476"/>
        <w:rPr>
          <w:rFonts w:ascii="Microsoft JhengHei" w:eastAsia="Microsoft JhengHei" w:hint="eastAsia"/>
        </w:rPr>
      </w:pPr>
      <w:r>
        <w:rPr/>
        <w:t>5.</w:t>
      </w:r>
      <w:r>
        <w:rPr>
          <w:rFonts w:ascii="Microsoft JhengHei" w:eastAsia="Microsoft JhengHei" w:hint="eastAsia"/>
        </w:rPr>
        <w:t>账户条款</w:t>
      </w:r>
    </w:p>
    <w:p>
      <w:pPr>
        <w:pStyle w:val="BodyText"/>
        <w:spacing w:before="13"/>
        <w:ind w:left="686"/>
      </w:pPr>
      <w:r>
        <w:rPr/>
        <w:t>5.1 保险合同账户</w:t>
      </w:r>
    </w:p>
    <w:p>
      <w:pPr>
        <w:pStyle w:val="ListParagraph"/>
        <w:numPr>
          <w:ilvl w:val="1"/>
          <w:numId w:val="4"/>
        </w:numPr>
        <w:tabs>
          <w:tab w:pos="1713" w:val="left" w:leader="none"/>
        </w:tabs>
        <w:spacing w:line="273" w:lineRule="auto" w:before="3" w:after="0"/>
        <w:ind w:left="1728" w:right="954" w:hanging="457"/>
        <w:jc w:val="left"/>
        <w:rPr>
          <w:sz w:val="21"/>
        </w:rPr>
      </w:pPr>
      <w:r>
        <w:rPr>
          <w:spacing w:val="21"/>
          <w:sz w:val="21"/>
        </w:rPr>
        <w:br w:type="column"/>
      </w:r>
      <w:r>
        <w:rPr>
          <w:spacing w:val="20"/>
          <w:sz w:val="21"/>
        </w:rPr>
        <w:t>解除合同的手续及</w:t>
      </w:r>
      <w:r>
        <w:rPr>
          <w:sz w:val="21"/>
        </w:rPr>
        <w:t>风险</w:t>
      </w:r>
    </w:p>
    <w:p>
      <w:pPr>
        <w:pStyle w:val="ListParagraph"/>
        <w:numPr>
          <w:ilvl w:val="1"/>
          <w:numId w:val="4"/>
        </w:numPr>
        <w:tabs>
          <w:tab w:pos="1743" w:val="left" w:leader="none"/>
        </w:tabs>
        <w:spacing w:line="240" w:lineRule="auto" w:before="7" w:after="0"/>
        <w:ind w:left="1742" w:right="0" w:hanging="420"/>
        <w:jc w:val="left"/>
        <w:rPr>
          <w:sz w:val="21"/>
        </w:rPr>
      </w:pPr>
      <w:r>
        <w:rPr>
          <w:sz w:val="21"/>
        </w:rPr>
        <w:t>合同变更</w:t>
      </w:r>
    </w:p>
    <w:p>
      <w:pPr>
        <w:pStyle w:val="ListParagraph"/>
        <w:numPr>
          <w:ilvl w:val="1"/>
          <w:numId w:val="4"/>
        </w:numPr>
        <w:tabs>
          <w:tab w:pos="1743" w:val="left" w:leader="none"/>
        </w:tabs>
        <w:spacing w:line="260" w:lineRule="exact" w:before="37" w:after="0"/>
        <w:ind w:left="1742" w:right="0" w:hanging="420"/>
        <w:jc w:val="left"/>
        <w:rPr>
          <w:sz w:val="21"/>
        </w:rPr>
      </w:pPr>
      <w:r>
        <w:rPr>
          <w:sz w:val="21"/>
        </w:rPr>
        <w:t>联系方式变更</w:t>
      </w:r>
    </w:p>
    <w:p>
      <w:pPr>
        <w:pStyle w:val="Heading4"/>
        <w:spacing w:line="351" w:lineRule="exact" w:before="0"/>
        <w:ind w:left="1112"/>
        <w:rPr>
          <w:rFonts w:ascii="Microsoft JhengHei" w:eastAsia="Microsoft JhengHei" w:hint="eastAsia"/>
        </w:rPr>
      </w:pPr>
      <w:r>
        <w:rPr>
          <w:w w:val="105"/>
        </w:rPr>
        <w:t>10</w:t>
      </w:r>
      <w:r>
        <w:rPr>
          <w:rFonts w:ascii="Microsoft JhengHei" w:eastAsia="Microsoft JhengHei" w:hint="eastAsia"/>
          <w:w w:val="105"/>
        </w:rPr>
        <w:t>.如实告知</w:t>
      </w:r>
    </w:p>
    <w:p>
      <w:pPr>
        <w:spacing w:after="0" w:line="351" w:lineRule="exact"/>
        <w:rPr>
          <w:rFonts w:ascii="Microsoft JhengHei" w:eastAsia="Microsoft JhengHei" w:hint="eastAsia"/>
        </w:rPr>
        <w:sectPr>
          <w:type w:val="continuous"/>
          <w:pgSz w:w="11910" w:h="16840"/>
          <w:pgMar w:top="440" w:bottom="280" w:left="680" w:right="180"/>
          <w:cols w:num="3" w:equalWidth="0">
            <w:col w:w="3643" w:space="40"/>
            <w:col w:w="2367" w:space="470"/>
            <w:col w:w="4530"/>
          </w:cols>
        </w:sectPr>
      </w:pPr>
    </w:p>
    <w:p>
      <w:pPr>
        <w:pStyle w:val="BodyText"/>
        <w:spacing w:before="11"/>
        <w:rPr>
          <w:rFonts w:ascii="Microsoft JhengHei"/>
          <w:b/>
          <w:sz w:val="3"/>
        </w:rPr>
      </w:pPr>
    </w:p>
    <w:tbl>
      <w:tblPr>
        <w:tblW w:w="0" w:type="auto"/>
        <w:jc w:val="left"/>
        <w:tblInd w:w="1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91"/>
        <w:gridCol w:w="3261"/>
        <w:gridCol w:w="3258"/>
      </w:tblGrid>
      <w:tr>
        <w:trPr>
          <w:trHeight w:val="268" w:hRule="atLeast"/>
        </w:trPr>
        <w:tc>
          <w:tcPr>
            <w:tcW w:w="418" w:type="dxa"/>
          </w:tcPr>
          <w:p>
            <w:pPr>
              <w:pStyle w:val="TableParagraph"/>
              <w:spacing w:line="210" w:lineRule="exact"/>
              <w:ind w:left="30" w:right="32"/>
              <w:jc w:val="center"/>
              <w:rPr>
                <w:sz w:val="21"/>
              </w:rPr>
            </w:pPr>
            <w:r>
              <w:rPr>
                <w:sz w:val="21"/>
              </w:rPr>
              <w:t>2.1</w:t>
            </w:r>
          </w:p>
        </w:tc>
        <w:tc>
          <w:tcPr>
            <w:tcW w:w="1891" w:type="dxa"/>
          </w:tcPr>
          <w:p>
            <w:pPr>
              <w:pStyle w:val="TableParagraph"/>
              <w:spacing w:line="210" w:lineRule="exact"/>
              <w:ind w:left="51"/>
              <w:rPr>
                <w:sz w:val="21"/>
              </w:rPr>
            </w:pPr>
            <w:r>
              <w:rPr>
                <w:sz w:val="21"/>
              </w:rPr>
              <w:t>保险责任</w:t>
            </w:r>
          </w:p>
        </w:tc>
        <w:tc>
          <w:tcPr>
            <w:tcW w:w="3261" w:type="dxa"/>
          </w:tcPr>
          <w:p>
            <w:pPr>
              <w:pStyle w:val="TableParagraph"/>
              <w:spacing w:line="214" w:lineRule="exact"/>
              <w:ind w:left="786"/>
              <w:rPr>
                <w:sz w:val="21"/>
              </w:rPr>
            </w:pPr>
            <w:r>
              <w:rPr>
                <w:sz w:val="21"/>
              </w:rPr>
              <w:t>5.2 相关费用</w:t>
            </w:r>
          </w:p>
        </w:tc>
        <w:tc>
          <w:tcPr>
            <w:tcW w:w="3258" w:type="dxa"/>
          </w:tcPr>
          <w:p>
            <w:pPr>
              <w:pStyle w:val="TableParagraph"/>
              <w:spacing w:line="224" w:lineRule="exact"/>
              <w:ind w:left="999"/>
              <w:rPr>
                <w:sz w:val="21"/>
              </w:rPr>
            </w:pPr>
            <w:r>
              <w:rPr>
                <w:sz w:val="21"/>
              </w:rPr>
              <w:t>10.1 明确说明</w:t>
            </w:r>
          </w:p>
        </w:tc>
      </w:tr>
      <w:tr>
        <w:trPr>
          <w:trHeight w:val="311" w:hRule="atLeast"/>
        </w:trPr>
        <w:tc>
          <w:tcPr>
            <w:tcW w:w="418" w:type="dxa"/>
          </w:tcPr>
          <w:p>
            <w:pPr>
              <w:pStyle w:val="TableParagraph"/>
              <w:spacing w:line="254" w:lineRule="exact"/>
              <w:ind w:left="30" w:right="32"/>
              <w:jc w:val="center"/>
              <w:rPr>
                <w:sz w:val="21"/>
              </w:rPr>
            </w:pPr>
            <w:r>
              <w:rPr>
                <w:sz w:val="21"/>
              </w:rPr>
              <w:t>2.2</w:t>
            </w:r>
          </w:p>
        </w:tc>
        <w:tc>
          <w:tcPr>
            <w:tcW w:w="1891" w:type="dxa"/>
          </w:tcPr>
          <w:p>
            <w:pPr>
              <w:pStyle w:val="TableParagraph"/>
              <w:spacing w:line="254" w:lineRule="exact"/>
              <w:ind w:left="51"/>
              <w:rPr>
                <w:sz w:val="21"/>
              </w:rPr>
            </w:pPr>
            <w:r>
              <w:rPr>
                <w:sz w:val="21"/>
              </w:rPr>
              <w:t>责任免除</w:t>
            </w:r>
          </w:p>
        </w:tc>
        <w:tc>
          <w:tcPr>
            <w:tcW w:w="3261" w:type="dxa"/>
          </w:tcPr>
          <w:p>
            <w:pPr>
              <w:pStyle w:val="TableParagraph"/>
              <w:spacing w:line="257" w:lineRule="exact"/>
              <w:ind w:left="786"/>
              <w:rPr>
                <w:sz w:val="21"/>
              </w:rPr>
            </w:pPr>
            <w:r>
              <w:rPr>
                <w:sz w:val="21"/>
              </w:rPr>
              <w:t>5.3 保证利率</w:t>
            </w:r>
          </w:p>
        </w:tc>
        <w:tc>
          <w:tcPr>
            <w:tcW w:w="3258" w:type="dxa"/>
          </w:tcPr>
          <w:p>
            <w:pPr>
              <w:pStyle w:val="TableParagraph"/>
              <w:spacing w:line="268" w:lineRule="exact"/>
              <w:ind w:left="999"/>
              <w:rPr>
                <w:sz w:val="21"/>
              </w:rPr>
            </w:pPr>
            <w:r>
              <w:rPr>
                <w:sz w:val="21"/>
              </w:rPr>
              <w:t>10.2 如实告知</w:t>
            </w:r>
          </w:p>
        </w:tc>
      </w:tr>
      <w:tr>
        <w:trPr>
          <w:trHeight w:val="311" w:hRule="atLeast"/>
        </w:trPr>
        <w:tc>
          <w:tcPr>
            <w:tcW w:w="418" w:type="dxa"/>
          </w:tcPr>
          <w:p>
            <w:pPr>
              <w:pStyle w:val="TableParagraph"/>
              <w:spacing w:line="254" w:lineRule="exact"/>
              <w:ind w:left="30" w:right="32"/>
              <w:jc w:val="center"/>
              <w:rPr>
                <w:sz w:val="21"/>
              </w:rPr>
            </w:pPr>
            <w:r>
              <w:rPr>
                <w:sz w:val="21"/>
              </w:rPr>
              <w:t>2.3</w:t>
            </w:r>
          </w:p>
        </w:tc>
        <w:tc>
          <w:tcPr>
            <w:tcW w:w="1891" w:type="dxa"/>
          </w:tcPr>
          <w:p>
            <w:pPr>
              <w:pStyle w:val="TableParagraph"/>
              <w:spacing w:line="254" w:lineRule="exact"/>
              <w:ind w:left="51"/>
              <w:rPr>
                <w:sz w:val="21"/>
              </w:rPr>
            </w:pPr>
            <w:r>
              <w:rPr>
                <w:sz w:val="21"/>
              </w:rPr>
              <w:t>保险金额</w:t>
            </w:r>
          </w:p>
        </w:tc>
        <w:tc>
          <w:tcPr>
            <w:tcW w:w="3261" w:type="dxa"/>
          </w:tcPr>
          <w:p>
            <w:pPr>
              <w:pStyle w:val="TableParagraph"/>
              <w:spacing w:line="257" w:lineRule="exact"/>
              <w:ind w:left="786"/>
              <w:rPr>
                <w:sz w:val="21"/>
              </w:rPr>
            </w:pPr>
            <w:r>
              <w:rPr>
                <w:sz w:val="21"/>
              </w:rPr>
              <w:t>5.4 账户价值</w:t>
            </w:r>
          </w:p>
        </w:tc>
        <w:tc>
          <w:tcPr>
            <w:tcW w:w="3258" w:type="dxa"/>
          </w:tcPr>
          <w:p>
            <w:pPr>
              <w:pStyle w:val="TableParagraph"/>
              <w:spacing w:line="268" w:lineRule="exact"/>
              <w:ind w:left="999"/>
              <w:rPr>
                <w:sz w:val="21"/>
              </w:rPr>
            </w:pPr>
            <w:r>
              <w:rPr>
                <w:sz w:val="21"/>
              </w:rPr>
              <w:t>10.3 本公司合同解除权</w:t>
            </w:r>
          </w:p>
        </w:tc>
      </w:tr>
      <w:tr>
        <w:trPr>
          <w:trHeight w:val="311" w:hRule="atLeast"/>
        </w:trPr>
        <w:tc>
          <w:tcPr>
            <w:tcW w:w="418" w:type="dxa"/>
          </w:tcPr>
          <w:p>
            <w:pPr>
              <w:pStyle w:val="TableParagraph"/>
              <w:spacing w:line="254" w:lineRule="exact"/>
              <w:ind w:left="30" w:right="32"/>
              <w:jc w:val="center"/>
              <w:rPr>
                <w:sz w:val="21"/>
              </w:rPr>
            </w:pPr>
            <w:r>
              <w:rPr>
                <w:sz w:val="21"/>
              </w:rPr>
              <w:t>2.4</w:t>
            </w:r>
          </w:p>
        </w:tc>
        <w:tc>
          <w:tcPr>
            <w:tcW w:w="1891" w:type="dxa"/>
          </w:tcPr>
          <w:p>
            <w:pPr>
              <w:pStyle w:val="TableParagraph"/>
              <w:spacing w:line="254" w:lineRule="exact"/>
              <w:ind w:left="51"/>
              <w:rPr>
                <w:sz w:val="21"/>
              </w:rPr>
            </w:pPr>
            <w:r>
              <w:rPr>
                <w:sz w:val="21"/>
              </w:rPr>
              <w:t>未成年人身故</w:t>
            </w:r>
          </w:p>
        </w:tc>
        <w:tc>
          <w:tcPr>
            <w:tcW w:w="3261" w:type="dxa"/>
          </w:tcPr>
          <w:p>
            <w:pPr>
              <w:pStyle w:val="TableParagraph"/>
              <w:spacing w:line="281" w:lineRule="exact"/>
              <w:ind w:left="576"/>
              <w:rPr>
                <w:rFonts w:ascii="Microsoft JhengHei" w:eastAsia="Microsoft JhengHei" w:hint="eastAsia"/>
                <w:b/>
                <w:sz w:val="21"/>
              </w:rPr>
            </w:pPr>
            <w:r>
              <w:rPr>
                <w:b/>
                <w:sz w:val="21"/>
              </w:rPr>
              <w:t>6.</w:t>
            </w:r>
            <w:r>
              <w:rPr>
                <w:rFonts w:ascii="Microsoft JhengHei" w:eastAsia="Microsoft JhengHei" w:hint="eastAsia"/>
                <w:b/>
                <w:sz w:val="21"/>
              </w:rPr>
              <w:t>被保险人的变动</w:t>
            </w:r>
          </w:p>
        </w:tc>
        <w:tc>
          <w:tcPr>
            <w:tcW w:w="3258" w:type="dxa"/>
          </w:tcPr>
          <w:p>
            <w:pPr>
              <w:pStyle w:val="TableParagraph"/>
              <w:spacing w:line="268" w:lineRule="exact"/>
              <w:ind w:left="1505" w:right="1083"/>
              <w:jc w:val="center"/>
              <w:rPr>
                <w:sz w:val="21"/>
              </w:rPr>
            </w:pPr>
            <w:r>
              <w:rPr>
                <w:sz w:val="21"/>
              </w:rPr>
              <w:t>的限制</w:t>
            </w:r>
          </w:p>
        </w:tc>
      </w:tr>
      <w:tr>
        <w:trPr>
          <w:trHeight w:val="311" w:hRule="atLeast"/>
        </w:trPr>
        <w:tc>
          <w:tcPr>
            <w:tcW w:w="418" w:type="dxa"/>
          </w:tcPr>
          <w:p>
            <w:pPr>
              <w:pStyle w:val="TableParagraph"/>
              <w:rPr>
                <w:rFonts w:ascii="Times New Roman"/>
                <w:sz w:val="20"/>
              </w:rPr>
            </w:pPr>
          </w:p>
        </w:tc>
        <w:tc>
          <w:tcPr>
            <w:tcW w:w="1891" w:type="dxa"/>
          </w:tcPr>
          <w:p>
            <w:pPr>
              <w:pStyle w:val="TableParagraph"/>
              <w:spacing w:line="254" w:lineRule="exact"/>
              <w:ind w:left="51"/>
              <w:rPr>
                <w:sz w:val="21"/>
              </w:rPr>
            </w:pPr>
            <w:r>
              <w:rPr>
                <w:sz w:val="21"/>
              </w:rPr>
              <w:t>保险金限制</w:t>
            </w:r>
          </w:p>
        </w:tc>
        <w:tc>
          <w:tcPr>
            <w:tcW w:w="3261" w:type="dxa"/>
          </w:tcPr>
          <w:p>
            <w:pPr>
              <w:pStyle w:val="TableParagraph"/>
              <w:spacing w:line="257" w:lineRule="exact"/>
              <w:ind w:right="792"/>
              <w:jc w:val="right"/>
              <w:rPr>
                <w:sz w:val="21"/>
              </w:rPr>
            </w:pPr>
            <w:r>
              <w:rPr>
                <w:sz w:val="21"/>
              </w:rPr>
              <w:t>6.1 增加被保险人</w:t>
            </w:r>
          </w:p>
        </w:tc>
        <w:tc>
          <w:tcPr>
            <w:tcW w:w="3258" w:type="dxa"/>
          </w:tcPr>
          <w:p>
            <w:pPr>
              <w:pStyle w:val="TableParagraph"/>
              <w:spacing w:line="292" w:lineRule="exact"/>
              <w:ind w:left="789"/>
              <w:rPr>
                <w:rFonts w:ascii="Microsoft JhengHei" w:eastAsia="Microsoft JhengHei" w:hint="eastAsia"/>
                <w:b/>
                <w:sz w:val="21"/>
              </w:rPr>
            </w:pPr>
            <w:r>
              <w:rPr>
                <w:b/>
                <w:sz w:val="21"/>
              </w:rPr>
              <w:t>11.</w:t>
            </w:r>
            <w:r>
              <w:rPr>
                <w:rFonts w:ascii="Microsoft JhengHei" w:eastAsia="Microsoft JhengHei" w:hint="eastAsia"/>
                <w:b/>
                <w:sz w:val="21"/>
              </w:rPr>
              <w:t>其他需要关注的事项</w:t>
            </w:r>
          </w:p>
        </w:tc>
      </w:tr>
      <w:tr>
        <w:trPr>
          <w:trHeight w:val="268" w:hRule="atLeast"/>
        </w:trPr>
        <w:tc>
          <w:tcPr>
            <w:tcW w:w="418" w:type="dxa"/>
          </w:tcPr>
          <w:p>
            <w:pPr>
              <w:pStyle w:val="TableParagraph"/>
              <w:spacing w:line="248" w:lineRule="exact"/>
              <w:ind w:left="30" w:right="32"/>
              <w:jc w:val="center"/>
              <w:rPr>
                <w:sz w:val="21"/>
              </w:rPr>
            </w:pPr>
            <w:r>
              <w:rPr>
                <w:sz w:val="21"/>
              </w:rPr>
              <w:t>2.5</w:t>
            </w:r>
          </w:p>
        </w:tc>
        <w:tc>
          <w:tcPr>
            <w:tcW w:w="1891" w:type="dxa"/>
          </w:tcPr>
          <w:p>
            <w:pPr>
              <w:pStyle w:val="TableParagraph"/>
              <w:spacing w:line="248" w:lineRule="exact"/>
              <w:ind w:left="51"/>
              <w:rPr>
                <w:sz w:val="21"/>
              </w:rPr>
            </w:pPr>
            <w:r>
              <w:rPr>
                <w:sz w:val="21"/>
              </w:rPr>
              <w:t>保险期间</w:t>
            </w:r>
          </w:p>
        </w:tc>
        <w:tc>
          <w:tcPr>
            <w:tcW w:w="3261" w:type="dxa"/>
          </w:tcPr>
          <w:p>
            <w:pPr>
              <w:pStyle w:val="TableParagraph"/>
              <w:spacing w:line="248" w:lineRule="exact"/>
              <w:ind w:right="792"/>
              <w:jc w:val="right"/>
              <w:rPr>
                <w:sz w:val="21"/>
              </w:rPr>
            </w:pPr>
            <w:r>
              <w:rPr>
                <w:sz w:val="21"/>
              </w:rPr>
              <w:t>6.2 减少被保险人</w:t>
            </w:r>
          </w:p>
        </w:tc>
        <w:tc>
          <w:tcPr>
            <w:tcW w:w="3258" w:type="dxa"/>
          </w:tcPr>
          <w:p>
            <w:pPr>
              <w:pStyle w:val="TableParagraph"/>
              <w:spacing w:line="248" w:lineRule="exact"/>
              <w:ind w:left="999"/>
              <w:rPr>
                <w:sz w:val="21"/>
              </w:rPr>
            </w:pPr>
            <w:r>
              <w:rPr>
                <w:sz w:val="21"/>
              </w:rPr>
              <w:t>11.1 年龄错误</w:t>
            </w:r>
          </w:p>
        </w:tc>
      </w:tr>
    </w:tbl>
    <w:p>
      <w:pPr>
        <w:spacing w:after="0" w:line="248" w:lineRule="exact"/>
        <w:rPr>
          <w:sz w:val="21"/>
        </w:rPr>
        <w:sectPr>
          <w:type w:val="continuous"/>
          <w:pgSz w:w="11910" w:h="16840"/>
          <w:pgMar w:top="440" w:bottom="280" w:left="680" w:right="180"/>
        </w:sectPr>
      </w:pPr>
    </w:p>
    <w:p>
      <w:pPr>
        <w:spacing w:line="322" w:lineRule="exact" w:before="0"/>
        <w:ind w:left="1112" w:right="0" w:firstLine="0"/>
        <w:jc w:val="left"/>
        <w:rPr>
          <w:rFonts w:ascii="Microsoft JhengHei" w:eastAsia="Microsoft JhengHei" w:hint="eastAsia"/>
          <w:b/>
          <w:sz w:val="21"/>
        </w:rPr>
      </w:pPr>
      <w:r>
        <w:rPr>
          <w:b/>
          <w:sz w:val="21"/>
        </w:rPr>
        <w:t>3.</w:t>
      </w:r>
      <w:r>
        <w:rPr>
          <w:rFonts w:ascii="Microsoft JhengHei" w:eastAsia="Microsoft JhengHei" w:hint="eastAsia"/>
          <w:b/>
          <w:sz w:val="21"/>
        </w:rPr>
        <w:t>保险金的申请</w:t>
      </w:r>
    </w:p>
    <w:p>
      <w:pPr>
        <w:pStyle w:val="ListParagraph"/>
        <w:numPr>
          <w:ilvl w:val="1"/>
          <w:numId w:val="5"/>
        </w:numPr>
        <w:tabs>
          <w:tab w:pos="1743" w:val="left" w:leader="none"/>
        </w:tabs>
        <w:spacing w:line="240" w:lineRule="auto" w:before="13" w:after="0"/>
        <w:ind w:left="1742" w:right="0" w:hanging="420"/>
        <w:jc w:val="left"/>
        <w:rPr>
          <w:sz w:val="21"/>
        </w:rPr>
      </w:pPr>
      <w:r>
        <w:rPr>
          <w:sz w:val="21"/>
        </w:rPr>
        <w:t>受益人</w:t>
      </w:r>
    </w:p>
    <w:p>
      <w:pPr>
        <w:pStyle w:val="ListParagraph"/>
        <w:numPr>
          <w:ilvl w:val="1"/>
          <w:numId w:val="5"/>
        </w:numPr>
        <w:tabs>
          <w:tab w:pos="1743" w:val="left" w:leader="none"/>
        </w:tabs>
        <w:spacing w:line="240" w:lineRule="auto" w:before="37" w:after="0"/>
        <w:ind w:left="1742" w:right="0" w:hanging="419"/>
        <w:jc w:val="left"/>
        <w:rPr>
          <w:sz w:val="21"/>
        </w:rPr>
      </w:pPr>
      <w:r>
        <w:rPr>
          <w:sz w:val="21"/>
        </w:rPr>
        <w:t>保险事故通知</w:t>
      </w:r>
    </w:p>
    <w:p>
      <w:pPr>
        <w:pStyle w:val="BodyText"/>
        <w:spacing w:line="260" w:lineRule="exact" w:before="26"/>
        <w:ind w:left="1322"/>
      </w:pPr>
      <w:r>
        <w:rPr/>
        <w:br w:type="column"/>
      </w:r>
      <w:r>
        <w:rPr/>
        <w:t>6.3 对合同效力的影响</w:t>
      </w:r>
    </w:p>
    <w:p>
      <w:pPr>
        <w:pStyle w:val="Heading4"/>
        <w:spacing w:line="351" w:lineRule="exact" w:before="0"/>
        <w:ind w:left="1112"/>
        <w:rPr>
          <w:rFonts w:ascii="Microsoft JhengHei" w:eastAsia="Microsoft JhengHei" w:hint="eastAsia"/>
        </w:rPr>
      </w:pPr>
      <w:r>
        <w:rPr/>
        <w:t>7.</w:t>
      </w:r>
      <w:r>
        <w:rPr>
          <w:rFonts w:ascii="Microsoft JhengHei" w:eastAsia="Microsoft JhengHei" w:hint="eastAsia"/>
        </w:rPr>
        <w:t>职业、工种或环境变更</w:t>
      </w:r>
    </w:p>
    <w:p>
      <w:pPr>
        <w:pStyle w:val="BodyText"/>
        <w:spacing w:before="14"/>
        <w:ind w:left="1319"/>
      </w:pPr>
      <w:r>
        <w:rPr/>
        <w:t>7.1 职业、工种或环境变更</w:t>
      </w:r>
    </w:p>
    <w:p>
      <w:pPr>
        <w:pStyle w:val="ListParagraph"/>
        <w:numPr>
          <w:ilvl w:val="1"/>
          <w:numId w:val="6"/>
        </w:numPr>
        <w:tabs>
          <w:tab w:pos="1443" w:val="left" w:leader="none"/>
        </w:tabs>
        <w:spacing w:line="240" w:lineRule="auto" w:before="37" w:after="0"/>
        <w:ind w:left="1442" w:right="0" w:hanging="525"/>
        <w:jc w:val="left"/>
        <w:rPr>
          <w:sz w:val="21"/>
        </w:rPr>
      </w:pPr>
      <w:r>
        <w:rPr>
          <w:sz w:val="21"/>
        </w:rPr>
        <w:br w:type="column"/>
        <w:t>争议处理</w:t>
      </w:r>
    </w:p>
    <w:p>
      <w:pPr>
        <w:pStyle w:val="ListParagraph"/>
        <w:numPr>
          <w:ilvl w:val="1"/>
          <w:numId w:val="6"/>
        </w:numPr>
        <w:tabs>
          <w:tab w:pos="1443" w:val="left" w:leader="none"/>
        </w:tabs>
        <w:spacing w:line="259" w:lineRule="exact" w:before="36" w:after="0"/>
        <w:ind w:left="1442" w:right="0" w:hanging="525"/>
        <w:jc w:val="left"/>
        <w:rPr>
          <w:sz w:val="21"/>
        </w:rPr>
      </w:pPr>
      <w:r>
        <w:rPr>
          <w:spacing w:val="-1"/>
          <w:sz w:val="21"/>
        </w:rPr>
        <w:t>被保险人资料</w:t>
      </w:r>
    </w:p>
    <w:p>
      <w:pPr>
        <w:pStyle w:val="Heading4"/>
        <w:spacing w:line="350" w:lineRule="exact" w:before="0"/>
        <w:ind w:left="707"/>
        <w:rPr>
          <w:rFonts w:ascii="Microsoft JhengHei" w:eastAsia="Microsoft JhengHei" w:hint="eastAsia"/>
        </w:rPr>
      </w:pPr>
      <w:r>
        <w:rPr/>
        <w:t>12.</w:t>
      </w:r>
      <w:r>
        <w:rPr>
          <w:rFonts w:ascii="Microsoft JhengHei" w:eastAsia="Microsoft JhengHei" w:hint="eastAsia"/>
        </w:rPr>
        <w:t>释义</w:t>
      </w:r>
    </w:p>
    <w:p>
      <w:pPr>
        <w:spacing w:after="0" w:line="350" w:lineRule="exact"/>
        <w:rPr>
          <w:rFonts w:ascii="Microsoft JhengHei" w:eastAsia="Microsoft JhengHei" w:hint="eastAsia"/>
        </w:rPr>
        <w:sectPr>
          <w:type w:val="continuous"/>
          <w:pgSz w:w="11910" w:h="16840"/>
          <w:pgMar w:top="440" w:bottom="280" w:left="680" w:right="180"/>
          <w:cols w:num="3" w:equalWidth="0">
            <w:col w:w="3003" w:space="42"/>
            <w:col w:w="3840" w:space="40"/>
            <w:col w:w="4125"/>
          </w:cols>
        </w:sectPr>
      </w:pPr>
    </w:p>
    <w:p>
      <w:pPr>
        <w:pStyle w:val="BodyText"/>
        <w:spacing w:before="13"/>
        <w:rPr>
          <w:rFonts w:ascii="Microsoft JhengHei"/>
          <w:b/>
          <w:sz w:val="3"/>
        </w:rPr>
      </w:pPr>
    </w:p>
    <w:tbl>
      <w:tblPr>
        <w:tblW w:w="0" w:type="auto"/>
        <w:jc w:val="left"/>
        <w:tblInd w:w="1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1995"/>
        <w:gridCol w:w="2212"/>
      </w:tblGrid>
      <w:tr>
        <w:trPr>
          <w:trHeight w:val="262" w:hRule="atLeast"/>
        </w:trPr>
        <w:tc>
          <w:tcPr>
            <w:tcW w:w="419" w:type="dxa"/>
          </w:tcPr>
          <w:p>
            <w:pPr>
              <w:pStyle w:val="TableParagraph"/>
              <w:spacing w:line="210" w:lineRule="exact"/>
              <w:ind w:left="30" w:right="30"/>
              <w:jc w:val="center"/>
              <w:rPr>
                <w:sz w:val="21"/>
              </w:rPr>
            </w:pPr>
            <w:r>
              <w:rPr>
                <w:sz w:val="21"/>
              </w:rPr>
              <w:t>3.3</w:t>
            </w:r>
          </w:p>
        </w:tc>
        <w:tc>
          <w:tcPr>
            <w:tcW w:w="1995" w:type="dxa"/>
          </w:tcPr>
          <w:p>
            <w:pPr>
              <w:pStyle w:val="TableParagraph"/>
              <w:spacing w:line="210" w:lineRule="exact"/>
              <w:ind w:left="51"/>
              <w:rPr>
                <w:sz w:val="21"/>
              </w:rPr>
            </w:pPr>
            <w:r>
              <w:rPr>
                <w:sz w:val="21"/>
              </w:rPr>
              <w:t>保险金申请</w:t>
            </w:r>
          </w:p>
        </w:tc>
        <w:tc>
          <w:tcPr>
            <w:tcW w:w="2212" w:type="dxa"/>
          </w:tcPr>
          <w:p>
            <w:pPr>
              <w:pStyle w:val="TableParagraph"/>
              <w:spacing w:line="238" w:lineRule="exact"/>
              <w:ind w:left="454" w:right="35"/>
              <w:jc w:val="center"/>
              <w:rPr>
                <w:rFonts w:ascii="Microsoft JhengHei" w:eastAsia="Microsoft JhengHei" w:hint="eastAsia"/>
                <w:b/>
                <w:sz w:val="21"/>
              </w:rPr>
            </w:pPr>
            <w:r>
              <w:rPr>
                <w:b/>
                <w:sz w:val="21"/>
              </w:rPr>
              <w:t>8.</w:t>
            </w:r>
            <w:r>
              <w:rPr>
                <w:rFonts w:ascii="Microsoft JhengHei" w:eastAsia="Microsoft JhengHei" w:hint="eastAsia"/>
                <w:b/>
                <w:sz w:val="21"/>
              </w:rPr>
              <w:t>合同中止和复效</w:t>
            </w:r>
          </w:p>
        </w:tc>
      </w:tr>
      <w:tr>
        <w:trPr>
          <w:trHeight w:val="311" w:hRule="atLeast"/>
        </w:trPr>
        <w:tc>
          <w:tcPr>
            <w:tcW w:w="419" w:type="dxa"/>
          </w:tcPr>
          <w:p>
            <w:pPr>
              <w:pStyle w:val="TableParagraph"/>
              <w:spacing w:line="259" w:lineRule="exact"/>
              <w:ind w:left="29" w:right="32"/>
              <w:jc w:val="center"/>
              <w:rPr>
                <w:sz w:val="21"/>
              </w:rPr>
            </w:pPr>
            <w:r>
              <w:rPr>
                <w:sz w:val="21"/>
              </w:rPr>
              <w:t>3.4</w:t>
            </w:r>
          </w:p>
        </w:tc>
        <w:tc>
          <w:tcPr>
            <w:tcW w:w="1995" w:type="dxa"/>
          </w:tcPr>
          <w:p>
            <w:pPr>
              <w:pStyle w:val="TableParagraph"/>
              <w:spacing w:line="259" w:lineRule="exact"/>
              <w:ind w:left="51"/>
              <w:rPr>
                <w:sz w:val="21"/>
              </w:rPr>
            </w:pPr>
            <w:r>
              <w:rPr>
                <w:sz w:val="21"/>
              </w:rPr>
              <w:t>宣告死亡的处理</w:t>
            </w:r>
          </w:p>
        </w:tc>
        <w:tc>
          <w:tcPr>
            <w:tcW w:w="2212" w:type="dxa"/>
          </w:tcPr>
          <w:p>
            <w:pPr>
              <w:pStyle w:val="TableParagraph"/>
              <w:spacing w:line="263" w:lineRule="exact"/>
              <w:ind w:left="681"/>
              <w:rPr>
                <w:sz w:val="21"/>
              </w:rPr>
            </w:pPr>
            <w:r>
              <w:rPr>
                <w:sz w:val="21"/>
              </w:rPr>
              <w:t>8.1 合同中止</w:t>
            </w:r>
          </w:p>
        </w:tc>
      </w:tr>
      <w:tr>
        <w:trPr>
          <w:trHeight w:val="311" w:hRule="atLeast"/>
        </w:trPr>
        <w:tc>
          <w:tcPr>
            <w:tcW w:w="419" w:type="dxa"/>
          </w:tcPr>
          <w:p>
            <w:pPr>
              <w:pStyle w:val="TableParagraph"/>
              <w:spacing w:line="259" w:lineRule="exact"/>
              <w:ind w:left="29" w:right="32"/>
              <w:jc w:val="center"/>
              <w:rPr>
                <w:sz w:val="21"/>
              </w:rPr>
            </w:pPr>
            <w:r>
              <w:rPr>
                <w:sz w:val="21"/>
              </w:rPr>
              <w:t>3.5</w:t>
            </w:r>
          </w:p>
        </w:tc>
        <w:tc>
          <w:tcPr>
            <w:tcW w:w="1995" w:type="dxa"/>
          </w:tcPr>
          <w:p>
            <w:pPr>
              <w:pStyle w:val="TableParagraph"/>
              <w:spacing w:line="259" w:lineRule="exact"/>
              <w:ind w:left="51"/>
              <w:rPr>
                <w:sz w:val="21"/>
              </w:rPr>
            </w:pPr>
            <w:r>
              <w:rPr>
                <w:sz w:val="21"/>
              </w:rPr>
              <w:t>保险金的给付</w:t>
            </w:r>
          </w:p>
        </w:tc>
        <w:tc>
          <w:tcPr>
            <w:tcW w:w="2212" w:type="dxa"/>
          </w:tcPr>
          <w:p>
            <w:pPr>
              <w:pStyle w:val="TableParagraph"/>
              <w:spacing w:line="263" w:lineRule="exact"/>
              <w:ind w:left="681"/>
              <w:rPr>
                <w:sz w:val="21"/>
              </w:rPr>
            </w:pPr>
            <w:r>
              <w:rPr>
                <w:sz w:val="21"/>
              </w:rPr>
              <w:t>8.2 合同复效</w:t>
            </w:r>
          </w:p>
        </w:tc>
      </w:tr>
      <w:tr>
        <w:trPr>
          <w:trHeight w:val="262" w:hRule="atLeast"/>
        </w:trPr>
        <w:tc>
          <w:tcPr>
            <w:tcW w:w="419" w:type="dxa"/>
          </w:tcPr>
          <w:p>
            <w:pPr>
              <w:pStyle w:val="TableParagraph"/>
              <w:spacing w:line="243" w:lineRule="exact"/>
              <w:ind w:left="29" w:right="32"/>
              <w:jc w:val="center"/>
              <w:rPr>
                <w:sz w:val="21"/>
              </w:rPr>
            </w:pPr>
            <w:r>
              <w:rPr>
                <w:sz w:val="21"/>
              </w:rPr>
              <w:t>3.6</w:t>
            </w:r>
          </w:p>
        </w:tc>
        <w:tc>
          <w:tcPr>
            <w:tcW w:w="1995" w:type="dxa"/>
          </w:tcPr>
          <w:p>
            <w:pPr>
              <w:pStyle w:val="TableParagraph"/>
              <w:spacing w:line="243" w:lineRule="exact"/>
              <w:ind w:left="51"/>
              <w:rPr>
                <w:sz w:val="21"/>
              </w:rPr>
            </w:pPr>
            <w:r>
              <w:rPr>
                <w:sz w:val="21"/>
              </w:rPr>
              <w:t>诉讼时效</w:t>
            </w:r>
          </w:p>
        </w:tc>
        <w:tc>
          <w:tcPr>
            <w:tcW w:w="2212" w:type="dxa"/>
          </w:tcPr>
          <w:p>
            <w:pPr>
              <w:pStyle w:val="TableParagraph"/>
              <w:spacing w:line="243" w:lineRule="exact"/>
              <w:ind w:left="454" w:right="35"/>
              <w:jc w:val="center"/>
              <w:rPr>
                <w:rFonts w:ascii="Microsoft JhengHei" w:eastAsia="Microsoft JhengHei" w:hint="eastAsia"/>
                <w:b/>
                <w:sz w:val="21"/>
              </w:rPr>
            </w:pPr>
            <w:r>
              <w:rPr>
                <w:b/>
                <w:sz w:val="21"/>
              </w:rPr>
              <w:t>9.</w:t>
            </w:r>
            <w:r>
              <w:rPr>
                <w:rFonts w:ascii="Microsoft JhengHei" w:eastAsia="Microsoft JhengHei" w:hint="eastAsia"/>
                <w:b/>
                <w:sz w:val="21"/>
              </w:rPr>
              <w:t>合同解除和变更</w:t>
            </w:r>
          </w:p>
        </w:tc>
      </w:tr>
    </w:tbl>
    <w:p>
      <w:pPr>
        <w:spacing w:after="0" w:line="243" w:lineRule="exact"/>
        <w:jc w:val="center"/>
        <w:rPr>
          <w:rFonts w:ascii="Microsoft JhengHei" w:eastAsia="Microsoft JhengHei" w:hint="eastAsia"/>
          <w:sz w:val="21"/>
        </w:rPr>
        <w:sectPr>
          <w:type w:val="continuous"/>
          <w:pgSz w:w="11910" w:h="16840"/>
          <w:pgMar w:top="440" w:bottom="280" w:left="680" w:right="180"/>
        </w:sectPr>
      </w:pPr>
    </w:p>
    <w:p>
      <w:pPr>
        <w:pStyle w:val="BodyText"/>
        <w:spacing w:before="0"/>
        <w:ind w:left="2925"/>
        <w:rPr>
          <w:rFonts w:ascii="Microsoft JhengHei"/>
          <w:sz w:val="20"/>
        </w:rPr>
      </w:pPr>
      <w:r>
        <w:rPr>
          <w:rFonts w:ascii="Microsoft JhengHei"/>
          <w:sz w:val="20"/>
        </w:rPr>
        <w:drawing>
          <wp:inline distT="0" distB="0" distL="0" distR="0">
            <wp:extent cx="2895599" cy="438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5599" cy="438150"/>
                    </a:xfrm>
                    <a:prstGeom prst="rect">
                      <a:avLst/>
                    </a:prstGeom>
                  </pic:spPr>
                </pic:pic>
              </a:graphicData>
            </a:graphic>
          </wp:inline>
        </w:drawing>
      </w:r>
      <w:r>
        <w:rPr>
          <w:rFonts w:ascii="Microsoft JhengHei"/>
          <w:sz w:val="20"/>
        </w:rPr>
      </w:r>
    </w:p>
    <w:p>
      <w:pPr>
        <w:pStyle w:val="Heading1"/>
        <w:spacing w:line="525" w:lineRule="exact"/>
        <w:ind w:left="2142"/>
        <w:jc w:val="left"/>
      </w:pPr>
      <w:r>
        <w:rPr>
          <w:w w:val="95"/>
        </w:rPr>
        <w:t>福佑一生团体重大疾病保险条款</w:t>
      </w:r>
    </w:p>
    <w:p>
      <w:pPr>
        <w:pStyle w:val="BodyText"/>
        <w:spacing w:before="234"/>
        <w:ind w:left="1663"/>
      </w:pPr>
      <w:r>
        <w:rPr/>
        <w:t>（华夏保发[2009]335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195" w:right="298"/>
      </w:pPr>
      <w:r>
        <w:rPr>
          <w:spacing w:val="-5"/>
        </w:rPr>
        <w:t>在本条款中，“贵单位”指投保人，“我们”和“本公司”指华夏人寿保险股份有限公司，“本合同”指贵单</w:t>
      </w:r>
      <w:r>
        <w:rPr>
          <w:spacing w:val="-9"/>
        </w:rPr>
        <w:t>位与我们之间订立的“福佑一生团体重大疾病保险合同”。</w:t>
      </w:r>
    </w:p>
    <w:p>
      <w:pPr>
        <w:pStyle w:val="BodyText"/>
        <w:spacing w:before="12"/>
        <w:rPr>
          <w:sz w:val="14"/>
        </w:rPr>
      </w:pPr>
    </w:p>
    <w:p>
      <w:pPr>
        <w:pStyle w:val="Heading2"/>
        <w:tabs>
          <w:tab w:pos="1006" w:val="left" w:leader="none"/>
        </w:tabs>
        <w:ind w:left="321"/>
      </w:pPr>
      <w:r>
        <w:rPr/>
        <w:pict>
          <v:group style="position:absolute;margin-left:41.099998pt;margin-top:37.049789pt;width:513.1pt;height:1pt;mso-position-horizontal-relative:page;mso-position-vertical-relative:paragraph;z-index:1072;mso-wrap-distance-left:0;mso-wrap-distance-right:0" coordorigin="822,741" coordsize="10262,20">
            <v:line style="position:absolute" from="822,751" to="3618,751" stroked="true" strokeweight=".95996pt" strokecolor="#000000">
              <v:stroke dashstyle="solid"/>
            </v:line>
            <v:line style="position:absolute" from="3618,751" to="11083,751" stroked="true" strokeweight=".96pt" strokecolor="#000000">
              <v:stroke dashstyle="solid"/>
            </v:line>
            <w10:wrap type="topAndBottom"/>
          </v:group>
        </w:pict>
      </w:r>
      <w:r>
        <w:rPr>
          <w:rFonts w:ascii="Yu Gothic" w:eastAsia="Yu Gothic" w:hint="eastAsia"/>
          <w:w w:val="135"/>
          <w:position w:val="-3"/>
          <w:sz w:val="40"/>
        </w:rPr>
        <w:t>0</w:t>
        <w:tab/>
      </w:r>
      <w:r>
        <w:rPr>
          <w:w w:val="95"/>
        </w:rPr>
        <w:t>贵单位与我们订立的合同</w:t>
      </w:r>
    </w:p>
    <w:p>
      <w:pPr>
        <w:pStyle w:val="BodyText"/>
        <w:spacing w:before="10"/>
        <w:rPr>
          <w:b/>
          <w:sz w:val="9"/>
        </w:rPr>
      </w:pPr>
    </w:p>
    <w:p>
      <w:pPr>
        <w:pStyle w:val="ListParagraph"/>
        <w:numPr>
          <w:ilvl w:val="1"/>
          <w:numId w:val="7"/>
        </w:numPr>
        <w:tabs>
          <w:tab w:pos="1007" w:val="left" w:leader="none"/>
          <w:tab w:pos="2986" w:val="left" w:leader="none"/>
        </w:tabs>
        <w:spacing w:line="273" w:lineRule="auto" w:before="35" w:after="0"/>
        <w:ind w:left="2986" w:right="207" w:hanging="2776"/>
        <w:jc w:val="both"/>
        <w:rPr>
          <w:sz w:val="21"/>
        </w:rPr>
      </w:pPr>
      <w:r>
        <w:rPr>
          <w:b/>
          <w:sz w:val="21"/>
        </w:rPr>
        <w:t>合同构成</w:t>
        <w:tab/>
      </w:r>
      <w:r>
        <w:rPr>
          <w:sz w:val="21"/>
        </w:rPr>
        <w:t>本合同是贵单位与我们约定保险权利义务关系的协议</w:t>
      </w:r>
      <w:r>
        <w:rPr>
          <w:spacing w:val="-41"/>
          <w:sz w:val="21"/>
        </w:rPr>
        <w:t>，</w:t>
      </w:r>
      <w:r>
        <w:rPr>
          <w:sz w:val="21"/>
        </w:rPr>
        <w:t>包括本保险条款</w:t>
      </w:r>
      <w:r>
        <w:rPr>
          <w:spacing w:val="-41"/>
          <w:sz w:val="21"/>
        </w:rPr>
        <w:t>、</w:t>
      </w:r>
      <w:r>
        <w:rPr>
          <w:sz w:val="21"/>
        </w:rPr>
        <w:t>保险单或其他保险凭证</w:t>
      </w:r>
      <w:r>
        <w:rPr>
          <w:spacing w:val="-21"/>
          <w:sz w:val="21"/>
        </w:rPr>
        <w:t>、</w:t>
      </w:r>
      <w:r>
        <w:rPr>
          <w:sz w:val="21"/>
        </w:rPr>
        <w:t>投保单</w:t>
      </w:r>
      <w:r>
        <w:rPr>
          <w:spacing w:val="-21"/>
          <w:sz w:val="21"/>
        </w:rPr>
        <w:t>、</w:t>
      </w:r>
      <w:r>
        <w:rPr>
          <w:sz w:val="21"/>
        </w:rPr>
        <w:t>与保险合同有关的投保文件</w:t>
      </w:r>
      <w:r>
        <w:rPr>
          <w:spacing w:val="-21"/>
          <w:sz w:val="21"/>
        </w:rPr>
        <w:t>、</w:t>
      </w:r>
      <w:r>
        <w:rPr>
          <w:sz w:val="21"/>
        </w:rPr>
        <w:t>合法有效的声明</w:t>
      </w:r>
      <w:r>
        <w:rPr>
          <w:spacing w:val="-21"/>
          <w:sz w:val="21"/>
        </w:rPr>
        <w:t>、</w:t>
      </w:r>
      <w:r>
        <w:rPr>
          <w:sz w:val="21"/>
        </w:rPr>
        <w:t>健康告知书、变更申请书、批注、批单及其他贵单位与我们共同认可的书面协议。</w:t>
      </w:r>
    </w:p>
    <w:p>
      <w:pPr>
        <w:pStyle w:val="BodyText"/>
        <w:spacing w:before="11"/>
        <w:rPr>
          <w:sz w:val="17"/>
        </w:rPr>
      </w:pPr>
    </w:p>
    <w:p>
      <w:pPr>
        <w:pStyle w:val="ListParagraph"/>
        <w:numPr>
          <w:ilvl w:val="1"/>
          <w:numId w:val="7"/>
        </w:numPr>
        <w:tabs>
          <w:tab w:pos="1006" w:val="left" w:leader="none"/>
          <w:tab w:pos="1007" w:val="left" w:leader="none"/>
          <w:tab w:pos="2986" w:val="left" w:leader="none"/>
        </w:tabs>
        <w:spacing w:line="240" w:lineRule="auto" w:before="0" w:after="0"/>
        <w:ind w:left="1006" w:right="0" w:hanging="796"/>
        <w:jc w:val="left"/>
        <w:rPr>
          <w:sz w:val="21"/>
        </w:rPr>
      </w:pPr>
      <w:r>
        <w:rPr>
          <w:b/>
          <w:sz w:val="21"/>
        </w:rPr>
        <w:t>合同成立与生效</w:t>
        <w:tab/>
      </w:r>
      <w:r>
        <w:rPr>
          <w:sz w:val="21"/>
        </w:rPr>
        <w:t>一、贵单位提出保险申请、我们同意承保，本合同成立。</w:t>
      </w:r>
    </w:p>
    <w:p>
      <w:pPr>
        <w:spacing w:before="36"/>
        <w:ind w:left="2986" w:right="0" w:firstLine="0"/>
        <w:jc w:val="left"/>
        <w:rPr>
          <w:sz w:val="21"/>
        </w:rPr>
      </w:pPr>
      <w:r>
        <w:rPr>
          <w:w w:val="95"/>
          <w:sz w:val="21"/>
        </w:rPr>
        <w:t>二、本合同生效日在保险单上载明。</w:t>
      </w:r>
      <w:r>
        <w:rPr>
          <w:b/>
          <w:w w:val="95"/>
          <w:sz w:val="21"/>
        </w:rPr>
        <w:t>保单周年日、保单年度</w:t>
      </w:r>
      <w:r>
        <w:rPr>
          <w:w w:val="95"/>
          <w:sz w:val="21"/>
        </w:rPr>
        <w:t>均以该日期计算。</w:t>
      </w:r>
    </w:p>
    <w:p>
      <w:pPr>
        <w:pStyle w:val="BodyText"/>
        <w:spacing w:before="1"/>
        <w:rPr>
          <w:sz w:val="20"/>
        </w:rPr>
      </w:pPr>
    </w:p>
    <w:p>
      <w:pPr>
        <w:pStyle w:val="ListParagraph"/>
        <w:numPr>
          <w:ilvl w:val="1"/>
          <w:numId w:val="7"/>
        </w:numPr>
        <w:tabs>
          <w:tab w:pos="1006" w:val="left" w:leader="none"/>
          <w:tab w:pos="1007" w:val="left" w:leader="none"/>
          <w:tab w:pos="2986" w:val="left" w:leader="none"/>
        </w:tabs>
        <w:spacing w:line="240" w:lineRule="auto" w:before="0" w:after="0"/>
        <w:ind w:left="1006" w:right="0" w:hanging="796"/>
        <w:jc w:val="left"/>
        <w:rPr>
          <w:sz w:val="21"/>
        </w:rPr>
      </w:pPr>
      <w:r>
        <w:rPr>
          <w:b/>
          <w:sz w:val="21"/>
        </w:rPr>
        <w:t>投保范围</w:t>
        <w:tab/>
      </w:r>
      <w:r>
        <w:rPr>
          <w:spacing w:val="-1"/>
          <w:w w:val="95"/>
          <w:sz w:val="21"/>
        </w:rPr>
        <w:t>一、被保险人范围</w:t>
      </w:r>
      <w:r>
        <w:rPr>
          <w:spacing w:val="-21"/>
          <w:w w:val="95"/>
          <w:sz w:val="21"/>
        </w:rPr>
        <w:t>：</w:t>
      </w:r>
      <w:r>
        <w:rPr>
          <w:spacing w:val="-1"/>
          <w:w w:val="95"/>
          <w:sz w:val="21"/>
        </w:rPr>
        <w:t>凡年满16至64</w:t>
      </w:r>
      <w:r>
        <w:rPr>
          <w:b/>
          <w:w w:val="95"/>
          <w:sz w:val="21"/>
        </w:rPr>
        <w:t>周</w:t>
      </w:r>
      <w:r>
        <w:rPr>
          <w:b/>
          <w:spacing w:val="-21"/>
          <w:w w:val="95"/>
          <w:sz w:val="21"/>
        </w:rPr>
        <w:t>岁</w:t>
      </w:r>
      <w:r>
        <w:rPr>
          <w:w w:val="95"/>
          <w:sz w:val="21"/>
        </w:rPr>
        <w:t>（含64周岁</w:t>
      </w:r>
      <w:r>
        <w:rPr>
          <w:spacing w:val="-22"/>
          <w:w w:val="95"/>
          <w:sz w:val="21"/>
        </w:rPr>
        <w:t>）、</w:t>
      </w:r>
      <w:r>
        <w:rPr>
          <w:w w:val="95"/>
          <w:sz w:val="21"/>
        </w:rPr>
        <w:t>身体健康能正常工作的贵</w:t>
      </w:r>
    </w:p>
    <w:p>
      <w:pPr>
        <w:pStyle w:val="BodyText"/>
        <w:spacing w:before="36"/>
        <w:ind w:left="3406"/>
      </w:pPr>
      <w:r>
        <w:rPr/>
        <w:t>单位在职员工，可作为被保险人参加本保险。</w:t>
      </w:r>
    </w:p>
    <w:p>
      <w:pPr>
        <w:pStyle w:val="BodyText"/>
        <w:spacing w:line="273" w:lineRule="auto" w:before="36"/>
        <w:ind w:left="3406" w:right="208" w:hanging="420"/>
        <w:jc w:val="both"/>
      </w:pPr>
      <w:r>
        <w:rPr>
          <w:spacing w:val="-6"/>
        </w:rPr>
        <w:t>二、投保人范围：在投保时对被保险人有保险利益的机关、企业、事业单位和社</w:t>
      </w:r>
      <w:r>
        <w:rPr>
          <w:spacing w:val="-2"/>
        </w:rPr>
        <w:t>会团体均可作为投保人，但以购买本保险为目的而临时组织起来的团体除</w:t>
      </w:r>
      <w:r>
        <w:rPr>
          <w:spacing w:val="-8"/>
        </w:rPr>
        <w:t>外。投保时投保团体的成员人数</w:t>
      </w:r>
      <w:r>
        <w:rPr/>
        <w:t>（可包括成员配偶和子女</w:t>
      </w:r>
      <w:r>
        <w:rPr>
          <w:spacing w:val="-28"/>
        </w:rPr>
        <w:t>）</w:t>
      </w:r>
      <w:r>
        <w:rPr/>
        <w:t>和投保成员人数占团体中符合投保条件成员总数的比例须符合国务院保险监督管理机构的规定。</w:t>
      </w:r>
    </w:p>
    <w:p>
      <w:pPr>
        <w:pStyle w:val="BodyText"/>
        <w:spacing w:before="1"/>
        <w:rPr>
          <w:sz w:val="19"/>
        </w:rPr>
      </w:pPr>
    </w:p>
    <w:p>
      <w:pPr>
        <w:tabs>
          <w:tab w:pos="1006" w:val="left" w:leader="none"/>
        </w:tabs>
        <w:spacing w:line="556" w:lineRule="exact" w:before="0"/>
        <w:ind w:left="321" w:right="0" w:firstLine="0"/>
        <w:jc w:val="left"/>
        <w:rPr>
          <w:b/>
          <w:sz w:val="24"/>
        </w:rPr>
      </w:pPr>
      <w:r>
        <w:rPr/>
        <w:pict>
          <v:group style="position:absolute;margin-left:41.099998pt;margin-top:31.160456pt;width:513.1pt;height:1pt;mso-position-horizontal-relative:page;mso-position-vertical-relative:paragraph;z-index:1096;mso-wrap-distance-left:0;mso-wrap-distance-right:0" coordorigin="822,623" coordsize="10262,20">
            <v:line style="position:absolute" from="822,633" to="3618,633" stroked="true" strokeweight=".95999pt" strokecolor="#000000">
              <v:stroke dashstyle="solid"/>
            </v:line>
            <v:line style="position:absolute" from="3618,633" to="11083,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8"/>
        </w:numPr>
        <w:tabs>
          <w:tab w:pos="1005" w:val="left" w:leader="none"/>
          <w:tab w:pos="1007" w:val="left" w:leader="none"/>
          <w:tab w:pos="2986" w:val="left" w:leader="none"/>
        </w:tabs>
        <w:spacing w:line="240" w:lineRule="auto" w:before="35" w:after="0"/>
        <w:ind w:left="2886" w:right="0" w:hanging="2676"/>
        <w:jc w:val="left"/>
        <w:rPr>
          <w:sz w:val="21"/>
        </w:rPr>
      </w:pPr>
      <w:r>
        <w:rPr>
          <w:b/>
          <w:sz w:val="21"/>
        </w:rPr>
        <w:t>保险责任</w:t>
        <w:tab/>
      </w:r>
      <w:r>
        <w:rPr>
          <w:sz w:val="21"/>
        </w:rPr>
        <w:t>在本合同有效期间内，我们按照以下约定承担保险责任：</w:t>
      </w:r>
    </w:p>
    <w:p>
      <w:pPr>
        <w:pStyle w:val="BodyText"/>
        <w:spacing w:before="5"/>
        <w:rPr>
          <w:sz w:val="17"/>
        </w:rPr>
      </w:pPr>
    </w:p>
    <w:p>
      <w:pPr>
        <w:spacing w:after="0"/>
        <w:rPr>
          <w:sz w:val="17"/>
        </w:rPr>
        <w:sectPr>
          <w:footerReference w:type="default" r:id="rId8"/>
          <w:pgSz w:w="11910" w:h="16840"/>
          <w:pgMar w:footer="677" w:header="0" w:top="1140" w:bottom="860" w:left="720" w:right="720"/>
          <w:pgNumType w:start="2"/>
        </w:sectPr>
      </w:pPr>
    </w:p>
    <w:p>
      <w:pPr>
        <w:pStyle w:val="Heading2"/>
        <w:spacing w:line="184" w:lineRule="auto" w:before="46"/>
        <w:rPr>
          <w:rFonts w:ascii="Microsoft JhengHei" w:eastAsia="Microsoft JhengHei" w:hint="eastAsia"/>
        </w:rPr>
      </w:pPr>
      <w:r>
        <w:rPr>
          <w:rFonts w:ascii="Microsoft JhengHei" w:eastAsia="Microsoft JhengHei" w:hint="eastAsia"/>
        </w:rPr>
        <w:t>首次重大疾病保险金</w:t>
      </w:r>
    </w:p>
    <w:p>
      <w:pPr>
        <w:pStyle w:val="BodyText"/>
        <w:spacing w:line="273" w:lineRule="auto" w:before="36"/>
        <w:ind w:left="678" w:right="125" w:hanging="420"/>
      </w:pPr>
      <w:r>
        <w:rPr/>
        <w:br w:type="column"/>
      </w:r>
      <w:r>
        <w:rPr/>
        <w:t>一、若被保险人于本合同生效之日（新增加的被保险人自贵单位申请生效之日， 下同</w:t>
      </w:r>
      <w:r>
        <w:rPr>
          <w:spacing w:val="-32"/>
        </w:rPr>
        <w:t>）</w:t>
      </w:r>
      <w:r>
        <w:rPr/>
        <w:t>起90</w:t>
      </w:r>
      <w:r>
        <w:rPr>
          <w:spacing w:val="-16"/>
        </w:rPr>
        <w:t>日内</w:t>
      </w:r>
      <w:r>
        <w:rPr/>
        <w:t>（含第90日</w:t>
      </w:r>
      <w:r>
        <w:rPr>
          <w:spacing w:val="-32"/>
        </w:rPr>
        <w:t>）</w:t>
      </w:r>
      <w:r>
        <w:rPr/>
        <w:t>因</w:t>
      </w:r>
      <w:r>
        <w:rPr>
          <w:b/>
        </w:rPr>
        <w:t>意外伤害</w:t>
      </w:r>
      <w:r>
        <w:rPr/>
        <w:t>以外的原因</w:t>
      </w:r>
      <w:r>
        <w:rPr>
          <w:b/>
        </w:rPr>
        <w:t>初次患本合同所列的重大疾病</w:t>
      </w:r>
      <w:r>
        <w:rPr>
          <w:spacing w:val="-10"/>
        </w:rPr>
        <w:t>，我们向贵单位给付重大疾病确诊当日该被保险人的个人账户价值余</w:t>
      </w:r>
      <w:r>
        <w:rPr>
          <w:spacing w:val="-15"/>
        </w:rPr>
        <w:t>额并无息退还所收取的风险保险费，同时本合同对该被保险人的保险责任终止。</w:t>
      </w:r>
    </w:p>
    <w:p>
      <w:pPr>
        <w:pStyle w:val="BodyText"/>
        <w:spacing w:line="273" w:lineRule="auto" w:before="8"/>
        <w:ind w:left="678" w:right="125" w:hanging="420"/>
      </w:pPr>
      <w:r>
        <w:rPr/>
        <w:t>二、若被保险人于本合同生效之日起至年满65周岁的保单周年日前因意外伤害， 或于本合同生效之日起90日后至年满65周岁的保单周年日前因意外伤害以</w:t>
      </w:r>
      <w:r>
        <w:rPr>
          <w:spacing w:val="-5"/>
        </w:rPr>
        <w:t>外的原因初次患本合同所列的重大疾病，我们按收到该被保险人重大疾病保</w:t>
      </w:r>
      <w:r>
        <w:rPr>
          <w:spacing w:val="-2"/>
        </w:rPr>
        <w:t>险金给付申请书当日的个人账户价值余额与保险金额之和给付首次重大疾</w:t>
      </w:r>
      <w:r>
        <w:rPr>
          <w:spacing w:val="-9"/>
        </w:rPr>
        <w:t>病保险金，本合同对该被保险人的保险责任继续有效，同时该被保险人的个人账户价值余额与保险金额均减少为零。</w:t>
      </w:r>
    </w:p>
    <w:p>
      <w:pPr>
        <w:spacing w:after="0" w:line="273" w:lineRule="auto"/>
        <w:sectPr>
          <w:type w:val="continuous"/>
          <w:pgSz w:w="11910" w:h="16840"/>
          <w:pgMar w:top="440" w:bottom="280" w:left="720" w:right="720"/>
          <w:cols w:num="2" w:equalWidth="0">
            <w:col w:w="2688" w:space="40"/>
            <w:col w:w="7742"/>
          </w:cols>
        </w:sectPr>
      </w:pPr>
    </w:p>
    <w:p>
      <w:pPr>
        <w:pStyle w:val="BodyText"/>
        <w:spacing w:before="4"/>
        <w:rPr>
          <w:sz w:val="15"/>
        </w:rPr>
      </w:pPr>
    </w:p>
    <w:p>
      <w:pPr>
        <w:spacing w:after="0"/>
        <w:rPr>
          <w:sz w:val="15"/>
        </w:rPr>
        <w:sectPr>
          <w:type w:val="continuous"/>
          <w:pgSz w:w="11910" w:h="16840"/>
          <w:pgMar w:top="440" w:bottom="280" w:left="720" w:right="720"/>
        </w:sectPr>
      </w:pPr>
    </w:p>
    <w:p>
      <w:pPr>
        <w:pStyle w:val="Heading2"/>
        <w:spacing w:line="182" w:lineRule="auto" w:before="49"/>
        <w:rPr>
          <w:rFonts w:ascii="Microsoft JhengHei" w:eastAsia="Microsoft JhengHei" w:hint="eastAsia"/>
        </w:rPr>
      </w:pPr>
      <w:r>
        <w:rPr>
          <w:rFonts w:ascii="Microsoft JhengHei" w:eastAsia="Microsoft JhengHei" w:hint="eastAsia"/>
        </w:rPr>
        <w:t>第二次重大疾病保险金</w:t>
      </w:r>
    </w:p>
    <w:p>
      <w:pPr>
        <w:pStyle w:val="BodyText"/>
        <w:spacing w:line="273" w:lineRule="auto" w:before="35"/>
        <w:ind w:left="258" w:right="130"/>
      </w:pPr>
      <w:r>
        <w:rPr/>
        <w:br w:type="column"/>
      </w:r>
      <w:r>
        <w:rPr/>
        <w:t>若同一被保险人已领取首次重大疾病保险金，且自我们收到首次重大疾病保险金给付申请书之日起满365天后至被保险人年满65周岁的保单周年日前，初次患首</w:t>
      </w:r>
    </w:p>
    <w:p>
      <w:pPr>
        <w:spacing w:after="0" w:line="273" w:lineRule="auto"/>
        <w:sectPr>
          <w:type w:val="continuous"/>
          <w:pgSz w:w="11910" w:h="16840"/>
          <w:pgMar w:top="440" w:bottom="280" w:left="720" w:right="720"/>
          <w:cols w:num="2" w:equalWidth="0">
            <w:col w:w="2688" w:space="40"/>
            <w:col w:w="7742"/>
          </w:cols>
        </w:sectPr>
      </w:pPr>
    </w:p>
    <w:p>
      <w:pPr>
        <w:pStyle w:val="BodyText"/>
        <w:spacing w:line="273" w:lineRule="auto" w:before="19"/>
        <w:ind w:left="2886" w:right="105"/>
      </w:pPr>
      <w:r>
        <w:rPr/>
        <w:t>次重大疾病所属组别以外其它两组中的任何一种重大疾病，我们按收到该被保险人首次重大疾病保险金给付申请书当日的保险金额给付第二次重大疾病保险金， 同时本合同对该被保险人的保险责任终止。</w:t>
      </w:r>
    </w:p>
    <w:p>
      <w:pPr>
        <w:pStyle w:val="BodyText"/>
        <w:spacing w:before="10"/>
        <w:rPr>
          <w:sz w:val="13"/>
        </w:rPr>
      </w:pPr>
    </w:p>
    <w:p>
      <w:pPr>
        <w:pStyle w:val="BodyText"/>
        <w:tabs>
          <w:tab w:pos="2886" w:val="left" w:leader="none"/>
        </w:tabs>
        <w:spacing w:line="223" w:lineRule="auto" w:before="0"/>
        <w:ind w:left="3306" w:right="105" w:hanging="2400"/>
      </w:pPr>
      <w:r>
        <w:rPr>
          <w:rFonts w:ascii="Microsoft JhengHei" w:eastAsia="Microsoft JhengHei" w:hint="eastAsia"/>
          <w:b/>
          <w:position w:val="-2"/>
          <w:sz w:val="24"/>
        </w:rPr>
        <w:t>身故保险金</w:t>
        <w:tab/>
      </w:r>
      <w:r>
        <w:rPr/>
        <w:t>一、若被保险人于本合同生效之日（新增加的被保险人自贵单位申请生效之日）</w:t>
      </w:r>
      <w:r>
        <w:rPr>
          <w:spacing w:val="-1"/>
        </w:rPr>
        <w:t>起90</w:t>
      </w:r>
      <w:r>
        <w:rPr/>
        <w:t>日</w:t>
      </w:r>
      <w:r>
        <w:rPr>
          <w:spacing w:val="-28"/>
        </w:rPr>
        <w:t>内</w:t>
      </w:r>
      <w:r>
        <w:rPr/>
        <w:t>（含第90日</w:t>
      </w:r>
      <w:r>
        <w:rPr>
          <w:spacing w:val="-29"/>
        </w:rPr>
        <w:t>）</w:t>
      </w:r>
      <w:r>
        <w:rPr/>
        <w:t>因意外伤害以外的原因导致身故</w:t>
      </w:r>
      <w:r>
        <w:rPr>
          <w:spacing w:val="-28"/>
        </w:rPr>
        <w:t>，</w:t>
      </w:r>
      <w:r>
        <w:rPr/>
        <w:t>我们向贵单位给付</w:t>
      </w:r>
    </w:p>
    <w:p>
      <w:pPr>
        <w:pStyle w:val="BodyText"/>
        <w:spacing w:line="273" w:lineRule="auto"/>
        <w:ind w:left="3306" w:right="105"/>
      </w:pPr>
      <w:r>
        <w:rPr/>
        <w:t>该被保险人身故当日的个人账户价值余额并无息退还所收取的风险保险费， 同时本合同对该被保险人的保险责任终止。</w:t>
      </w:r>
    </w:p>
    <w:p>
      <w:pPr>
        <w:pStyle w:val="BodyText"/>
        <w:spacing w:line="273" w:lineRule="auto" w:before="7"/>
        <w:ind w:left="3306" w:right="105" w:hanging="420"/>
      </w:pPr>
      <w:r>
        <w:rPr/>
        <w:t>二、若被保险人于本合同生效之日起至年满65周岁的保单周年日前因意外伤害， 或于本合同生效之日起90日后至年满65周岁的保单周年日前因意外伤害以</w:t>
      </w:r>
      <w:r>
        <w:rPr>
          <w:spacing w:val="-9"/>
        </w:rPr>
        <w:t>外的原因导致身故，我们按该被保险人身故当日的个人账户价值余额与保险金额之和给付身故保险金，同时本合同对该被保险人的保险责任终止。</w:t>
      </w:r>
    </w:p>
    <w:p>
      <w:pPr>
        <w:pStyle w:val="BodyText"/>
        <w:spacing w:line="273" w:lineRule="auto" w:before="7"/>
        <w:ind w:left="3306" w:right="187" w:hanging="420"/>
        <w:jc w:val="both"/>
      </w:pPr>
      <w:r>
        <w:rPr/>
        <w:t>三、若被保险人在年满65</w:t>
      </w:r>
      <w:r>
        <w:rPr>
          <w:spacing w:val="-7"/>
        </w:rPr>
        <w:t>周岁的保单周年日后身故，我们按该被保险人身故当日</w:t>
      </w:r>
      <w:r>
        <w:rPr>
          <w:spacing w:val="-2"/>
        </w:rPr>
        <w:t>的个人账户价值给付身故保险金，同时本合同对该被保险人的保险责任终止。</w:t>
      </w:r>
    </w:p>
    <w:p>
      <w:pPr>
        <w:pStyle w:val="BodyText"/>
        <w:spacing w:before="0"/>
        <w:rPr>
          <w:sz w:val="17"/>
        </w:rPr>
      </w:pPr>
    </w:p>
    <w:p>
      <w:pPr>
        <w:pStyle w:val="Heading3"/>
        <w:numPr>
          <w:ilvl w:val="1"/>
          <w:numId w:val="8"/>
        </w:numPr>
        <w:tabs>
          <w:tab w:pos="906" w:val="left" w:leader="none"/>
          <w:tab w:pos="907" w:val="left" w:leader="none"/>
          <w:tab w:pos="2886" w:val="left" w:leader="none"/>
        </w:tabs>
        <w:spacing w:line="240" w:lineRule="auto" w:before="0" w:after="0"/>
        <w:ind w:left="906" w:right="0" w:hanging="797"/>
        <w:jc w:val="left"/>
        <w:rPr>
          <w:sz w:val="21"/>
        </w:rPr>
      </w:pPr>
      <w:r>
        <w:rPr>
          <w:b/>
          <w:i w:val="0"/>
          <w:sz w:val="21"/>
        </w:rPr>
        <w:t>责任免除</w:t>
        <w:tab/>
      </w:r>
      <w:r>
        <w:rPr>
          <w:w w:val="95"/>
        </w:rPr>
        <w:t>一、因下列情形之一导致被保险人身故或患重大疾病的</w:t>
      </w:r>
      <w:r>
        <w:rPr>
          <w:spacing w:val="-82"/>
          <w:w w:val="95"/>
        </w:rPr>
        <w:t>，</w:t>
      </w:r>
      <w:r>
        <w:rPr>
          <w:w w:val="95"/>
        </w:rPr>
        <w:t>我们不承担给付保险金</w:t>
      </w:r>
    </w:p>
    <w:p>
      <w:pPr>
        <w:spacing w:before="23"/>
        <w:ind w:left="3306" w:right="0" w:firstLine="0"/>
        <w:jc w:val="left"/>
        <w:rPr>
          <w:rFonts w:ascii="黑体" w:eastAsia="黑体" w:hint="eastAsia"/>
          <w:i/>
          <w:sz w:val="22"/>
        </w:rPr>
      </w:pPr>
      <w:r>
        <w:rPr>
          <w:rFonts w:ascii="黑体" w:eastAsia="黑体" w:hint="eastAsia"/>
          <w:i/>
          <w:w w:val="95"/>
          <w:sz w:val="22"/>
        </w:rPr>
        <w:t>的责任：</w:t>
      </w:r>
    </w:p>
    <w:p>
      <w:pPr>
        <w:spacing w:before="23"/>
        <w:ind w:left="3096" w:right="0" w:firstLine="0"/>
        <w:jc w:val="left"/>
        <w:rPr>
          <w:rFonts w:ascii="黑体" w:eastAsia="黑体" w:hint="eastAsia"/>
          <w:i/>
          <w:sz w:val="22"/>
        </w:rPr>
      </w:pPr>
      <w:r>
        <w:rPr>
          <w:rFonts w:ascii="黑体" w:eastAsia="黑体" w:hint="eastAsia"/>
          <w:i/>
          <w:w w:val="95"/>
          <w:sz w:val="22"/>
        </w:rPr>
        <w:t>（一）投保人对被保险人的故意杀害、故意伤害；</w:t>
      </w:r>
    </w:p>
    <w:p>
      <w:pPr>
        <w:spacing w:before="23"/>
        <w:ind w:left="3096" w:right="0" w:firstLine="0"/>
        <w:jc w:val="left"/>
        <w:rPr>
          <w:rFonts w:ascii="黑体" w:eastAsia="黑体" w:hint="eastAsia"/>
          <w:i/>
          <w:sz w:val="22"/>
        </w:rPr>
      </w:pPr>
      <w:r>
        <w:rPr>
          <w:rFonts w:ascii="黑体" w:eastAsia="黑体" w:hint="eastAsia"/>
          <w:i/>
          <w:w w:val="95"/>
          <w:sz w:val="22"/>
        </w:rPr>
        <w:t>（二）被保险人故意犯罪或抗拒依法采取的刑事强制措施；</w:t>
      </w:r>
    </w:p>
    <w:p>
      <w:pPr>
        <w:spacing w:line="259" w:lineRule="auto" w:before="23"/>
        <w:ind w:left="3726" w:right="187" w:hanging="630"/>
        <w:jc w:val="left"/>
        <w:rPr>
          <w:rFonts w:ascii="黑体" w:eastAsia="黑体" w:hint="eastAsia"/>
          <w:i/>
          <w:sz w:val="22"/>
        </w:rPr>
      </w:pPr>
      <w:r>
        <w:rPr>
          <w:rFonts w:ascii="黑体" w:eastAsia="黑体" w:hint="eastAsia"/>
          <w:i/>
          <w:w w:val="95"/>
          <w:sz w:val="22"/>
        </w:rPr>
        <w:t>（三</w:t>
      </w:r>
      <w:r>
        <w:rPr>
          <w:rFonts w:ascii="黑体" w:eastAsia="黑体" w:hint="eastAsia"/>
          <w:i/>
          <w:spacing w:val="-41"/>
          <w:w w:val="95"/>
          <w:sz w:val="22"/>
        </w:rPr>
        <w:t>）</w:t>
      </w:r>
      <w:r>
        <w:rPr>
          <w:rFonts w:ascii="黑体" w:eastAsia="黑体" w:hint="eastAsia"/>
          <w:i/>
          <w:spacing w:val="-3"/>
          <w:w w:val="95"/>
          <w:sz w:val="22"/>
        </w:rPr>
        <w:t>被保险人自本合同成立或复效之日起 </w:t>
      </w:r>
      <w:r>
        <w:rPr>
          <w:rFonts w:ascii="黑体" w:eastAsia="黑体" w:hint="eastAsia"/>
          <w:i/>
          <w:w w:val="95"/>
          <w:sz w:val="22"/>
        </w:rPr>
        <w:t>2</w:t>
      </w:r>
      <w:r>
        <w:rPr>
          <w:rFonts w:ascii="黑体" w:eastAsia="黑体" w:hint="eastAsia"/>
          <w:i/>
          <w:spacing w:val="-9"/>
          <w:w w:val="95"/>
          <w:sz w:val="22"/>
        </w:rPr>
        <w:t> 年内自杀，但被保险人自杀时为无民事行为能力人的除外；</w:t>
      </w:r>
    </w:p>
    <w:p>
      <w:pPr>
        <w:spacing w:before="6"/>
        <w:ind w:left="3096" w:right="0" w:firstLine="0"/>
        <w:jc w:val="left"/>
        <w:rPr>
          <w:rFonts w:ascii="黑体" w:eastAsia="黑体" w:hint="eastAsia"/>
          <w:i/>
          <w:sz w:val="22"/>
        </w:rPr>
      </w:pPr>
      <w:r>
        <w:rPr>
          <w:rFonts w:ascii="黑体" w:eastAsia="黑体" w:hint="eastAsia"/>
          <w:i/>
          <w:w w:val="95"/>
          <w:sz w:val="22"/>
        </w:rPr>
        <w:t>（四）被保险人故意自伤；</w:t>
      </w:r>
    </w:p>
    <w:p>
      <w:pPr>
        <w:spacing w:before="24"/>
        <w:ind w:left="3096" w:right="0" w:firstLine="0"/>
        <w:jc w:val="left"/>
        <w:rPr>
          <w:rFonts w:ascii="黑体" w:eastAsia="黑体" w:hint="eastAsia"/>
          <w:i/>
          <w:sz w:val="22"/>
        </w:rPr>
      </w:pPr>
      <w:r>
        <w:rPr>
          <w:rFonts w:ascii="黑体" w:eastAsia="黑体" w:hint="eastAsia"/>
          <w:i/>
          <w:w w:val="95"/>
          <w:sz w:val="22"/>
        </w:rPr>
        <w:t>（五）被保险人主动吸食或注射</w:t>
      </w:r>
      <w:r>
        <w:rPr>
          <w:rFonts w:ascii="黑体" w:eastAsia="黑体" w:hint="eastAsia"/>
          <w:b/>
          <w:i/>
          <w:w w:val="95"/>
          <w:sz w:val="22"/>
        </w:rPr>
        <w:t>毒品</w:t>
      </w:r>
      <w:r>
        <w:rPr>
          <w:rFonts w:ascii="黑体" w:eastAsia="黑体" w:hint="eastAsia"/>
          <w:i/>
          <w:w w:val="95"/>
          <w:sz w:val="22"/>
        </w:rPr>
        <w:t>；</w:t>
      </w:r>
    </w:p>
    <w:p>
      <w:pPr>
        <w:spacing w:line="259" w:lineRule="auto" w:before="24"/>
        <w:ind w:left="3723" w:right="187" w:hanging="627"/>
        <w:jc w:val="left"/>
        <w:rPr>
          <w:rFonts w:ascii="黑体" w:eastAsia="黑体" w:hint="eastAsia"/>
          <w:i/>
          <w:sz w:val="22"/>
        </w:rPr>
      </w:pPr>
      <w:r>
        <w:rPr>
          <w:rFonts w:ascii="黑体" w:eastAsia="黑体" w:hint="eastAsia"/>
          <w:i/>
          <w:w w:val="95"/>
          <w:sz w:val="22"/>
        </w:rPr>
        <w:t>（六</w:t>
      </w:r>
      <w:r>
        <w:rPr>
          <w:rFonts w:ascii="黑体" w:eastAsia="黑体" w:hint="eastAsia"/>
          <w:i/>
          <w:spacing w:val="-51"/>
          <w:w w:val="95"/>
          <w:sz w:val="22"/>
        </w:rPr>
        <w:t>）</w:t>
      </w:r>
      <w:r>
        <w:rPr>
          <w:rFonts w:ascii="黑体" w:eastAsia="黑体" w:hint="eastAsia"/>
          <w:i/>
          <w:w w:val="95"/>
          <w:sz w:val="22"/>
        </w:rPr>
        <w:t>被保险人</w:t>
      </w:r>
      <w:r>
        <w:rPr>
          <w:rFonts w:ascii="黑体" w:eastAsia="黑体" w:hint="eastAsia"/>
          <w:b/>
          <w:i/>
          <w:w w:val="95"/>
          <w:sz w:val="22"/>
        </w:rPr>
        <w:t>酒后驾驶</w:t>
      </w:r>
      <w:r>
        <w:rPr>
          <w:rFonts w:ascii="黑体" w:eastAsia="黑体" w:hint="eastAsia"/>
          <w:i/>
          <w:spacing w:val="-52"/>
          <w:w w:val="95"/>
          <w:sz w:val="22"/>
        </w:rPr>
        <w:t>、</w:t>
      </w:r>
      <w:r>
        <w:rPr>
          <w:rFonts w:ascii="黑体" w:eastAsia="黑体" w:hint="eastAsia"/>
          <w:b/>
          <w:i/>
          <w:w w:val="95"/>
          <w:sz w:val="22"/>
        </w:rPr>
        <w:t>无合法有效驾驶证驾驶</w:t>
      </w:r>
      <w:r>
        <w:rPr>
          <w:rFonts w:ascii="黑体" w:eastAsia="黑体" w:hint="eastAsia"/>
          <w:i/>
          <w:w w:val="95"/>
          <w:sz w:val="22"/>
        </w:rPr>
        <w:t>或</w:t>
      </w:r>
      <w:r>
        <w:rPr>
          <w:rFonts w:ascii="黑体" w:eastAsia="黑体" w:hint="eastAsia"/>
          <w:b/>
          <w:i/>
          <w:w w:val="95"/>
          <w:sz w:val="22"/>
        </w:rPr>
        <w:t>驾驶无有效行驶证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26" w:right="201" w:hanging="630"/>
        <w:jc w:val="left"/>
        <w:rPr>
          <w:rFonts w:ascii="黑体" w:eastAsia="黑体" w:hint="eastAsia"/>
          <w:i/>
          <w:sz w:val="22"/>
        </w:rPr>
      </w:pPr>
      <w:r>
        <w:rPr>
          <w:rFonts w:ascii="黑体" w:eastAsia="黑体" w:hint="eastAsia"/>
          <w:i/>
          <w:w w:val="95"/>
          <w:sz w:val="22"/>
        </w:rPr>
        <w:t>（七）被保险人</w:t>
      </w:r>
      <w:r>
        <w:rPr>
          <w:rFonts w:ascii="黑体" w:eastAsia="黑体" w:hint="eastAsia"/>
          <w:b/>
          <w:i/>
          <w:w w:val="95"/>
          <w:sz w:val="22"/>
        </w:rPr>
        <w:t>感染艾滋病病毒或患艾滋病</w:t>
      </w:r>
      <w:r>
        <w:rPr>
          <w:rFonts w:ascii="黑体" w:eastAsia="黑体" w:hint="eastAsia"/>
          <w:i/>
          <w:w w:val="95"/>
          <w:sz w:val="22"/>
        </w:rPr>
        <w:t>（</w:t>
      </w:r>
      <w:r>
        <w:rPr>
          <w:rFonts w:ascii="黑体" w:eastAsia="黑体" w:hint="eastAsia"/>
          <w:i/>
          <w:spacing w:val="-6"/>
          <w:w w:val="95"/>
          <w:sz w:val="22"/>
        </w:rPr>
        <w:t>本合同所列第 </w:t>
      </w:r>
      <w:r>
        <w:rPr>
          <w:rFonts w:ascii="黑体" w:eastAsia="黑体" w:hint="eastAsia"/>
          <w:i/>
          <w:w w:val="95"/>
          <w:sz w:val="22"/>
        </w:rPr>
        <w:t>33、34</w:t>
      </w:r>
      <w:r>
        <w:rPr>
          <w:rFonts w:ascii="黑体" w:eastAsia="黑体" w:hint="eastAsia"/>
          <w:i/>
          <w:spacing w:val="-9"/>
          <w:w w:val="95"/>
          <w:sz w:val="22"/>
        </w:rPr>
        <w:t> 种重大疾</w:t>
      </w:r>
      <w:r>
        <w:rPr>
          <w:rFonts w:ascii="黑体" w:eastAsia="黑体" w:hint="eastAsia"/>
          <w:i/>
          <w:spacing w:val="-9"/>
          <w:w w:val="95"/>
          <w:sz w:val="22"/>
        </w:rPr>
        <w:t>病除外</w:t>
      </w:r>
      <w:r>
        <w:rPr>
          <w:rFonts w:ascii="黑体" w:eastAsia="黑体" w:hint="eastAsia"/>
          <w:i/>
          <w:spacing w:val="-105"/>
          <w:w w:val="95"/>
          <w:sz w:val="22"/>
        </w:rPr>
        <w:t>）</w:t>
      </w:r>
      <w:r>
        <w:rPr>
          <w:rFonts w:ascii="黑体" w:eastAsia="黑体" w:hint="eastAsia"/>
          <w:i/>
          <w:w w:val="95"/>
          <w:sz w:val="22"/>
        </w:rPr>
        <w:t>；</w:t>
      </w:r>
    </w:p>
    <w:p>
      <w:pPr>
        <w:pStyle w:val="Heading3"/>
        <w:spacing w:before="6"/>
      </w:pPr>
      <w:r>
        <w:rPr>
          <w:w w:val="95"/>
        </w:rPr>
        <w:t>（八）战争、军事冲突、暴乱或武装叛乱；</w:t>
      </w:r>
    </w:p>
    <w:p>
      <w:pPr>
        <w:spacing w:before="24"/>
        <w:ind w:left="3096" w:right="0" w:firstLine="0"/>
        <w:jc w:val="left"/>
        <w:rPr>
          <w:rFonts w:ascii="黑体" w:eastAsia="黑体" w:hint="eastAsia"/>
          <w:i/>
          <w:sz w:val="22"/>
        </w:rPr>
      </w:pPr>
      <w:r>
        <w:rPr>
          <w:rFonts w:ascii="黑体" w:eastAsia="黑体" w:hint="eastAsia"/>
          <w:i/>
          <w:w w:val="95"/>
          <w:sz w:val="22"/>
        </w:rPr>
        <w:t>（九）核爆炸、核辐射或核污染；</w:t>
      </w:r>
    </w:p>
    <w:p>
      <w:pPr>
        <w:spacing w:before="24"/>
        <w:ind w:left="3096" w:right="0" w:firstLine="0"/>
        <w:jc w:val="left"/>
        <w:rPr>
          <w:rFonts w:ascii="黑体" w:eastAsia="黑体" w:hint="eastAsia"/>
          <w:i/>
          <w:sz w:val="22"/>
        </w:rPr>
      </w:pPr>
      <w:r>
        <w:rPr>
          <w:rFonts w:ascii="黑体" w:eastAsia="黑体" w:hint="eastAsia"/>
          <w:i/>
          <w:w w:val="95"/>
          <w:sz w:val="22"/>
        </w:rPr>
        <w:t>（十）</w:t>
      </w:r>
      <w:r>
        <w:rPr>
          <w:rFonts w:ascii="黑体" w:eastAsia="黑体" w:hint="eastAsia"/>
          <w:b/>
          <w:i/>
          <w:w w:val="95"/>
          <w:sz w:val="22"/>
        </w:rPr>
        <w:t>遗传性疾病、先天性畸形、变形或染色体异常</w:t>
      </w:r>
      <w:r>
        <w:rPr>
          <w:rFonts w:ascii="黑体" w:eastAsia="黑体" w:hint="eastAsia"/>
          <w:i/>
          <w:w w:val="95"/>
          <w:sz w:val="22"/>
        </w:rPr>
        <w:t>。</w:t>
      </w:r>
    </w:p>
    <w:p>
      <w:pPr>
        <w:pStyle w:val="Heading3"/>
        <w:spacing w:line="259" w:lineRule="auto" w:before="24"/>
        <w:ind w:left="3306" w:right="187" w:hanging="420"/>
        <w:jc w:val="both"/>
      </w:pPr>
      <w:r>
        <w:rPr>
          <w:w w:val="95"/>
        </w:rPr>
        <w:t>二、发Th</w:t>
      </w:r>
      <w:r>
        <w:rPr>
          <w:spacing w:val="-10"/>
          <w:w w:val="95"/>
        </w:rPr>
        <w:t>上述第</w:t>
      </w:r>
      <w:r>
        <w:rPr>
          <w:w w:val="95"/>
        </w:rPr>
        <w:t>（一</w:t>
      </w:r>
      <w:r>
        <w:rPr>
          <w:spacing w:val="-28"/>
          <w:w w:val="95"/>
        </w:rPr>
        <w:t>）</w:t>
      </w:r>
      <w:r>
        <w:rPr>
          <w:spacing w:val="-3"/>
          <w:w w:val="95"/>
        </w:rPr>
        <w:t>种情形导致被保险人身故的，本合同对该被保险人的责任</w:t>
      </w:r>
      <w:r>
        <w:rPr>
          <w:spacing w:val="-9"/>
          <w:w w:val="95"/>
        </w:rPr>
        <w:t>终止，我们向保险金受益人退还该被保险人身故当日的账户价值；发</w:t>
      </w:r>
      <w:r>
        <w:rPr>
          <w:w w:val="95"/>
        </w:rPr>
        <w:t>Th上述</w:t>
      </w:r>
      <w:r>
        <w:rPr>
          <w:spacing w:val="-5"/>
          <w:w w:val="95"/>
        </w:rPr>
        <w:t>其他情形导致被保险人身故的，本合同对该被保险人的责任终止，我们向贵单位退还该被保险人身故当日的账户价值。</w:t>
      </w:r>
    </w:p>
    <w:p>
      <w:pPr>
        <w:spacing w:line="259" w:lineRule="auto" w:before="6"/>
        <w:ind w:left="3306" w:right="187" w:hanging="420"/>
        <w:jc w:val="both"/>
        <w:rPr>
          <w:rFonts w:ascii="黑体" w:eastAsia="黑体" w:hint="eastAsia"/>
          <w:i/>
          <w:sz w:val="22"/>
        </w:rPr>
      </w:pPr>
      <w:r>
        <w:rPr>
          <w:rFonts w:ascii="黑体" w:eastAsia="黑体" w:hint="eastAsia"/>
          <w:w w:val="95"/>
          <w:sz w:val="21"/>
        </w:rPr>
        <w:t>三、</w:t>
      </w:r>
      <w:r>
        <w:rPr>
          <w:rFonts w:ascii="黑体" w:eastAsia="黑体" w:hint="eastAsia"/>
          <w:i/>
          <w:w w:val="95"/>
          <w:sz w:val="22"/>
        </w:rPr>
        <w:t>发Th</w:t>
      </w:r>
      <w:r>
        <w:rPr>
          <w:rFonts w:ascii="黑体" w:eastAsia="黑体" w:hint="eastAsia"/>
          <w:i/>
          <w:spacing w:val="-10"/>
          <w:w w:val="95"/>
          <w:sz w:val="22"/>
        </w:rPr>
        <w:t>上述第</w:t>
      </w:r>
      <w:r>
        <w:rPr>
          <w:rFonts w:ascii="黑体" w:eastAsia="黑体" w:hint="eastAsia"/>
          <w:i/>
          <w:w w:val="95"/>
          <w:sz w:val="22"/>
        </w:rPr>
        <w:t>（一</w:t>
      </w:r>
      <w:r>
        <w:rPr>
          <w:rFonts w:ascii="黑体" w:eastAsia="黑体" w:hint="eastAsia"/>
          <w:i/>
          <w:spacing w:val="-28"/>
          <w:w w:val="95"/>
          <w:sz w:val="22"/>
        </w:rPr>
        <w:t>）</w:t>
      </w:r>
      <w:r>
        <w:rPr>
          <w:rFonts w:ascii="黑体" w:eastAsia="黑体" w:hint="eastAsia"/>
          <w:i/>
          <w:spacing w:val="-2"/>
          <w:w w:val="95"/>
          <w:sz w:val="22"/>
        </w:rPr>
        <w:t>种情形导致被保险人患重大疾病的，本合同对该被保险人</w:t>
      </w:r>
      <w:r>
        <w:rPr>
          <w:rFonts w:ascii="黑体" w:eastAsia="黑体" w:hint="eastAsia"/>
          <w:i/>
          <w:spacing w:val="-10"/>
          <w:w w:val="95"/>
          <w:sz w:val="22"/>
        </w:rPr>
        <w:t>的责任终止，我们向保险金受益人退还该被保险人重大疾病确诊日的账户价</w:t>
      </w:r>
      <w:r>
        <w:rPr>
          <w:rFonts w:ascii="黑体" w:eastAsia="黑体" w:hint="eastAsia"/>
          <w:i/>
          <w:spacing w:val="-18"/>
          <w:w w:val="95"/>
          <w:sz w:val="22"/>
        </w:rPr>
        <w:t>值。发</w:t>
      </w:r>
      <w:r>
        <w:rPr>
          <w:rFonts w:ascii="黑体" w:eastAsia="黑体" w:hint="eastAsia"/>
          <w:i/>
          <w:w w:val="95"/>
          <w:sz w:val="22"/>
        </w:rPr>
        <w:t>Th</w:t>
      </w:r>
      <w:r>
        <w:rPr>
          <w:rFonts w:ascii="黑体" w:eastAsia="黑体" w:hint="eastAsia"/>
          <w:i/>
          <w:spacing w:val="-3"/>
          <w:w w:val="95"/>
          <w:sz w:val="22"/>
        </w:rPr>
        <w:t>上述其他情形导致被保险人患重大疾病的，本合同对该被保险人的责任终止，我们向贵单位退还该被保险人重大疾病确诊日的账户价值。</w:t>
      </w:r>
    </w:p>
    <w:p>
      <w:pPr>
        <w:pStyle w:val="BodyText"/>
        <w:spacing w:before="2"/>
        <w:rPr>
          <w:rFonts w:ascii="黑体"/>
          <w:i/>
          <w:sz w:val="25"/>
        </w:rPr>
      </w:pPr>
    </w:p>
    <w:p>
      <w:pPr>
        <w:pStyle w:val="ListParagraph"/>
        <w:numPr>
          <w:ilvl w:val="1"/>
          <w:numId w:val="8"/>
        </w:numPr>
        <w:tabs>
          <w:tab w:pos="906" w:val="left" w:leader="none"/>
          <w:tab w:pos="907" w:val="left" w:leader="none"/>
          <w:tab w:pos="2886" w:val="left" w:leader="none"/>
        </w:tabs>
        <w:spacing w:line="273" w:lineRule="auto" w:before="0" w:after="0"/>
        <w:ind w:left="2886" w:right="315" w:hanging="2777"/>
        <w:jc w:val="left"/>
        <w:rPr>
          <w:sz w:val="21"/>
        </w:rPr>
      </w:pPr>
      <w:r>
        <w:rPr>
          <w:b/>
          <w:sz w:val="21"/>
        </w:rPr>
        <w:t>保险金额</w:t>
        <w:tab/>
      </w:r>
      <w:r>
        <w:rPr>
          <w:sz w:val="21"/>
        </w:rPr>
        <w:t>本合同被保险人的保险金额为该被保险人在本合同生效日或保单周年日的个人账户价值余额。若该金额发生变更，则以变更后的金额为保险金额。</w:t>
      </w:r>
    </w:p>
    <w:p>
      <w:pPr>
        <w:pStyle w:val="BodyText"/>
        <w:spacing w:before="8"/>
        <w:rPr>
          <w:sz w:val="16"/>
        </w:rPr>
      </w:pPr>
    </w:p>
    <w:p>
      <w:pPr>
        <w:spacing w:after="0"/>
        <w:rPr>
          <w:sz w:val="16"/>
        </w:rPr>
        <w:sectPr>
          <w:pgSz w:w="11910" w:h="16840"/>
          <w:pgMar w:header="0" w:footer="677" w:top="1100" w:bottom="860" w:left="820" w:right="740"/>
        </w:sectPr>
      </w:pPr>
    </w:p>
    <w:p>
      <w:pPr>
        <w:pStyle w:val="Heading4"/>
        <w:numPr>
          <w:ilvl w:val="1"/>
          <w:numId w:val="8"/>
        </w:numPr>
        <w:tabs>
          <w:tab w:pos="906" w:val="left" w:leader="none"/>
          <w:tab w:pos="908" w:val="left" w:leader="none"/>
        </w:tabs>
        <w:spacing w:line="240" w:lineRule="auto" w:before="36" w:after="0"/>
        <w:ind w:left="907" w:right="0" w:hanging="798"/>
        <w:jc w:val="left"/>
      </w:pPr>
      <w:r>
        <w:rPr>
          <w:w w:val="95"/>
        </w:rPr>
        <w:t>未成年人身故保险</w:t>
      </w:r>
    </w:p>
    <w:p>
      <w:pPr>
        <w:spacing w:before="37"/>
        <w:ind w:left="888" w:right="1032" w:firstLine="0"/>
        <w:jc w:val="center"/>
        <w:rPr>
          <w:b/>
          <w:sz w:val="21"/>
        </w:rPr>
      </w:pPr>
      <w:r>
        <w:rPr>
          <w:b/>
          <w:sz w:val="21"/>
        </w:rPr>
        <w:t>金限制</w:t>
      </w:r>
    </w:p>
    <w:p>
      <w:pPr>
        <w:pStyle w:val="BodyText"/>
        <w:spacing w:line="273" w:lineRule="auto" w:before="36"/>
        <w:ind w:left="109" w:right="187"/>
        <w:jc w:val="both"/>
      </w:pPr>
      <w:r>
        <w:rPr/>
        <w:br w:type="column"/>
      </w:r>
      <w:r>
        <w:rPr>
          <w:spacing w:val="-6"/>
        </w:rPr>
        <w:t>为未成年子女投保的人身保险，因被保险人身故给付的保险金总和不得超过国务</w:t>
      </w:r>
      <w:r>
        <w:rPr>
          <w:spacing w:val="-12"/>
        </w:rPr>
        <w:t>院保险监督管理机构规定的限额，身故给付的保险金额总和约定也不得超过前述限额。</w:t>
      </w:r>
    </w:p>
    <w:p>
      <w:pPr>
        <w:spacing w:after="0" w:line="273" w:lineRule="auto"/>
        <w:jc w:val="both"/>
        <w:sectPr>
          <w:type w:val="continuous"/>
          <w:pgSz w:w="11910" w:h="16840"/>
          <w:pgMar w:top="440" w:bottom="280" w:left="820" w:right="740"/>
          <w:cols w:num="2" w:equalWidth="0">
            <w:col w:w="2594" w:space="183"/>
            <w:col w:w="7573"/>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952"/>
        <w:gridCol w:w="7643"/>
      </w:tblGrid>
      <w:tr>
        <w:trPr>
          <w:trHeight w:val="1112" w:hRule="atLeast"/>
        </w:trPr>
        <w:tc>
          <w:tcPr>
            <w:tcW w:w="665" w:type="dxa"/>
            <w:tcBorders>
              <w:bottom w:val="single" w:sz="8" w:space="0" w:color="000000"/>
            </w:tcBorders>
          </w:tcPr>
          <w:p>
            <w:pPr>
              <w:pStyle w:val="TableParagraph"/>
              <w:spacing w:line="210" w:lineRule="exact"/>
              <w:ind w:left="107"/>
              <w:rPr>
                <w:b/>
                <w:sz w:val="21"/>
              </w:rPr>
            </w:pPr>
            <w:r>
              <w:rPr>
                <w:b/>
                <w:sz w:val="21"/>
              </w:rPr>
              <w:t>2.5</w:t>
            </w:r>
          </w:p>
          <w:p>
            <w:pPr>
              <w:pStyle w:val="TableParagraph"/>
              <w:spacing w:before="162"/>
              <w:ind w:left="219"/>
              <w:rPr>
                <w:rFonts w:ascii="Yu Gothic"/>
                <w:b/>
                <w:sz w:val="40"/>
              </w:rPr>
            </w:pPr>
            <w:r>
              <w:rPr>
                <w:rFonts w:ascii="Yu Gothic"/>
                <w:b/>
                <w:w w:val="116"/>
                <w:sz w:val="40"/>
              </w:rPr>
              <w:t>O</w:t>
            </w:r>
          </w:p>
        </w:tc>
        <w:tc>
          <w:tcPr>
            <w:tcW w:w="1952" w:type="dxa"/>
            <w:tcBorders>
              <w:bottom w:val="single" w:sz="8" w:space="0" w:color="000000"/>
            </w:tcBorders>
          </w:tcPr>
          <w:p>
            <w:pPr>
              <w:pStyle w:val="TableParagraph"/>
              <w:spacing w:line="210" w:lineRule="exact"/>
              <w:ind w:left="239"/>
              <w:rPr>
                <w:b/>
                <w:sz w:val="21"/>
              </w:rPr>
            </w:pPr>
            <w:r>
              <w:rPr>
                <w:b/>
                <w:sz w:val="21"/>
              </w:rPr>
              <w:t>保险期间</w:t>
            </w:r>
          </w:p>
          <w:p>
            <w:pPr>
              <w:pStyle w:val="TableParagraph"/>
              <w:rPr>
                <w:sz w:val="20"/>
              </w:rPr>
            </w:pPr>
          </w:p>
          <w:p>
            <w:pPr>
              <w:pStyle w:val="TableParagraph"/>
              <w:spacing w:before="134"/>
              <w:ind w:left="239"/>
              <w:rPr>
                <w:b/>
                <w:sz w:val="24"/>
              </w:rPr>
            </w:pPr>
            <w:r>
              <w:rPr>
                <w:b/>
                <w:w w:val="95"/>
                <w:sz w:val="24"/>
              </w:rPr>
              <w:t>保险金的申请</w:t>
            </w:r>
          </w:p>
        </w:tc>
        <w:tc>
          <w:tcPr>
            <w:tcW w:w="7643" w:type="dxa"/>
            <w:tcBorders>
              <w:bottom w:val="single" w:sz="8" w:space="0" w:color="000000"/>
            </w:tcBorders>
          </w:tcPr>
          <w:p>
            <w:pPr>
              <w:pStyle w:val="TableParagraph"/>
              <w:spacing w:line="210" w:lineRule="exact"/>
              <w:ind w:left="267"/>
              <w:rPr>
                <w:sz w:val="21"/>
              </w:rPr>
            </w:pPr>
            <w:r>
              <w:rPr>
                <w:sz w:val="21"/>
              </w:rPr>
              <w:t>本合同的保险期间为终身，自本合同生效日零时起算。</w:t>
            </w:r>
          </w:p>
        </w:tc>
      </w:tr>
      <w:tr>
        <w:trPr>
          <w:trHeight w:val="518" w:hRule="atLeast"/>
        </w:trPr>
        <w:tc>
          <w:tcPr>
            <w:tcW w:w="665" w:type="dxa"/>
            <w:tcBorders>
              <w:top w:val="single" w:sz="8" w:space="0" w:color="000000"/>
            </w:tcBorders>
          </w:tcPr>
          <w:p>
            <w:pPr>
              <w:pStyle w:val="TableParagraph"/>
              <w:spacing w:before="9"/>
              <w:rPr>
                <w:sz w:val="14"/>
              </w:rPr>
            </w:pPr>
          </w:p>
          <w:p>
            <w:pPr>
              <w:pStyle w:val="TableParagraph"/>
              <w:ind w:left="107"/>
              <w:rPr>
                <w:b/>
                <w:sz w:val="21"/>
              </w:rPr>
            </w:pPr>
            <w:r>
              <w:rPr>
                <w:b/>
                <w:sz w:val="21"/>
              </w:rPr>
              <w:t>3.1</w:t>
            </w:r>
          </w:p>
        </w:tc>
        <w:tc>
          <w:tcPr>
            <w:tcW w:w="1952" w:type="dxa"/>
            <w:tcBorders>
              <w:top w:val="single" w:sz="8" w:space="0" w:color="000000"/>
            </w:tcBorders>
          </w:tcPr>
          <w:p>
            <w:pPr>
              <w:pStyle w:val="TableParagraph"/>
              <w:spacing w:before="9"/>
              <w:rPr>
                <w:sz w:val="14"/>
              </w:rPr>
            </w:pPr>
          </w:p>
          <w:p>
            <w:pPr>
              <w:pStyle w:val="TableParagraph"/>
              <w:ind w:left="239"/>
              <w:rPr>
                <w:b/>
                <w:sz w:val="21"/>
              </w:rPr>
            </w:pPr>
            <w:r>
              <w:rPr>
                <w:b/>
                <w:w w:val="95"/>
                <w:sz w:val="21"/>
              </w:rPr>
              <w:t>受益人</w:t>
            </w:r>
          </w:p>
        </w:tc>
        <w:tc>
          <w:tcPr>
            <w:tcW w:w="7643" w:type="dxa"/>
            <w:tcBorders>
              <w:top w:val="single" w:sz="8" w:space="0" w:color="000000"/>
            </w:tcBorders>
          </w:tcPr>
          <w:p>
            <w:pPr>
              <w:pStyle w:val="TableParagraph"/>
              <w:spacing w:before="9"/>
              <w:rPr>
                <w:sz w:val="14"/>
              </w:rPr>
            </w:pPr>
          </w:p>
          <w:p>
            <w:pPr>
              <w:pStyle w:val="TableParagraph"/>
              <w:ind w:right="104"/>
              <w:jc w:val="right"/>
              <w:rPr>
                <w:sz w:val="21"/>
              </w:rPr>
            </w:pPr>
            <w:r>
              <w:rPr>
                <w:sz w:val="21"/>
              </w:rPr>
              <w:t>一、贵单位或被保险人可以指定一人或多人为身故保险金受益人。若贵单位与被</w:t>
            </w:r>
          </w:p>
        </w:tc>
      </w:tr>
      <w:tr>
        <w:trPr>
          <w:trHeight w:val="311" w:hRule="atLeast"/>
        </w:trPr>
        <w:tc>
          <w:tcPr>
            <w:tcW w:w="665" w:type="dxa"/>
          </w:tcPr>
          <w:p>
            <w:pPr>
              <w:pStyle w:val="TableParagraph"/>
              <w:rPr>
                <w:rFonts w:ascii="Times New Roman"/>
                <w:sz w:val="20"/>
              </w:rPr>
            </w:pPr>
          </w:p>
        </w:tc>
        <w:tc>
          <w:tcPr>
            <w:tcW w:w="1952" w:type="dxa"/>
          </w:tcPr>
          <w:p>
            <w:pPr>
              <w:pStyle w:val="TableParagraph"/>
              <w:rPr>
                <w:rFonts w:ascii="Times New Roman"/>
                <w:sz w:val="20"/>
              </w:rPr>
            </w:pPr>
          </w:p>
        </w:tc>
        <w:tc>
          <w:tcPr>
            <w:tcW w:w="7643" w:type="dxa"/>
          </w:tcPr>
          <w:p>
            <w:pPr>
              <w:pStyle w:val="TableParagraph"/>
              <w:spacing w:line="261" w:lineRule="exact"/>
              <w:ind w:right="104"/>
              <w:jc w:val="right"/>
              <w:rPr>
                <w:sz w:val="21"/>
              </w:rPr>
            </w:pPr>
            <w:r>
              <w:rPr>
                <w:sz w:val="21"/>
              </w:rPr>
              <w:t>保险人具有劳动关系，贵单位不得指定被保险人及其近亲属以外的人为受益</w:t>
            </w:r>
          </w:p>
        </w:tc>
      </w:tr>
      <w:tr>
        <w:trPr>
          <w:trHeight w:val="260" w:hRule="atLeast"/>
        </w:trPr>
        <w:tc>
          <w:tcPr>
            <w:tcW w:w="665" w:type="dxa"/>
          </w:tcPr>
          <w:p>
            <w:pPr>
              <w:pStyle w:val="TableParagraph"/>
              <w:rPr>
                <w:rFonts w:ascii="Times New Roman"/>
                <w:sz w:val="18"/>
              </w:rPr>
            </w:pPr>
          </w:p>
        </w:tc>
        <w:tc>
          <w:tcPr>
            <w:tcW w:w="1952" w:type="dxa"/>
          </w:tcPr>
          <w:p>
            <w:pPr>
              <w:pStyle w:val="TableParagraph"/>
              <w:rPr>
                <w:rFonts w:ascii="Times New Roman"/>
                <w:sz w:val="18"/>
              </w:rPr>
            </w:pPr>
          </w:p>
        </w:tc>
        <w:tc>
          <w:tcPr>
            <w:tcW w:w="7643" w:type="dxa"/>
          </w:tcPr>
          <w:p>
            <w:pPr>
              <w:pStyle w:val="TableParagraph"/>
              <w:spacing w:line="241" w:lineRule="exact"/>
              <w:ind w:right="105"/>
              <w:jc w:val="right"/>
              <w:rPr>
                <w:sz w:val="21"/>
              </w:rPr>
            </w:pPr>
            <w:r>
              <w:rPr>
                <w:sz w:val="21"/>
              </w:rPr>
              <w:t>人。身故保险金受益人为多人时，可以确定受益顺序和受益份额；未确定受</w:t>
            </w:r>
          </w:p>
        </w:tc>
      </w:tr>
    </w:tbl>
    <w:p>
      <w:pPr>
        <w:pStyle w:val="BodyText"/>
        <w:spacing w:before="41"/>
        <w:ind w:left="3406"/>
      </w:pPr>
      <w:r>
        <w:rPr/>
        <w:t>益顺序和受益份额的，各受益人按照相同顺序和相等份额享有受益权。</w:t>
      </w:r>
    </w:p>
    <w:p>
      <w:pPr>
        <w:pStyle w:val="BodyText"/>
        <w:spacing w:line="273" w:lineRule="auto"/>
        <w:ind w:left="3406" w:right="130" w:hanging="420"/>
      </w:pPr>
      <w:r>
        <w:rPr/>
        <w:t>二、被保险人为无民事行为能力人或限制民事行为能力人的，可以由其监护人指定受益人。</w:t>
      </w:r>
    </w:p>
    <w:p>
      <w:pPr>
        <w:pStyle w:val="BodyText"/>
        <w:spacing w:line="273" w:lineRule="auto" w:before="7"/>
        <w:ind w:left="3406" w:right="130" w:hanging="420"/>
      </w:pPr>
      <w:r>
        <w:rPr/>
        <w:t>三、贵单位或被保险人可以变更身故保险金受益人并书面通知我们。我们收到变更受益人的书面通知后，在保险合同上批注或附贴批单。</w:t>
      </w:r>
    </w:p>
    <w:p>
      <w:pPr>
        <w:pStyle w:val="BodyText"/>
        <w:spacing w:before="7"/>
        <w:ind w:left="2986"/>
      </w:pPr>
      <w:r>
        <w:rPr/>
        <w:t>四、贵单位在指定和变更身故保险金受益人时，必须经被保险人同意。</w:t>
      </w:r>
    </w:p>
    <w:p>
      <w:pPr>
        <w:pStyle w:val="BodyText"/>
        <w:spacing w:line="273" w:lineRule="auto"/>
        <w:ind w:left="3406" w:right="208" w:hanging="420"/>
      </w:pPr>
      <w:r>
        <w:rPr>
          <w:spacing w:val="-6"/>
        </w:rPr>
        <w:t>五、被保险人身故后，遇有下列情形之一的，保险金作为被保险人的遗产，由我们依照《中华人民共和国继承法》的规定履行给付保险金的义务：</w:t>
      </w:r>
    </w:p>
    <w:p>
      <w:pPr>
        <w:pStyle w:val="BodyText"/>
        <w:spacing w:before="7"/>
        <w:ind w:left="3406"/>
      </w:pPr>
      <w:r>
        <w:rPr/>
        <w:t>（一） 没有指定受益人的；</w:t>
      </w:r>
    </w:p>
    <w:p>
      <w:pPr>
        <w:pStyle w:val="BodyText"/>
        <w:spacing w:before="36"/>
        <w:ind w:left="3406"/>
      </w:pPr>
      <w:r>
        <w:rPr/>
        <w:t>（二） 受益人指定不明无法确定的；</w:t>
      </w:r>
    </w:p>
    <w:p>
      <w:pPr>
        <w:pStyle w:val="BodyText"/>
        <w:spacing w:before="36"/>
        <w:ind w:left="3406"/>
      </w:pPr>
      <w:r>
        <w:rPr/>
        <w:t>（三） 受益人先于被保险人身故，没有其他受益人的；</w:t>
      </w:r>
    </w:p>
    <w:p>
      <w:pPr>
        <w:pStyle w:val="BodyText"/>
        <w:spacing w:before="36"/>
        <w:ind w:left="3406"/>
      </w:pPr>
      <w:r>
        <w:rPr/>
        <w:t>（四） 受益人依法丧失受益权或放弃受益权，没有其他受益人的。</w:t>
      </w:r>
    </w:p>
    <w:p>
      <w:pPr>
        <w:pStyle w:val="BodyText"/>
        <w:spacing w:line="273" w:lineRule="auto" w:before="36"/>
        <w:ind w:left="3406" w:right="130" w:hanging="420"/>
      </w:pPr>
      <w:r>
        <w:rPr/>
        <w:t>六、受益人与被保险人在同一事件中身故，且无法确定身故先后顺序的，推定受益人先于被保险人身故。</w:t>
      </w:r>
    </w:p>
    <w:p>
      <w:pPr>
        <w:pStyle w:val="BodyText"/>
        <w:spacing w:line="273" w:lineRule="auto" w:before="7"/>
        <w:ind w:left="3406" w:right="102" w:hanging="421"/>
      </w:pPr>
      <w:r>
        <w:rPr>
          <w:spacing w:val="-11"/>
        </w:rPr>
        <w:t>七、受益人故意造成被保险人身故、伤残、疾病的，或故意杀害被保险人未遂的， 该受益人丧失受益权。</w:t>
      </w:r>
    </w:p>
    <w:p>
      <w:pPr>
        <w:pStyle w:val="BodyText"/>
        <w:spacing w:before="7"/>
        <w:ind w:left="2986"/>
      </w:pPr>
      <w:r>
        <w:rPr/>
        <w:t>八、除另有约定外，重大疾病保险金的受益人为被保险人本人。</w:t>
      </w:r>
    </w:p>
    <w:p>
      <w:pPr>
        <w:pStyle w:val="BodyText"/>
        <w:spacing w:before="3"/>
        <w:rPr>
          <w:sz w:val="19"/>
        </w:rPr>
      </w:pPr>
    </w:p>
    <w:p>
      <w:pPr>
        <w:pStyle w:val="ListParagraph"/>
        <w:numPr>
          <w:ilvl w:val="1"/>
          <w:numId w:val="9"/>
        </w:numPr>
        <w:tabs>
          <w:tab w:pos="1006" w:val="left" w:leader="none"/>
          <w:tab w:pos="1007" w:val="left" w:leader="none"/>
          <w:tab w:pos="2986" w:val="left" w:leader="none"/>
        </w:tabs>
        <w:spacing w:line="266" w:lineRule="auto" w:before="0" w:after="0"/>
        <w:ind w:left="2986" w:right="208" w:hanging="2776"/>
        <w:jc w:val="left"/>
        <w:rPr>
          <w:sz w:val="21"/>
        </w:rPr>
      </w:pPr>
      <w:r>
        <w:rPr>
          <w:b/>
          <w:sz w:val="21"/>
        </w:rPr>
        <w:t>保险事故通知</w:t>
        <w:tab/>
      </w:r>
      <w:r>
        <w:rPr>
          <w:sz w:val="21"/>
        </w:rPr>
        <w:t>贵单位、被保险人或受益人应于知道保险事故发生之日起</w:t>
      </w:r>
      <w:r>
        <w:rPr>
          <w:spacing w:val="-75"/>
          <w:sz w:val="21"/>
        </w:rPr>
        <w:t> </w:t>
      </w:r>
      <w:r>
        <w:rPr>
          <w:sz w:val="21"/>
        </w:rPr>
        <w:t>10</w:t>
      </w:r>
      <w:r>
        <w:rPr>
          <w:spacing w:val="-74"/>
          <w:sz w:val="21"/>
        </w:rPr>
        <w:t> </w:t>
      </w:r>
      <w:r>
        <w:rPr>
          <w:sz w:val="21"/>
        </w:rPr>
        <w:t>日内通知我们。</w:t>
      </w:r>
      <w:r>
        <w:rPr>
          <w:rFonts w:ascii="黑体" w:eastAsia="黑体" w:hint="eastAsia"/>
          <w:b/>
          <w:i/>
          <w:sz w:val="22"/>
        </w:rPr>
        <w:t>若</w:t>
      </w:r>
      <w:r>
        <w:rPr>
          <w:rFonts w:ascii="黑体" w:eastAsia="黑体" w:hint="eastAsia"/>
          <w:b/>
          <w:i/>
          <w:w w:val="95"/>
          <w:sz w:val="22"/>
        </w:rPr>
        <w:t>故意或因重大过失未及时通知，致使保险事故的性质、原因、损失程度等难以确定的</w:t>
      </w:r>
      <w:r>
        <w:rPr>
          <w:rFonts w:ascii="黑体" w:eastAsia="黑体" w:hint="eastAsia"/>
          <w:b/>
          <w:i/>
          <w:spacing w:val="-34"/>
          <w:w w:val="95"/>
          <w:sz w:val="22"/>
        </w:rPr>
        <w:t>，</w:t>
      </w:r>
      <w:r>
        <w:rPr>
          <w:rFonts w:ascii="黑体" w:eastAsia="黑体" w:hint="eastAsia"/>
          <w:b/>
          <w:i/>
          <w:w w:val="95"/>
          <w:sz w:val="22"/>
        </w:rPr>
        <w:t>我们对无法确定的部分</w:t>
      </w:r>
      <w:r>
        <w:rPr>
          <w:rFonts w:ascii="黑体" w:eastAsia="黑体" w:hint="eastAsia"/>
          <w:b/>
          <w:i/>
          <w:spacing w:val="-35"/>
          <w:w w:val="95"/>
          <w:sz w:val="22"/>
        </w:rPr>
        <w:t>，</w:t>
      </w:r>
      <w:r>
        <w:rPr>
          <w:rFonts w:ascii="黑体" w:eastAsia="黑体" w:hint="eastAsia"/>
          <w:b/>
          <w:i/>
          <w:w w:val="95"/>
          <w:sz w:val="22"/>
        </w:rPr>
        <w:t>不承担给付保险金的责任</w:t>
      </w:r>
      <w:r>
        <w:rPr>
          <w:spacing w:val="-34"/>
          <w:w w:val="95"/>
          <w:sz w:val="21"/>
        </w:rPr>
        <w:t>，</w:t>
      </w:r>
      <w:r>
        <w:rPr>
          <w:w w:val="95"/>
          <w:sz w:val="21"/>
        </w:rPr>
        <w:t>但我们通过其他途</w:t>
      </w:r>
      <w:r>
        <w:rPr>
          <w:sz w:val="21"/>
        </w:rPr>
        <w:t>径已经及时知道或应当及时知道保险事故发生或虽未及时通知但不影响我们确定保险事故的性质、原因、损失程度的除外。</w:t>
      </w:r>
    </w:p>
    <w:p>
      <w:pPr>
        <w:pStyle w:val="BodyText"/>
        <w:spacing w:before="6"/>
        <w:rPr>
          <w:sz w:val="18"/>
        </w:rPr>
      </w:pPr>
    </w:p>
    <w:p>
      <w:pPr>
        <w:pStyle w:val="ListParagraph"/>
        <w:numPr>
          <w:ilvl w:val="1"/>
          <w:numId w:val="9"/>
        </w:numPr>
        <w:tabs>
          <w:tab w:pos="1006" w:val="left" w:leader="none"/>
          <w:tab w:pos="1007" w:val="left" w:leader="none"/>
          <w:tab w:pos="2986" w:val="left" w:leader="none"/>
        </w:tabs>
        <w:spacing w:line="240" w:lineRule="auto" w:before="0" w:after="0"/>
        <w:ind w:left="1006" w:right="0" w:hanging="797"/>
        <w:jc w:val="left"/>
        <w:rPr>
          <w:sz w:val="21"/>
        </w:rPr>
      </w:pPr>
      <w:r>
        <w:rPr>
          <w:b/>
          <w:sz w:val="21"/>
        </w:rPr>
        <w:t>保险金申请</w:t>
        <w:tab/>
      </w:r>
      <w:r>
        <w:rPr>
          <w:sz w:val="21"/>
        </w:rPr>
        <w:t>一、在本合同有效期间内</w:t>
      </w:r>
      <w:r>
        <w:rPr>
          <w:spacing w:val="-41"/>
          <w:sz w:val="21"/>
        </w:rPr>
        <w:t>，</w:t>
      </w:r>
      <w:r>
        <w:rPr>
          <w:sz w:val="21"/>
        </w:rPr>
        <w:t>若发生符合本合同约定的保险金给付情形</w:t>
      </w:r>
      <w:r>
        <w:rPr>
          <w:spacing w:val="-41"/>
          <w:sz w:val="21"/>
        </w:rPr>
        <w:t>，</w:t>
      </w:r>
      <w:r>
        <w:rPr>
          <w:sz w:val="21"/>
        </w:rPr>
        <w:t>根据发生</w:t>
      </w:r>
    </w:p>
    <w:p>
      <w:pPr>
        <w:pStyle w:val="BodyText"/>
        <w:spacing w:line="273" w:lineRule="auto" w:before="36"/>
        <w:ind w:left="3406" w:right="207"/>
      </w:pPr>
      <w:r>
        <w:rPr>
          <w:spacing w:val="-8"/>
        </w:rPr>
        <w:t>情形的不同，受益人或被保险人的继承人可向我们申请给付保险金，但应当按照下列约定的程序和条件进行：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677" w:top="1180" w:bottom="860" w:left="720" w:right="720"/>
        </w:sectPr>
      </w:pPr>
    </w:p>
    <w:p>
      <w:pPr>
        <w:pStyle w:val="Heading2"/>
        <w:spacing w:line="182" w:lineRule="auto" w:before="49"/>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256" w:right="207"/>
      </w:pPr>
      <w:r>
        <w:rPr/>
        <w:br w:type="column"/>
      </w:r>
      <w:r>
        <w:rPr>
          <w:spacing w:val="-6"/>
        </w:rPr>
        <w:t>申请重大疾病保险金的，申请人须填写保险金给付申请书，并向我们提供下列资料：</w:t>
      </w:r>
    </w:p>
    <w:p>
      <w:pPr>
        <w:pStyle w:val="BodyText"/>
        <w:spacing w:before="7"/>
        <w:ind w:left="258"/>
      </w:pPr>
      <w:r>
        <w:rPr/>
        <w:t>(一) 保险合同；</w:t>
      </w:r>
    </w:p>
    <w:p>
      <w:pPr>
        <w:spacing w:before="37"/>
        <w:ind w:left="258" w:right="0" w:firstLine="0"/>
        <w:jc w:val="left"/>
        <w:rPr>
          <w:sz w:val="21"/>
        </w:rPr>
      </w:pPr>
      <w:r>
        <w:rPr>
          <w:sz w:val="21"/>
        </w:rPr>
        <w:t>(二) 申请人的</w:t>
      </w:r>
      <w:r>
        <w:rPr>
          <w:b/>
          <w:sz w:val="21"/>
        </w:rPr>
        <w:t>有效身份证件</w:t>
      </w:r>
      <w:r>
        <w:rPr>
          <w:sz w:val="21"/>
        </w:rPr>
        <w:t>；</w:t>
      </w:r>
    </w:p>
    <w:p>
      <w:pPr>
        <w:pStyle w:val="BodyText"/>
        <w:spacing w:line="273" w:lineRule="auto"/>
        <w:ind w:left="724" w:right="208" w:hanging="466"/>
      </w:pPr>
      <w:r>
        <w:rPr/>
        <w:t>(三) 国家卫生行政部门认定的</w:t>
      </w:r>
      <w:r>
        <w:rPr>
          <w:b/>
        </w:rPr>
        <w:t>医疗机构</w:t>
      </w:r>
      <w:r>
        <w:rPr/>
        <w:t>出具的可证明被保险人患重大疾病的诊断证明和诊断所患重大疾病必需的检查报告；</w:t>
      </w:r>
    </w:p>
    <w:p>
      <w:pPr>
        <w:pStyle w:val="BodyText"/>
        <w:spacing w:before="7"/>
        <w:ind w:left="258"/>
      </w:pPr>
      <w:r>
        <w:rPr/>
        <w:t>(四) 所能提供的与确认保险事故的性质、原因、伤害程度等有关的其他资料。</w:t>
      </w:r>
    </w:p>
    <w:p>
      <w:pPr>
        <w:spacing w:after="0"/>
        <w:sectPr>
          <w:type w:val="continuous"/>
          <w:pgSz w:w="11910" w:h="16840"/>
          <w:pgMar w:top="440" w:bottom="280" w:left="720" w:right="720"/>
          <w:cols w:num="2" w:equalWidth="0">
            <w:col w:w="2688" w:space="40"/>
            <w:col w:w="7742"/>
          </w:cols>
        </w:sectPr>
      </w:pPr>
    </w:p>
    <w:p>
      <w:pPr>
        <w:pStyle w:val="BodyText"/>
        <w:spacing w:before="5"/>
        <w:rPr>
          <w:sz w:val="17"/>
        </w:rPr>
      </w:pPr>
    </w:p>
    <w:p>
      <w:pPr>
        <w:pStyle w:val="BodyText"/>
        <w:tabs>
          <w:tab w:pos="2984" w:val="left" w:leader="none"/>
        </w:tabs>
        <w:spacing w:line="360" w:lineRule="exact" w:before="0"/>
        <w:ind w:left="1006"/>
      </w:pPr>
      <w:r>
        <w:rPr>
          <w:rFonts w:ascii="Microsoft JhengHei" w:eastAsia="Microsoft JhengHei" w:hint="eastAsia"/>
          <w:b/>
          <w:position w:val="-2"/>
          <w:sz w:val="24"/>
        </w:rPr>
        <w:t>身故保险金申请</w:t>
        <w:tab/>
      </w:r>
      <w:r>
        <w:rPr/>
        <w:t>申请身故保险金的，申请人须填写保险金给付申请书，并向我们提供下列资料：</w:t>
      </w:r>
    </w:p>
    <w:p>
      <w:pPr>
        <w:pStyle w:val="BodyText"/>
        <w:spacing w:line="263" w:lineRule="exact" w:before="0"/>
        <w:ind w:left="2986"/>
      </w:pPr>
      <w:r>
        <w:rPr/>
        <w:t>(一) 保险合同；</w:t>
      </w:r>
    </w:p>
    <w:p>
      <w:pPr>
        <w:pStyle w:val="BodyText"/>
        <w:ind w:left="2986"/>
      </w:pPr>
      <w:r>
        <w:rPr/>
        <w:t>(二) 申请人的有效身份证件；</w:t>
      </w:r>
    </w:p>
    <w:p>
      <w:pPr>
        <w:pStyle w:val="BodyText"/>
        <w:ind w:left="2986"/>
      </w:pPr>
      <w:r>
        <w:rPr/>
        <w:t>(三) 国家卫生行政部门认定的医疗机构、公安部门或其他相关机构出具的被保</w:t>
      </w:r>
    </w:p>
    <w:p>
      <w:pPr>
        <w:spacing w:after="0"/>
        <w:sectPr>
          <w:type w:val="continuous"/>
          <w:pgSz w:w="11910" w:h="16840"/>
          <w:pgMar w:top="440" w:bottom="280" w:left="720" w:right="720"/>
        </w:sectPr>
      </w:pPr>
    </w:p>
    <w:p>
      <w:pPr>
        <w:pStyle w:val="BodyText"/>
        <w:spacing w:before="19"/>
        <w:ind w:left="3406"/>
      </w:pPr>
      <w:r>
        <w:rPr/>
        <w:t>险人死亡证明；</w:t>
      </w:r>
    </w:p>
    <w:p>
      <w:pPr>
        <w:pStyle w:val="BodyText"/>
        <w:ind w:left="2986"/>
      </w:pPr>
      <w:r>
        <w:rPr/>
        <w:t>(四) 被保险人的户籍注销证明；</w:t>
      </w:r>
    </w:p>
    <w:p>
      <w:pPr>
        <w:pStyle w:val="BodyText"/>
        <w:ind w:left="2986"/>
      </w:pPr>
      <w:r>
        <w:rPr/>
        <w:t>(五) 所能提供的与确认保险事故的性质、原因等有关的其他资料。</w:t>
      </w:r>
    </w:p>
    <w:p>
      <w:pPr>
        <w:pStyle w:val="BodyText"/>
        <w:spacing w:before="2"/>
        <w:rPr>
          <w:sz w:val="20"/>
        </w:rPr>
      </w:pPr>
    </w:p>
    <w:p>
      <w:pPr>
        <w:pStyle w:val="BodyText"/>
        <w:spacing w:line="273" w:lineRule="auto" w:before="0"/>
        <w:ind w:left="3406" w:right="207" w:hanging="420"/>
      </w:pPr>
      <w:r>
        <w:rPr>
          <w:spacing w:val="-6"/>
        </w:rPr>
        <w:t>二、保险金作为被保险人遗产时，申请人还须提供可证明合法继承权的相关权利文件。</w:t>
      </w:r>
    </w:p>
    <w:p>
      <w:pPr>
        <w:pStyle w:val="BodyText"/>
        <w:spacing w:before="7"/>
        <w:ind w:left="2986"/>
      </w:pPr>
      <w:r>
        <w:rPr/>
        <w:t>三、上述申请资料不完整的，我们将及时一次性通知申请人补充提供有关资料。</w:t>
      </w:r>
    </w:p>
    <w:p>
      <w:pPr>
        <w:pStyle w:val="BodyText"/>
        <w:spacing w:before="10"/>
        <w:rPr>
          <w:sz w:val="20"/>
        </w:rPr>
      </w:pPr>
    </w:p>
    <w:p>
      <w:pPr>
        <w:pStyle w:val="Heading4"/>
        <w:numPr>
          <w:ilvl w:val="1"/>
          <w:numId w:val="9"/>
        </w:numPr>
        <w:tabs>
          <w:tab w:pos="1007" w:val="left" w:leader="none"/>
          <w:tab w:pos="1008" w:val="left" w:leader="none"/>
          <w:tab w:pos="2984" w:val="left" w:leader="none"/>
        </w:tabs>
        <w:spacing w:line="240" w:lineRule="auto" w:before="0" w:after="0"/>
        <w:ind w:left="1007" w:right="0" w:hanging="798"/>
        <w:jc w:val="left"/>
      </w:pPr>
      <w:r>
        <w:rPr/>
        <w:t>宣告死亡的处理</w:t>
        <w:tab/>
      </w:r>
      <w:r>
        <w:rPr>
          <w:w w:val="95"/>
        </w:rPr>
        <w:t>一、若被保险人在本合同有效期间内被人民法院宣告死亡，保险金申请人在申</w:t>
      </w:r>
    </w:p>
    <w:p>
      <w:pPr>
        <w:spacing w:line="273" w:lineRule="auto" w:before="37"/>
        <w:ind w:left="3406" w:right="312" w:firstLine="0"/>
        <w:jc w:val="left"/>
        <w:rPr>
          <w:b/>
          <w:sz w:val="21"/>
        </w:rPr>
      </w:pPr>
      <w:r>
        <w:rPr>
          <w:b/>
          <w:sz w:val="21"/>
        </w:rPr>
        <w:t>请身故保险金时还须提供人民法院出具的具有最终法律效力的宣告死亡证明文件。</w:t>
      </w:r>
    </w:p>
    <w:p>
      <w:pPr>
        <w:spacing w:line="273" w:lineRule="auto" w:before="7"/>
        <w:ind w:left="3406" w:right="311" w:hanging="423"/>
        <w:jc w:val="both"/>
        <w:rPr>
          <w:b/>
          <w:sz w:val="21"/>
        </w:rPr>
      </w:pPr>
      <w:r>
        <w:rPr>
          <w:b/>
          <w:sz w:val="21"/>
        </w:rPr>
        <w:t>二、被保险人在本合同有效期间内被人民法院宣告死亡的，我们将以人民法院出具的具有最终法律效力的宣告死亡证明文件所确定的死亡日期为被保险</w:t>
      </w:r>
      <w:r>
        <w:rPr>
          <w:b/>
          <w:w w:val="95"/>
          <w:sz w:val="21"/>
        </w:rPr>
        <w:t>人身故日。</w:t>
      </w:r>
    </w:p>
    <w:p>
      <w:pPr>
        <w:spacing w:line="273" w:lineRule="auto" w:before="7"/>
        <w:ind w:left="3406" w:right="311" w:hanging="423"/>
        <w:jc w:val="both"/>
        <w:rPr>
          <w:b/>
          <w:sz w:val="21"/>
        </w:rPr>
      </w:pPr>
      <w:r>
        <w:rPr>
          <w:b/>
          <w:sz w:val="21"/>
        </w:rPr>
        <w:t>三、若被保险人在人民法院宣告死亡之后重新出现或确知其没有死亡，保险金申请人应于知道或应当知道被保险人生还消息之日起三十日内将已领取的</w:t>
      </w:r>
      <w:r>
        <w:rPr>
          <w:b/>
          <w:w w:val="95"/>
          <w:sz w:val="21"/>
        </w:rPr>
        <w:t>身故保险金一次性返还给我们。</w:t>
      </w:r>
    </w:p>
    <w:p>
      <w:pPr>
        <w:pStyle w:val="BodyText"/>
        <w:spacing w:before="11"/>
        <w:rPr>
          <w:b/>
          <w:sz w:val="17"/>
        </w:rPr>
      </w:pPr>
    </w:p>
    <w:p>
      <w:pPr>
        <w:pStyle w:val="ListParagraph"/>
        <w:numPr>
          <w:ilvl w:val="1"/>
          <w:numId w:val="9"/>
        </w:numPr>
        <w:tabs>
          <w:tab w:pos="1006" w:val="left" w:leader="none"/>
          <w:tab w:pos="1008" w:val="left" w:leader="none"/>
          <w:tab w:pos="2986" w:val="left" w:leader="none"/>
        </w:tabs>
        <w:spacing w:line="240" w:lineRule="auto" w:before="1" w:after="0"/>
        <w:ind w:left="1007" w:right="0" w:hanging="798"/>
        <w:jc w:val="left"/>
        <w:rPr>
          <w:sz w:val="21"/>
        </w:rPr>
      </w:pPr>
      <w:r>
        <w:rPr>
          <w:b/>
          <w:sz w:val="21"/>
        </w:rPr>
        <w:t>保险金的给付</w:t>
        <w:tab/>
      </w:r>
      <w:r>
        <w:rPr>
          <w:sz w:val="21"/>
        </w:rPr>
        <w:t>一</w:t>
      </w:r>
      <w:r>
        <w:rPr>
          <w:spacing w:val="10"/>
          <w:sz w:val="21"/>
        </w:rPr>
        <w:t>、</w:t>
      </w:r>
      <w:r>
        <w:rPr>
          <w:sz w:val="21"/>
        </w:rPr>
        <w:t>我们在收到保险金给付申请书及本合同约定的资料后，将在</w:t>
      </w:r>
      <w:r>
        <w:rPr>
          <w:spacing w:val="3"/>
          <w:sz w:val="21"/>
        </w:rPr>
        <w:t> </w:t>
      </w:r>
      <w:r>
        <w:rPr>
          <w:sz w:val="21"/>
        </w:rPr>
        <w:t>5</w:t>
      </w:r>
      <w:r>
        <w:rPr>
          <w:spacing w:val="5"/>
          <w:sz w:val="21"/>
        </w:rPr>
        <w:t> </w:t>
      </w:r>
      <w:r>
        <w:rPr>
          <w:sz w:val="21"/>
        </w:rPr>
        <w:t>日内作出核</w:t>
      </w:r>
    </w:p>
    <w:p>
      <w:pPr>
        <w:pStyle w:val="BodyText"/>
        <w:ind w:left="3392"/>
      </w:pPr>
      <w:r>
        <w:rPr/>
        <w:t>定；情形复杂的，在 30 日内作出核定。对属于保险责任的，我们在与受益</w:t>
      </w:r>
    </w:p>
    <w:p>
      <w:pPr>
        <w:pStyle w:val="BodyText"/>
        <w:ind w:left="3392"/>
      </w:pPr>
      <w:r>
        <w:rPr/>
        <w:t>人达成给付保险金的协议后 10 日内，履行给付保险金义务。</w:t>
      </w:r>
    </w:p>
    <w:p>
      <w:pPr>
        <w:pStyle w:val="BodyText"/>
        <w:spacing w:line="273" w:lineRule="auto"/>
        <w:ind w:left="3392" w:right="131" w:hanging="406"/>
      </w:pPr>
      <w:r>
        <w:rPr/>
        <w:t>二、我们未及时履行前款规定义务的，除支付保险金外，应当赔偿受益人因此受到的损失。</w:t>
      </w:r>
    </w:p>
    <w:p>
      <w:pPr>
        <w:pStyle w:val="BodyText"/>
        <w:spacing w:line="273" w:lineRule="auto" w:before="7"/>
        <w:ind w:left="3392" w:right="208" w:hanging="406"/>
      </w:pPr>
      <w:r>
        <w:rPr>
          <w:spacing w:val="-10"/>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392" w:right="207" w:hanging="406"/>
        <w:jc w:val="both"/>
      </w:pPr>
      <w:r>
        <w:rPr>
          <w:spacing w:val="-3"/>
        </w:rPr>
        <w:t>四、我们在收到保险金给付申请书及本合同约定的资料之日起 </w:t>
      </w:r>
      <w:r>
        <w:rPr/>
        <w:t>60</w:t>
      </w:r>
      <w:r>
        <w:rPr>
          <w:spacing w:val="-9"/>
        </w:rPr>
        <w:t> 日内，对给付</w:t>
      </w:r>
      <w:r>
        <w:rPr>
          <w:spacing w:val="-13"/>
        </w:rPr>
        <w:t>保险金的数额不能确定的，根据已有资料可以确定的数额先予支付；我们最终确定给付保险金的数额后，再给付相应的差额。</w:t>
      </w:r>
    </w:p>
    <w:p>
      <w:pPr>
        <w:pStyle w:val="BodyText"/>
        <w:spacing w:before="11"/>
        <w:rPr>
          <w:sz w:val="2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952"/>
        <w:gridCol w:w="7643"/>
      </w:tblGrid>
      <w:tr>
        <w:trPr>
          <w:trHeight w:val="1424" w:hRule="atLeast"/>
        </w:trPr>
        <w:tc>
          <w:tcPr>
            <w:tcW w:w="665" w:type="dxa"/>
            <w:tcBorders>
              <w:bottom w:val="single" w:sz="8" w:space="0" w:color="000000"/>
            </w:tcBorders>
          </w:tcPr>
          <w:p>
            <w:pPr>
              <w:pStyle w:val="TableParagraph"/>
              <w:spacing w:line="210" w:lineRule="exact"/>
              <w:ind w:left="107"/>
              <w:rPr>
                <w:b/>
                <w:sz w:val="21"/>
              </w:rPr>
            </w:pPr>
            <w:r>
              <w:rPr>
                <w:b/>
                <w:sz w:val="21"/>
              </w:rPr>
              <w:t>3.6</w:t>
            </w:r>
          </w:p>
          <w:p>
            <w:pPr>
              <w:pStyle w:val="TableParagraph"/>
              <w:rPr>
                <w:sz w:val="20"/>
              </w:rPr>
            </w:pPr>
          </w:p>
          <w:p>
            <w:pPr>
              <w:pStyle w:val="TableParagraph"/>
              <w:spacing w:before="3"/>
              <w:rPr>
                <w:sz w:val="16"/>
              </w:rPr>
            </w:pPr>
          </w:p>
          <w:p>
            <w:pPr>
              <w:pStyle w:val="TableParagraph"/>
              <w:ind w:left="219"/>
              <w:rPr>
                <w:rFonts w:ascii="Yu Gothic" w:hAnsi="Yu Gothic"/>
                <w:b/>
                <w:sz w:val="40"/>
              </w:rPr>
            </w:pPr>
            <w:r>
              <w:rPr>
                <w:rFonts w:ascii="Yu Gothic" w:hAnsi="Yu Gothic"/>
                <w:b/>
                <w:w w:val="214"/>
                <w:sz w:val="40"/>
              </w:rPr>
              <w:t>º</w:t>
            </w:r>
          </w:p>
        </w:tc>
        <w:tc>
          <w:tcPr>
            <w:tcW w:w="1952" w:type="dxa"/>
            <w:tcBorders>
              <w:bottom w:val="single" w:sz="8" w:space="0" w:color="000000"/>
            </w:tcBorders>
          </w:tcPr>
          <w:p>
            <w:pPr>
              <w:pStyle w:val="TableParagraph"/>
              <w:spacing w:line="210" w:lineRule="exact"/>
              <w:ind w:left="239"/>
              <w:rPr>
                <w:b/>
                <w:sz w:val="21"/>
              </w:rPr>
            </w:pPr>
            <w:r>
              <w:rPr>
                <w:b/>
                <w:sz w:val="21"/>
              </w:rPr>
              <w:t>诉讼时效</w:t>
            </w:r>
          </w:p>
          <w:p>
            <w:pPr>
              <w:pStyle w:val="TableParagraph"/>
              <w:rPr>
                <w:sz w:val="20"/>
              </w:rPr>
            </w:pPr>
          </w:p>
          <w:p>
            <w:pPr>
              <w:pStyle w:val="TableParagraph"/>
              <w:rPr>
                <w:sz w:val="20"/>
              </w:rPr>
            </w:pPr>
          </w:p>
          <w:p>
            <w:pPr>
              <w:pStyle w:val="TableParagraph"/>
              <w:spacing w:before="1"/>
              <w:rPr>
                <w:sz w:val="14"/>
              </w:rPr>
            </w:pPr>
          </w:p>
          <w:p>
            <w:pPr>
              <w:pStyle w:val="TableParagraph"/>
              <w:ind w:left="239"/>
              <w:rPr>
                <w:b/>
                <w:sz w:val="24"/>
              </w:rPr>
            </w:pPr>
            <w:r>
              <w:rPr>
                <w:b/>
                <w:sz w:val="24"/>
              </w:rPr>
              <w:t>保险费的交纳</w:t>
            </w:r>
          </w:p>
        </w:tc>
        <w:tc>
          <w:tcPr>
            <w:tcW w:w="7643" w:type="dxa"/>
            <w:tcBorders>
              <w:bottom w:val="single" w:sz="8" w:space="0" w:color="000000"/>
            </w:tcBorders>
          </w:tcPr>
          <w:p>
            <w:pPr>
              <w:pStyle w:val="TableParagraph"/>
              <w:spacing w:line="210" w:lineRule="exact"/>
              <w:ind w:left="267"/>
              <w:rPr>
                <w:sz w:val="21"/>
              </w:rPr>
            </w:pPr>
            <w:r>
              <w:rPr>
                <w:spacing w:val="-3"/>
                <w:sz w:val="21"/>
              </w:rPr>
              <w:t>申请人向我们请求给付保险金的诉讼时效期间为 </w:t>
            </w:r>
            <w:r>
              <w:rPr>
                <w:sz w:val="21"/>
              </w:rPr>
              <w:t>2</w:t>
            </w:r>
            <w:r>
              <w:rPr>
                <w:spacing w:val="-13"/>
                <w:sz w:val="21"/>
              </w:rPr>
              <w:t> 年，自其知道或应当知道保险</w:t>
            </w:r>
          </w:p>
          <w:p>
            <w:pPr>
              <w:pStyle w:val="TableParagraph"/>
              <w:spacing w:before="37"/>
              <w:ind w:left="267"/>
              <w:rPr>
                <w:sz w:val="21"/>
              </w:rPr>
            </w:pPr>
            <w:r>
              <w:rPr>
                <w:sz w:val="21"/>
              </w:rPr>
              <w:t>事故发生之日起计算。</w:t>
            </w:r>
          </w:p>
        </w:tc>
      </w:tr>
      <w:tr>
        <w:trPr>
          <w:trHeight w:val="632" w:hRule="atLeast"/>
        </w:trPr>
        <w:tc>
          <w:tcPr>
            <w:tcW w:w="665" w:type="dxa"/>
            <w:tcBorders>
              <w:top w:val="single" w:sz="8" w:space="0" w:color="000000"/>
            </w:tcBorders>
          </w:tcPr>
          <w:p>
            <w:pPr>
              <w:pStyle w:val="TableParagraph"/>
              <w:spacing w:before="10"/>
              <w:rPr>
                <w:sz w:val="14"/>
              </w:rPr>
            </w:pPr>
          </w:p>
          <w:p>
            <w:pPr>
              <w:pStyle w:val="TableParagraph"/>
              <w:ind w:left="107"/>
              <w:rPr>
                <w:b/>
                <w:sz w:val="21"/>
              </w:rPr>
            </w:pPr>
            <w:r>
              <w:rPr>
                <w:b/>
                <w:sz w:val="21"/>
              </w:rPr>
              <w:t>4.1</w:t>
            </w:r>
          </w:p>
        </w:tc>
        <w:tc>
          <w:tcPr>
            <w:tcW w:w="1952" w:type="dxa"/>
            <w:tcBorders>
              <w:top w:val="single" w:sz="8" w:space="0" w:color="000000"/>
            </w:tcBorders>
          </w:tcPr>
          <w:p>
            <w:pPr>
              <w:pStyle w:val="TableParagraph"/>
              <w:spacing w:before="10"/>
              <w:rPr>
                <w:sz w:val="14"/>
              </w:rPr>
            </w:pPr>
          </w:p>
          <w:p>
            <w:pPr>
              <w:pStyle w:val="TableParagraph"/>
              <w:ind w:left="240"/>
              <w:rPr>
                <w:b/>
                <w:sz w:val="21"/>
              </w:rPr>
            </w:pPr>
            <w:r>
              <w:rPr>
                <w:b/>
                <w:w w:val="95"/>
                <w:sz w:val="21"/>
              </w:rPr>
              <w:t>保险费的交纳</w:t>
            </w:r>
          </w:p>
        </w:tc>
        <w:tc>
          <w:tcPr>
            <w:tcW w:w="7643" w:type="dxa"/>
            <w:tcBorders>
              <w:top w:val="single" w:sz="8" w:space="0" w:color="000000"/>
            </w:tcBorders>
          </w:tcPr>
          <w:p>
            <w:pPr>
              <w:pStyle w:val="TableParagraph"/>
              <w:spacing w:before="10"/>
              <w:rPr>
                <w:sz w:val="14"/>
              </w:rPr>
            </w:pPr>
          </w:p>
          <w:p>
            <w:pPr>
              <w:pStyle w:val="TableParagraph"/>
              <w:ind w:left="267"/>
              <w:rPr>
                <w:sz w:val="21"/>
              </w:rPr>
            </w:pPr>
            <w:r>
              <w:rPr>
                <w:sz w:val="21"/>
              </w:rPr>
              <w:t>本合同的交费方式为贵单位在投保时一次交清。</w:t>
            </w:r>
          </w:p>
        </w:tc>
      </w:tr>
      <w:tr>
        <w:trPr>
          <w:trHeight w:val="425" w:hRule="atLeast"/>
        </w:trPr>
        <w:tc>
          <w:tcPr>
            <w:tcW w:w="665" w:type="dxa"/>
          </w:tcPr>
          <w:p>
            <w:pPr>
              <w:pStyle w:val="TableParagraph"/>
              <w:spacing w:before="99"/>
              <w:ind w:left="107"/>
              <w:rPr>
                <w:b/>
                <w:sz w:val="21"/>
              </w:rPr>
            </w:pPr>
            <w:r>
              <w:rPr>
                <w:b/>
                <w:sz w:val="21"/>
              </w:rPr>
              <w:t>4.2</w:t>
            </w:r>
          </w:p>
        </w:tc>
        <w:tc>
          <w:tcPr>
            <w:tcW w:w="1952" w:type="dxa"/>
          </w:tcPr>
          <w:p>
            <w:pPr>
              <w:pStyle w:val="TableParagraph"/>
              <w:spacing w:before="99"/>
              <w:ind w:left="239"/>
              <w:rPr>
                <w:b/>
                <w:sz w:val="21"/>
              </w:rPr>
            </w:pPr>
            <w:r>
              <w:rPr>
                <w:b/>
                <w:sz w:val="21"/>
              </w:rPr>
              <w:t>宽限期</w:t>
            </w:r>
          </w:p>
        </w:tc>
        <w:tc>
          <w:tcPr>
            <w:tcW w:w="7643" w:type="dxa"/>
          </w:tcPr>
          <w:p>
            <w:pPr>
              <w:pStyle w:val="TableParagraph"/>
              <w:spacing w:before="99"/>
              <w:ind w:right="104"/>
              <w:jc w:val="right"/>
              <w:rPr>
                <w:sz w:val="21"/>
              </w:rPr>
            </w:pPr>
            <w:r>
              <w:rPr>
                <w:sz w:val="21"/>
              </w:rPr>
              <w:t>一、在本合同有效期间内，若个人账户价值在任一保单周年日零时不足以支付该</w:t>
            </w:r>
          </w:p>
        </w:tc>
      </w:tr>
      <w:tr>
        <w:trPr>
          <w:trHeight w:val="311" w:hRule="atLeast"/>
        </w:trPr>
        <w:tc>
          <w:tcPr>
            <w:tcW w:w="665" w:type="dxa"/>
          </w:tcPr>
          <w:p>
            <w:pPr>
              <w:pStyle w:val="TableParagraph"/>
              <w:rPr>
                <w:rFonts w:ascii="Times New Roman"/>
                <w:sz w:val="20"/>
              </w:rPr>
            </w:pPr>
          </w:p>
        </w:tc>
        <w:tc>
          <w:tcPr>
            <w:tcW w:w="1952" w:type="dxa"/>
          </w:tcPr>
          <w:p>
            <w:pPr>
              <w:pStyle w:val="TableParagraph"/>
              <w:rPr>
                <w:rFonts w:ascii="Times New Roman"/>
                <w:sz w:val="20"/>
              </w:rPr>
            </w:pPr>
          </w:p>
        </w:tc>
        <w:tc>
          <w:tcPr>
            <w:tcW w:w="7643" w:type="dxa"/>
          </w:tcPr>
          <w:p>
            <w:pPr>
              <w:pStyle w:val="TableParagraph"/>
              <w:spacing w:line="261" w:lineRule="exact"/>
              <w:ind w:right="129"/>
              <w:jc w:val="right"/>
              <w:rPr>
                <w:sz w:val="21"/>
              </w:rPr>
            </w:pPr>
            <w:r>
              <w:rPr>
                <w:sz w:val="21"/>
              </w:rPr>
              <w:t>被保险人当年的风险保险费，则自该保单周年日零时起 60 日为宽限期。宽</w:t>
            </w:r>
          </w:p>
        </w:tc>
      </w:tr>
      <w:tr>
        <w:trPr>
          <w:trHeight w:val="260" w:hRule="atLeast"/>
        </w:trPr>
        <w:tc>
          <w:tcPr>
            <w:tcW w:w="665" w:type="dxa"/>
          </w:tcPr>
          <w:p>
            <w:pPr>
              <w:pStyle w:val="TableParagraph"/>
              <w:rPr>
                <w:rFonts w:ascii="Times New Roman"/>
                <w:sz w:val="18"/>
              </w:rPr>
            </w:pPr>
          </w:p>
        </w:tc>
        <w:tc>
          <w:tcPr>
            <w:tcW w:w="1952" w:type="dxa"/>
          </w:tcPr>
          <w:p>
            <w:pPr>
              <w:pStyle w:val="TableParagraph"/>
              <w:rPr>
                <w:rFonts w:ascii="Times New Roman"/>
                <w:sz w:val="18"/>
              </w:rPr>
            </w:pPr>
          </w:p>
        </w:tc>
        <w:tc>
          <w:tcPr>
            <w:tcW w:w="7643" w:type="dxa"/>
          </w:tcPr>
          <w:p>
            <w:pPr>
              <w:pStyle w:val="TableParagraph"/>
              <w:spacing w:line="241" w:lineRule="exact"/>
              <w:ind w:right="104"/>
              <w:jc w:val="right"/>
              <w:rPr>
                <w:sz w:val="21"/>
              </w:rPr>
            </w:pPr>
            <w:r>
              <w:rPr>
                <w:sz w:val="21"/>
              </w:rPr>
              <w:t>限期内发生的保险事故，我们仍会承担保险责任，但在给付保险金时会扣除</w:t>
            </w:r>
          </w:p>
        </w:tc>
      </w:tr>
    </w:tbl>
    <w:p>
      <w:pPr>
        <w:pStyle w:val="BodyText"/>
        <w:ind w:left="3406"/>
      </w:pPr>
      <w:r>
        <w:rPr/>
        <w:t>欠交的风险保险费。</w:t>
      </w:r>
    </w:p>
    <w:p>
      <w:pPr>
        <w:pStyle w:val="BodyText"/>
        <w:spacing w:line="273" w:lineRule="auto"/>
        <w:ind w:left="3406" w:right="130" w:hanging="420"/>
      </w:pPr>
      <w:r>
        <w:rPr/>
        <w:t>二、若贵单位宽限期结束后仍未支付个人账户的风险保险费，则该被保险人的保险责任自宽限期满的次日零时起中止。</w:t>
      </w:r>
    </w:p>
    <w:p>
      <w:pPr>
        <w:pStyle w:val="BodyText"/>
        <w:spacing w:before="10"/>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861"/>
        <w:gridCol w:w="7734"/>
      </w:tblGrid>
      <w:tr>
        <w:trPr>
          <w:trHeight w:val="522" w:hRule="atLeast"/>
        </w:trPr>
        <w:tc>
          <w:tcPr>
            <w:tcW w:w="665" w:type="dxa"/>
            <w:tcBorders>
              <w:bottom w:val="single" w:sz="8" w:space="0" w:color="000000"/>
            </w:tcBorders>
          </w:tcPr>
          <w:p>
            <w:pPr>
              <w:pStyle w:val="TableParagraph"/>
              <w:spacing w:line="456" w:lineRule="exact"/>
              <w:ind w:left="219"/>
              <w:rPr>
                <w:rFonts w:ascii="Yu Gothic"/>
                <w:b/>
                <w:sz w:val="40"/>
              </w:rPr>
            </w:pPr>
            <w:r>
              <w:rPr>
                <w:rFonts w:ascii="Yu Gothic"/>
                <w:b/>
                <w:w w:val="155"/>
                <w:sz w:val="40"/>
              </w:rPr>
              <w:t>6</w:t>
            </w:r>
          </w:p>
        </w:tc>
        <w:tc>
          <w:tcPr>
            <w:tcW w:w="1861" w:type="dxa"/>
            <w:tcBorders>
              <w:bottom w:val="single" w:sz="8" w:space="0" w:color="000000"/>
            </w:tcBorders>
          </w:tcPr>
          <w:p>
            <w:pPr>
              <w:pStyle w:val="TableParagraph"/>
              <w:spacing w:before="16"/>
              <w:ind w:left="239"/>
              <w:rPr>
                <w:b/>
                <w:sz w:val="24"/>
              </w:rPr>
            </w:pPr>
            <w:r>
              <w:rPr>
                <w:b/>
                <w:w w:val="95"/>
                <w:sz w:val="24"/>
              </w:rPr>
              <w:t>账户条款</w:t>
            </w:r>
          </w:p>
        </w:tc>
        <w:tc>
          <w:tcPr>
            <w:tcW w:w="7734" w:type="dxa"/>
            <w:tcBorders>
              <w:bottom w:val="single" w:sz="8" w:space="0" w:color="000000"/>
            </w:tcBorders>
          </w:tcPr>
          <w:p>
            <w:pPr>
              <w:pStyle w:val="TableParagraph"/>
              <w:rPr>
                <w:rFonts w:ascii="Times New Roman"/>
                <w:sz w:val="20"/>
              </w:rPr>
            </w:pPr>
          </w:p>
        </w:tc>
      </w:tr>
      <w:tr>
        <w:trPr>
          <w:trHeight w:val="518" w:hRule="atLeast"/>
        </w:trPr>
        <w:tc>
          <w:tcPr>
            <w:tcW w:w="665" w:type="dxa"/>
            <w:tcBorders>
              <w:top w:val="single" w:sz="8" w:space="0" w:color="000000"/>
            </w:tcBorders>
          </w:tcPr>
          <w:p>
            <w:pPr>
              <w:pStyle w:val="TableParagraph"/>
              <w:spacing w:before="9"/>
              <w:rPr>
                <w:sz w:val="14"/>
              </w:rPr>
            </w:pPr>
          </w:p>
          <w:p>
            <w:pPr>
              <w:pStyle w:val="TableParagraph"/>
              <w:ind w:left="107"/>
              <w:rPr>
                <w:b/>
                <w:sz w:val="21"/>
              </w:rPr>
            </w:pPr>
            <w:r>
              <w:rPr>
                <w:b/>
                <w:sz w:val="21"/>
              </w:rPr>
              <w:t>5.1</w:t>
            </w:r>
          </w:p>
        </w:tc>
        <w:tc>
          <w:tcPr>
            <w:tcW w:w="1861" w:type="dxa"/>
            <w:tcBorders>
              <w:top w:val="single" w:sz="8" w:space="0" w:color="000000"/>
            </w:tcBorders>
          </w:tcPr>
          <w:p>
            <w:pPr>
              <w:pStyle w:val="TableParagraph"/>
              <w:spacing w:before="9"/>
              <w:rPr>
                <w:sz w:val="14"/>
              </w:rPr>
            </w:pPr>
          </w:p>
          <w:p>
            <w:pPr>
              <w:pStyle w:val="TableParagraph"/>
              <w:ind w:left="239"/>
              <w:rPr>
                <w:b/>
                <w:sz w:val="21"/>
              </w:rPr>
            </w:pPr>
            <w:r>
              <w:rPr>
                <w:b/>
                <w:w w:val="95"/>
                <w:sz w:val="21"/>
              </w:rPr>
              <w:t>保险合同账户</w:t>
            </w:r>
          </w:p>
        </w:tc>
        <w:tc>
          <w:tcPr>
            <w:tcW w:w="7734" w:type="dxa"/>
            <w:tcBorders>
              <w:top w:val="single" w:sz="8" w:space="0" w:color="000000"/>
            </w:tcBorders>
          </w:tcPr>
          <w:p>
            <w:pPr>
              <w:pStyle w:val="TableParagraph"/>
              <w:spacing w:before="9"/>
              <w:rPr>
                <w:sz w:val="14"/>
              </w:rPr>
            </w:pPr>
          </w:p>
          <w:p>
            <w:pPr>
              <w:pStyle w:val="TableParagraph"/>
              <w:ind w:left="358"/>
              <w:rPr>
                <w:sz w:val="21"/>
              </w:rPr>
            </w:pPr>
            <w:r>
              <w:rPr>
                <w:sz w:val="21"/>
              </w:rPr>
              <w:t>一、我们将于本合同生效日为每一被保险人设立个人账户。</w:t>
            </w:r>
          </w:p>
        </w:tc>
      </w:tr>
      <w:tr>
        <w:trPr>
          <w:trHeight w:val="260" w:hRule="atLeast"/>
        </w:trPr>
        <w:tc>
          <w:tcPr>
            <w:tcW w:w="665" w:type="dxa"/>
          </w:tcPr>
          <w:p>
            <w:pPr>
              <w:pStyle w:val="TableParagraph"/>
              <w:rPr>
                <w:rFonts w:ascii="Times New Roman"/>
                <w:sz w:val="18"/>
              </w:rPr>
            </w:pPr>
          </w:p>
        </w:tc>
        <w:tc>
          <w:tcPr>
            <w:tcW w:w="1861" w:type="dxa"/>
          </w:tcPr>
          <w:p>
            <w:pPr>
              <w:pStyle w:val="TableParagraph"/>
              <w:rPr>
                <w:rFonts w:ascii="Times New Roman"/>
                <w:sz w:val="18"/>
              </w:rPr>
            </w:pPr>
          </w:p>
        </w:tc>
        <w:tc>
          <w:tcPr>
            <w:tcW w:w="7734" w:type="dxa"/>
          </w:tcPr>
          <w:p>
            <w:pPr>
              <w:pStyle w:val="TableParagraph"/>
              <w:spacing w:line="241" w:lineRule="exact"/>
              <w:ind w:left="358"/>
              <w:rPr>
                <w:sz w:val="21"/>
              </w:rPr>
            </w:pPr>
            <w:r>
              <w:rPr>
                <w:sz w:val="21"/>
              </w:rPr>
              <w:t>二、我们可根据贵单位要求设立团体账户，用于管理贵单位已交但尚未分配至被</w:t>
            </w:r>
          </w:p>
        </w:tc>
      </w:tr>
    </w:tbl>
    <w:p>
      <w:pPr>
        <w:spacing w:after="0" w:line="241" w:lineRule="exact"/>
        <w:rPr>
          <w:sz w:val="21"/>
        </w:rPr>
        <w:sectPr>
          <w:pgSz w:w="11910" w:h="16840"/>
          <w:pgMar w:header="0" w:footer="677" w:top="1100" w:bottom="860" w:left="720" w:right="720"/>
        </w:sectPr>
      </w:pPr>
    </w:p>
    <w:p>
      <w:pPr>
        <w:pStyle w:val="BodyText"/>
        <w:spacing w:before="19"/>
        <w:ind w:left="3406"/>
      </w:pPr>
      <w:r>
        <w:rPr/>
        <w:t>保险人个人账户的保险费金额。</w:t>
      </w:r>
    </w:p>
    <w:p>
      <w:pPr>
        <w:pStyle w:val="BodyText"/>
        <w:ind w:left="2986"/>
      </w:pPr>
      <w:r>
        <w:rPr/>
        <w:t>三、账户资产的投资组合以及运作方式由我们确定。</w:t>
      </w:r>
    </w:p>
    <w:p>
      <w:pPr>
        <w:pStyle w:val="BodyText"/>
        <w:spacing w:before="2"/>
        <w:rPr>
          <w:sz w:val="20"/>
        </w:rPr>
      </w:pPr>
    </w:p>
    <w:p>
      <w:pPr>
        <w:pStyle w:val="ListParagraph"/>
        <w:numPr>
          <w:ilvl w:val="1"/>
          <w:numId w:val="10"/>
        </w:numPr>
        <w:tabs>
          <w:tab w:pos="1006" w:val="left" w:leader="none"/>
          <w:tab w:pos="1007" w:val="left" w:leader="none"/>
          <w:tab w:pos="2986" w:val="left" w:leader="none"/>
        </w:tabs>
        <w:spacing w:line="240" w:lineRule="auto" w:before="0" w:after="0"/>
        <w:ind w:left="1006" w:right="0" w:hanging="797"/>
        <w:jc w:val="left"/>
        <w:rPr>
          <w:sz w:val="21"/>
        </w:rPr>
      </w:pPr>
      <w:r>
        <w:rPr>
          <w:b/>
          <w:sz w:val="21"/>
        </w:rPr>
        <w:t>相关费用</w:t>
        <w:tab/>
      </w:r>
      <w:r>
        <w:rPr>
          <w:sz w:val="21"/>
        </w:rPr>
        <w:t>一、初始费用</w:t>
      </w:r>
    </w:p>
    <w:p>
      <w:pPr>
        <w:pStyle w:val="BodyText"/>
        <w:spacing w:line="273" w:lineRule="auto"/>
        <w:ind w:left="3826" w:right="207" w:hanging="420"/>
        <w:jc w:val="both"/>
      </w:pPr>
      <w:r>
        <w:rPr/>
        <w:t>(一)初始费用是指贵单位所交纳的保险费在进入合同账户之前所扣除的费用；</w:t>
      </w:r>
    </w:p>
    <w:p>
      <w:pPr>
        <w:pStyle w:val="BodyText"/>
        <w:spacing w:line="273" w:lineRule="auto" w:before="8"/>
        <w:ind w:left="2986" w:right="3789" w:firstLine="420"/>
      </w:pPr>
      <w:r>
        <w:rPr/>
        <w:t>(二)本合同的初始费用不高于 8%。二、退保费用</w:t>
      </w:r>
    </w:p>
    <w:p>
      <w:pPr>
        <w:pStyle w:val="BodyText"/>
        <w:spacing w:line="264" w:lineRule="auto" w:before="8" w:after="21"/>
        <w:ind w:left="3860" w:right="207" w:hanging="454"/>
        <w:jc w:val="both"/>
      </w:pPr>
      <w:r>
        <w:rPr>
          <w:rFonts w:ascii="Times New Roman" w:eastAsia="Times New Roman"/>
        </w:rPr>
        <w:t>(</w:t>
      </w:r>
      <w:r>
        <w:rPr/>
        <w:t>一</w:t>
      </w:r>
      <w:r>
        <w:rPr>
          <w:rFonts w:ascii="Times New Roman" w:eastAsia="Times New Roman"/>
        </w:rPr>
        <w:t>) </w:t>
      </w:r>
      <w:r>
        <w:rPr/>
        <w:t>在本合同有效期间内，若贵单位申请解除本合同，我们将按申请时团体账户价值与所有被保险人个人账户价值余额之和的一定比例收取退</w:t>
      </w:r>
      <w:r>
        <w:rPr>
          <w:w w:val="95"/>
        </w:rPr>
        <w:t>保手续费：</w:t>
      </w:r>
    </w:p>
    <w:tbl>
      <w:tblPr>
        <w:tblW w:w="0" w:type="auto"/>
        <w:jc w:val="left"/>
        <w:tblInd w:w="3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6"/>
        <w:gridCol w:w="1056"/>
        <w:gridCol w:w="1057"/>
        <w:gridCol w:w="1057"/>
        <w:gridCol w:w="1549"/>
      </w:tblGrid>
      <w:tr>
        <w:trPr>
          <w:trHeight w:val="311" w:hRule="atLeast"/>
        </w:trPr>
        <w:tc>
          <w:tcPr>
            <w:tcW w:w="1686" w:type="dxa"/>
          </w:tcPr>
          <w:p>
            <w:pPr>
              <w:pStyle w:val="TableParagraph"/>
              <w:spacing w:line="270" w:lineRule="exact"/>
              <w:ind w:left="191" w:right="183"/>
              <w:jc w:val="center"/>
              <w:rPr>
                <w:sz w:val="21"/>
              </w:rPr>
            </w:pPr>
            <w:r>
              <w:rPr>
                <w:sz w:val="21"/>
              </w:rPr>
              <w:t>保单年度</w:t>
            </w:r>
          </w:p>
        </w:tc>
        <w:tc>
          <w:tcPr>
            <w:tcW w:w="1056" w:type="dxa"/>
          </w:tcPr>
          <w:p>
            <w:pPr>
              <w:pStyle w:val="TableParagraph"/>
              <w:spacing w:line="270" w:lineRule="exact"/>
              <w:ind w:left="192" w:right="184"/>
              <w:jc w:val="center"/>
              <w:rPr>
                <w:sz w:val="21"/>
              </w:rPr>
            </w:pPr>
            <w:r>
              <w:rPr>
                <w:sz w:val="21"/>
              </w:rPr>
              <w:t>第一年</w:t>
            </w:r>
          </w:p>
        </w:tc>
        <w:tc>
          <w:tcPr>
            <w:tcW w:w="1057" w:type="dxa"/>
          </w:tcPr>
          <w:p>
            <w:pPr>
              <w:pStyle w:val="TableParagraph"/>
              <w:spacing w:line="270" w:lineRule="exact"/>
              <w:ind w:left="192" w:right="183"/>
              <w:jc w:val="center"/>
              <w:rPr>
                <w:sz w:val="21"/>
              </w:rPr>
            </w:pPr>
            <w:r>
              <w:rPr>
                <w:sz w:val="21"/>
              </w:rPr>
              <w:t>第二年</w:t>
            </w:r>
          </w:p>
        </w:tc>
        <w:tc>
          <w:tcPr>
            <w:tcW w:w="1057" w:type="dxa"/>
          </w:tcPr>
          <w:p>
            <w:pPr>
              <w:pStyle w:val="TableParagraph"/>
              <w:spacing w:line="270" w:lineRule="exact"/>
              <w:ind w:left="193" w:right="183"/>
              <w:jc w:val="center"/>
              <w:rPr>
                <w:sz w:val="21"/>
              </w:rPr>
            </w:pPr>
            <w:r>
              <w:rPr>
                <w:sz w:val="21"/>
              </w:rPr>
              <w:t>第三年</w:t>
            </w:r>
          </w:p>
        </w:tc>
        <w:tc>
          <w:tcPr>
            <w:tcW w:w="1549" w:type="dxa"/>
          </w:tcPr>
          <w:p>
            <w:pPr>
              <w:pStyle w:val="TableParagraph"/>
              <w:spacing w:line="270" w:lineRule="exact"/>
              <w:ind w:left="124" w:right="115"/>
              <w:jc w:val="center"/>
              <w:rPr>
                <w:sz w:val="21"/>
              </w:rPr>
            </w:pPr>
            <w:r>
              <w:rPr>
                <w:sz w:val="21"/>
              </w:rPr>
              <w:t>第四年及以后</w:t>
            </w:r>
          </w:p>
        </w:tc>
      </w:tr>
      <w:tr>
        <w:trPr>
          <w:trHeight w:val="312" w:hRule="atLeast"/>
        </w:trPr>
        <w:tc>
          <w:tcPr>
            <w:tcW w:w="1686" w:type="dxa"/>
          </w:tcPr>
          <w:p>
            <w:pPr>
              <w:pStyle w:val="TableParagraph"/>
              <w:spacing w:line="272" w:lineRule="exact"/>
              <w:ind w:left="191" w:right="184"/>
              <w:jc w:val="center"/>
              <w:rPr>
                <w:sz w:val="21"/>
              </w:rPr>
            </w:pPr>
            <w:r>
              <w:rPr>
                <w:sz w:val="21"/>
              </w:rPr>
              <w:t>退保费用比例</w:t>
            </w:r>
          </w:p>
        </w:tc>
        <w:tc>
          <w:tcPr>
            <w:tcW w:w="1056" w:type="dxa"/>
          </w:tcPr>
          <w:p>
            <w:pPr>
              <w:pStyle w:val="TableParagraph"/>
              <w:spacing w:line="272" w:lineRule="exact"/>
              <w:ind w:left="190" w:right="184"/>
              <w:jc w:val="center"/>
              <w:rPr>
                <w:sz w:val="21"/>
              </w:rPr>
            </w:pPr>
            <w:r>
              <w:rPr>
                <w:sz w:val="21"/>
              </w:rPr>
              <w:t>4%</w:t>
            </w:r>
          </w:p>
        </w:tc>
        <w:tc>
          <w:tcPr>
            <w:tcW w:w="1057" w:type="dxa"/>
          </w:tcPr>
          <w:p>
            <w:pPr>
              <w:pStyle w:val="TableParagraph"/>
              <w:spacing w:line="272" w:lineRule="exact"/>
              <w:ind w:left="190" w:right="183"/>
              <w:jc w:val="center"/>
              <w:rPr>
                <w:sz w:val="21"/>
              </w:rPr>
            </w:pPr>
            <w:r>
              <w:rPr>
                <w:sz w:val="21"/>
              </w:rPr>
              <w:t>2%</w:t>
            </w:r>
          </w:p>
        </w:tc>
        <w:tc>
          <w:tcPr>
            <w:tcW w:w="1057" w:type="dxa"/>
          </w:tcPr>
          <w:p>
            <w:pPr>
              <w:pStyle w:val="TableParagraph"/>
              <w:spacing w:line="272" w:lineRule="exact"/>
              <w:ind w:left="191" w:right="183"/>
              <w:jc w:val="center"/>
              <w:rPr>
                <w:sz w:val="21"/>
              </w:rPr>
            </w:pPr>
            <w:r>
              <w:rPr>
                <w:sz w:val="21"/>
              </w:rPr>
              <w:t>1%</w:t>
            </w:r>
          </w:p>
        </w:tc>
        <w:tc>
          <w:tcPr>
            <w:tcW w:w="1549" w:type="dxa"/>
          </w:tcPr>
          <w:p>
            <w:pPr>
              <w:pStyle w:val="TableParagraph"/>
              <w:spacing w:line="272" w:lineRule="exact"/>
              <w:ind w:left="123" w:right="115"/>
              <w:jc w:val="center"/>
              <w:rPr>
                <w:sz w:val="21"/>
              </w:rPr>
            </w:pPr>
            <w:r>
              <w:rPr>
                <w:sz w:val="21"/>
              </w:rPr>
              <w:t>0%</w:t>
            </w:r>
          </w:p>
        </w:tc>
      </w:tr>
    </w:tbl>
    <w:p>
      <w:pPr>
        <w:pStyle w:val="BodyText"/>
        <w:spacing w:line="256" w:lineRule="auto" w:before="0"/>
        <w:ind w:left="3860" w:right="207" w:hanging="454"/>
        <w:jc w:val="both"/>
      </w:pPr>
      <w:r>
        <w:rPr>
          <w:rFonts w:ascii="Times New Roman" w:eastAsia="Times New Roman"/>
        </w:rPr>
        <w:t>(</w:t>
      </w:r>
      <w:r>
        <w:rPr/>
        <w:t>二</w:t>
      </w:r>
      <w:r>
        <w:rPr>
          <w:rFonts w:ascii="Times New Roman" w:eastAsia="Times New Roman"/>
        </w:rPr>
        <w:t>) </w:t>
      </w:r>
      <w:r>
        <w:rPr/>
        <w:t>在本合同有效期间内，若贵单位申请解除被保险人的参保资格，我们</w:t>
      </w:r>
      <w:r>
        <w:rPr>
          <w:w w:val="95"/>
        </w:rPr>
        <w:t>按申请时该被保险人个人账户价值余额的上述比例收取退保费用。</w:t>
      </w:r>
    </w:p>
    <w:p>
      <w:pPr>
        <w:pStyle w:val="BodyText"/>
        <w:spacing w:before="22"/>
        <w:ind w:left="2986"/>
      </w:pPr>
      <w:r>
        <w:rPr/>
        <w:t>三、风险保险费</w:t>
      </w:r>
    </w:p>
    <w:p>
      <w:pPr>
        <w:pStyle w:val="BodyText"/>
        <w:spacing w:line="273" w:lineRule="auto" w:before="36"/>
        <w:ind w:left="3860" w:right="196" w:hanging="454"/>
        <w:jc w:val="both"/>
      </w:pPr>
      <w:r>
        <w:rPr>
          <w:spacing w:val="-9"/>
        </w:rPr>
        <w:t>(一) 我们对本合同承担的保险责任收取相应的风险保险费。风险保险费根据被保险人的年龄、性别、风险保额及风险程度决定。标准体每千元</w:t>
      </w:r>
      <w:r>
        <w:rPr>
          <w:spacing w:val="-13"/>
        </w:rPr>
        <w:t>风险保额应收取的年风险保险费请详见附表《年风险保险费费率表》。</w:t>
      </w:r>
    </w:p>
    <w:p>
      <w:pPr>
        <w:pStyle w:val="BodyText"/>
        <w:spacing w:line="273" w:lineRule="auto" w:before="7"/>
        <w:ind w:left="3860" w:right="302" w:hanging="454"/>
        <w:jc w:val="both"/>
      </w:pPr>
      <w:r>
        <w:rPr>
          <w:spacing w:val="-9"/>
        </w:rPr>
        <w:t>(二) 若根据被保险人的风险程度需要增加风险保险费，我们将在保险单上载明或批注。我们从被保险人账户中扣除当年风险保险费。若贵单位欠交以前应交的风险保险费，我们也将同时扣除欠交的风险保险费。</w:t>
      </w:r>
    </w:p>
    <w:p>
      <w:pPr>
        <w:pStyle w:val="BodyText"/>
        <w:spacing w:before="7"/>
        <w:ind w:left="2986"/>
      </w:pPr>
      <w:r>
        <w:rPr/>
        <w:t>四、风险保险费调整</w:t>
      </w:r>
    </w:p>
    <w:p>
      <w:pPr>
        <w:pStyle w:val="BodyText"/>
        <w:spacing w:line="264" w:lineRule="auto" w:before="36"/>
        <w:ind w:left="3860" w:right="302" w:hanging="454"/>
        <w:jc w:val="both"/>
      </w:pPr>
      <w:r>
        <w:rPr>
          <w:rFonts w:ascii="Times New Roman" w:eastAsia="Times New Roman"/>
        </w:rPr>
        <w:t>(</w:t>
      </w:r>
      <w:r>
        <w:rPr/>
        <w:t>一</w:t>
      </w:r>
      <w:r>
        <w:rPr>
          <w:rFonts w:ascii="Times New Roman" w:eastAsia="Times New Roman"/>
        </w:rPr>
        <w:t>) </w:t>
      </w:r>
      <w:r>
        <w:rPr/>
        <w:t>由于确定本合同风险保险费率所使用的重大疾病发生率可能会随着医疗科学技术的进步在合同有效期间内发生变化，因此我们保留对风险</w:t>
      </w:r>
      <w:r>
        <w:rPr>
          <w:w w:val="95"/>
        </w:rPr>
        <w:t>保险费率进行调整的权利。</w:t>
      </w:r>
    </w:p>
    <w:p>
      <w:pPr>
        <w:pStyle w:val="BodyText"/>
        <w:spacing w:line="268" w:lineRule="auto" w:before="15"/>
        <w:ind w:left="3860" w:right="302" w:hanging="454"/>
        <w:jc w:val="both"/>
      </w:pPr>
      <w:r>
        <w:rPr>
          <w:rFonts w:ascii="Times New Roman" w:eastAsia="Times New Roman"/>
        </w:rPr>
        <w:t>(</w:t>
      </w:r>
      <w:r>
        <w:rPr/>
        <w:t>二</w:t>
      </w:r>
      <w:r>
        <w:rPr>
          <w:rFonts w:ascii="Times New Roman" w:eastAsia="Times New Roman"/>
        </w:rPr>
        <w:t>) </w:t>
      </w:r>
      <w:r>
        <w:rPr/>
        <w:t>若根据实际情况需要对风险保险费率进行调整，我们将提前六个月向国务院保险监督管理机构上报费率调整方案并向贵单位发放客户通知书，告知贵单位开始执行新费率标准的时间、方式以及调整费率的原因和目的。为保持公平性，调整后的风险保险费率将适用于所有被保</w:t>
      </w:r>
      <w:r>
        <w:rPr>
          <w:w w:val="95"/>
        </w:rPr>
        <w:t>险人或同一投保年龄的所有被保险人。</w:t>
      </w:r>
    </w:p>
    <w:p>
      <w:pPr>
        <w:pStyle w:val="BodyText"/>
        <w:spacing w:line="273" w:lineRule="auto" w:before="11"/>
        <w:ind w:left="3860" w:right="302" w:hanging="454"/>
        <w:jc w:val="both"/>
      </w:pPr>
      <w:r>
        <w:rPr>
          <w:spacing w:val="-9"/>
        </w:rPr>
        <w:t>(三) 我们进行风险保险费率调整后，贵单位须按调整后的风险保险费率交纳风险保险费，风险保险费率调整前贵单位已经交纳的风险保险费不受影响。</w:t>
      </w:r>
    </w:p>
    <w:p>
      <w:pPr>
        <w:pStyle w:val="BodyText"/>
        <w:spacing w:before="11"/>
        <w:rPr>
          <w:sz w:val="17"/>
        </w:rPr>
      </w:pPr>
    </w:p>
    <w:p>
      <w:pPr>
        <w:pStyle w:val="ListParagraph"/>
        <w:numPr>
          <w:ilvl w:val="1"/>
          <w:numId w:val="10"/>
        </w:numPr>
        <w:tabs>
          <w:tab w:pos="1006" w:val="left" w:leader="none"/>
          <w:tab w:pos="1007" w:val="left" w:leader="none"/>
          <w:tab w:pos="2986" w:val="left" w:leader="none"/>
        </w:tabs>
        <w:spacing w:line="240" w:lineRule="auto" w:before="1" w:after="0"/>
        <w:ind w:left="1006" w:right="0" w:hanging="797"/>
        <w:jc w:val="left"/>
        <w:rPr>
          <w:sz w:val="21"/>
        </w:rPr>
      </w:pPr>
      <w:r>
        <w:rPr>
          <w:b/>
          <w:sz w:val="21"/>
        </w:rPr>
        <w:t>保证利率</w:t>
        <w:tab/>
      </w:r>
      <w:r>
        <w:rPr>
          <w:sz w:val="21"/>
        </w:rPr>
        <w:t>一、我们提供的最低保证利率为年利率</w:t>
      </w:r>
      <w:r>
        <w:rPr>
          <w:spacing w:val="-53"/>
          <w:sz w:val="21"/>
        </w:rPr>
        <w:t> </w:t>
      </w:r>
      <w:r>
        <w:rPr>
          <w:sz w:val="21"/>
        </w:rPr>
        <w:t>2.5%。</w:t>
      </w:r>
    </w:p>
    <w:p>
      <w:pPr>
        <w:pStyle w:val="BodyText"/>
        <w:spacing w:line="273" w:lineRule="auto"/>
        <w:ind w:left="3406" w:right="207" w:hanging="420"/>
        <w:jc w:val="both"/>
      </w:pPr>
      <w:r>
        <w:rPr>
          <w:spacing w:val="-4"/>
        </w:rPr>
        <w:t>二、我们有权在每个会计年度对保证利率进行调整，但调整后的保证利率将不低</w:t>
      </w:r>
      <w:r>
        <w:rPr>
          <w:spacing w:val="-8"/>
        </w:rPr>
        <w:t>于当时中国人民银行公布的一年定期存款税后利率，且须符合当时国务院保险监督管理机构的规定。</w:t>
      </w:r>
    </w:p>
    <w:p>
      <w:pPr>
        <w:pStyle w:val="BodyText"/>
        <w:spacing w:before="11"/>
        <w:rPr>
          <w:sz w:val="17"/>
        </w:rPr>
      </w:pPr>
    </w:p>
    <w:p>
      <w:pPr>
        <w:pStyle w:val="ListParagraph"/>
        <w:numPr>
          <w:ilvl w:val="1"/>
          <w:numId w:val="10"/>
        </w:numPr>
        <w:tabs>
          <w:tab w:pos="1006" w:val="left" w:leader="none"/>
          <w:tab w:pos="1007" w:val="left" w:leader="none"/>
          <w:tab w:pos="2986" w:val="left" w:leader="none"/>
        </w:tabs>
        <w:spacing w:line="240" w:lineRule="auto" w:before="0" w:after="0"/>
        <w:ind w:left="1006" w:right="0" w:hanging="797"/>
        <w:jc w:val="left"/>
        <w:rPr>
          <w:sz w:val="21"/>
        </w:rPr>
      </w:pPr>
      <w:r>
        <w:rPr>
          <w:b/>
          <w:sz w:val="21"/>
        </w:rPr>
        <w:t>账户价值</w:t>
        <w:tab/>
      </w:r>
      <w:r>
        <w:rPr>
          <w:sz w:val="21"/>
        </w:rPr>
        <w:t>个人账户价值和团体账户价值依据本合同约定的保证利率按年进行复利累计。</w:t>
      </w:r>
    </w:p>
    <w:p>
      <w:pPr>
        <w:pStyle w:val="Heading2"/>
        <w:numPr>
          <w:ilvl w:val="2"/>
          <w:numId w:val="10"/>
        </w:numPr>
        <w:tabs>
          <w:tab w:pos="1006" w:val="left" w:leader="none"/>
          <w:tab w:pos="1007" w:val="left" w:leader="none"/>
        </w:tabs>
        <w:spacing w:line="240" w:lineRule="auto" w:before="162" w:after="0"/>
        <w:ind w:left="1006" w:right="0" w:hanging="685"/>
        <w:jc w:val="left"/>
      </w:pPr>
      <w:r>
        <w:rPr/>
        <w:pict>
          <v:group style="position:absolute;margin-left:41.099998pt;margin-top:45.149803pt;width:513.1pt;height:1pt;mso-position-horizontal-relative:page;mso-position-vertical-relative:paragraph;z-index:1120;mso-wrap-distance-left:0;mso-wrap-distance-right:0" coordorigin="822,903" coordsize="10262,20">
            <v:line style="position:absolute" from="822,913" to="3618,913" stroked="true" strokeweight=".95999pt" strokecolor="#000000">
              <v:stroke dashstyle="solid"/>
            </v:line>
            <v:line style="position:absolute" from="3618,913" to="11083,913" stroked="true" strokeweight=".96pt" strokecolor="#000000">
              <v:stroke dashstyle="solid"/>
            </v:line>
            <w10:wrap type="topAndBottom"/>
          </v:group>
        </w:pict>
      </w:r>
      <w:r>
        <w:rPr/>
        <w:t>被保险人的变动</w:t>
      </w:r>
    </w:p>
    <w:p>
      <w:pPr>
        <w:pStyle w:val="BodyText"/>
        <w:spacing w:before="10"/>
        <w:rPr>
          <w:b/>
          <w:sz w:val="9"/>
        </w:rPr>
      </w:pPr>
    </w:p>
    <w:p>
      <w:pPr>
        <w:pStyle w:val="ListParagraph"/>
        <w:numPr>
          <w:ilvl w:val="1"/>
          <w:numId w:val="11"/>
        </w:numPr>
        <w:tabs>
          <w:tab w:pos="1006" w:val="left" w:leader="none"/>
          <w:tab w:pos="1007" w:val="left" w:leader="none"/>
          <w:tab w:pos="2986" w:val="left" w:leader="none"/>
        </w:tabs>
        <w:spacing w:line="273" w:lineRule="auto" w:before="35" w:after="0"/>
        <w:ind w:left="2986" w:right="207" w:hanging="2776"/>
        <w:jc w:val="left"/>
        <w:rPr>
          <w:sz w:val="21"/>
        </w:rPr>
      </w:pPr>
      <w:r>
        <w:rPr>
          <w:b/>
          <w:sz w:val="21"/>
        </w:rPr>
        <w:t>增加被保险人</w:t>
        <w:tab/>
      </w:r>
      <w:r>
        <w:rPr>
          <w:sz w:val="21"/>
        </w:rPr>
        <w:t>若贵单位因在职人员变动需要增加被保险人</w:t>
      </w:r>
      <w:r>
        <w:rPr>
          <w:spacing w:val="-41"/>
          <w:sz w:val="21"/>
        </w:rPr>
        <w:t>，</w:t>
      </w:r>
      <w:r>
        <w:rPr>
          <w:sz w:val="21"/>
        </w:rPr>
        <w:t>应以书面形式通知我们</w:t>
      </w:r>
      <w:r>
        <w:rPr>
          <w:spacing w:val="-41"/>
          <w:sz w:val="21"/>
        </w:rPr>
        <w:t>。</w:t>
      </w:r>
      <w:r>
        <w:rPr>
          <w:sz w:val="21"/>
        </w:rPr>
        <w:t>贵单位增加被保险人的申请自我们审核同意</w:t>
      </w:r>
      <w:r>
        <w:rPr>
          <w:spacing w:val="-82"/>
          <w:sz w:val="21"/>
        </w:rPr>
        <w:t>、</w:t>
      </w:r>
      <w:r>
        <w:rPr>
          <w:sz w:val="21"/>
        </w:rPr>
        <w:t>收到保险费并为该被保险人建立个人账户次</w:t>
      </w:r>
    </w:p>
    <w:p>
      <w:pPr>
        <w:spacing w:after="0" w:line="273" w:lineRule="auto"/>
        <w:jc w:val="left"/>
        <w:rPr>
          <w:sz w:val="21"/>
        </w:rPr>
        <w:sectPr>
          <w:pgSz w:w="11910" w:h="16840"/>
          <w:pgMar w:header="0" w:footer="677" w:top="1100" w:bottom="860" w:left="720" w:right="720"/>
        </w:sectPr>
      </w:pPr>
    </w:p>
    <w:p>
      <w:pPr>
        <w:pStyle w:val="BodyText"/>
        <w:spacing w:before="19"/>
        <w:ind w:left="2986"/>
      </w:pPr>
      <w:r>
        <w:rPr/>
        <w:t>日零时起生效。我们在为该被保险人建立个人账户后扣除风险保险费。</w:t>
      </w:r>
    </w:p>
    <w:p>
      <w:pPr>
        <w:pStyle w:val="BodyText"/>
        <w:spacing w:before="2"/>
        <w:rPr>
          <w:sz w:val="20"/>
        </w:rPr>
      </w:pPr>
    </w:p>
    <w:p>
      <w:pPr>
        <w:pStyle w:val="ListParagraph"/>
        <w:numPr>
          <w:ilvl w:val="1"/>
          <w:numId w:val="11"/>
        </w:numPr>
        <w:tabs>
          <w:tab w:pos="1007" w:val="left" w:leader="none"/>
        </w:tabs>
        <w:spacing w:line="273" w:lineRule="auto" w:before="0" w:after="0"/>
        <w:ind w:left="2986" w:right="206" w:hanging="2776"/>
        <w:jc w:val="both"/>
        <w:rPr>
          <w:sz w:val="21"/>
        </w:rPr>
      </w:pPr>
      <w:r>
        <w:rPr>
          <w:b/>
          <w:spacing w:val="3"/>
          <w:sz w:val="21"/>
        </w:rPr>
        <w:t>减少被保险人      </w:t>
      </w:r>
      <w:r>
        <w:rPr>
          <w:sz w:val="21"/>
        </w:rPr>
        <w:t>若贵单位因被保险人离职或其它原因需要减少被保险人，应以书面形式通知我</w:t>
      </w:r>
      <w:r>
        <w:rPr>
          <w:spacing w:val="-9"/>
          <w:sz w:val="21"/>
        </w:rPr>
        <w:t>们。自我们收到贵单位书面通知之时起，我们对该被保险人所承担的保险责任终止，并在扣除退保费用后退还保险责任终止之日的该被保险人账户价值。</w:t>
      </w:r>
    </w:p>
    <w:p>
      <w:pPr>
        <w:pStyle w:val="BodyText"/>
        <w:spacing w:before="11"/>
        <w:rPr>
          <w:sz w:val="17"/>
        </w:rPr>
      </w:pPr>
    </w:p>
    <w:p>
      <w:pPr>
        <w:pStyle w:val="ListParagraph"/>
        <w:numPr>
          <w:ilvl w:val="1"/>
          <w:numId w:val="11"/>
        </w:numPr>
        <w:tabs>
          <w:tab w:pos="1006" w:val="left" w:leader="none"/>
          <w:tab w:pos="1007" w:val="left" w:leader="none"/>
          <w:tab w:pos="2986" w:val="left" w:leader="none"/>
        </w:tabs>
        <w:spacing w:line="273" w:lineRule="auto" w:before="1" w:after="0"/>
        <w:ind w:left="2986" w:right="125" w:hanging="2777"/>
        <w:jc w:val="left"/>
        <w:rPr>
          <w:sz w:val="21"/>
        </w:rPr>
      </w:pPr>
      <w:r>
        <w:rPr>
          <w:b/>
          <w:sz w:val="21"/>
        </w:rPr>
        <w:t>对合同效力的影响</w:t>
        <w:tab/>
      </w:r>
      <w:r>
        <w:rPr>
          <w:sz w:val="21"/>
        </w:rPr>
        <w:t>若本合同的被保险人人数或参保比例不符合国务院保险监督管理机构的规定时，我们在提前30日书面通知贵单位后有权解除本合同</w:t>
      </w:r>
      <w:r>
        <w:rPr>
          <w:spacing w:val="-82"/>
          <w:sz w:val="21"/>
        </w:rPr>
        <w:t>，</w:t>
      </w:r>
      <w:r>
        <w:rPr>
          <w:sz w:val="21"/>
        </w:rPr>
        <w:t>同时向贵单位退还本合同的账户价值。</w:t>
      </w:r>
    </w:p>
    <w:p>
      <w:pPr>
        <w:pStyle w:val="Heading2"/>
        <w:tabs>
          <w:tab w:pos="1006" w:val="left" w:leader="none"/>
        </w:tabs>
        <w:spacing w:before="132"/>
        <w:ind w:left="321"/>
      </w:pPr>
      <w:r>
        <w:rPr/>
        <w:pict>
          <v:group style="position:absolute;margin-left:41.099998pt;margin-top:43.649757pt;width:513.1pt;height:1pt;mso-position-horizontal-relative:page;mso-position-vertical-relative:paragraph;z-index:1144;mso-wrap-distance-left:0;mso-wrap-distance-right:0" coordorigin="822,873" coordsize="10262,20">
            <v:line style="position:absolute" from="822,883" to="3618,883" stroked="true" strokeweight=".96002pt" strokecolor="#000000">
              <v:stroke dashstyle="solid"/>
            </v:line>
            <v:line style="position:absolute" from="3618,883" to="11083,883" stroked="true" strokeweight=".96pt" strokecolor="#000000">
              <v:stroke dashstyle="solid"/>
            </v:line>
            <w10:wrap type="topAndBottom"/>
          </v:group>
        </w:pict>
      </w:r>
      <w:r>
        <w:rPr>
          <w:rFonts w:ascii="Yu Gothic" w:eastAsia="Yu Gothic" w:hint="eastAsia"/>
          <w:w w:val="135"/>
          <w:position w:val="-3"/>
          <w:sz w:val="40"/>
        </w:rPr>
        <w:t>0</w:t>
        <w:tab/>
      </w:r>
      <w:r>
        <w:rPr/>
        <w:t>职业、工种或环境变更</w:t>
      </w:r>
    </w:p>
    <w:p>
      <w:pPr>
        <w:pStyle w:val="BodyText"/>
        <w:spacing w:before="11"/>
        <w:rPr>
          <w:b/>
          <w:sz w:val="9"/>
        </w:rPr>
      </w:pPr>
    </w:p>
    <w:p>
      <w:pPr>
        <w:spacing w:after="0"/>
        <w:rPr>
          <w:sz w:val="9"/>
        </w:rPr>
        <w:sectPr>
          <w:pgSz w:w="11910" w:h="16840"/>
          <w:pgMar w:header="0" w:footer="677" w:top="1100" w:bottom="860" w:left="720" w:right="720"/>
        </w:sectPr>
      </w:pPr>
    </w:p>
    <w:p>
      <w:pPr>
        <w:pStyle w:val="Heading4"/>
        <w:tabs>
          <w:tab w:pos="1006" w:val="left" w:leader="none"/>
        </w:tabs>
        <w:spacing w:before="35"/>
        <w:ind w:left="210"/>
      </w:pPr>
      <w:r>
        <w:rPr/>
        <w:t>7.1</w:t>
        <w:tab/>
      </w:r>
      <w:r>
        <w:rPr>
          <w:w w:val="95"/>
        </w:rPr>
        <w:t>职业、工种或环境</w:t>
      </w:r>
    </w:p>
    <w:p>
      <w:pPr>
        <w:spacing w:before="36"/>
        <w:ind w:left="988" w:right="1244" w:firstLine="0"/>
        <w:jc w:val="center"/>
        <w:rPr>
          <w:b/>
          <w:sz w:val="21"/>
        </w:rPr>
      </w:pPr>
      <w:r>
        <w:rPr>
          <w:b/>
          <w:sz w:val="21"/>
        </w:rPr>
        <w:t>变更</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3"/>
        </w:rPr>
      </w:pPr>
    </w:p>
    <w:p>
      <w:pPr>
        <w:tabs>
          <w:tab w:pos="1006" w:val="left" w:leader="none"/>
        </w:tabs>
        <w:spacing w:before="1"/>
        <w:ind w:left="321" w:right="0" w:firstLine="0"/>
        <w:jc w:val="left"/>
        <w:rPr>
          <w:b/>
          <w:sz w:val="24"/>
        </w:rPr>
      </w:pPr>
      <w:r>
        <w:rPr>
          <w:rFonts w:ascii="Yu Gothic" w:hAnsi="Yu Gothic" w:eastAsia="Yu Gothic" w:hint="eastAsia"/>
          <w:b/>
          <w:w w:val="135"/>
          <w:position w:val="-3"/>
          <w:sz w:val="40"/>
        </w:rPr>
        <w:t>®</w:t>
        <w:tab/>
      </w:r>
      <w:r>
        <w:rPr>
          <w:b/>
          <w:sz w:val="24"/>
        </w:rPr>
        <w:t>合同中止和复效</w:t>
      </w:r>
    </w:p>
    <w:p>
      <w:pPr>
        <w:pStyle w:val="BodyText"/>
        <w:spacing w:line="273" w:lineRule="auto" w:before="35"/>
        <w:ind w:left="630" w:right="207" w:hanging="420"/>
        <w:jc w:val="both"/>
      </w:pPr>
      <w:r>
        <w:rPr/>
        <w:br w:type="column"/>
      </w:r>
      <w:r>
        <w:rPr>
          <w:spacing w:val="-6"/>
        </w:rPr>
        <w:t>一、若被保险人的职业、工种或环境发生变更，贵单位或被保险人应自变更之日</w:t>
      </w:r>
      <w:r>
        <w:rPr>
          <w:spacing w:val="-32"/>
        </w:rPr>
        <w:t>起 </w:t>
      </w:r>
      <w:r>
        <w:rPr/>
        <w:t>10</w:t>
      </w:r>
      <w:r>
        <w:rPr>
          <w:spacing w:val="-20"/>
        </w:rPr>
        <w:t> 日内</w:t>
      </w:r>
      <w:r>
        <w:rPr/>
        <w:t>（</w:t>
      </w:r>
      <w:r>
        <w:rPr>
          <w:spacing w:val="-20"/>
        </w:rPr>
        <w:t>含第 </w:t>
      </w:r>
      <w:r>
        <w:rPr/>
        <w:t>10</w:t>
      </w:r>
      <w:r>
        <w:rPr>
          <w:spacing w:val="-29"/>
        </w:rPr>
        <w:t> 日</w:t>
      </w:r>
      <w:r>
        <w:rPr/>
        <w:t>）以书面形式通知我们。</w:t>
      </w:r>
    </w:p>
    <w:p>
      <w:pPr>
        <w:pStyle w:val="BodyText"/>
        <w:spacing w:line="273" w:lineRule="auto" w:before="7"/>
        <w:ind w:left="630" w:right="207" w:hanging="420"/>
        <w:jc w:val="both"/>
      </w:pPr>
      <w:r>
        <w:rPr>
          <w:spacing w:val="-6"/>
        </w:rPr>
        <w:t>二、我们将根据变更后的职业、工种或环境的危险程度确定该被保险人的危险程</w:t>
      </w:r>
      <w:r>
        <w:rPr>
          <w:spacing w:val="-11"/>
        </w:rPr>
        <w:t>度是否属于我们的可保范围。若属于我们的可保范围，我们将重新核定该被</w:t>
      </w:r>
      <w:r>
        <w:rPr>
          <w:spacing w:val="-13"/>
        </w:rPr>
        <w:t>保险人自其职业、工种或环境变更之日起的风险保险费交费标准；若不属于</w:t>
      </w:r>
      <w:r>
        <w:rPr>
          <w:spacing w:val="-14"/>
        </w:rPr>
        <w:t>我们的可保范围，该被保险人的参保资格自其职业、工种或环境变更之日起解除，我们向该被保险人的账户退还其未满期风险保险费。</w:t>
      </w:r>
    </w:p>
    <w:p>
      <w:pPr>
        <w:pStyle w:val="BodyText"/>
        <w:spacing w:line="273" w:lineRule="auto" w:before="7"/>
        <w:ind w:left="630" w:right="207" w:hanging="420"/>
        <w:jc w:val="both"/>
      </w:pPr>
      <w:r>
        <w:rPr>
          <w:spacing w:val="-3"/>
        </w:rPr>
        <w:t>三、若经我们重新核定该被保险人的风险保险费交费标准发生变更，我们有权自</w:t>
      </w:r>
      <w:r>
        <w:rPr>
          <w:spacing w:val="-10"/>
        </w:rPr>
        <w:t>该被保险人职业、工种或环境变更之日起从该被保险人账户中按照新的交费标准扣除风险保险费，我们承担的保险责任维持不变。</w:t>
      </w:r>
    </w:p>
    <w:p>
      <w:pPr>
        <w:spacing w:after="0" w:line="273" w:lineRule="auto"/>
        <w:jc w:val="both"/>
        <w:sectPr>
          <w:type w:val="continuous"/>
          <w:pgSz w:w="11910" w:h="16840"/>
          <w:pgMar w:top="440" w:bottom="280" w:left="720" w:right="720"/>
          <w:cols w:num="2" w:equalWidth="0">
            <w:col w:w="2695" w:space="82"/>
            <w:col w:w="7693"/>
          </w:cols>
        </w:sectPr>
      </w:pPr>
    </w:p>
    <w:p>
      <w:pPr>
        <w:pStyle w:val="BodyText"/>
        <w:spacing w:before="1"/>
        <w:rPr>
          <w:sz w:val="5"/>
        </w:rPr>
      </w:pPr>
    </w:p>
    <w:p>
      <w:pPr>
        <w:pStyle w:val="BodyText"/>
        <w:spacing w:line="20" w:lineRule="exact" w:before="0"/>
        <w:ind w:left="92"/>
        <w:rPr>
          <w:sz w:val="2"/>
        </w:rPr>
      </w:pPr>
      <w:r>
        <w:rPr>
          <w:rFonts w:ascii="Times New Roman"/>
          <w:spacing w:val="6"/>
          <w:sz w:val="2"/>
        </w:rPr>
        <w:t> </w:t>
      </w:r>
      <w:r>
        <w:rPr>
          <w:spacing w:val="6"/>
          <w:sz w:val="2"/>
        </w:rPr>
        <w:pict>
          <v:group style="width:513.1pt;height:1pt;mso-position-horizontal-relative:char;mso-position-vertical-relative:line" coordorigin="0,0" coordsize="10262,20">
            <v:line style="position:absolute" from="0,10" to="2796,10" stroked="true" strokeweight=".95999pt" strokecolor="#000000">
              <v:stroke dashstyle="solid"/>
            </v:line>
            <v:line style="position:absolute" from="2796,10" to="10261,10" stroked="true" strokeweight=".96pt" strokecolor="#000000">
              <v:stroke dashstyle="solid"/>
            </v:line>
          </v:group>
        </w:pict>
      </w:r>
      <w:r>
        <w:rPr>
          <w:spacing w:val="6"/>
          <w:sz w:val="2"/>
        </w:rPr>
      </w:r>
    </w:p>
    <w:p>
      <w:pPr>
        <w:pStyle w:val="BodyText"/>
        <w:spacing w:before="3"/>
        <w:rPr>
          <w:sz w:val="11"/>
        </w:rPr>
      </w:pPr>
    </w:p>
    <w:p>
      <w:pPr>
        <w:pStyle w:val="ListParagraph"/>
        <w:numPr>
          <w:ilvl w:val="1"/>
          <w:numId w:val="12"/>
        </w:numPr>
        <w:tabs>
          <w:tab w:pos="1005" w:val="left" w:leader="none"/>
          <w:tab w:pos="1007" w:val="left" w:leader="none"/>
          <w:tab w:pos="2986" w:val="left" w:leader="none"/>
        </w:tabs>
        <w:spacing w:line="240" w:lineRule="auto" w:before="34" w:after="0"/>
        <w:ind w:left="1006" w:right="0" w:hanging="796"/>
        <w:jc w:val="left"/>
        <w:rPr>
          <w:sz w:val="21"/>
        </w:rPr>
      </w:pPr>
      <w:r>
        <w:rPr>
          <w:b/>
          <w:sz w:val="21"/>
        </w:rPr>
        <w:t>合同中止</w:t>
        <w:tab/>
      </w:r>
      <w:r>
        <w:rPr>
          <w:rFonts w:ascii="黑体" w:eastAsia="黑体" w:hint="eastAsia"/>
          <w:b/>
          <w:i/>
          <w:w w:val="95"/>
          <w:sz w:val="22"/>
        </w:rPr>
        <w:t>在本合同中止期间，我们不承担保险责任</w:t>
      </w:r>
      <w:r>
        <w:rPr>
          <w:w w:val="95"/>
          <w:sz w:val="21"/>
        </w:rPr>
        <w:t>。</w:t>
      </w:r>
    </w:p>
    <w:p>
      <w:pPr>
        <w:pStyle w:val="BodyText"/>
        <w:spacing w:before="0"/>
        <w:rPr>
          <w:sz w:val="20"/>
        </w:rPr>
      </w:pPr>
    </w:p>
    <w:p>
      <w:pPr>
        <w:pStyle w:val="ListParagraph"/>
        <w:numPr>
          <w:ilvl w:val="1"/>
          <w:numId w:val="12"/>
        </w:numPr>
        <w:tabs>
          <w:tab w:pos="1006" w:val="left" w:leader="none"/>
          <w:tab w:pos="1007" w:val="left" w:leader="none"/>
          <w:tab w:pos="2986" w:val="left" w:leader="none"/>
        </w:tabs>
        <w:spacing w:line="240" w:lineRule="auto" w:before="0" w:after="0"/>
        <w:ind w:left="1006" w:right="0" w:hanging="796"/>
        <w:jc w:val="left"/>
        <w:rPr>
          <w:sz w:val="21"/>
        </w:rPr>
      </w:pPr>
      <w:r>
        <w:rPr>
          <w:b/>
          <w:sz w:val="21"/>
        </w:rPr>
        <w:t>合同复效</w:t>
        <w:tab/>
      </w:r>
      <w:r>
        <w:rPr>
          <w:sz w:val="21"/>
        </w:rPr>
        <w:t>一、本合同中止后2年内，贵单位可以申请恢复合同效力（即复效）。经我们与</w:t>
      </w:r>
    </w:p>
    <w:p>
      <w:pPr>
        <w:pStyle w:val="BodyText"/>
        <w:spacing w:line="273" w:lineRule="auto" w:before="36"/>
        <w:ind w:left="3406" w:right="207"/>
      </w:pPr>
      <w:r>
        <w:rPr>
          <w:spacing w:val="-8"/>
        </w:rPr>
        <w:t>贵单位协商并达成协议，自贵单位补交复效时应交纳的全部风险保险费及其</w:t>
      </w:r>
      <w:r>
        <w:rPr>
          <w:b/>
          <w:spacing w:val="-8"/>
          <w:w w:val="95"/>
        </w:rPr>
        <w:t>利息</w:t>
      </w:r>
      <w:r>
        <w:rPr>
          <w:spacing w:val="-8"/>
          <w:w w:val="95"/>
        </w:rPr>
        <w:t>的次日零时起，本合同效力恢复。</w:t>
      </w:r>
    </w:p>
    <w:p>
      <w:pPr>
        <w:pStyle w:val="BodyText"/>
        <w:spacing w:line="273" w:lineRule="auto" w:before="7"/>
        <w:ind w:left="3406" w:right="208" w:hanging="420"/>
      </w:pPr>
      <w:r>
        <w:rPr/>
        <w:t>二、贵单位补交保险费扣除风险保险费后的余额计入被保险人个人账户或贵单位团体账户。</w:t>
      </w:r>
    </w:p>
    <w:p>
      <w:pPr>
        <w:pStyle w:val="BodyText"/>
        <w:spacing w:line="273" w:lineRule="auto" w:before="7"/>
        <w:ind w:left="3406" w:right="205" w:hanging="420"/>
      </w:pPr>
      <w:r>
        <w:rPr/>
        <w:t>三、自本合同中止之日起满2年贵单位和我们未达成协议的，我们有权解除该被保险人的参保资格。</w:t>
      </w:r>
    </w:p>
    <w:p>
      <w:pPr>
        <w:pStyle w:val="BodyText"/>
        <w:spacing w:before="1"/>
        <w:rPr>
          <w:sz w:val="19"/>
        </w:rPr>
      </w:pPr>
    </w:p>
    <w:p>
      <w:pPr>
        <w:pStyle w:val="Heading2"/>
        <w:numPr>
          <w:ilvl w:val="2"/>
          <w:numId w:val="12"/>
        </w:numPr>
        <w:tabs>
          <w:tab w:pos="1006" w:val="left" w:leader="none"/>
          <w:tab w:pos="1007" w:val="left" w:leader="none"/>
        </w:tabs>
        <w:spacing w:line="556" w:lineRule="exact" w:before="0" w:after="0"/>
        <w:ind w:left="1006" w:right="0" w:hanging="685"/>
        <w:jc w:val="left"/>
      </w:pPr>
      <w:r>
        <w:rPr/>
        <w:pict>
          <v:group style="position:absolute;margin-left:41.099998pt;margin-top:31.169359pt;width:513.1pt;height:1pt;mso-position-horizontal-relative:page;mso-position-vertical-relative:paragraph;z-index:1192;mso-wrap-distance-left:0;mso-wrap-distance-right:0" coordorigin="822,623" coordsize="10262,20">
            <v:line style="position:absolute" from="822,633" to="3618,633" stroked="true" strokeweight=".96001pt" strokecolor="#000000">
              <v:stroke dashstyle="solid"/>
            </v:line>
            <v:line style="position:absolute" from="3618,633" to="11083,633" stroked="true" strokeweight=".96pt" strokecolor="#000000">
              <v:stroke dashstyle="solid"/>
            </v:line>
            <w10:wrap type="topAndBottom"/>
          </v:group>
        </w:pict>
      </w:r>
      <w:r>
        <w:rPr>
          <w:w w:val="95"/>
        </w:rPr>
        <w:t>合同解除和变更</w:t>
      </w:r>
    </w:p>
    <w:p>
      <w:pPr>
        <w:pStyle w:val="BodyText"/>
        <w:spacing w:before="10"/>
        <w:rPr>
          <w:b/>
          <w:sz w:val="9"/>
        </w:rPr>
      </w:pPr>
    </w:p>
    <w:p>
      <w:pPr>
        <w:spacing w:after="0"/>
        <w:rPr>
          <w:sz w:val="9"/>
        </w:rPr>
        <w:sectPr>
          <w:type w:val="continuous"/>
          <w:pgSz w:w="11910" w:h="16840"/>
          <w:pgMar w:top="440" w:bottom="280" w:left="720" w:right="720"/>
        </w:sectPr>
      </w:pPr>
    </w:p>
    <w:p>
      <w:pPr>
        <w:pStyle w:val="Heading4"/>
        <w:numPr>
          <w:ilvl w:val="1"/>
          <w:numId w:val="13"/>
        </w:numPr>
        <w:tabs>
          <w:tab w:pos="1006" w:val="left" w:leader="none"/>
          <w:tab w:pos="1008" w:val="left" w:leader="none"/>
        </w:tabs>
        <w:spacing w:line="240" w:lineRule="auto" w:before="35" w:after="0"/>
        <w:ind w:left="2986" w:right="0" w:hanging="2776"/>
        <w:jc w:val="left"/>
      </w:pPr>
      <w:r>
        <w:rPr>
          <w:w w:val="95"/>
        </w:rPr>
        <w:t>解除合同的手续及</w:t>
      </w:r>
    </w:p>
    <w:p>
      <w:pPr>
        <w:spacing w:before="36"/>
        <w:ind w:left="777" w:right="1032" w:firstLine="0"/>
        <w:jc w:val="center"/>
        <w:rPr>
          <w:b/>
          <w:sz w:val="21"/>
        </w:rPr>
      </w:pPr>
      <w:r>
        <w:rPr>
          <w:b/>
          <w:sz w:val="21"/>
        </w:rPr>
        <w:t>风险</w:t>
      </w:r>
    </w:p>
    <w:p>
      <w:pPr>
        <w:pStyle w:val="BodyText"/>
        <w:spacing w:before="35"/>
        <w:ind w:left="231"/>
      </w:pPr>
      <w:r>
        <w:rPr/>
        <w:br w:type="column"/>
      </w:r>
      <w:r>
        <w:rPr/>
        <w:t>一、若贵单位申请解除本合同，请填写解除合同申请书并向我们提供下列资料：</w:t>
      </w:r>
    </w:p>
    <w:p>
      <w:pPr>
        <w:pStyle w:val="BodyText"/>
        <w:spacing w:before="36"/>
        <w:ind w:left="559"/>
      </w:pPr>
      <w:r>
        <w:rPr/>
        <w:t>（一）保险合同；</w:t>
      </w:r>
    </w:p>
    <w:p>
      <w:pPr>
        <w:pStyle w:val="BodyText"/>
        <w:spacing w:before="36"/>
        <w:ind w:left="559"/>
      </w:pPr>
      <w:r>
        <w:rPr/>
        <w:t>（二）贵单位的证明文件。</w:t>
      </w:r>
    </w:p>
    <w:p>
      <w:pPr>
        <w:pStyle w:val="BodyText"/>
        <w:spacing w:line="273" w:lineRule="auto" w:before="36"/>
        <w:ind w:left="651" w:right="208" w:hanging="420"/>
      </w:pPr>
      <w:r>
        <w:rPr>
          <w:spacing w:val="-10"/>
        </w:rPr>
        <w:t>二、自我们收到解除合同申请书时起，本合同终止。我们自收到解除合同申请书</w:t>
      </w:r>
      <w:r>
        <w:rPr>
          <w:spacing w:val="-25"/>
        </w:rPr>
        <w:t>之日起 </w:t>
      </w:r>
      <w:r>
        <w:rPr/>
        <w:t>30</w:t>
      </w:r>
      <w:r>
        <w:rPr>
          <w:spacing w:val="-9"/>
        </w:rPr>
        <w:t> 日内扣除退保费用后退还合同终止之日的账户价值。</w:t>
      </w:r>
    </w:p>
    <w:p>
      <w:pPr>
        <w:pStyle w:val="BodyText"/>
        <w:spacing w:before="7"/>
        <w:ind w:left="210"/>
      </w:pPr>
      <w:r>
        <w:rPr/>
        <w:t>三、贵单位解除合同，会遭受一定损失。</w:t>
      </w:r>
    </w:p>
    <w:p>
      <w:pPr>
        <w:spacing w:after="0"/>
        <w:sectPr>
          <w:type w:val="continuous"/>
          <w:pgSz w:w="11910" w:h="16840"/>
          <w:pgMar w:top="440" w:bottom="280" w:left="720" w:right="720"/>
          <w:cols w:num="2" w:equalWidth="0">
            <w:col w:w="2694" w:space="83"/>
            <w:col w:w="7693"/>
          </w:cols>
        </w:sectPr>
      </w:pPr>
    </w:p>
    <w:p>
      <w:pPr>
        <w:pStyle w:val="BodyText"/>
        <w:spacing w:before="7"/>
        <w:rPr>
          <w:sz w:val="17"/>
        </w:rPr>
      </w:pPr>
    </w:p>
    <w:p>
      <w:pPr>
        <w:pStyle w:val="ListParagraph"/>
        <w:numPr>
          <w:ilvl w:val="1"/>
          <w:numId w:val="13"/>
        </w:numPr>
        <w:tabs>
          <w:tab w:pos="1006" w:val="left" w:leader="none"/>
          <w:tab w:pos="1007" w:val="left" w:leader="none"/>
          <w:tab w:pos="2986" w:val="left" w:leader="none"/>
        </w:tabs>
        <w:spacing w:line="273" w:lineRule="auto" w:before="35" w:after="0"/>
        <w:ind w:left="2986" w:right="102" w:hanging="2777"/>
        <w:jc w:val="left"/>
        <w:rPr>
          <w:sz w:val="21"/>
        </w:rPr>
      </w:pPr>
      <w:r>
        <w:rPr>
          <w:b/>
          <w:sz w:val="21"/>
        </w:rPr>
        <w:t>合同变更</w:t>
        <w:tab/>
      </w:r>
      <w:r>
        <w:rPr>
          <w:sz w:val="21"/>
        </w:rPr>
        <w:t>本合同生效后</w:t>
      </w:r>
      <w:r>
        <w:rPr>
          <w:spacing w:val="-94"/>
          <w:sz w:val="21"/>
        </w:rPr>
        <w:t>，</w:t>
      </w:r>
      <w:r>
        <w:rPr>
          <w:sz w:val="21"/>
        </w:rPr>
        <w:t>如贵单位需变更本合同的内容</w:t>
      </w:r>
      <w:r>
        <w:rPr>
          <w:spacing w:val="-94"/>
          <w:sz w:val="21"/>
        </w:rPr>
        <w:t>，</w:t>
      </w:r>
      <w:r>
        <w:rPr>
          <w:sz w:val="21"/>
        </w:rPr>
        <w:t>应当向我们提出变更合同的申请，在贵单位与我们达成一致后</w:t>
      </w:r>
      <w:r>
        <w:rPr>
          <w:spacing w:val="-41"/>
          <w:sz w:val="21"/>
        </w:rPr>
        <w:t>，</w:t>
      </w:r>
      <w:r>
        <w:rPr>
          <w:sz w:val="21"/>
        </w:rPr>
        <w:t>可以对合同约定事项进行变更</w:t>
      </w:r>
      <w:r>
        <w:rPr>
          <w:spacing w:val="-41"/>
          <w:sz w:val="21"/>
        </w:rPr>
        <w:t>，</w:t>
      </w:r>
      <w:r>
        <w:rPr>
          <w:sz w:val="21"/>
        </w:rPr>
        <w:t>变更可以用在保险</w:t>
      </w:r>
    </w:p>
    <w:p>
      <w:pPr>
        <w:spacing w:after="0" w:line="273" w:lineRule="auto"/>
        <w:jc w:val="left"/>
        <w:rPr>
          <w:sz w:val="21"/>
        </w:rPr>
        <w:sectPr>
          <w:type w:val="continuous"/>
          <w:pgSz w:w="11910" w:h="16840"/>
          <w:pgMar w:top="440" w:bottom="280" w:left="720" w:right="720"/>
        </w:sectPr>
      </w:pPr>
    </w:p>
    <w:p>
      <w:pPr>
        <w:pStyle w:val="BodyText"/>
        <w:spacing w:before="19"/>
        <w:ind w:left="2986"/>
      </w:pPr>
      <w:r>
        <w:rPr/>
        <w:t>合同上批注、附贴批单的方式进行。</w:t>
      </w:r>
    </w:p>
    <w:p>
      <w:pPr>
        <w:pStyle w:val="BodyText"/>
        <w:spacing w:before="2"/>
        <w:rPr>
          <w:sz w:val="20"/>
        </w:rPr>
      </w:pPr>
    </w:p>
    <w:p>
      <w:pPr>
        <w:pStyle w:val="ListParagraph"/>
        <w:numPr>
          <w:ilvl w:val="1"/>
          <w:numId w:val="13"/>
        </w:numPr>
        <w:tabs>
          <w:tab w:pos="1006" w:val="left" w:leader="none"/>
          <w:tab w:pos="1008" w:val="left" w:leader="none"/>
          <w:tab w:pos="2986" w:val="left" w:leader="none"/>
        </w:tabs>
        <w:spacing w:line="273" w:lineRule="auto" w:before="0" w:after="0"/>
        <w:ind w:left="2986" w:right="102" w:hanging="2777"/>
        <w:jc w:val="left"/>
        <w:rPr>
          <w:sz w:val="21"/>
        </w:rPr>
      </w:pPr>
      <w:r>
        <w:rPr>
          <w:b/>
          <w:sz w:val="21"/>
        </w:rPr>
        <w:t>联系方式变更</w:t>
        <w:tab/>
      </w:r>
      <w:r>
        <w:rPr>
          <w:sz w:val="21"/>
        </w:rPr>
        <w:t>为了保障贵单位的合法权益</w:t>
      </w:r>
      <w:r>
        <w:rPr>
          <w:spacing w:val="-94"/>
          <w:sz w:val="21"/>
        </w:rPr>
        <w:t>，</w:t>
      </w:r>
      <w:r>
        <w:rPr>
          <w:sz w:val="21"/>
        </w:rPr>
        <w:t>贵单位的住所</w:t>
      </w:r>
      <w:r>
        <w:rPr>
          <w:spacing w:val="-94"/>
          <w:sz w:val="21"/>
        </w:rPr>
        <w:t>、</w:t>
      </w:r>
      <w:r>
        <w:rPr>
          <w:sz w:val="21"/>
        </w:rPr>
        <w:t>通讯地址或电话等联系方式变更时，请及时以书面形式或双方认可的其他形式通知我们</w:t>
      </w:r>
      <w:r>
        <w:rPr>
          <w:spacing w:val="-82"/>
          <w:sz w:val="21"/>
        </w:rPr>
        <w:t>。</w:t>
      </w:r>
      <w:r>
        <w:rPr>
          <w:sz w:val="21"/>
        </w:rPr>
        <w:t>若贵单位未以书面形式或双方认可的其他形式通知我们</w:t>
      </w:r>
      <w:r>
        <w:rPr>
          <w:spacing w:val="-82"/>
          <w:sz w:val="21"/>
        </w:rPr>
        <w:t>，</w:t>
      </w:r>
      <w:r>
        <w:rPr>
          <w:sz w:val="21"/>
        </w:rPr>
        <w:t>我们按本合同载明的最后住所或通讯地址发送的有关通知，均视为已送达给贵单位。</w:t>
      </w:r>
    </w:p>
    <w:p>
      <w:pPr>
        <w:pStyle w:val="Heading2"/>
        <w:tabs>
          <w:tab w:pos="1006" w:val="left" w:leader="none"/>
        </w:tabs>
        <w:spacing w:before="132"/>
        <w:ind w:left="321"/>
      </w:pPr>
      <w:r>
        <w:rPr/>
        <w:pict>
          <v:group style="position:absolute;margin-left:41.099998pt;margin-top:43.649818pt;width:513.1pt;height:1pt;mso-position-horizontal-relative:page;mso-position-vertical-relative:paragraph;z-index:1216;mso-wrap-distance-left:0;mso-wrap-distance-right:0" coordorigin="822,873" coordsize="10262,20">
            <v:line style="position:absolute" from="822,883" to="3618,883" stroked="true" strokeweight=".95996pt" strokecolor="#000000">
              <v:stroke dashstyle="solid"/>
            </v:line>
            <v:line style="position:absolute" from="3618,883" to="11083,883" stroked="true" strokeweight=".96pt" strokecolor="#000000">
              <v:stroke dashstyle="solid"/>
            </v:line>
            <w10:wrap type="topAndBottom"/>
          </v:group>
        </w:pict>
      </w:r>
      <w:r>
        <w:rPr>
          <w:rFonts w:ascii="Yu Gothic" w:hAnsi="Yu Gothic" w:eastAsia="Yu Gothic" w:hint="eastAsia"/>
          <w:w w:val="135"/>
          <w:position w:val="-3"/>
          <w:sz w:val="40"/>
        </w:rPr>
        <w:t>®</w:t>
        <w:tab/>
      </w:r>
      <w:r>
        <w:rPr>
          <w:w w:val="95"/>
        </w:rPr>
        <w:t>明确说明与如实告知</w:t>
      </w:r>
    </w:p>
    <w:p>
      <w:pPr>
        <w:pStyle w:val="BodyText"/>
        <w:spacing w:before="10"/>
        <w:rPr>
          <w:b/>
          <w:sz w:val="9"/>
        </w:rPr>
      </w:pPr>
    </w:p>
    <w:p>
      <w:pPr>
        <w:pStyle w:val="ListParagraph"/>
        <w:numPr>
          <w:ilvl w:val="1"/>
          <w:numId w:val="14"/>
        </w:numPr>
        <w:tabs>
          <w:tab w:pos="1007" w:val="left" w:leader="none"/>
          <w:tab w:pos="1008" w:val="left" w:leader="none"/>
          <w:tab w:pos="2986" w:val="left" w:leader="none"/>
        </w:tabs>
        <w:spacing w:line="240" w:lineRule="auto" w:before="35" w:after="0"/>
        <w:ind w:left="2986" w:right="0" w:hanging="2776"/>
        <w:jc w:val="left"/>
        <w:rPr>
          <w:sz w:val="21"/>
        </w:rPr>
      </w:pPr>
      <w:r>
        <w:rPr>
          <w:b/>
          <w:sz w:val="21"/>
        </w:rPr>
        <w:t>明确说明</w:t>
        <w:tab/>
      </w:r>
      <w:r>
        <w:rPr>
          <w:sz w:val="21"/>
        </w:rPr>
        <w:t>一</w:t>
      </w:r>
      <w:r>
        <w:rPr>
          <w:spacing w:val="15"/>
          <w:sz w:val="21"/>
        </w:rPr>
        <w:t>、</w:t>
      </w:r>
      <w:r>
        <w:rPr>
          <w:sz w:val="21"/>
        </w:rPr>
        <w:t>订立本合同时，我们应向贵单位说明本合同的内容。</w:t>
      </w:r>
    </w:p>
    <w:p>
      <w:pPr>
        <w:pStyle w:val="BodyText"/>
        <w:spacing w:line="273" w:lineRule="auto" w:before="36"/>
        <w:ind w:left="3406" w:right="207" w:hanging="420"/>
        <w:jc w:val="both"/>
      </w:pPr>
      <w:r>
        <w:rPr>
          <w:spacing w:val="-5"/>
        </w:rPr>
        <w:t>二、对保险条款中免除我们责任的条款，我们在订立合同时应当在投保单、保险</w:t>
      </w:r>
      <w:r>
        <w:rPr>
          <w:spacing w:val="-9"/>
        </w:rPr>
        <w:t>单或其他保险凭证上作出足以引起贵单位注意的提示，并对该条款的内容以</w:t>
      </w:r>
      <w:r>
        <w:rPr>
          <w:spacing w:val="-13"/>
        </w:rPr>
        <w:t>书面或口头形式向贵单位作出明确说明，未作提示或明确说明的，该条款不产生效力。</w:t>
      </w:r>
    </w:p>
    <w:p>
      <w:pPr>
        <w:pStyle w:val="BodyText"/>
        <w:spacing w:before="12"/>
        <w:rPr>
          <w:sz w:val="17"/>
        </w:rPr>
      </w:pPr>
    </w:p>
    <w:p>
      <w:pPr>
        <w:pStyle w:val="ListParagraph"/>
        <w:numPr>
          <w:ilvl w:val="1"/>
          <w:numId w:val="14"/>
        </w:numPr>
        <w:tabs>
          <w:tab w:pos="1007" w:val="left" w:leader="none"/>
          <w:tab w:pos="1008" w:val="left" w:leader="none"/>
          <w:tab w:pos="2986" w:val="left" w:leader="none"/>
        </w:tabs>
        <w:spacing w:line="273" w:lineRule="auto" w:before="0" w:after="0"/>
        <w:ind w:left="2986" w:right="207" w:hanging="2776"/>
        <w:jc w:val="left"/>
        <w:rPr>
          <w:sz w:val="21"/>
        </w:rPr>
      </w:pPr>
      <w:r>
        <w:rPr>
          <w:b/>
          <w:sz w:val="21"/>
        </w:rPr>
        <w:t>如实告知</w:t>
        <w:tab/>
      </w:r>
      <w:r>
        <w:rPr>
          <w:sz w:val="21"/>
        </w:rPr>
        <w:t>一、我们就贵单位和被保险人的有关情况提出询问的，贵单位应当如实告知。二、若贵单位故意或因重大过失未履行前款规定的如实告知义务</w:t>
      </w:r>
      <w:r>
        <w:rPr>
          <w:spacing w:val="-82"/>
          <w:sz w:val="21"/>
        </w:rPr>
        <w:t>，</w:t>
      </w:r>
      <w:r>
        <w:rPr>
          <w:sz w:val="21"/>
        </w:rPr>
        <w:t>足以影响我们</w:t>
      </w:r>
    </w:p>
    <w:p>
      <w:pPr>
        <w:pStyle w:val="BodyText"/>
        <w:spacing w:before="7"/>
        <w:ind w:left="3406"/>
      </w:pPr>
      <w:r>
        <w:rPr/>
        <w:t>决定是否同意承保或提高保险费率的，我们有权解除本合同。</w:t>
      </w:r>
    </w:p>
    <w:p>
      <w:pPr>
        <w:spacing w:line="264" w:lineRule="auto" w:before="25"/>
        <w:ind w:left="3406" w:right="208" w:hanging="420"/>
        <w:jc w:val="both"/>
        <w:rPr>
          <w:sz w:val="21"/>
        </w:rPr>
      </w:pPr>
      <w:r>
        <w:rPr>
          <w:w w:val="95"/>
          <w:sz w:val="21"/>
        </w:rPr>
        <w:t>三、</w:t>
      </w:r>
      <w:r>
        <w:rPr>
          <w:rFonts w:ascii="黑体" w:eastAsia="黑体" w:hint="eastAsia"/>
          <w:b/>
          <w:i/>
          <w:w w:val="95"/>
          <w:sz w:val="22"/>
        </w:rPr>
        <w:t>若贵单位故意不履行如实告知义务，对于本合同解除前发Th的保险事故， 我们不承担给付保险金的责任</w:t>
      </w:r>
      <w:r>
        <w:rPr>
          <w:spacing w:val="-11"/>
          <w:w w:val="95"/>
          <w:sz w:val="21"/>
        </w:rPr>
        <w:t>，并不退还风险保险费，但可以向贵单位退还 </w:t>
      </w:r>
      <w:r>
        <w:rPr>
          <w:spacing w:val="-11"/>
          <w:sz w:val="21"/>
        </w:rPr>
        <w:t>本合同的账户价值或该被保险人的个人账户价值。</w:t>
      </w:r>
    </w:p>
    <w:p>
      <w:pPr>
        <w:spacing w:line="264" w:lineRule="auto" w:before="4"/>
        <w:ind w:left="3406" w:right="207" w:hanging="420"/>
        <w:jc w:val="both"/>
        <w:rPr>
          <w:sz w:val="21"/>
        </w:rPr>
      </w:pPr>
      <w:r>
        <w:rPr>
          <w:w w:val="95"/>
          <w:sz w:val="21"/>
        </w:rPr>
        <w:t>四、</w:t>
      </w:r>
      <w:r>
        <w:rPr>
          <w:rFonts w:ascii="黑体" w:eastAsia="黑体" w:hint="eastAsia"/>
          <w:b/>
          <w:i/>
          <w:w w:val="95"/>
          <w:sz w:val="22"/>
        </w:rPr>
        <w:t>若贵单位因重大过失未履行如实告知义务，对保险事故的发Th有严重影响的，对于本合同解除前发Th的保险事故，我们不承担给付保险金的责任</w:t>
      </w:r>
      <w:r>
        <w:rPr>
          <w:w w:val="95"/>
          <w:sz w:val="21"/>
        </w:rPr>
        <w:t>， </w:t>
      </w:r>
      <w:r>
        <w:rPr>
          <w:sz w:val="21"/>
        </w:rPr>
        <w:t>但应当退还风险保险费及本合同账户价值或该被保险人的个人账户价值。</w:t>
      </w:r>
    </w:p>
    <w:p>
      <w:pPr>
        <w:pStyle w:val="BodyText"/>
        <w:spacing w:line="273" w:lineRule="auto" w:before="16"/>
        <w:ind w:left="3406" w:right="208" w:hanging="420"/>
        <w:jc w:val="both"/>
      </w:pPr>
      <w:r>
        <w:rPr/>
        <w:t>五、我们在合同订立时已经知道贵单位未如实告知的情况的，我们不得解除合同；发生保险事故的，我们承担给付保险金的责任。</w:t>
      </w:r>
    </w:p>
    <w:p>
      <w:pPr>
        <w:pStyle w:val="BodyText"/>
        <w:spacing w:before="3"/>
        <w:rPr>
          <w:sz w:val="15"/>
        </w:rPr>
      </w:pPr>
    </w:p>
    <w:p>
      <w:pPr>
        <w:spacing w:after="0"/>
        <w:rPr>
          <w:sz w:val="15"/>
        </w:rPr>
        <w:sectPr>
          <w:pgSz w:w="11910" w:h="16840"/>
          <w:pgMar w:header="0" w:footer="677" w:top="1100" w:bottom="860" w:left="720" w:right="720"/>
        </w:sectPr>
      </w:pPr>
    </w:p>
    <w:p>
      <w:pPr>
        <w:pStyle w:val="Heading4"/>
        <w:numPr>
          <w:ilvl w:val="1"/>
          <w:numId w:val="14"/>
        </w:numPr>
        <w:tabs>
          <w:tab w:pos="1006" w:val="left" w:leader="none"/>
          <w:tab w:pos="1007" w:val="left" w:leader="none"/>
        </w:tabs>
        <w:spacing w:line="240" w:lineRule="auto" w:before="35" w:after="0"/>
        <w:ind w:left="1006" w:right="0" w:hanging="797"/>
        <w:jc w:val="left"/>
      </w:pPr>
      <w:r>
        <w:rPr>
          <w:w w:val="95"/>
        </w:rPr>
        <w:t>本公司合同解除权</w:t>
      </w:r>
    </w:p>
    <w:p>
      <w:pPr>
        <w:spacing w:before="37"/>
        <w:ind w:left="988" w:right="1032" w:firstLine="0"/>
        <w:jc w:val="center"/>
        <w:rPr>
          <w:b/>
          <w:sz w:val="21"/>
        </w:rPr>
      </w:pPr>
      <w:r>
        <w:rPr>
          <w:b/>
          <w:sz w:val="21"/>
        </w:rPr>
        <w:t>的限制</w:t>
      </w:r>
    </w:p>
    <w:p>
      <w:pPr>
        <w:pStyle w:val="BodyText"/>
        <w:spacing w:before="35"/>
        <w:ind w:left="209"/>
      </w:pPr>
      <w:r>
        <w:rPr/>
        <w:br w:type="column"/>
      </w:r>
      <w:r>
        <w:rPr/>
        <w:t>前款约定的合同解除权，自我们知道有解除事由之日起，超过 30 日不行使而消</w:t>
      </w:r>
    </w:p>
    <w:p>
      <w:pPr>
        <w:pStyle w:val="BodyText"/>
        <w:spacing w:line="273" w:lineRule="auto"/>
        <w:ind w:left="209" w:right="207"/>
      </w:pPr>
      <w:r>
        <w:rPr>
          <w:spacing w:val="-9"/>
        </w:rPr>
        <w:t>灭。自本合同成立之日起超过 </w:t>
      </w:r>
      <w:r>
        <w:rPr/>
        <w:t>2</w:t>
      </w:r>
      <w:r>
        <w:rPr>
          <w:spacing w:val="-11"/>
        </w:rPr>
        <w:t> 年的，我们不得解除合同；发生保险事故的，我们承担给付保险金的责任。</w:t>
      </w:r>
    </w:p>
    <w:p>
      <w:pPr>
        <w:spacing w:after="0" w:line="273" w:lineRule="auto"/>
        <w:sectPr>
          <w:type w:val="continuous"/>
          <w:pgSz w:w="11910" w:h="16840"/>
          <w:pgMar w:top="440" w:bottom="280" w:left="720" w:right="720"/>
          <w:cols w:num="2" w:equalWidth="0">
            <w:col w:w="2694" w:space="83"/>
            <w:col w:w="7693"/>
          </w:cols>
        </w:sectPr>
      </w:pPr>
    </w:p>
    <w:p>
      <w:pPr>
        <w:pStyle w:val="BodyText"/>
        <w:spacing w:before="3"/>
        <w:rPr>
          <w:sz w:val="24"/>
        </w:rPr>
      </w:pPr>
    </w:p>
    <w:p>
      <w:pPr>
        <w:pStyle w:val="Heading2"/>
        <w:spacing w:before="26"/>
      </w:pPr>
      <w:r>
        <w:rPr/>
        <w:pict>
          <v:group style="position:absolute;margin-left:51.345001pt;margin-top:5.760935pt;width:15.05pt;height:16.25pt;mso-position-horizontal-relative:page;mso-position-vertical-relative:paragraph;z-index:1288" coordorigin="1027,115" coordsize="301,325">
            <v:shape style="position:absolute;left:1026;top:115;width:301;height:325" type="#_x0000_t75" stroked="false">
              <v:imagedata r:id="rId10" o:title=""/>
            </v:shape>
            <v:shape style="position:absolute;left:1026;top:115;width:301;height:325" type="#_x0000_t202" filled="false" stroked="false">
              <v:textbox inset="0,0,0,0">
                <w:txbxContent>
                  <w:p>
                    <w:pPr>
                      <w:spacing w:before="21"/>
                      <w:ind w:left="47" w:right="0" w:firstLine="0"/>
                      <w:jc w:val="left"/>
                      <w:rPr>
                        <w:rFonts w:ascii="Times New Roman"/>
                        <w:b/>
                        <w:sz w:val="24"/>
                      </w:rPr>
                    </w:pPr>
                    <w:r>
                      <w:rPr>
                        <w:rFonts w:ascii="Times New Roman"/>
                        <w:b/>
                        <w:color w:val="FFFFFF"/>
                        <w:sz w:val="24"/>
                      </w:rPr>
                      <w:t>11</w:t>
                    </w:r>
                  </w:p>
                </w:txbxContent>
              </v:textbox>
              <w10:wrap type="none"/>
            </v:shape>
            <w10:wrap type="none"/>
          </v:group>
        </w:pict>
      </w:r>
      <w:r>
        <w:rPr/>
        <w:t>其他需要关注的事项</w:t>
      </w:r>
    </w:p>
    <w:p>
      <w:pPr>
        <w:pStyle w:val="BodyText"/>
        <w:spacing w:before="12"/>
        <w:rPr>
          <w:b/>
          <w:sz w:val="9"/>
        </w:rPr>
      </w:pPr>
      <w:r>
        <w:rPr/>
        <w:pict>
          <v:line style="position:absolute;mso-position-horizontal-relative:page;mso-position-vertical-relative:paragraph;z-index:1240;mso-wrap-distance-left:0;mso-wrap-distance-right:0" from="41.099998pt,8.725741pt" to="554.159998pt,8.725741pt" stroked="true" strokeweight=".48001pt" strokecolor="#000000">
            <v:stroke dashstyle="solid"/>
            <w10:wrap type="topAndBottom"/>
          </v:line>
        </w:pict>
      </w:r>
    </w:p>
    <w:p>
      <w:pPr>
        <w:pStyle w:val="BodyText"/>
        <w:spacing w:before="8"/>
        <w:rPr>
          <w:b/>
          <w:sz w:val="10"/>
        </w:rPr>
      </w:pPr>
    </w:p>
    <w:p>
      <w:pPr>
        <w:pStyle w:val="ListParagraph"/>
        <w:numPr>
          <w:ilvl w:val="1"/>
          <w:numId w:val="15"/>
        </w:numPr>
        <w:tabs>
          <w:tab w:pos="1006" w:val="left" w:leader="none"/>
          <w:tab w:pos="1007" w:val="left" w:leader="none"/>
          <w:tab w:pos="2986" w:val="left" w:leader="none"/>
        </w:tabs>
        <w:spacing w:line="273" w:lineRule="auto" w:before="35" w:after="0"/>
        <w:ind w:left="2986" w:right="207" w:hanging="2776"/>
        <w:jc w:val="left"/>
        <w:rPr>
          <w:sz w:val="21"/>
        </w:rPr>
      </w:pPr>
      <w:r>
        <w:rPr>
          <w:b/>
          <w:sz w:val="21"/>
        </w:rPr>
        <w:t>年龄错误</w:t>
        <w:tab/>
      </w:r>
      <w:r>
        <w:rPr>
          <w:sz w:val="21"/>
        </w:rPr>
        <w:t>贵单位在申请投保时</w:t>
      </w:r>
      <w:r>
        <w:rPr>
          <w:spacing w:val="-82"/>
          <w:sz w:val="21"/>
        </w:rPr>
        <w:t>，</w:t>
      </w:r>
      <w:r>
        <w:rPr>
          <w:sz w:val="21"/>
        </w:rPr>
        <w:t>应将与有效身份证件相符的被保险人的出生日期在投保单上填明，若发生错误按照下列方式办理：</w:t>
      </w:r>
    </w:p>
    <w:p>
      <w:pPr>
        <w:pStyle w:val="BodyText"/>
        <w:spacing w:line="273" w:lineRule="auto" w:before="7"/>
        <w:ind w:left="3441" w:right="208" w:hanging="455"/>
        <w:jc w:val="both"/>
      </w:pPr>
      <w:r>
        <w:rPr>
          <w:spacing w:val="-6"/>
        </w:rPr>
        <w:t>(一) 贵单位申报的被保险人年龄不真实，并且其真实年龄不符合本合同约定的投保年龄限制的，在保险事故发生之前我们有权取消该被保险人资格，并向贵单位退还该被保险人的账户价值。我们行使合同解除权适用“本公司合同解除权的限制”的约定。</w:t>
      </w:r>
    </w:p>
    <w:p>
      <w:pPr>
        <w:pStyle w:val="BodyText"/>
        <w:spacing w:line="273" w:lineRule="auto" w:before="7"/>
        <w:ind w:left="3441" w:right="208" w:hanging="455"/>
        <w:jc w:val="both"/>
      </w:pPr>
      <w:r>
        <w:rPr>
          <w:spacing w:val="-6"/>
        </w:rPr>
        <w:t>(二) 贵单位申报的被保险人年龄不真实，致使贵单位实交风险保险费少于应交风险保险费的，我们有权更正并从该被保险人的账户价值中扣除欠交的风险保险费及利息。若已经发生保险事故，我们在给付保险金时按实交风险保险费与应交风险保险费的比例给付。</w:t>
      </w:r>
    </w:p>
    <w:p>
      <w:pPr>
        <w:pStyle w:val="BodyText"/>
        <w:spacing w:line="273" w:lineRule="auto" w:before="7"/>
        <w:ind w:left="3441" w:right="208" w:hanging="455"/>
        <w:jc w:val="both"/>
      </w:pPr>
      <w:r>
        <w:rPr>
          <w:spacing w:val="-6"/>
        </w:rPr>
        <w:t>(三) 贵单位申报的被保险人年龄不真实，致使贵单位实交风险保险费多于应交风险保险费的，我们会将多收的风险保险费无息退还至该被保险人账户。</w:t>
      </w:r>
    </w:p>
    <w:p>
      <w:pPr>
        <w:pStyle w:val="BodyText"/>
        <w:spacing w:before="11"/>
        <w:rPr>
          <w:sz w:val="17"/>
        </w:rPr>
      </w:pPr>
    </w:p>
    <w:p>
      <w:pPr>
        <w:pStyle w:val="ListParagraph"/>
        <w:numPr>
          <w:ilvl w:val="1"/>
          <w:numId w:val="15"/>
        </w:numPr>
        <w:tabs>
          <w:tab w:pos="1007" w:val="left" w:leader="none"/>
          <w:tab w:pos="1008" w:val="left" w:leader="none"/>
          <w:tab w:pos="2986" w:val="left" w:leader="none"/>
        </w:tabs>
        <w:spacing w:line="240" w:lineRule="auto" w:before="1" w:after="0"/>
        <w:ind w:left="1007" w:right="0" w:hanging="797"/>
        <w:jc w:val="left"/>
        <w:rPr>
          <w:sz w:val="21"/>
        </w:rPr>
      </w:pPr>
      <w:r>
        <w:rPr>
          <w:b/>
          <w:sz w:val="21"/>
        </w:rPr>
        <w:t>争议处理</w:t>
        <w:tab/>
      </w:r>
      <w:r>
        <w:rPr>
          <w:sz w:val="21"/>
        </w:rPr>
        <w:t>在本合同履行过程中发生任何争议</w:t>
      </w:r>
      <w:r>
        <w:rPr>
          <w:spacing w:val="-82"/>
          <w:sz w:val="21"/>
        </w:rPr>
        <w:t>，</w:t>
      </w:r>
      <w:r>
        <w:rPr>
          <w:sz w:val="21"/>
        </w:rPr>
        <w:t>当事人应根据本合同约定选择下列两种方式</w:t>
      </w:r>
    </w:p>
    <w:p>
      <w:pPr>
        <w:spacing w:after="0" w:line="240" w:lineRule="auto"/>
        <w:jc w:val="left"/>
        <w:rPr>
          <w:sz w:val="21"/>
        </w:rPr>
        <w:sectPr>
          <w:type w:val="continuous"/>
          <w:pgSz w:w="11910" w:h="16840"/>
          <w:pgMar w:top="440" w:bottom="280" w:left="720" w:right="720"/>
        </w:sectPr>
      </w:pPr>
    </w:p>
    <w:p>
      <w:pPr>
        <w:pStyle w:val="BodyText"/>
        <w:spacing w:before="19"/>
        <w:ind w:left="2986"/>
      </w:pPr>
      <w:r>
        <w:rPr/>
        <w:t>之一予以解决：</w:t>
      </w:r>
    </w:p>
    <w:p>
      <w:pPr>
        <w:pStyle w:val="BodyText"/>
        <w:spacing w:line="273" w:lineRule="auto"/>
        <w:ind w:left="3445" w:right="206" w:hanging="459"/>
      </w:pPr>
      <w:r>
        <w:rPr>
          <w:spacing w:val="-5"/>
        </w:rPr>
        <w:t>(一) 因履行本合同发生的争议，由当事人协商解决，协商不成的，提交双方共同选定的仲裁委员会，按其当时有效的仲裁规则仲裁解决。</w:t>
      </w:r>
    </w:p>
    <w:p>
      <w:pPr>
        <w:pStyle w:val="BodyText"/>
        <w:spacing w:line="273" w:lineRule="auto" w:before="7"/>
        <w:ind w:left="3445" w:right="206" w:hanging="459"/>
      </w:pPr>
      <w:r>
        <w:rPr>
          <w:spacing w:val="-5"/>
        </w:rPr>
        <w:t>(二) 因履行本合同发生的争议，由当事人协商解决，协商不成的，依法向本合同签发地有管辖权的人民法院起诉。</w:t>
      </w:r>
    </w:p>
    <w:p>
      <w:pPr>
        <w:pStyle w:val="BodyText"/>
        <w:spacing w:before="5"/>
        <w:rPr>
          <w:sz w:val="24"/>
        </w:rPr>
      </w:pPr>
    </w:p>
    <w:p>
      <w:pPr>
        <w:pStyle w:val="ListParagraph"/>
        <w:numPr>
          <w:ilvl w:val="1"/>
          <w:numId w:val="15"/>
        </w:numPr>
        <w:tabs>
          <w:tab w:pos="1008" w:val="left" w:leader="none"/>
        </w:tabs>
        <w:spacing w:line="273" w:lineRule="auto" w:before="0" w:after="0"/>
        <w:ind w:left="2986" w:right="206" w:hanging="2776"/>
        <w:jc w:val="both"/>
        <w:rPr>
          <w:sz w:val="21"/>
        </w:rPr>
      </w:pPr>
      <w:r>
        <w:rPr>
          <w:b/>
          <w:spacing w:val="5"/>
          <w:sz w:val="21"/>
        </w:rPr>
        <w:t>被保险人资料     </w:t>
      </w:r>
      <w:r>
        <w:rPr>
          <w:spacing w:val="-4"/>
          <w:sz w:val="21"/>
        </w:rPr>
        <w:t>贵单位在投保时应提供每一被保险人的个人资料、被保险人同意投保本保险的相</w:t>
      </w:r>
      <w:r>
        <w:rPr>
          <w:spacing w:val="-8"/>
          <w:sz w:val="21"/>
        </w:rPr>
        <w:t>关书面证明文件以及其他与本合同有关的一切资料。被保险人的个人资料应详尽</w:t>
      </w:r>
      <w:r>
        <w:rPr>
          <w:spacing w:val="-14"/>
          <w:sz w:val="21"/>
        </w:rPr>
        <w:t>记录每一被保险人的姓名、性别、年龄、出生日期、职业、交费金额、保险金额等事项。</w:t>
      </w:r>
    </w:p>
    <w:p>
      <w:pPr>
        <w:pStyle w:val="BodyText"/>
        <w:spacing w:before="13"/>
        <w:rPr>
          <w:sz w:val="27"/>
        </w:rPr>
      </w:pPr>
    </w:p>
    <w:p>
      <w:pPr>
        <w:pStyle w:val="Heading2"/>
      </w:pPr>
      <w:r>
        <w:rPr/>
        <w:pict>
          <v:group style="position:absolute;margin-left:51.345001pt;margin-top:3.320906pt;width:15.05pt;height:16.3pt;mso-position-horizontal-relative:page;mso-position-vertical-relative:paragraph;z-index:1360" coordorigin="1027,66" coordsize="301,326">
            <v:shape style="position:absolute;left:1026;top:66;width:301;height:326" type="#_x0000_t75" stroked="false">
              <v:imagedata r:id="rId11" o:title=""/>
            </v:shape>
            <v:shape style="position:absolute;left:1026;top:66;width:301;height:326" type="#_x0000_t202" filled="false" stroked="false">
              <v:textbox inset="0,0,0,0">
                <w:txbxContent>
                  <w:p>
                    <w:pPr>
                      <w:spacing w:before="21"/>
                      <w:ind w:left="47" w:right="0" w:firstLine="0"/>
                      <w:jc w:val="left"/>
                      <w:rPr>
                        <w:rFonts w:ascii="Times New Roman"/>
                        <w:b/>
                        <w:sz w:val="24"/>
                      </w:rPr>
                    </w:pPr>
                    <w:r>
                      <w:rPr>
                        <w:rFonts w:ascii="Times New Roman"/>
                        <w:b/>
                        <w:color w:val="FFFFFF"/>
                        <w:sz w:val="24"/>
                      </w:rPr>
                      <w:t>12</w:t>
                    </w:r>
                  </w:p>
                </w:txbxContent>
              </v:textbox>
              <w10:wrap type="none"/>
            </v:shape>
            <w10:wrap type="none"/>
          </v:group>
        </w:pict>
      </w:r>
      <w:r>
        <w:rPr/>
        <w:t>释义</w:t>
      </w:r>
    </w:p>
    <w:p>
      <w:pPr>
        <w:pStyle w:val="BodyText"/>
        <w:spacing w:before="9"/>
        <w:rPr>
          <w:b/>
          <w:sz w:val="11"/>
        </w:rPr>
      </w:pPr>
      <w:r>
        <w:rPr/>
        <w:pict>
          <v:group style="position:absolute;margin-left:41.099998pt;margin-top:9.649885pt;width:513.1pt;height:1pt;mso-position-horizontal-relative:page;mso-position-vertical-relative:paragraph;z-index:1312;mso-wrap-distance-left:0;mso-wrap-distance-right:0" coordorigin="822,193" coordsize="10262,20">
            <v:line style="position:absolute" from="822,203" to="3618,203" stroked="true" strokeweight=".96002pt" strokecolor="#000000">
              <v:stroke dashstyle="solid"/>
            </v:line>
            <v:line style="position:absolute" from="3618,203" to="11083,203" stroked="true" strokeweight=".96pt" strokecolor="#000000">
              <v:stroke dashstyle="solid"/>
            </v:line>
            <w10:wrap type="topAndBottom"/>
          </v:group>
        </w:pict>
      </w:r>
    </w:p>
    <w:p>
      <w:pPr>
        <w:pStyle w:val="BodyText"/>
        <w:spacing w:before="10"/>
        <w:rPr>
          <w:b/>
          <w:sz w:val="9"/>
        </w:rPr>
      </w:pPr>
    </w:p>
    <w:p>
      <w:pPr>
        <w:pStyle w:val="ListParagraph"/>
        <w:numPr>
          <w:ilvl w:val="1"/>
          <w:numId w:val="16"/>
        </w:numPr>
        <w:tabs>
          <w:tab w:pos="1007" w:val="left" w:leader="none"/>
          <w:tab w:pos="1008" w:val="left" w:leader="none"/>
          <w:tab w:pos="2986" w:val="left" w:leader="none"/>
        </w:tabs>
        <w:spacing w:line="273" w:lineRule="auto" w:before="35" w:after="0"/>
        <w:ind w:left="2986" w:right="207" w:hanging="2776"/>
        <w:jc w:val="left"/>
        <w:rPr>
          <w:sz w:val="21"/>
        </w:rPr>
      </w:pPr>
      <w:r>
        <w:rPr>
          <w:b/>
          <w:sz w:val="21"/>
        </w:rPr>
        <w:t>保单周年日</w:t>
        <w:tab/>
      </w:r>
      <w:r>
        <w:rPr>
          <w:sz w:val="21"/>
        </w:rPr>
        <w:t>指本合同生效日在合同生效后每年的对应日</w:t>
      </w:r>
      <w:r>
        <w:rPr>
          <w:spacing w:val="-41"/>
          <w:sz w:val="21"/>
        </w:rPr>
        <w:t>，</w:t>
      </w:r>
      <w:r>
        <w:rPr>
          <w:sz w:val="21"/>
        </w:rPr>
        <w:t>不含本合同生效日当日</w:t>
      </w:r>
      <w:r>
        <w:rPr>
          <w:spacing w:val="-41"/>
          <w:sz w:val="21"/>
        </w:rPr>
        <w:t>。</w:t>
      </w:r>
      <w:r>
        <w:rPr>
          <w:sz w:val="21"/>
        </w:rPr>
        <w:t>若当月没有对应的同一日，则以该月最后一日为对应日。</w:t>
      </w:r>
    </w:p>
    <w:p>
      <w:pPr>
        <w:pStyle w:val="BodyText"/>
        <w:spacing w:before="11"/>
        <w:rPr>
          <w:sz w:val="17"/>
        </w:rPr>
      </w:pPr>
    </w:p>
    <w:p>
      <w:pPr>
        <w:pStyle w:val="ListParagraph"/>
        <w:numPr>
          <w:ilvl w:val="1"/>
          <w:numId w:val="16"/>
        </w:numPr>
        <w:tabs>
          <w:tab w:pos="1007" w:val="left" w:leader="none"/>
          <w:tab w:pos="1008" w:val="left" w:leader="none"/>
          <w:tab w:pos="2986" w:val="left" w:leader="none"/>
        </w:tabs>
        <w:spacing w:line="273" w:lineRule="auto" w:before="0" w:after="0"/>
        <w:ind w:left="2986" w:right="335" w:hanging="2777"/>
        <w:jc w:val="left"/>
        <w:rPr>
          <w:sz w:val="21"/>
        </w:rPr>
      </w:pPr>
      <w:r>
        <w:rPr>
          <w:b/>
          <w:sz w:val="21"/>
        </w:rPr>
        <w:t>保单年度</w:t>
        <w:tab/>
      </w:r>
      <w:r>
        <w:rPr>
          <w:sz w:val="21"/>
        </w:rPr>
        <w:t>从本合同生效日或保单周年日零时起至下一年度的保单周年日零时止为一个保单年度。</w:t>
      </w:r>
    </w:p>
    <w:p>
      <w:pPr>
        <w:pStyle w:val="BodyText"/>
        <w:spacing w:before="12"/>
        <w:rPr>
          <w:sz w:val="17"/>
        </w:rPr>
      </w:pPr>
    </w:p>
    <w:p>
      <w:pPr>
        <w:pStyle w:val="ListParagraph"/>
        <w:numPr>
          <w:ilvl w:val="1"/>
          <w:numId w:val="16"/>
        </w:numPr>
        <w:tabs>
          <w:tab w:pos="1006" w:val="left" w:leader="none"/>
          <w:tab w:pos="1007" w:val="left" w:leader="none"/>
          <w:tab w:pos="2986" w:val="left" w:leader="none"/>
        </w:tabs>
        <w:spacing w:line="273" w:lineRule="auto" w:before="0" w:after="0"/>
        <w:ind w:left="2986" w:right="125" w:hanging="2777"/>
        <w:jc w:val="left"/>
        <w:rPr>
          <w:sz w:val="21"/>
        </w:rPr>
      </w:pPr>
      <w:r>
        <w:rPr>
          <w:b/>
          <w:sz w:val="21"/>
        </w:rPr>
        <w:t>周岁</w:t>
        <w:tab/>
      </w:r>
      <w:r>
        <w:rPr>
          <w:sz w:val="21"/>
        </w:rPr>
        <w:t>指按法定身份证明文件中记载的出生日期计算的年龄，自出生之日起为零周岁，每经过一年增加一岁，不足一年的不计。</w:t>
      </w:r>
    </w:p>
    <w:p>
      <w:pPr>
        <w:pStyle w:val="BodyText"/>
        <w:spacing w:before="7"/>
        <w:rPr>
          <w:sz w:val="16"/>
        </w:rPr>
      </w:pPr>
    </w:p>
    <w:p>
      <w:pPr>
        <w:pStyle w:val="ListParagraph"/>
        <w:numPr>
          <w:ilvl w:val="1"/>
          <w:numId w:val="16"/>
        </w:numPr>
        <w:tabs>
          <w:tab w:pos="1007" w:val="left" w:leader="none"/>
          <w:tab w:pos="1008" w:val="left" w:leader="none"/>
          <w:tab w:pos="2986" w:val="left" w:leader="none"/>
        </w:tabs>
        <w:spacing w:line="240" w:lineRule="auto" w:before="0" w:after="0"/>
        <w:ind w:left="1007" w:right="0" w:hanging="798"/>
        <w:jc w:val="left"/>
        <w:rPr>
          <w:sz w:val="21"/>
        </w:rPr>
      </w:pPr>
      <w:r>
        <w:rPr>
          <w:b/>
          <w:sz w:val="21"/>
        </w:rPr>
        <w:t>意外伤害</w:t>
        <w:tab/>
      </w:r>
      <w:r>
        <w:rPr>
          <w:sz w:val="21"/>
        </w:rPr>
        <w:t>指遭受外来的</w:t>
      </w:r>
      <w:r>
        <w:rPr>
          <w:spacing w:val="-63"/>
          <w:sz w:val="21"/>
        </w:rPr>
        <w:t>、</w:t>
      </w:r>
      <w:r>
        <w:rPr>
          <w:sz w:val="21"/>
        </w:rPr>
        <w:t>突发的</w:t>
      </w:r>
      <w:r>
        <w:rPr>
          <w:spacing w:val="-63"/>
          <w:sz w:val="21"/>
        </w:rPr>
        <w:t>、</w:t>
      </w:r>
      <w:r>
        <w:rPr>
          <w:sz w:val="21"/>
        </w:rPr>
        <w:t>非本意的</w:t>
      </w:r>
      <w:r>
        <w:rPr>
          <w:spacing w:val="-63"/>
          <w:sz w:val="21"/>
        </w:rPr>
        <w:t>、</w:t>
      </w:r>
      <w:r>
        <w:rPr>
          <w:sz w:val="21"/>
        </w:rPr>
        <w:t>非疾病的客观事件直接致使身体受到的伤害。</w:t>
      </w:r>
    </w:p>
    <w:p>
      <w:pPr>
        <w:pStyle w:val="BodyText"/>
        <w:spacing w:before="1"/>
        <w:rPr>
          <w:sz w:val="20"/>
        </w:rPr>
      </w:pPr>
    </w:p>
    <w:p>
      <w:pPr>
        <w:pStyle w:val="ListParagraph"/>
        <w:numPr>
          <w:ilvl w:val="1"/>
          <w:numId w:val="16"/>
        </w:numPr>
        <w:tabs>
          <w:tab w:pos="1007" w:val="left" w:leader="none"/>
          <w:tab w:pos="1008" w:val="left" w:leader="none"/>
          <w:tab w:pos="2986" w:val="left" w:leader="none"/>
        </w:tabs>
        <w:spacing w:line="273" w:lineRule="auto" w:before="0" w:after="0"/>
        <w:ind w:left="2986" w:right="102" w:hanging="2776"/>
        <w:jc w:val="left"/>
        <w:rPr>
          <w:sz w:val="21"/>
        </w:rPr>
      </w:pPr>
      <w:r>
        <w:rPr>
          <w:b/>
          <w:sz w:val="21"/>
        </w:rPr>
        <w:t>毒品</w:t>
        <w:tab/>
      </w:r>
      <w:r>
        <w:rPr>
          <w:sz w:val="21"/>
        </w:rPr>
        <w:t>指中华人民共和国刑法规定的鸦片</w:t>
      </w:r>
      <w:r>
        <w:rPr>
          <w:spacing w:val="-17"/>
          <w:sz w:val="21"/>
        </w:rPr>
        <w:t>、</w:t>
      </w:r>
      <w:r>
        <w:rPr>
          <w:sz w:val="21"/>
        </w:rPr>
        <w:t>海洛因</w:t>
      </w:r>
      <w:r>
        <w:rPr>
          <w:spacing w:val="-17"/>
          <w:sz w:val="21"/>
        </w:rPr>
        <w:t>、</w:t>
      </w:r>
      <w:r>
        <w:rPr>
          <w:sz w:val="21"/>
        </w:rPr>
        <w:t>甲基苯丙</w:t>
      </w:r>
      <w:r>
        <w:rPr>
          <w:spacing w:val="-17"/>
          <w:sz w:val="21"/>
        </w:rPr>
        <w:t>胺</w:t>
      </w:r>
      <w:r>
        <w:rPr>
          <w:sz w:val="21"/>
        </w:rPr>
        <w:t>（冰毒</w:t>
      </w:r>
      <w:r>
        <w:rPr>
          <w:spacing w:val="-105"/>
          <w:sz w:val="21"/>
        </w:rPr>
        <w:t>）</w:t>
      </w:r>
      <w:r>
        <w:rPr>
          <w:spacing w:val="-17"/>
          <w:sz w:val="21"/>
        </w:rPr>
        <w:t>、</w:t>
      </w:r>
      <w:r>
        <w:rPr>
          <w:sz w:val="21"/>
        </w:rPr>
        <w:t>吗啡</w:t>
      </w:r>
      <w:r>
        <w:rPr>
          <w:spacing w:val="-17"/>
          <w:sz w:val="21"/>
        </w:rPr>
        <w:t>、</w:t>
      </w:r>
      <w:r>
        <w:rPr>
          <w:sz w:val="21"/>
        </w:rPr>
        <w:t>大麻、可卡因以及国家规定管制的其他能够使人形成瘾癖的麻醉药品和精神药品</w:t>
      </w:r>
      <w:r>
        <w:rPr>
          <w:spacing w:val="-82"/>
          <w:sz w:val="21"/>
        </w:rPr>
        <w:t>，</w:t>
      </w:r>
      <w:r>
        <w:rPr>
          <w:sz w:val="21"/>
        </w:rPr>
        <w:t>但不包括由医生开具并遵医嘱使用的用于治疗疾病但含有毒品成分的处方药品。</w:t>
      </w:r>
    </w:p>
    <w:p>
      <w:pPr>
        <w:pStyle w:val="BodyText"/>
        <w:spacing w:before="11"/>
        <w:rPr>
          <w:sz w:val="17"/>
        </w:rPr>
      </w:pPr>
    </w:p>
    <w:p>
      <w:pPr>
        <w:pStyle w:val="ListParagraph"/>
        <w:numPr>
          <w:ilvl w:val="1"/>
          <w:numId w:val="16"/>
        </w:numPr>
        <w:tabs>
          <w:tab w:pos="1008" w:val="left" w:leader="none"/>
          <w:tab w:pos="2986" w:val="left" w:leader="none"/>
        </w:tabs>
        <w:spacing w:line="273" w:lineRule="auto" w:before="0" w:after="0"/>
        <w:ind w:left="2986" w:right="207" w:hanging="2777"/>
        <w:jc w:val="both"/>
        <w:rPr>
          <w:sz w:val="21"/>
        </w:rPr>
      </w:pPr>
      <w:r>
        <w:rPr>
          <w:b/>
          <w:sz w:val="21"/>
        </w:rPr>
        <w:t>酒后驾驶</w:t>
        <w:tab/>
      </w:r>
      <w:r>
        <w:rPr>
          <w:sz w:val="21"/>
        </w:rPr>
        <w:t>指经检测或鉴定</w:t>
      </w:r>
      <w:r>
        <w:rPr>
          <w:spacing w:val="-82"/>
          <w:sz w:val="21"/>
        </w:rPr>
        <w:t>，</w:t>
      </w:r>
      <w:r>
        <w:rPr>
          <w:sz w:val="21"/>
        </w:rPr>
        <w:t>发生事故时车辆驾驶人员每百毫升血液中的酒精含量达到或超过一定的标准</w:t>
      </w:r>
      <w:r>
        <w:rPr>
          <w:spacing w:val="-28"/>
          <w:sz w:val="21"/>
        </w:rPr>
        <w:t>，</w:t>
      </w:r>
      <w:r>
        <w:rPr>
          <w:sz w:val="21"/>
        </w:rPr>
        <w:t>公安机关交通管理部门依</w:t>
      </w:r>
      <w:r>
        <w:rPr>
          <w:spacing w:val="-28"/>
          <w:sz w:val="21"/>
        </w:rPr>
        <w:t>据</w:t>
      </w:r>
      <w:r>
        <w:rPr>
          <w:sz w:val="21"/>
        </w:rPr>
        <w:t>《道路交通安全法</w:t>
      </w:r>
      <w:r>
        <w:rPr>
          <w:spacing w:val="-28"/>
          <w:sz w:val="21"/>
        </w:rPr>
        <w:t>》</w:t>
      </w:r>
      <w:r>
        <w:rPr>
          <w:sz w:val="21"/>
        </w:rPr>
        <w:t>的规定认定为饮酒后驾驶或醉酒后驾驶。</w:t>
      </w:r>
    </w:p>
    <w:p>
      <w:pPr>
        <w:pStyle w:val="BodyText"/>
        <w:spacing w:before="2"/>
        <w:rPr>
          <w:sz w:val="15"/>
        </w:rPr>
      </w:pPr>
    </w:p>
    <w:p>
      <w:pPr>
        <w:spacing w:after="0"/>
        <w:rPr>
          <w:sz w:val="15"/>
        </w:rPr>
        <w:sectPr>
          <w:pgSz w:w="11910" w:h="16840"/>
          <w:pgMar w:header="0" w:footer="677" w:top="1100" w:bottom="860" w:left="720" w:right="720"/>
        </w:sectPr>
      </w:pPr>
    </w:p>
    <w:p>
      <w:pPr>
        <w:pStyle w:val="Heading4"/>
        <w:numPr>
          <w:ilvl w:val="1"/>
          <w:numId w:val="16"/>
        </w:numPr>
        <w:tabs>
          <w:tab w:pos="1007" w:val="left" w:leader="none"/>
          <w:tab w:pos="1008" w:val="left" w:leader="none"/>
        </w:tabs>
        <w:spacing w:line="240" w:lineRule="auto" w:before="35" w:after="0"/>
        <w:ind w:left="1007" w:right="0" w:hanging="798"/>
        <w:jc w:val="left"/>
      </w:pPr>
      <w:r>
        <w:rPr>
          <w:w w:val="95"/>
        </w:rPr>
        <w:t>无合法有效驾驶证</w:t>
      </w:r>
    </w:p>
    <w:p>
      <w:pPr>
        <w:spacing w:before="36"/>
        <w:ind w:left="777" w:right="1032" w:firstLine="0"/>
        <w:jc w:val="center"/>
        <w:rPr>
          <w:b/>
          <w:sz w:val="21"/>
        </w:rPr>
      </w:pPr>
      <w:r>
        <w:rPr>
          <w:b/>
          <w:sz w:val="21"/>
        </w:rPr>
        <w:t>驾驶</w:t>
      </w:r>
    </w:p>
    <w:p>
      <w:pPr>
        <w:pStyle w:val="BodyText"/>
        <w:spacing w:before="35"/>
        <w:ind w:left="209"/>
      </w:pPr>
      <w:r>
        <w:rPr/>
        <w:br w:type="column"/>
      </w:r>
      <w:r>
        <w:rPr/>
        <w:t>指下列情形之一：</w:t>
      </w:r>
    </w:p>
    <w:p>
      <w:pPr>
        <w:pStyle w:val="BodyText"/>
        <w:spacing w:before="36"/>
        <w:ind w:left="209"/>
      </w:pPr>
      <w:r>
        <w:rPr/>
        <w:t>（1）没有驾驶证驾驶；</w:t>
      </w:r>
    </w:p>
    <w:p>
      <w:pPr>
        <w:pStyle w:val="BodyText"/>
        <w:spacing w:before="36"/>
        <w:ind w:left="209"/>
      </w:pPr>
      <w:r>
        <w:rPr/>
        <w:t>（2）驾驶与驾驶证准驾车型不相符合的车辆；</w:t>
      </w:r>
    </w:p>
    <w:p>
      <w:pPr>
        <w:pStyle w:val="BodyText"/>
        <w:spacing w:before="36"/>
        <w:ind w:left="209"/>
      </w:pPr>
      <w:r>
        <w:rPr/>
        <w:t>（3）持审验不合格的驾驶证驾驶；</w:t>
      </w:r>
    </w:p>
    <w:p>
      <w:pPr>
        <w:pStyle w:val="BodyText"/>
        <w:spacing w:line="273" w:lineRule="auto" w:before="36"/>
        <w:ind w:left="735" w:right="231" w:hanging="526"/>
      </w:pPr>
      <w:r>
        <w:rPr/>
        <w:t>（4）持学习驾驶证学习驾车时，无教练员随车指导，或不按指定时间、路线学习驾车。</w:t>
      </w:r>
    </w:p>
    <w:p>
      <w:pPr>
        <w:spacing w:after="0" w:line="273" w:lineRule="auto"/>
        <w:sectPr>
          <w:type w:val="continuous"/>
          <w:pgSz w:w="11910" w:h="16840"/>
          <w:pgMar w:top="440" w:bottom="280" w:left="720" w:right="720"/>
          <w:cols w:num="2" w:equalWidth="0">
            <w:col w:w="2694" w:space="83"/>
            <w:col w:w="7693"/>
          </w:cols>
        </w:sectPr>
      </w:pPr>
    </w:p>
    <w:p>
      <w:pPr>
        <w:pStyle w:val="BodyText"/>
        <w:spacing w:before="10"/>
        <w:rPr>
          <w:sz w:val="22"/>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67"/>
        <w:gridCol w:w="7465"/>
      </w:tblGrid>
      <w:tr>
        <w:trPr>
          <w:trHeight w:val="260" w:hRule="atLeast"/>
        </w:trPr>
        <w:tc>
          <w:tcPr>
            <w:tcW w:w="713" w:type="dxa"/>
          </w:tcPr>
          <w:p>
            <w:pPr>
              <w:pStyle w:val="TableParagraph"/>
              <w:spacing w:line="210" w:lineRule="exact"/>
              <w:ind w:left="50"/>
              <w:rPr>
                <w:b/>
                <w:sz w:val="21"/>
              </w:rPr>
            </w:pPr>
            <w:r>
              <w:rPr>
                <w:b/>
                <w:sz w:val="21"/>
              </w:rPr>
              <w:t>12.8</w:t>
            </w:r>
          </w:p>
        </w:tc>
        <w:tc>
          <w:tcPr>
            <w:tcW w:w="1967" w:type="dxa"/>
          </w:tcPr>
          <w:p>
            <w:pPr>
              <w:pStyle w:val="TableParagraph"/>
              <w:spacing w:line="210" w:lineRule="exact"/>
              <w:ind w:left="134"/>
              <w:rPr>
                <w:b/>
                <w:sz w:val="21"/>
              </w:rPr>
            </w:pPr>
            <w:r>
              <w:rPr>
                <w:b/>
                <w:w w:val="95"/>
                <w:sz w:val="21"/>
              </w:rPr>
              <w:t>无有效行驶证</w:t>
            </w:r>
          </w:p>
        </w:tc>
        <w:tc>
          <w:tcPr>
            <w:tcW w:w="7465" w:type="dxa"/>
          </w:tcPr>
          <w:p>
            <w:pPr>
              <w:pStyle w:val="TableParagraph"/>
              <w:spacing w:line="210" w:lineRule="exact"/>
              <w:ind w:left="146"/>
              <w:rPr>
                <w:sz w:val="21"/>
              </w:rPr>
            </w:pPr>
            <w:r>
              <w:rPr>
                <w:sz w:val="21"/>
              </w:rPr>
              <w:t>指下列情形之一：</w:t>
            </w:r>
          </w:p>
        </w:tc>
      </w:tr>
      <w:tr>
        <w:trPr>
          <w:trHeight w:val="311" w:hRule="atLeast"/>
        </w:trPr>
        <w:tc>
          <w:tcPr>
            <w:tcW w:w="713" w:type="dxa"/>
          </w:tcPr>
          <w:p>
            <w:pPr>
              <w:pStyle w:val="TableParagraph"/>
              <w:rPr>
                <w:rFonts w:ascii="Times New Roman"/>
                <w:sz w:val="20"/>
              </w:rPr>
            </w:pPr>
          </w:p>
        </w:tc>
        <w:tc>
          <w:tcPr>
            <w:tcW w:w="1967" w:type="dxa"/>
          </w:tcPr>
          <w:p>
            <w:pPr>
              <w:pStyle w:val="TableParagraph"/>
              <w:rPr>
                <w:rFonts w:ascii="Times New Roman"/>
                <w:sz w:val="20"/>
              </w:rPr>
            </w:pPr>
          </w:p>
        </w:tc>
        <w:tc>
          <w:tcPr>
            <w:tcW w:w="7465" w:type="dxa"/>
          </w:tcPr>
          <w:p>
            <w:pPr>
              <w:pStyle w:val="TableParagraph"/>
              <w:spacing w:line="261" w:lineRule="exact"/>
              <w:ind w:left="146"/>
              <w:rPr>
                <w:sz w:val="21"/>
              </w:rPr>
            </w:pPr>
            <w:r>
              <w:rPr>
                <w:sz w:val="21"/>
              </w:rPr>
              <w:t>（1）机动车被依法注销登记的；</w:t>
            </w:r>
          </w:p>
        </w:tc>
      </w:tr>
      <w:tr>
        <w:trPr>
          <w:trHeight w:val="425" w:hRule="atLeast"/>
        </w:trPr>
        <w:tc>
          <w:tcPr>
            <w:tcW w:w="713" w:type="dxa"/>
          </w:tcPr>
          <w:p>
            <w:pPr>
              <w:pStyle w:val="TableParagraph"/>
              <w:rPr>
                <w:rFonts w:ascii="Times New Roman"/>
                <w:sz w:val="20"/>
              </w:rPr>
            </w:pPr>
          </w:p>
        </w:tc>
        <w:tc>
          <w:tcPr>
            <w:tcW w:w="1967" w:type="dxa"/>
          </w:tcPr>
          <w:p>
            <w:pPr>
              <w:pStyle w:val="TableParagraph"/>
              <w:rPr>
                <w:rFonts w:ascii="Times New Roman"/>
                <w:sz w:val="20"/>
              </w:rPr>
            </w:pPr>
          </w:p>
        </w:tc>
        <w:tc>
          <w:tcPr>
            <w:tcW w:w="7465" w:type="dxa"/>
          </w:tcPr>
          <w:p>
            <w:pPr>
              <w:pStyle w:val="TableParagraph"/>
              <w:spacing w:line="261" w:lineRule="exact"/>
              <w:ind w:left="146"/>
              <w:rPr>
                <w:sz w:val="21"/>
              </w:rPr>
            </w:pPr>
            <w:r>
              <w:rPr>
                <w:sz w:val="21"/>
              </w:rPr>
              <w:t>（2）未依法按时进行或通过机动车安全技术检验。</w:t>
            </w:r>
          </w:p>
        </w:tc>
      </w:tr>
      <w:tr>
        <w:trPr>
          <w:trHeight w:val="425" w:hRule="atLeast"/>
        </w:trPr>
        <w:tc>
          <w:tcPr>
            <w:tcW w:w="713" w:type="dxa"/>
          </w:tcPr>
          <w:p>
            <w:pPr>
              <w:pStyle w:val="TableParagraph"/>
              <w:spacing w:before="99"/>
              <w:ind w:left="50"/>
              <w:rPr>
                <w:b/>
                <w:sz w:val="21"/>
              </w:rPr>
            </w:pPr>
            <w:r>
              <w:rPr>
                <w:b/>
                <w:sz w:val="21"/>
              </w:rPr>
              <w:t>12.9</w:t>
            </w:r>
          </w:p>
        </w:tc>
        <w:tc>
          <w:tcPr>
            <w:tcW w:w="1967" w:type="dxa"/>
          </w:tcPr>
          <w:p>
            <w:pPr>
              <w:pStyle w:val="TableParagraph"/>
              <w:spacing w:before="99"/>
              <w:ind w:left="134"/>
              <w:rPr>
                <w:b/>
                <w:sz w:val="21"/>
              </w:rPr>
            </w:pPr>
            <w:r>
              <w:rPr>
                <w:b/>
                <w:w w:val="95"/>
                <w:sz w:val="21"/>
              </w:rPr>
              <w:t>机动车</w:t>
            </w:r>
          </w:p>
        </w:tc>
        <w:tc>
          <w:tcPr>
            <w:tcW w:w="7465" w:type="dxa"/>
          </w:tcPr>
          <w:p>
            <w:pPr>
              <w:pStyle w:val="TableParagraph"/>
              <w:spacing w:before="99"/>
              <w:ind w:left="146"/>
              <w:rPr>
                <w:sz w:val="21"/>
              </w:rPr>
            </w:pPr>
            <w:r>
              <w:rPr>
                <w:spacing w:val="-7"/>
                <w:sz w:val="21"/>
              </w:rPr>
              <w:t>指以动力装置驱动或牵引，上道路行驶的供人员乘用或用于运送物品以及进行工</w:t>
            </w:r>
          </w:p>
        </w:tc>
      </w:tr>
      <w:tr>
        <w:trPr>
          <w:trHeight w:val="422" w:hRule="atLeast"/>
        </w:trPr>
        <w:tc>
          <w:tcPr>
            <w:tcW w:w="713" w:type="dxa"/>
          </w:tcPr>
          <w:p>
            <w:pPr>
              <w:pStyle w:val="TableParagraph"/>
              <w:rPr>
                <w:rFonts w:ascii="Times New Roman"/>
                <w:sz w:val="20"/>
              </w:rPr>
            </w:pPr>
          </w:p>
        </w:tc>
        <w:tc>
          <w:tcPr>
            <w:tcW w:w="1967" w:type="dxa"/>
          </w:tcPr>
          <w:p>
            <w:pPr>
              <w:pStyle w:val="TableParagraph"/>
              <w:rPr>
                <w:rFonts w:ascii="Times New Roman"/>
                <w:sz w:val="20"/>
              </w:rPr>
            </w:pPr>
          </w:p>
        </w:tc>
        <w:tc>
          <w:tcPr>
            <w:tcW w:w="7465" w:type="dxa"/>
          </w:tcPr>
          <w:p>
            <w:pPr>
              <w:pStyle w:val="TableParagraph"/>
              <w:spacing w:line="261" w:lineRule="exact"/>
              <w:ind w:left="146"/>
              <w:rPr>
                <w:sz w:val="21"/>
              </w:rPr>
            </w:pPr>
            <w:r>
              <w:rPr>
                <w:sz w:val="21"/>
              </w:rPr>
              <w:t>程专项作业的轮式车辆。</w:t>
            </w:r>
          </w:p>
        </w:tc>
      </w:tr>
      <w:tr>
        <w:trPr>
          <w:trHeight w:val="706" w:hRule="atLeast"/>
        </w:trPr>
        <w:tc>
          <w:tcPr>
            <w:tcW w:w="713" w:type="dxa"/>
          </w:tcPr>
          <w:p>
            <w:pPr>
              <w:pStyle w:val="TableParagraph"/>
              <w:spacing w:before="103"/>
              <w:ind w:left="50"/>
              <w:rPr>
                <w:b/>
                <w:sz w:val="21"/>
              </w:rPr>
            </w:pPr>
            <w:r>
              <w:rPr>
                <w:b/>
                <w:sz w:val="21"/>
              </w:rPr>
              <w:t>12.10</w:t>
            </w:r>
          </w:p>
        </w:tc>
        <w:tc>
          <w:tcPr>
            <w:tcW w:w="1967" w:type="dxa"/>
          </w:tcPr>
          <w:p>
            <w:pPr>
              <w:pStyle w:val="TableParagraph"/>
              <w:spacing w:line="310" w:lineRule="atLeast" w:before="68"/>
              <w:ind w:left="133" w:right="144"/>
              <w:rPr>
                <w:b/>
                <w:sz w:val="21"/>
              </w:rPr>
            </w:pPr>
            <w:r>
              <w:rPr>
                <w:b/>
                <w:sz w:val="21"/>
              </w:rPr>
              <w:t>感染艾滋病病毒或患艾滋病</w:t>
            </w:r>
          </w:p>
        </w:tc>
        <w:tc>
          <w:tcPr>
            <w:tcW w:w="7465" w:type="dxa"/>
          </w:tcPr>
          <w:p>
            <w:pPr>
              <w:pStyle w:val="TableParagraph"/>
              <w:spacing w:line="310" w:lineRule="atLeast" w:before="84"/>
              <w:ind w:left="146" w:right="49"/>
              <w:rPr>
                <w:sz w:val="21"/>
              </w:rPr>
            </w:pPr>
            <w:r>
              <w:rPr>
                <w:spacing w:val="-6"/>
                <w:sz w:val="21"/>
              </w:rPr>
              <w:t>艾滋病病毒指人类免疫缺陷病毒，英文缩写为 </w:t>
            </w:r>
            <w:r>
              <w:rPr>
                <w:rFonts w:ascii="Times New Roman" w:eastAsia="Times New Roman"/>
                <w:sz w:val="21"/>
              </w:rPr>
              <w:t>HIV</w:t>
            </w:r>
            <w:r>
              <w:rPr>
                <w:spacing w:val="-7"/>
                <w:sz w:val="21"/>
              </w:rPr>
              <w:t>。艾滋病指人类免疫缺陷病毒</w:t>
            </w:r>
            <w:r>
              <w:rPr>
                <w:spacing w:val="-10"/>
                <w:sz w:val="21"/>
              </w:rPr>
              <w:t>引起的获得性免疫缺陷综合征，英文缩写为 </w:t>
            </w:r>
            <w:r>
              <w:rPr>
                <w:rFonts w:ascii="Times New Roman" w:eastAsia="Times New Roman"/>
                <w:sz w:val="21"/>
              </w:rPr>
              <w:t>AIDS</w:t>
            </w:r>
            <w:r>
              <w:rPr>
                <w:sz w:val="21"/>
              </w:rPr>
              <w:t>。在人体血液或其他样本中检</w:t>
            </w:r>
          </w:p>
        </w:tc>
      </w:tr>
    </w:tbl>
    <w:p>
      <w:pPr>
        <w:spacing w:after="0" w:line="310" w:lineRule="atLeast"/>
        <w:rPr>
          <w:sz w:val="21"/>
        </w:rPr>
        <w:sectPr>
          <w:type w:val="continuous"/>
          <w:pgSz w:w="11910" w:h="16840"/>
          <w:pgMar w:top="440" w:bottom="280" w:left="720" w:right="720"/>
        </w:sectPr>
      </w:pPr>
    </w:p>
    <w:p>
      <w:pPr>
        <w:pStyle w:val="BodyText"/>
        <w:spacing w:line="273" w:lineRule="auto" w:before="19"/>
        <w:ind w:left="2926" w:right="190"/>
      </w:pPr>
      <w:r>
        <w:rPr/>
        <w:t>测到艾滋病病毒或其抗体呈阳性，没有出现临床症状或体征的，为感染艾滋病病毒；若同时出现了明显临床症状或体征的，为患艾滋病。</w:t>
      </w:r>
    </w:p>
    <w:p>
      <w:pPr>
        <w:pStyle w:val="BodyText"/>
        <w:spacing w:before="12"/>
        <w:rPr>
          <w:sz w:val="17"/>
        </w:rPr>
      </w:pPr>
    </w:p>
    <w:p>
      <w:pPr>
        <w:pStyle w:val="ListParagraph"/>
        <w:numPr>
          <w:ilvl w:val="1"/>
          <w:numId w:val="17"/>
        </w:numPr>
        <w:tabs>
          <w:tab w:pos="946" w:val="left" w:leader="none"/>
          <w:tab w:pos="947" w:val="left" w:leader="none"/>
          <w:tab w:pos="2926" w:val="left" w:leader="none"/>
        </w:tabs>
        <w:spacing w:line="273" w:lineRule="auto" w:before="0" w:after="0"/>
        <w:ind w:left="2926" w:right="162" w:hanging="2777"/>
        <w:jc w:val="left"/>
        <w:rPr>
          <w:sz w:val="21"/>
        </w:rPr>
      </w:pPr>
      <w:r>
        <w:rPr>
          <w:b/>
          <w:sz w:val="21"/>
        </w:rPr>
        <w:t>遗传性疾病</w:t>
        <w:tab/>
      </w:r>
      <w:r>
        <w:rPr>
          <w:sz w:val="21"/>
        </w:rPr>
        <w:t>指生殖细胞或受精卵的遗传物</w:t>
      </w:r>
      <w:r>
        <w:rPr>
          <w:spacing w:val="-94"/>
          <w:sz w:val="21"/>
        </w:rPr>
        <w:t>质</w:t>
      </w:r>
      <w:r>
        <w:rPr>
          <w:sz w:val="21"/>
        </w:rPr>
        <w:t>（染色体和基因</w:t>
      </w:r>
      <w:r>
        <w:rPr>
          <w:spacing w:val="-94"/>
          <w:sz w:val="21"/>
        </w:rPr>
        <w:t>）</w:t>
      </w:r>
      <w:r>
        <w:rPr>
          <w:sz w:val="21"/>
        </w:rPr>
        <w:t>发生突变或畸变所引起的疾病，通常具有亲代传至后代的垂直传递的特征</w:t>
      </w:r>
      <w:r>
        <w:rPr>
          <w:spacing w:val="-41"/>
          <w:sz w:val="21"/>
        </w:rPr>
        <w:t>。</w:t>
      </w:r>
      <w:r>
        <w:rPr>
          <w:sz w:val="21"/>
        </w:rPr>
        <w:t>遗传性疾病按照世界卫生组</w:t>
      </w:r>
      <w:r>
        <w:rPr>
          <w:spacing w:val="-41"/>
          <w:sz w:val="21"/>
        </w:rPr>
        <w:t>织</w:t>
      </w:r>
      <w:r>
        <w:rPr>
          <w:sz w:val="21"/>
        </w:rPr>
        <w:t>《疾病</w:t>
      </w:r>
      <w:r>
        <w:rPr>
          <w:spacing w:val="-1"/>
          <w:sz w:val="21"/>
        </w:rPr>
        <w:t>和有关健康问</w:t>
      </w:r>
      <w:r>
        <w:rPr>
          <w:sz w:val="21"/>
        </w:rPr>
        <w:t>题的国际统计分类</w:t>
      </w:r>
      <w:r>
        <w:rPr>
          <w:spacing w:val="-105"/>
          <w:sz w:val="21"/>
        </w:rPr>
        <w:t>》</w:t>
      </w:r>
      <w:r>
        <w:rPr>
          <w:sz w:val="21"/>
        </w:rPr>
        <w:t>（ICD-10）确定。</w:t>
      </w:r>
    </w:p>
    <w:p>
      <w:pPr>
        <w:pStyle w:val="BodyText"/>
        <w:spacing w:before="3"/>
        <w:rPr>
          <w:sz w:val="15"/>
        </w:rPr>
      </w:pPr>
    </w:p>
    <w:p>
      <w:pPr>
        <w:spacing w:after="0"/>
        <w:rPr>
          <w:sz w:val="15"/>
        </w:rPr>
        <w:sectPr>
          <w:pgSz w:w="11910" w:h="16840"/>
          <w:pgMar w:header="0" w:footer="677" w:top="1100" w:bottom="860" w:left="780" w:right="660"/>
        </w:sectPr>
      </w:pPr>
    </w:p>
    <w:p>
      <w:pPr>
        <w:pStyle w:val="Heading4"/>
        <w:numPr>
          <w:ilvl w:val="1"/>
          <w:numId w:val="17"/>
        </w:numPr>
        <w:tabs>
          <w:tab w:pos="946" w:val="left" w:leader="none"/>
          <w:tab w:pos="947" w:val="left" w:leader="none"/>
        </w:tabs>
        <w:spacing w:line="240" w:lineRule="auto" w:before="35" w:after="0"/>
        <w:ind w:left="946" w:right="0" w:hanging="797"/>
        <w:jc w:val="left"/>
      </w:pPr>
      <w:r>
        <w:rPr>
          <w:w w:val="95"/>
        </w:rPr>
        <w:t>先天性畸形、变形</w:t>
      </w:r>
    </w:p>
    <w:p>
      <w:pPr>
        <w:spacing w:before="37"/>
        <w:ind w:left="946" w:right="0" w:firstLine="0"/>
        <w:jc w:val="left"/>
        <w:rPr>
          <w:b/>
          <w:sz w:val="21"/>
        </w:rPr>
      </w:pPr>
      <w:r>
        <w:rPr>
          <w:b/>
          <w:w w:val="95"/>
          <w:sz w:val="21"/>
        </w:rPr>
        <w:t>或染色体异常</w:t>
      </w:r>
    </w:p>
    <w:p>
      <w:pPr>
        <w:pStyle w:val="BodyText"/>
        <w:spacing w:line="273" w:lineRule="auto" w:before="35"/>
        <w:ind w:left="149" w:right="267"/>
        <w:jc w:val="both"/>
      </w:pPr>
      <w:r>
        <w:rPr/>
        <w:br w:type="column"/>
      </w:r>
      <w:r>
        <w:rPr>
          <w:spacing w:val="-5"/>
        </w:rPr>
        <w:t>指被保险人出生时就具有的畸形、变形或染色体异常。先天性畸形、变形或染色</w:t>
      </w:r>
      <w:r>
        <w:rPr>
          <w:spacing w:val="-9"/>
        </w:rPr>
        <w:t>体异常按照世界卫生组织《疾病和有关健康问题的国际统计分类》</w:t>
      </w:r>
      <w:r>
        <w:rPr/>
        <w:t>（ICD-10）确定。</w:t>
      </w:r>
    </w:p>
    <w:p>
      <w:pPr>
        <w:spacing w:after="0" w:line="273" w:lineRule="auto"/>
        <w:jc w:val="both"/>
        <w:sectPr>
          <w:type w:val="continuous"/>
          <w:pgSz w:w="11910" w:h="16840"/>
          <w:pgMar w:top="440" w:bottom="280" w:left="780" w:right="660"/>
          <w:cols w:num="2" w:equalWidth="0">
            <w:col w:w="2634" w:space="143"/>
            <w:col w:w="7693"/>
          </w:cols>
        </w:sectPr>
      </w:pPr>
    </w:p>
    <w:p>
      <w:pPr>
        <w:pStyle w:val="BodyText"/>
        <w:spacing w:before="2"/>
        <w:rPr>
          <w:sz w:val="15"/>
        </w:rPr>
      </w:pPr>
    </w:p>
    <w:p>
      <w:pPr>
        <w:pStyle w:val="ListParagraph"/>
        <w:numPr>
          <w:ilvl w:val="1"/>
          <w:numId w:val="17"/>
        </w:numPr>
        <w:tabs>
          <w:tab w:pos="946" w:val="left" w:leader="none"/>
          <w:tab w:pos="947" w:val="left" w:leader="none"/>
          <w:tab w:pos="2926" w:val="left" w:leader="none"/>
        </w:tabs>
        <w:spacing w:line="273" w:lineRule="auto" w:before="36" w:after="0"/>
        <w:ind w:left="2926" w:right="268" w:hanging="2777"/>
        <w:jc w:val="left"/>
        <w:rPr>
          <w:sz w:val="21"/>
        </w:rPr>
      </w:pPr>
      <w:r>
        <w:rPr>
          <w:b/>
          <w:sz w:val="21"/>
        </w:rPr>
        <w:t>有效身份证件</w:t>
        <w:tab/>
      </w:r>
      <w:r>
        <w:rPr>
          <w:sz w:val="21"/>
        </w:rPr>
        <w:t>指由政府主管部门规定的证明其身份的证件</w:t>
      </w:r>
      <w:r>
        <w:rPr>
          <w:spacing w:val="-28"/>
          <w:sz w:val="21"/>
        </w:rPr>
        <w:t>，</w:t>
      </w:r>
      <w:r>
        <w:rPr>
          <w:sz w:val="21"/>
        </w:rPr>
        <w:t>如</w:t>
      </w:r>
      <w:r>
        <w:rPr>
          <w:spacing w:val="-28"/>
          <w:sz w:val="21"/>
        </w:rPr>
        <w:t>：</w:t>
      </w:r>
      <w:r>
        <w:rPr>
          <w:sz w:val="21"/>
        </w:rPr>
        <w:t>居民身份证</w:t>
      </w:r>
      <w:r>
        <w:rPr>
          <w:spacing w:val="-28"/>
          <w:sz w:val="21"/>
        </w:rPr>
        <w:t>、</w:t>
      </w:r>
      <w:r>
        <w:rPr>
          <w:sz w:val="21"/>
        </w:rPr>
        <w:t>按规定可使用的有效护照、军官证、警官证、士兵证、户口簿等证件。</w:t>
      </w:r>
    </w:p>
    <w:p>
      <w:pPr>
        <w:pStyle w:val="BodyText"/>
        <w:spacing w:before="0"/>
        <w:rPr>
          <w:sz w:val="18"/>
        </w:rPr>
      </w:pPr>
    </w:p>
    <w:p>
      <w:pPr>
        <w:pStyle w:val="ListParagraph"/>
        <w:numPr>
          <w:ilvl w:val="1"/>
          <w:numId w:val="17"/>
        </w:numPr>
        <w:tabs>
          <w:tab w:pos="946" w:val="left" w:leader="none"/>
          <w:tab w:pos="947" w:val="left" w:leader="none"/>
          <w:tab w:pos="2926" w:val="left" w:leader="none"/>
        </w:tabs>
        <w:spacing w:line="273" w:lineRule="auto" w:before="0" w:after="0"/>
        <w:ind w:left="2926" w:right="185" w:hanging="2777"/>
        <w:jc w:val="left"/>
        <w:rPr>
          <w:sz w:val="21"/>
        </w:rPr>
      </w:pPr>
      <w:r>
        <w:rPr>
          <w:b/>
          <w:sz w:val="21"/>
        </w:rPr>
        <w:t>医疗机构</w:t>
        <w:tab/>
      </w:r>
      <w:r>
        <w:rPr>
          <w:sz w:val="21"/>
        </w:rPr>
        <w:t>指经中华人民共和国卫生部门正式评定的二级或以上之公立医院</w:t>
      </w:r>
      <w:r>
        <w:rPr>
          <w:spacing w:val="-82"/>
          <w:sz w:val="21"/>
        </w:rPr>
        <w:t>，</w:t>
      </w:r>
      <w:r>
        <w:rPr>
          <w:sz w:val="21"/>
        </w:rPr>
        <w:t>但不包括上述医院的分院、联合病房或联合病床，精神病院，专供康复、休养、戒毒、戒酒、护理、养老等非以直接诊治病人为目的之医疗机构。</w:t>
      </w:r>
    </w:p>
    <w:p>
      <w:pPr>
        <w:pStyle w:val="BodyText"/>
        <w:spacing w:before="11"/>
        <w:rPr>
          <w:sz w:val="17"/>
        </w:rPr>
      </w:pPr>
    </w:p>
    <w:p>
      <w:pPr>
        <w:pStyle w:val="ListParagraph"/>
        <w:numPr>
          <w:ilvl w:val="1"/>
          <w:numId w:val="17"/>
        </w:numPr>
        <w:tabs>
          <w:tab w:pos="946" w:val="left" w:leader="none"/>
          <w:tab w:pos="947" w:val="left" w:leader="none"/>
          <w:tab w:pos="2926" w:val="left" w:leader="none"/>
        </w:tabs>
        <w:spacing w:line="273" w:lineRule="auto" w:before="1" w:after="0"/>
        <w:ind w:left="2926" w:right="395" w:hanging="2777"/>
        <w:jc w:val="left"/>
        <w:rPr>
          <w:sz w:val="21"/>
        </w:rPr>
      </w:pPr>
      <w:r>
        <w:rPr>
          <w:b/>
          <w:sz w:val="21"/>
        </w:rPr>
        <w:t>利息</w:t>
        <w:tab/>
      </w:r>
      <w:r>
        <w:rPr>
          <w:sz w:val="21"/>
        </w:rPr>
        <w:t>本合同补交风险保险费的利息以“中国人民银行当月第</w:t>
      </w:r>
      <w:r>
        <w:rPr>
          <w:spacing w:val="-53"/>
          <w:sz w:val="21"/>
        </w:rPr>
        <w:t> </w:t>
      </w:r>
      <w:r>
        <w:rPr>
          <w:sz w:val="21"/>
        </w:rPr>
        <w:t>1</w:t>
      </w:r>
      <w:r>
        <w:rPr>
          <w:spacing w:val="-53"/>
          <w:sz w:val="21"/>
        </w:rPr>
        <w:t> </w:t>
      </w:r>
      <w:r>
        <w:rPr>
          <w:sz w:val="21"/>
        </w:rPr>
        <w:t>个营业日颁布的两年期居民定期储蓄存款基准利率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8"/>
        <w:rPr>
          <w:sz w:val="13"/>
        </w:rPr>
      </w:pPr>
    </w:p>
    <w:p>
      <w:pPr>
        <w:spacing w:after="0"/>
        <w:rPr>
          <w:sz w:val="13"/>
        </w:rPr>
        <w:sectPr>
          <w:type w:val="continuous"/>
          <w:pgSz w:w="11910" w:h="16840"/>
          <w:pgMar w:top="440" w:bottom="280" w:left="780" w:right="660"/>
        </w:sectPr>
      </w:pPr>
    </w:p>
    <w:p>
      <w:pPr>
        <w:pStyle w:val="Heading4"/>
        <w:numPr>
          <w:ilvl w:val="1"/>
          <w:numId w:val="17"/>
        </w:numPr>
        <w:tabs>
          <w:tab w:pos="946" w:val="left" w:leader="none"/>
          <w:tab w:pos="947" w:val="left" w:leader="none"/>
        </w:tabs>
        <w:spacing w:line="273" w:lineRule="auto" w:before="56" w:after="0"/>
        <w:ind w:left="946" w:right="0" w:hanging="797"/>
        <w:jc w:val="left"/>
      </w:pPr>
      <w:r>
        <w:rPr>
          <w:w w:val="95"/>
        </w:rPr>
        <w:t>初次患本合同所列的重大疾病</w:t>
      </w:r>
    </w:p>
    <w:p>
      <w:pPr>
        <w:pStyle w:val="BodyText"/>
        <w:spacing w:line="274" w:lineRule="exact" w:before="36"/>
        <w:ind w:left="149"/>
      </w:pPr>
      <w:r>
        <w:rPr/>
        <w:br w:type="column"/>
      </w:r>
      <w:r>
        <w:rPr/>
        <w:t>指被保险人患同时符合以下条件的重大疾病：</w:t>
      </w:r>
    </w:p>
    <w:p>
      <w:pPr>
        <w:pStyle w:val="BodyText"/>
        <w:spacing w:line="272" w:lineRule="exact" w:before="0"/>
        <w:ind w:left="149"/>
      </w:pPr>
      <w:r>
        <w:rPr/>
        <w:t>（1）被保险人自出生后首次出现该重大疾病之症状体征；</w:t>
      </w:r>
    </w:p>
    <w:p>
      <w:pPr>
        <w:pStyle w:val="BodyText"/>
        <w:spacing w:line="237" w:lineRule="auto" w:before="1"/>
        <w:ind w:left="675" w:right="263" w:hanging="526"/>
      </w:pPr>
      <w:r>
        <w:rPr/>
        <w:t>（2）被保险人在本合同有效期间内首次出现该重大疾病之症状体征并被确诊患该重大疾病；</w:t>
      </w:r>
    </w:p>
    <w:p>
      <w:pPr>
        <w:spacing w:after="0" w:line="237" w:lineRule="auto"/>
        <w:sectPr>
          <w:type w:val="continuous"/>
          <w:pgSz w:w="11910" w:h="16840"/>
          <w:pgMar w:top="440" w:bottom="280" w:left="780" w:right="660"/>
          <w:cols w:num="2" w:equalWidth="0">
            <w:col w:w="2634" w:space="143"/>
            <w:col w:w="7693"/>
          </w:cols>
        </w:sectPr>
      </w:pPr>
    </w:p>
    <w:p>
      <w:pPr>
        <w:pStyle w:val="BodyText"/>
        <w:spacing w:before="9"/>
        <w:rPr>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19"/>
        <w:gridCol w:w="7617"/>
      </w:tblGrid>
      <w:tr>
        <w:trPr>
          <w:trHeight w:val="241" w:hRule="atLeast"/>
        </w:trPr>
        <w:tc>
          <w:tcPr>
            <w:tcW w:w="713" w:type="dxa"/>
          </w:tcPr>
          <w:p>
            <w:pPr>
              <w:pStyle w:val="TableParagraph"/>
              <w:rPr>
                <w:rFonts w:ascii="Times New Roman"/>
                <w:sz w:val="16"/>
              </w:rPr>
            </w:pPr>
          </w:p>
        </w:tc>
        <w:tc>
          <w:tcPr>
            <w:tcW w:w="1919" w:type="dxa"/>
          </w:tcPr>
          <w:p>
            <w:pPr>
              <w:pStyle w:val="TableParagraph"/>
              <w:rPr>
                <w:rFonts w:ascii="Times New Roman"/>
                <w:sz w:val="16"/>
              </w:rPr>
            </w:pPr>
          </w:p>
        </w:tc>
        <w:tc>
          <w:tcPr>
            <w:tcW w:w="7617" w:type="dxa"/>
          </w:tcPr>
          <w:p>
            <w:pPr>
              <w:pStyle w:val="TableParagraph"/>
              <w:spacing w:line="210" w:lineRule="exact"/>
              <w:ind w:left="194"/>
              <w:rPr>
                <w:sz w:val="21"/>
              </w:rPr>
            </w:pPr>
            <w:r>
              <w:rPr>
                <w:sz w:val="21"/>
              </w:rPr>
              <w:t>（3）该重大疾病之症状体征符合本合同的定义；</w:t>
            </w:r>
          </w:p>
        </w:tc>
      </w:tr>
      <w:tr>
        <w:trPr>
          <w:trHeight w:val="580"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41" w:lineRule="exact"/>
              <w:ind w:left="194"/>
              <w:rPr>
                <w:sz w:val="21"/>
              </w:rPr>
            </w:pPr>
            <w:r>
              <w:rPr>
                <w:sz w:val="21"/>
              </w:rPr>
              <w:t>（4）该重大疾病已在本合同中列明。</w:t>
            </w:r>
          </w:p>
          <w:p>
            <w:pPr>
              <w:pStyle w:val="TableParagraph"/>
              <w:spacing w:before="6"/>
              <w:ind w:left="194"/>
              <w:rPr>
                <w:rFonts w:ascii="黑体" w:eastAsia="黑体" w:hint="eastAsia"/>
                <w:b/>
                <w:i/>
                <w:sz w:val="22"/>
              </w:rPr>
            </w:pPr>
            <w:r>
              <w:rPr>
                <w:rFonts w:ascii="黑体" w:eastAsia="黑体" w:hint="eastAsia"/>
                <w:b/>
                <w:i/>
                <w:w w:val="95"/>
                <w:sz w:val="22"/>
              </w:rPr>
              <w:t>对于被保险人在本合同Th效日前出现的本合同所列的重大疾病之症状体征或者</w:t>
            </w:r>
          </w:p>
        </w:tc>
      </w:tr>
      <w:tr>
        <w:trPr>
          <w:trHeight w:val="430"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7" w:lineRule="exact"/>
              <w:ind w:left="194"/>
              <w:rPr>
                <w:rFonts w:ascii="黑体" w:eastAsia="黑体" w:hint="eastAsia"/>
                <w:b/>
                <w:i/>
                <w:sz w:val="22"/>
              </w:rPr>
            </w:pPr>
            <w:r>
              <w:rPr>
                <w:rFonts w:ascii="黑体" w:eastAsia="黑体" w:hint="eastAsia"/>
                <w:b/>
                <w:i/>
                <w:w w:val="95"/>
                <w:sz w:val="22"/>
              </w:rPr>
              <w:t>所患的重大疾病，本公司不承担给付保险金责任。</w:t>
            </w:r>
          </w:p>
        </w:tc>
      </w:tr>
      <w:tr>
        <w:trPr>
          <w:trHeight w:val="424" w:hRule="atLeast"/>
        </w:trPr>
        <w:tc>
          <w:tcPr>
            <w:tcW w:w="713" w:type="dxa"/>
          </w:tcPr>
          <w:p>
            <w:pPr>
              <w:pStyle w:val="TableParagraph"/>
              <w:spacing w:before="98"/>
              <w:ind w:left="50"/>
              <w:rPr>
                <w:b/>
                <w:sz w:val="21"/>
              </w:rPr>
            </w:pPr>
            <w:r>
              <w:rPr>
                <w:b/>
                <w:sz w:val="21"/>
              </w:rPr>
              <w:t>12.17</w:t>
            </w:r>
          </w:p>
        </w:tc>
        <w:tc>
          <w:tcPr>
            <w:tcW w:w="1919" w:type="dxa"/>
          </w:tcPr>
          <w:p>
            <w:pPr>
              <w:pStyle w:val="TableParagraph"/>
              <w:spacing w:before="98"/>
              <w:ind w:left="133"/>
              <w:rPr>
                <w:b/>
                <w:sz w:val="21"/>
              </w:rPr>
            </w:pPr>
            <w:r>
              <w:rPr>
                <w:b/>
                <w:w w:val="95"/>
                <w:sz w:val="21"/>
              </w:rPr>
              <w:t>重大疾病</w:t>
            </w:r>
          </w:p>
        </w:tc>
        <w:tc>
          <w:tcPr>
            <w:tcW w:w="7617" w:type="dxa"/>
          </w:tcPr>
          <w:p>
            <w:pPr>
              <w:pStyle w:val="TableParagraph"/>
              <w:spacing w:before="98"/>
              <w:ind w:left="194"/>
              <w:rPr>
                <w:b/>
                <w:sz w:val="21"/>
              </w:rPr>
            </w:pPr>
            <w:r>
              <w:rPr>
                <w:spacing w:val="-2"/>
                <w:sz w:val="21"/>
              </w:rPr>
              <w:t>指被保险人发生符合以下疾病定义所述条件的疾病</w:t>
            </w:r>
            <w:r>
              <w:rPr>
                <w:sz w:val="21"/>
              </w:rPr>
              <w:t>（</w:t>
            </w:r>
            <w:r>
              <w:rPr>
                <w:spacing w:val="-27"/>
                <w:sz w:val="21"/>
              </w:rPr>
              <w:t>共 </w:t>
            </w:r>
            <w:r>
              <w:rPr>
                <w:sz w:val="21"/>
              </w:rPr>
              <w:t>35</w:t>
            </w:r>
            <w:r>
              <w:rPr>
                <w:spacing w:val="-27"/>
                <w:sz w:val="21"/>
              </w:rPr>
              <w:t> 种</w:t>
            </w:r>
            <w:r>
              <w:rPr>
                <w:spacing w:val="-75"/>
                <w:sz w:val="21"/>
              </w:rPr>
              <w:t>）</w:t>
            </w:r>
            <w:r>
              <w:rPr>
                <w:spacing w:val="-20"/>
                <w:sz w:val="21"/>
              </w:rPr>
              <w:t>，应当由</w:t>
            </w:r>
            <w:r>
              <w:rPr>
                <w:b/>
                <w:sz w:val="21"/>
              </w:rPr>
              <w:t>专科医生</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明确诊断。</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pacing w:val="-31"/>
                <w:sz w:val="21"/>
              </w:rPr>
              <w:t>第 </w:t>
            </w:r>
            <w:r>
              <w:rPr>
                <w:sz w:val="21"/>
              </w:rPr>
              <w:t>1</w:t>
            </w:r>
            <w:r>
              <w:rPr>
                <w:spacing w:val="-31"/>
                <w:sz w:val="21"/>
              </w:rPr>
              <w:t> 至第 </w:t>
            </w:r>
            <w:r>
              <w:rPr>
                <w:sz w:val="21"/>
              </w:rPr>
              <w:t>24</w:t>
            </w:r>
            <w:r>
              <w:rPr>
                <w:spacing w:val="-8"/>
                <w:sz w:val="21"/>
              </w:rPr>
              <w:t> 项为中国保险行业协会与中国医师协会共同制定的重大疾病保险的</w:t>
            </w:r>
          </w:p>
        </w:tc>
      </w:tr>
      <w:tr>
        <w:trPr>
          <w:trHeight w:val="423"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疾病定义，第 25 至第 35 项为本公司增加的疾病种类并自行制定的疾病定义。</w:t>
            </w:r>
          </w:p>
        </w:tc>
      </w:tr>
      <w:tr>
        <w:trPr>
          <w:trHeight w:val="429" w:hRule="atLeast"/>
        </w:trPr>
        <w:tc>
          <w:tcPr>
            <w:tcW w:w="713" w:type="dxa"/>
          </w:tcPr>
          <w:p>
            <w:pPr>
              <w:pStyle w:val="TableParagraph"/>
              <w:rPr>
                <w:rFonts w:ascii="Times New Roman"/>
                <w:sz w:val="20"/>
              </w:rPr>
            </w:pPr>
          </w:p>
        </w:tc>
        <w:tc>
          <w:tcPr>
            <w:tcW w:w="1919" w:type="dxa"/>
          </w:tcPr>
          <w:p>
            <w:pPr>
              <w:pStyle w:val="TableParagraph"/>
              <w:spacing w:before="18"/>
              <w:ind w:left="133"/>
              <w:rPr>
                <w:rFonts w:ascii="Microsoft JhengHei" w:eastAsia="Microsoft JhengHei" w:hint="eastAsia"/>
                <w:b/>
                <w:sz w:val="21"/>
              </w:rPr>
            </w:pPr>
            <w:r>
              <w:rPr>
                <w:rFonts w:ascii="Microsoft JhengHei" w:eastAsia="Microsoft JhengHei" w:hint="eastAsia"/>
                <w:b/>
                <w:w w:val="95"/>
                <w:sz w:val="21"/>
              </w:rPr>
              <w:t>1、恶性肿瘤</w:t>
            </w:r>
          </w:p>
        </w:tc>
        <w:tc>
          <w:tcPr>
            <w:tcW w:w="7617" w:type="dxa"/>
          </w:tcPr>
          <w:p>
            <w:pPr>
              <w:pStyle w:val="TableParagraph"/>
              <w:spacing w:before="101"/>
              <w:ind w:left="194"/>
              <w:rPr>
                <w:sz w:val="21"/>
              </w:rPr>
            </w:pPr>
            <w:r>
              <w:rPr>
                <w:sz w:val="21"/>
              </w:rPr>
              <w:t>指恶性细胞不受控制的进行性增长和扩散，浸润和破坏周围正常组织，可以经血</w:t>
            </w:r>
          </w:p>
        </w:tc>
      </w:tr>
      <w:tr>
        <w:trPr>
          <w:trHeight w:val="310"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59" w:lineRule="exact"/>
              <w:ind w:left="194"/>
              <w:rPr>
                <w:sz w:val="21"/>
              </w:rPr>
            </w:pPr>
            <w:r>
              <w:rPr>
                <w:spacing w:val="-15"/>
                <w:sz w:val="21"/>
              </w:rPr>
              <w:t>管、淋巴管和体腔扩散转移到身体其它部位的疾病。经病理学检查结果明确诊断，</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临床诊断属于世界卫生组织《疾病和有关健康问题的国际统计分类》（ICD-10）</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的恶性肿瘤范畴。下列疾病不在保障范围内：</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（1）原位癌；</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（2）相当于Binet 分期方案 A 期程度的慢性淋巴细胞白血病；</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（3）相当于Ann Arbor 分期方案 I 期程度的何杰金氏病；</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（5）TNM 分期为 T1N0M0 期或更轻分期的前列腺癌；</w:t>
            </w:r>
          </w:p>
        </w:tc>
      </w:tr>
      <w:tr>
        <w:trPr>
          <w:trHeight w:val="423"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61" w:lineRule="exact"/>
              <w:ind w:left="194"/>
              <w:rPr>
                <w:sz w:val="21"/>
              </w:rPr>
            </w:pPr>
            <w:r>
              <w:rPr>
                <w:sz w:val="21"/>
              </w:rPr>
              <w:t>（6）感染艾滋病病毒或患艾滋病期间所患恶性肿瘤。</w:t>
            </w:r>
          </w:p>
        </w:tc>
      </w:tr>
      <w:tr>
        <w:trPr>
          <w:trHeight w:val="429" w:hRule="atLeast"/>
        </w:trPr>
        <w:tc>
          <w:tcPr>
            <w:tcW w:w="713" w:type="dxa"/>
          </w:tcPr>
          <w:p>
            <w:pPr>
              <w:pStyle w:val="TableParagraph"/>
              <w:rPr>
                <w:rFonts w:ascii="Times New Roman"/>
                <w:sz w:val="20"/>
              </w:rPr>
            </w:pPr>
          </w:p>
        </w:tc>
        <w:tc>
          <w:tcPr>
            <w:tcW w:w="1919" w:type="dxa"/>
          </w:tcPr>
          <w:p>
            <w:pPr>
              <w:pStyle w:val="TableParagraph"/>
              <w:spacing w:before="18"/>
              <w:ind w:left="133"/>
              <w:rPr>
                <w:rFonts w:ascii="Microsoft JhengHei" w:eastAsia="Microsoft JhengHei" w:hint="eastAsia"/>
                <w:b/>
                <w:sz w:val="21"/>
              </w:rPr>
            </w:pPr>
            <w:r>
              <w:rPr>
                <w:rFonts w:ascii="Microsoft JhengHei" w:eastAsia="Microsoft JhengHei" w:hint="eastAsia"/>
                <w:b/>
                <w:sz w:val="21"/>
              </w:rPr>
              <w:t>2、急性心ft梗塞</w:t>
            </w:r>
          </w:p>
        </w:tc>
        <w:tc>
          <w:tcPr>
            <w:tcW w:w="7617" w:type="dxa"/>
          </w:tcPr>
          <w:p>
            <w:pPr>
              <w:pStyle w:val="TableParagraph"/>
              <w:spacing w:before="101"/>
              <w:ind w:left="194"/>
              <w:rPr>
                <w:sz w:val="21"/>
              </w:rPr>
            </w:pPr>
            <w:r>
              <w:rPr>
                <w:sz w:val="21"/>
              </w:rPr>
              <w:t>指因冠状动脉阻塞导致的相应区域供血不足造成部分心肌坏死。须满足下列至少</w:t>
            </w:r>
          </w:p>
        </w:tc>
      </w:tr>
      <w:tr>
        <w:trPr>
          <w:trHeight w:val="310" w:hRule="atLeast"/>
        </w:trPr>
        <w:tc>
          <w:tcPr>
            <w:tcW w:w="713" w:type="dxa"/>
          </w:tcPr>
          <w:p>
            <w:pPr>
              <w:pStyle w:val="TableParagraph"/>
              <w:rPr>
                <w:rFonts w:ascii="Times New Roman"/>
                <w:sz w:val="20"/>
              </w:rPr>
            </w:pPr>
          </w:p>
        </w:tc>
        <w:tc>
          <w:tcPr>
            <w:tcW w:w="1919" w:type="dxa"/>
          </w:tcPr>
          <w:p>
            <w:pPr>
              <w:pStyle w:val="TableParagraph"/>
              <w:rPr>
                <w:rFonts w:ascii="Times New Roman"/>
                <w:sz w:val="20"/>
              </w:rPr>
            </w:pPr>
          </w:p>
        </w:tc>
        <w:tc>
          <w:tcPr>
            <w:tcW w:w="7617" w:type="dxa"/>
          </w:tcPr>
          <w:p>
            <w:pPr>
              <w:pStyle w:val="TableParagraph"/>
              <w:spacing w:line="259" w:lineRule="exact"/>
              <w:ind w:left="194"/>
              <w:rPr>
                <w:sz w:val="21"/>
              </w:rPr>
            </w:pPr>
            <w:r>
              <w:rPr>
                <w:sz w:val="21"/>
              </w:rPr>
              <w:t>三项条件：</w:t>
            </w:r>
          </w:p>
        </w:tc>
      </w:tr>
      <w:tr>
        <w:trPr>
          <w:trHeight w:val="260" w:hRule="atLeast"/>
        </w:trPr>
        <w:tc>
          <w:tcPr>
            <w:tcW w:w="713" w:type="dxa"/>
          </w:tcPr>
          <w:p>
            <w:pPr>
              <w:pStyle w:val="TableParagraph"/>
              <w:rPr>
                <w:rFonts w:ascii="Times New Roman"/>
                <w:sz w:val="18"/>
              </w:rPr>
            </w:pPr>
          </w:p>
        </w:tc>
        <w:tc>
          <w:tcPr>
            <w:tcW w:w="1919" w:type="dxa"/>
          </w:tcPr>
          <w:p>
            <w:pPr>
              <w:pStyle w:val="TableParagraph"/>
              <w:rPr>
                <w:rFonts w:ascii="Times New Roman"/>
                <w:sz w:val="18"/>
              </w:rPr>
            </w:pPr>
          </w:p>
        </w:tc>
        <w:tc>
          <w:tcPr>
            <w:tcW w:w="7617" w:type="dxa"/>
          </w:tcPr>
          <w:p>
            <w:pPr>
              <w:pStyle w:val="TableParagraph"/>
              <w:spacing w:line="241" w:lineRule="exact"/>
              <w:ind w:left="194"/>
              <w:rPr>
                <w:sz w:val="21"/>
              </w:rPr>
            </w:pPr>
            <w:r>
              <w:rPr>
                <w:sz w:val="21"/>
              </w:rPr>
              <w:t>（1）典型临床表现，例如急性胸痛等；</w:t>
            </w:r>
          </w:p>
        </w:tc>
      </w:tr>
    </w:tbl>
    <w:p>
      <w:pPr>
        <w:spacing w:after="0" w:line="241" w:lineRule="exact"/>
        <w:rPr>
          <w:sz w:val="21"/>
        </w:rPr>
        <w:sectPr>
          <w:type w:val="continuous"/>
          <w:pgSz w:w="11910" w:h="16840"/>
          <w:pgMar w:top="440" w:bottom="280" w:left="780" w:right="660"/>
        </w:sectPr>
      </w:pPr>
    </w:p>
    <w:p>
      <w:pPr>
        <w:pStyle w:val="BodyText"/>
        <w:spacing w:before="19"/>
        <w:ind w:left="2086"/>
      </w:pPr>
      <w:r>
        <w:rPr/>
        <w:t>（2）新近的心电图改变提示急性心肌梗塞；</w:t>
      </w:r>
    </w:p>
    <w:p>
      <w:pPr>
        <w:pStyle w:val="BodyText"/>
        <w:spacing w:line="273" w:lineRule="auto"/>
        <w:ind w:left="2086" w:right="203"/>
      </w:pPr>
      <w:r>
        <w:rPr/>
        <w:t>（3）心肌酶或肌钙蛋白有诊断意义的升高，或呈符合急性心肌梗塞的动态性变化；</w:t>
      </w:r>
    </w:p>
    <w:p>
      <w:pPr>
        <w:pStyle w:val="BodyText"/>
        <w:spacing w:before="7"/>
        <w:ind w:left="2086"/>
      </w:pPr>
      <w:r>
        <w:rPr>
          <w:spacing w:val="-16"/>
        </w:rPr>
        <w:t>（4）</w:t>
      </w:r>
      <w:r>
        <w:rPr>
          <w:spacing w:val="-21"/>
        </w:rPr>
        <w:t>发病 </w:t>
      </w:r>
      <w:r>
        <w:rPr/>
        <w:t>90</w:t>
      </w:r>
      <w:r>
        <w:rPr>
          <w:spacing w:val="-16"/>
        </w:rPr>
        <w:t> 天后，经检查证实左心室功能降低的，如左心室射血分数低于 </w:t>
      </w:r>
      <w:r>
        <w:rPr/>
        <w:t>50%。</w:t>
      </w:r>
    </w:p>
    <w:p>
      <w:pPr>
        <w:pStyle w:val="BodyText"/>
        <w:spacing w:line="266" w:lineRule="auto" w:before="176"/>
        <w:ind w:left="2086" w:right="207" w:hanging="1981"/>
        <w:jc w:val="both"/>
      </w:pPr>
      <w:r>
        <w:rPr>
          <w:rFonts w:ascii="Microsoft JhengHei" w:eastAsia="Microsoft JhengHei" w:hint="eastAsia"/>
          <w:b/>
          <w:position w:val="2"/>
        </w:rPr>
        <w:t>3</w:t>
      </w:r>
      <w:r>
        <w:rPr>
          <w:rFonts w:ascii="Microsoft JhengHei" w:eastAsia="Microsoft JhengHei" w:hint="eastAsia"/>
          <w:b/>
          <w:spacing w:val="0"/>
          <w:position w:val="2"/>
        </w:rPr>
        <w:t>、脑中风后遗症    </w:t>
      </w:r>
      <w:r>
        <w:rPr>
          <w:spacing w:val="-5"/>
        </w:rPr>
        <w:t>指因脑血管的突发病变引起脑血管出血、栓塞或梗塞，并导致神经系统永久性功</w:t>
      </w:r>
      <w:r>
        <w:rPr>
          <w:spacing w:val="-11"/>
        </w:rPr>
        <w:t>能障碍。神经系统永久性的功能障碍，指疾病确诊 </w:t>
      </w:r>
      <w:r>
        <w:rPr/>
        <w:t>180</w:t>
      </w:r>
      <w:r>
        <w:rPr>
          <w:spacing w:val="-10"/>
        </w:rPr>
        <w:t> 天后，仍遗留下列一种或一种以上障碍：</w:t>
      </w:r>
    </w:p>
    <w:p>
      <w:pPr>
        <w:spacing w:before="13"/>
        <w:ind w:left="2086" w:right="0" w:firstLine="0"/>
        <w:jc w:val="left"/>
        <w:rPr>
          <w:sz w:val="21"/>
        </w:rPr>
      </w:pPr>
      <w:r>
        <w:rPr>
          <w:w w:val="95"/>
          <w:sz w:val="21"/>
        </w:rPr>
        <w:t>（1）一肢或一肢以上</w:t>
      </w:r>
      <w:r>
        <w:rPr>
          <w:b/>
          <w:w w:val="95"/>
          <w:sz w:val="21"/>
        </w:rPr>
        <w:t>肢体机能完全丧失</w:t>
      </w:r>
      <w:r>
        <w:rPr>
          <w:w w:val="95"/>
          <w:sz w:val="21"/>
        </w:rPr>
        <w:t>；</w:t>
      </w:r>
    </w:p>
    <w:p>
      <w:pPr>
        <w:spacing w:before="36"/>
        <w:ind w:left="2086"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6"/>
        <w:ind w:left="2086" w:right="222"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1"/>
        <w:rPr>
          <w:sz w:val="14"/>
        </w:rPr>
      </w:pPr>
    </w:p>
    <w:p>
      <w:pPr>
        <w:spacing w:after="0"/>
        <w:rPr>
          <w:sz w:val="14"/>
        </w:rPr>
        <w:sectPr>
          <w:pgSz w:w="11910" w:h="16840"/>
          <w:pgMar w:header="0" w:footer="677" w:top="1100" w:bottom="860" w:left="1620" w:right="720"/>
        </w:sectPr>
      </w:pPr>
    </w:p>
    <w:p>
      <w:pPr>
        <w:pStyle w:val="Heading4"/>
        <w:spacing w:line="204" w:lineRule="auto"/>
        <w:jc w:val="both"/>
        <w:rPr>
          <w:rFonts w:ascii="Microsoft JhengHei" w:eastAsia="Microsoft JhengHei" w:hint="eastAsia"/>
        </w:rPr>
      </w:pPr>
      <w:r>
        <w:rPr>
          <w:rFonts w:ascii="Microsoft JhengHei" w:eastAsia="Microsoft JhengHei" w:hint="eastAsia"/>
          <w:w w:val="95"/>
        </w:rPr>
        <w:t>4、重大器官移植术</w:t>
      </w:r>
      <w:r>
        <w:rPr>
          <w:rFonts w:ascii="Microsoft JhengHei" w:eastAsia="Microsoft JhengHei" w:hint="eastAsia"/>
        </w:rPr>
        <w:t>或造血干细胞移植术</w:t>
      </w:r>
    </w:p>
    <w:p>
      <w:pPr>
        <w:pStyle w:val="BodyText"/>
        <w:spacing w:line="273" w:lineRule="auto" w:before="39"/>
        <w:ind w:left="106" w:right="207"/>
        <w:jc w:val="both"/>
      </w:pPr>
      <w:r>
        <w:rPr/>
        <w:br w:type="column"/>
      </w:r>
      <w:r>
        <w:rPr>
          <w:spacing w:val="-6"/>
        </w:rPr>
        <w:t>重大器官移植术，指因相应器官功能衰竭，已经实施了肾脏、肝脏、心脏或肺脏的异体移植手术。</w:t>
      </w:r>
    </w:p>
    <w:p>
      <w:pPr>
        <w:pStyle w:val="BodyText"/>
        <w:spacing w:line="273" w:lineRule="auto" w:before="7"/>
        <w:ind w:left="106" w:right="207"/>
        <w:jc w:val="both"/>
      </w:pPr>
      <w:r>
        <w:rPr>
          <w:spacing w:val="-7"/>
        </w:rPr>
        <w:t>造血干细胞移植术，指因造血功能损害或造血系统恶性肿瘤，已经实施了造血干</w:t>
      </w:r>
      <w:r>
        <w:rPr>
          <w:spacing w:val="-18"/>
        </w:rPr>
        <w:t>细胞</w:t>
      </w:r>
      <w:r>
        <w:rPr/>
        <w:t>（</w:t>
      </w:r>
      <w:r>
        <w:rPr>
          <w:spacing w:val="-3"/>
        </w:rPr>
        <w:t>包括骨髓造血干细胞、外周造血干细胞和脐血造血干细胞</w:t>
      </w:r>
      <w:r>
        <w:rPr>
          <w:spacing w:val="-28"/>
        </w:rPr>
        <w:t>）</w:t>
      </w:r>
      <w:r>
        <w:rPr/>
        <w:t>的异体移植手术。</w:t>
      </w:r>
    </w:p>
    <w:p>
      <w:pPr>
        <w:spacing w:after="0" w:line="273" w:lineRule="auto"/>
        <w:jc w:val="both"/>
        <w:sectPr>
          <w:type w:val="continuous"/>
          <w:pgSz w:w="11910" w:h="16840"/>
          <w:pgMar w:top="440" w:bottom="280" w:left="1620" w:right="720"/>
          <w:cols w:num="2" w:equalWidth="0">
            <w:col w:w="1872" w:space="108"/>
            <w:col w:w="7590"/>
          </w:cols>
        </w:sectPr>
      </w:pPr>
    </w:p>
    <w:p>
      <w:pPr>
        <w:pStyle w:val="BodyText"/>
        <w:spacing w:before="11"/>
        <w:rPr>
          <w:sz w:val="14"/>
        </w:rPr>
      </w:pPr>
    </w:p>
    <w:p>
      <w:pPr>
        <w:pStyle w:val="BodyText"/>
        <w:tabs>
          <w:tab w:pos="2086" w:val="left" w:leader="none"/>
        </w:tabs>
        <w:spacing w:line="312" w:lineRule="exact" w:before="36"/>
        <w:ind w:left="2086" w:right="125" w:hanging="1981"/>
      </w:pPr>
      <w:r>
        <w:rPr>
          <w:rFonts w:ascii="Microsoft JhengHei" w:eastAsia="Microsoft JhengHei" w:hint="eastAsia"/>
          <w:b/>
          <w:position w:val="2"/>
        </w:rPr>
        <w:t>5</w:t>
      </w:r>
      <w:r>
        <w:rPr>
          <w:rFonts w:ascii="Microsoft JhengHei" w:eastAsia="Microsoft JhengHei" w:hint="eastAsia"/>
          <w:b/>
          <w:spacing w:val="-38"/>
          <w:position w:val="2"/>
        </w:rPr>
        <w:t>、</w:t>
      </w:r>
      <w:r>
        <w:rPr>
          <w:rFonts w:ascii="Microsoft JhengHei" w:eastAsia="Microsoft JhengHei" w:hint="eastAsia"/>
          <w:b/>
          <w:position w:val="2"/>
        </w:rPr>
        <w:t>冠状动脉搭桥术</w:t>
        <w:tab/>
      </w:r>
      <w:r>
        <w:rPr/>
        <w:t>指为治疗严重的冠心病，实际实施了开胸进行的冠状动脉血管旁路移植的手术。冠状动脉支架植入手术</w:t>
      </w:r>
      <w:r>
        <w:rPr>
          <w:spacing w:val="-41"/>
        </w:rPr>
        <w:t>、</w:t>
      </w:r>
      <w:r>
        <w:rPr/>
        <w:t>心导管球囊扩张术</w:t>
      </w:r>
      <w:r>
        <w:rPr>
          <w:spacing w:val="-41"/>
        </w:rPr>
        <w:t>、</w:t>
      </w:r>
      <w:r>
        <w:rPr/>
        <w:t>激光射频技术及其他非开胸的介入手术、腔镜手术不在保障范围内。</w:t>
      </w:r>
    </w:p>
    <w:p>
      <w:pPr>
        <w:pStyle w:val="BodyText"/>
        <w:tabs>
          <w:tab w:pos="2086" w:val="left" w:leader="none"/>
        </w:tabs>
        <w:spacing w:line="261" w:lineRule="auto" w:before="145"/>
        <w:ind w:left="2086" w:right="230" w:hanging="1981"/>
      </w:pPr>
      <w:r>
        <w:rPr>
          <w:rFonts w:ascii="Microsoft JhengHei" w:eastAsia="Microsoft JhengHei" w:hint="eastAsia"/>
          <w:b/>
          <w:position w:val="2"/>
        </w:rPr>
        <w:t>6、终末期肾病</w:t>
        <w:tab/>
      </w:r>
      <w:r>
        <w:rPr/>
        <w:t>指双肾功能慢性不可逆性衰竭，达到尿毒症期，经诊断后已经进行了至少</w:t>
      </w:r>
      <w:r>
        <w:rPr>
          <w:spacing w:val="-69"/>
        </w:rPr>
        <w:t> </w:t>
      </w:r>
      <w:r>
        <w:rPr/>
        <w:t>90</w:t>
      </w:r>
      <w:r>
        <w:rPr>
          <w:spacing w:val="-69"/>
        </w:rPr>
        <w:t> </w:t>
      </w:r>
      <w:r>
        <w:rPr/>
        <w:t>天的规律性透析治疗或实施了肾脏移植手术。</w:t>
      </w:r>
    </w:p>
    <w:p>
      <w:pPr>
        <w:pStyle w:val="BodyText"/>
        <w:tabs>
          <w:tab w:pos="2086" w:val="left" w:leader="none"/>
        </w:tabs>
        <w:spacing w:line="261" w:lineRule="auto" w:before="157"/>
        <w:ind w:left="2086" w:right="207" w:hanging="1981"/>
      </w:pPr>
      <w:r>
        <w:rPr>
          <w:rFonts w:ascii="Microsoft JhengHei" w:eastAsia="Microsoft JhengHei" w:hint="eastAsia"/>
          <w:b/>
          <w:position w:val="2"/>
        </w:rPr>
        <w:t>7、多个肢体缺失</w:t>
        <w:tab/>
      </w:r>
      <w:r>
        <w:rPr/>
        <w:t>指因疾病或意外伤害导致两个或两个以上肢体自腕关节或踝关节近</w:t>
      </w:r>
      <w:r>
        <w:rPr>
          <w:spacing w:val="-82"/>
        </w:rPr>
        <w:t>端</w:t>
      </w:r>
      <w:r>
        <w:rPr/>
        <w:t>（靠近躯干端）以上完全性断离。</w:t>
      </w:r>
    </w:p>
    <w:p>
      <w:pPr>
        <w:pStyle w:val="BodyText"/>
        <w:spacing w:before="8"/>
        <w:rPr>
          <w:sz w:val="15"/>
        </w:rPr>
      </w:pPr>
    </w:p>
    <w:p>
      <w:pPr>
        <w:spacing w:after="0"/>
        <w:rPr>
          <w:sz w:val="15"/>
        </w:rPr>
        <w:sectPr>
          <w:type w:val="continuous"/>
          <w:pgSz w:w="11910" w:h="16840"/>
          <w:pgMar w:top="440" w:bottom="280" w:left="1620" w:right="720"/>
        </w:sectPr>
      </w:pPr>
    </w:p>
    <w:p>
      <w:pPr>
        <w:pStyle w:val="Heading4"/>
        <w:spacing w:line="204" w:lineRule="auto"/>
        <w:rPr>
          <w:rFonts w:ascii="Microsoft JhengHei" w:eastAsia="Microsoft JhengHei" w:hint="eastAsia"/>
        </w:rPr>
      </w:pPr>
      <w:r>
        <w:rPr>
          <w:rFonts w:ascii="Microsoft JhengHei" w:eastAsia="Microsoft JhengHei" w:hint="eastAsia"/>
          <w:w w:val="95"/>
        </w:rPr>
        <w:t>8、急性或亚急性重</w:t>
      </w:r>
      <w:r>
        <w:rPr>
          <w:rFonts w:ascii="Microsoft JhengHei" w:eastAsia="Microsoft JhengHei" w:hint="eastAsia"/>
        </w:rPr>
        <w:t>症肝炎</w:t>
      </w:r>
    </w:p>
    <w:p>
      <w:pPr>
        <w:pStyle w:val="BodyText"/>
        <w:spacing w:line="273" w:lineRule="auto" w:before="40"/>
        <w:ind w:left="106" w:right="130"/>
      </w:pPr>
      <w:r>
        <w:rPr/>
        <w:br w:type="column"/>
      </w:r>
      <w:r>
        <w:rPr/>
        <w:t>指因肝炎病毒感染引起肝组织弥漫性坏死，导致急性肝功能衰竭，且经血清学或病毒学检查证实，并须满足下列全部条件：</w:t>
      </w:r>
    </w:p>
    <w:p>
      <w:pPr>
        <w:pStyle w:val="BodyText"/>
        <w:spacing w:before="7"/>
        <w:ind w:left="106"/>
      </w:pPr>
      <w:r>
        <w:rPr/>
        <w:t>（1）重度黄疸或黄疸迅速加重；</w:t>
      </w:r>
    </w:p>
    <w:p>
      <w:pPr>
        <w:pStyle w:val="BodyText"/>
        <w:spacing w:before="36"/>
        <w:ind w:left="106"/>
      </w:pPr>
      <w:r>
        <w:rPr/>
        <w:t>（2）肝性脑病；</w:t>
      </w:r>
    </w:p>
    <w:p>
      <w:pPr>
        <w:pStyle w:val="BodyText"/>
        <w:spacing w:before="36"/>
        <w:ind w:left="106"/>
      </w:pPr>
      <w:r>
        <w:rPr/>
        <w:t>（3）B 超或其他影像学检查显示肝脏体积急速萎缩；</w:t>
      </w:r>
    </w:p>
    <w:p>
      <w:pPr>
        <w:pStyle w:val="BodyText"/>
        <w:spacing w:before="36"/>
        <w:ind w:left="106"/>
      </w:pPr>
      <w:r>
        <w:rPr/>
        <w:t>（4）肝功能指标进行性恶化。</w:t>
      </w:r>
    </w:p>
    <w:p>
      <w:pPr>
        <w:spacing w:after="0"/>
        <w:sectPr>
          <w:type w:val="continuous"/>
          <w:pgSz w:w="11910" w:h="16840"/>
          <w:pgMar w:top="440" w:bottom="280" w:left="1620" w:right="720"/>
          <w:cols w:num="2" w:equalWidth="0">
            <w:col w:w="1872" w:space="108"/>
            <w:col w:w="7590"/>
          </w:cols>
        </w:sectPr>
      </w:pPr>
    </w:p>
    <w:p>
      <w:pPr>
        <w:pStyle w:val="BodyText"/>
        <w:spacing w:before="1"/>
        <w:rPr>
          <w:sz w:val="17"/>
        </w:rPr>
      </w:pPr>
    </w:p>
    <w:p>
      <w:pPr>
        <w:pStyle w:val="BodyText"/>
        <w:tabs>
          <w:tab w:pos="2086" w:val="left" w:leader="none"/>
        </w:tabs>
        <w:spacing w:line="312" w:lineRule="exact" w:before="35"/>
        <w:ind w:left="2086" w:right="102" w:hanging="1981"/>
      </w:pPr>
      <w:r>
        <w:rPr>
          <w:rFonts w:ascii="Microsoft JhengHei" w:eastAsia="Microsoft JhengHei" w:hint="eastAsia"/>
          <w:b/>
          <w:position w:val="2"/>
        </w:rPr>
        <w:t>9、良性脑肿瘤</w:t>
        <w:tab/>
      </w:r>
      <w:r>
        <w:rPr/>
        <w:t>指脑的良性肿瘤</w:t>
      </w:r>
      <w:r>
        <w:rPr>
          <w:spacing w:val="-63"/>
        </w:rPr>
        <w:t>，</w:t>
      </w:r>
      <w:r>
        <w:rPr/>
        <w:t>已经引起颅内压增高</w:t>
      </w:r>
      <w:r>
        <w:rPr>
          <w:spacing w:val="-63"/>
        </w:rPr>
        <w:t>，</w:t>
      </w:r>
      <w:r>
        <w:rPr/>
        <w:t>临床表现为视神经乳头水肿</w:t>
      </w:r>
      <w:r>
        <w:rPr>
          <w:spacing w:val="-63"/>
        </w:rPr>
        <w:t>、</w:t>
      </w:r>
      <w:r>
        <w:rPr/>
        <w:t>精神症状、</w:t>
      </w:r>
      <w:r>
        <w:rPr>
          <w:spacing w:val="0"/>
        </w:rPr>
        <w:t>癫痫</w:t>
      </w:r>
      <w:r>
        <w:rPr/>
        <w:t>及</w:t>
      </w:r>
      <w:r>
        <w:rPr>
          <w:spacing w:val="0"/>
        </w:rPr>
        <w:t>运</w:t>
      </w:r>
      <w:r>
        <w:rPr/>
        <w:t>动</w:t>
      </w:r>
      <w:r>
        <w:rPr>
          <w:spacing w:val="0"/>
        </w:rPr>
        <w:t>感觉</w:t>
      </w:r>
      <w:r>
        <w:rPr/>
        <w:t>障</w:t>
      </w:r>
      <w:r>
        <w:rPr>
          <w:spacing w:val="0"/>
        </w:rPr>
        <w:t>碍</w:t>
      </w:r>
      <w:r>
        <w:rPr/>
        <w:t>等</w:t>
      </w:r>
      <w:r>
        <w:rPr>
          <w:spacing w:val="0"/>
        </w:rPr>
        <w:t>，并</w:t>
      </w:r>
      <w:r>
        <w:rPr/>
        <w:t>危</w:t>
      </w:r>
      <w:r>
        <w:rPr>
          <w:spacing w:val="0"/>
        </w:rPr>
        <w:t>及</w:t>
      </w:r>
      <w:r>
        <w:rPr/>
        <w:t>生</w:t>
      </w:r>
      <w:r>
        <w:rPr>
          <w:spacing w:val="0"/>
        </w:rPr>
        <w:t>命。</w:t>
      </w:r>
      <w:r>
        <w:rPr/>
        <w:t>须</w:t>
      </w:r>
      <w:r>
        <w:rPr>
          <w:spacing w:val="0"/>
        </w:rPr>
        <w:t>由</w:t>
      </w:r>
      <w:r>
        <w:rPr/>
        <w:t>头</w:t>
      </w:r>
      <w:r>
        <w:rPr>
          <w:spacing w:val="0"/>
        </w:rPr>
        <w:t>颅断</w:t>
      </w:r>
      <w:r>
        <w:rPr/>
        <w:t>层</w:t>
      </w:r>
      <w:r>
        <w:rPr>
          <w:spacing w:val="0"/>
        </w:rPr>
        <w:t>扫</w:t>
      </w:r>
      <w:r>
        <w:rPr/>
        <w:t>描</w:t>
      </w:r>
      <w:r>
        <w:rPr>
          <w:spacing w:val="0"/>
        </w:rPr>
        <w:t>（</w:t>
      </w:r>
      <w:r>
        <w:rPr>
          <w:spacing w:val="-1"/>
        </w:rPr>
        <w:t>C</w:t>
      </w:r>
      <w:r>
        <w:rPr>
          <w:spacing w:val="0"/>
        </w:rPr>
        <w:t>T</w:t>
      </w:r>
      <w:r>
        <w:rPr>
          <w:spacing w:val="-105"/>
        </w:rPr>
        <w:t>）</w:t>
      </w:r>
      <w:r>
        <w:rPr/>
        <w:t>、</w:t>
      </w:r>
      <w:r>
        <w:rPr>
          <w:spacing w:val="0"/>
        </w:rPr>
        <w:t>核</w:t>
      </w:r>
      <w:r>
        <w:rPr/>
        <w:t>磁</w:t>
      </w:r>
      <w:r>
        <w:rPr>
          <w:spacing w:val="0"/>
        </w:rPr>
        <w:t>共振检查</w:t>
      </w:r>
    </w:p>
    <w:p>
      <w:pPr>
        <w:pStyle w:val="BodyText"/>
        <w:spacing w:line="273" w:lineRule="auto" w:before="3"/>
        <w:ind w:left="2086" w:right="131"/>
      </w:pPr>
      <w:r>
        <w:rPr/>
        <w:t>（MRI）或正电子发射断层扫描（PET）等影像学检查证实，并须满足下列至少一项条件：</w:t>
      </w:r>
    </w:p>
    <w:p>
      <w:pPr>
        <w:pStyle w:val="BodyText"/>
        <w:spacing w:before="7"/>
        <w:ind w:left="2086"/>
      </w:pPr>
      <w:r>
        <w:rPr/>
        <w:t>（1）实际实施了开颅进行的脑肿瘤完全切除或部分切除的手术；</w:t>
      </w:r>
    </w:p>
    <w:p>
      <w:pPr>
        <w:pStyle w:val="BodyText"/>
        <w:ind w:left="2086"/>
      </w:pPr>
      <w:r>
        <w:rPr/>
        <w:t>（2）实际实施了对脑肿瘤进行的放射治疗。</w:t>
      </w:r>
    </w:p>
    <w:p>
      <w:pPr>
        <w:pStyle w:val="BodyText"/>
        <w:ind w:left="2086"/>
      </w:pPr>
      <w:r>
        <w:rPr/>
        <w:t>脑垂体瘤、脑囊肿、脑血管性疾病不在保障范围内。</w:t>
      </w:r>
    </w:p>
    <w:p>
      <w:pPr>
        <w:pStyle w:val="BodyText"/>
        <w:spacing w:before="1"/>
        <w:rPr>
          <w:sz w:val="17"/>
        </w:rPr>
      </w:pPr>
    </w:p>
    <w:p>
      <w:pPr>
        <w:spacing w:after="0"/>
        <w:rPr>
          <w:sz w:val="17"/>
        </w:rPr>
        <w:sectPr>
          <w:type w:val="continuous"/>
          <w:pgSz w:w="11910" w:h="16840"/>
          <w:pgMar w:top="440" w:bottom="280" w:left="1620" w:right="720"/>
        </w:sectPr>
      </w:pPr>
    </w:p>
    <w:p>
      <w:pPr>
        <w:pStyle w:val="Heading4"/>
        <w:spacing w:line="204" w:lineRule="auto"/>
        <w:rPr>
          <w:rFonts w:ascii="Microsoft JhengHei" w:eastAsia="Microsoft JhengHei" w:hint="eastAsia"/>
        </w:rPr>
      </w:pPr>
      <w:r>
        <w:rPr>
          <w:rFonts w:ascii="Microsoft JhengHei" w:eastAsia="Microsoft JhengHei" w:hint="eastAsia"/>
          <w:w w:val="95"/>
        </w:rPr>
        <w:t>10、慢性肝功能衰</w:t>
      </w:r>
      <w:r>
        <w:rPr>
          <w:rFonts w:ascii="Microsoft JhengHei" w:eastAsia="Microsoft JhengHei" w:hint="eastAsia"/>
        </w:rPr>
        <w:t>竭失代偿期</w:t>
      </w:r>
    </w:p>
    <w:p>
      <w:pPr>
        <w:pStyle w:val="BodyText"/>
        <w:spacing w:before="40"/>
        <w:ind w:left="106"/>
      </w:pPr>
      <w:r>
        <w:rPr/>
        <w:br w:type="column"/>
      </w:r>
      <w:r>
        <w:rPr/>
        <w:t>指因慢性肝脏疾病导致肝功能衰竭，须满足下列全部条件：</w:t>
      </w:r>
    </w:p>
    <w:p>
      <w:pPr>
        <w:pStyle w:val="BodyText"/>
        <w:ind w:left="106"/>
      </w:pPr>
      <w:r>
        <w:rPr/>
        <w:t>（1）持续性黄疸；</w:t>
      </w:r>
    </w:p>
    <w:p>
      <w:pPr>
        <w:pStyle w:val="BodyText"/>
        <w:ind w:left="106"/>
      </w:pPr>
      <w:r>
        <w:rPr/>
        <w:t>（2）腹水；</w:t>
      </w:r>
    </w:p>
    <w:p>
      <w:pPr>
        <w:pStyle w:val="BodyText"/>
        <w:ind w:left="106"/>
      </w:pPr>
      <w:r>
        <w:rPr/>
        <w:t>（3）肝性脑病；</w:t>
      </w:r>
    </w:p>
    <w:p>
      <w:pPr>
        <w:spacing w:after="0"/>
        <w:sectPr>
          <w:type w:val="continuous"/>
          <w:pgSz w:w="11910" w:h="16840"/>
          <w:pgMar w:top="440" w:bottom="280" w:left="1620" w:right="720"/>
          <w:cols w:num="2" w:equalWidth="0">
            <w:col w:w="1787" w:space="193"/>
            <w:col w:w="7590"/>
          </w:cols>
        </w:sectPr>
      </w:pPr>
    </w:p>
    <w:p>
      <w:pPr>
        <w:pStyle w:val="BodyText"/>
        <w:spacing w:line="273" w:lineRule="auto" w:before="19"/>
        <w:ind w:left="2086" w:right="2331"/>
      </w:pPr>
      <w:r>
        <w:rPr/>
        <w:t>（4）充血性脾肿大伴脾功能亢进或食管胃底静脉曲张。</w:t>
      </w:r>
      <w:r>
        <w:rPr>
          <w:w w:val="95"/>
        </w:rPr>
        <w:t>因</w:t>
      </w:r>
      <w:r>
        <w:rPr>
          <w:b/>
          <w:w w:val="95"/>
        </w:rPr>
        <w:t>酗酒</w:t>
      </w:r>
      <w:r>
        <w:rPr>
          <w:w w:val="95"/>
        </w:rPr>
        <w:t>或药物滥用导致的肝功能衰竭不在保障范围内。</w:t>
      </w:r>
    </w:p>
    <w:p>
      <w:pPr>
        <w:pStyle w:val="BodyText"/>
        <w:spacing w:before="11"/>
        <w:rPr>
          <w:sz w:val="14"/>
        </w:rPr>
      </w:pPr>
    </w:p>
    <w:p>
      <w:pPr>
        <w:spacing w:after="0"/>
        <w:rPr>
          <w:sz w:val="14"/>
        </w:rPr>
        <w:sectPr>
          <w:pgSz w:w="11910" w:h="16840"/>
          <w:pgMar w:header="0" w:footer="677" w:top="1100" w:bottom="860" w:left="1620" w:right="720"/>
        </w:sectPr>
      </w:pPr>
    </w:p>
    <w:p>
      <w:pPr>
        <w:pStyle w:val="Heading4"/>
        <w:spacing w:line="204" w:lineRule="auto"/>
        <w:rPr>
          <w:rFonts w:ascii="Microsoft JhengHei" w:eastAsia="Microsoft JhengHei" w:hint="eastAsia"/>
        </w:rPr>
      </w:pPr>
      <w:r>
        <w:rPr>
          <w:rFonts w:ascii="Microsoft JhengHei" w:eastAsia="Microsoft JhengHei" w:hint="eastAsia"/>
          <w:w w:val="95"/>
        </w:rPr>
        <w:t>11</w:t>
      </w:r>
      <w:r>
        <w:rPr>
          <w:rFonts w:ascii="Microsoft JhengHei" w:eastAsia="Microsoft JhengHei" w:hint="eastAsia"/>
          <w:spacing w:val="-12"/>
          <w:w w:val="95"/>
        </w:rPr>
        <w:t>、脑炎后遗症或脑</w:t>
      </w:r>
      <w:r>
        <w:rPr>
          <w:rFonts w:ascii="Microsoft JhengHei" w:eastAsia="Microsoft JhengHei" w:hint="eastAsia"/>
          <w:spacing w:val="-12"/>
        </w:rPr>
        <w:t>膜炎后遗症</w:t>
      </w:r>
    </w:p>
    <w:p>
      <w:pPr>
        <w:pStyle w:val="BodyText"/>
        <w:spacing w:line="273" w:lineRule="auto" w:before="40"/>
        <w:ind w:left="106" w:right="130"/>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6"/>
      </w:pPr>
      <w:r>
        <w:rPr/>
        <w:t>（1）一肢或一肢以上肢体机能完全丧失；</w:t>
      </w:r>
    </w:p>
    <w:p>
      <w:pPr>
        <w:pStyle w:val="BodyText"/>
        <w:spacing w:before="36"/>
        <w:ind w:left="106"/>
      </w:pPr>
      <w:r>
        <w:rPr/>
        <w:t>（2）语言能力或咀嚼吞咽能力完全丧失；</w:t>
      </w:r>
    </w:p>
    <w:p>
      <w:pPr>
        <w:pStyle w:val="BodyText"/>
        <w:spacing w:line="273" w:lineRule="auto" w:before="36"/>
        <w:ind w:left="106" w:right="231"/>
      </w:pPr>
      <w:r>
        <w:rPr/>
        <w:t>（3）自主生活能力完全丧失，无法独立完成六项基本日常生活活动中的三项或三项以上。</w:t>
      </w:r>
    </w:p>
    <w:p>
      <w:pPr>
        <w:spacing w:after="0" w:line="273" w:lineRule="auto"/>
        <w:sectPr>
          <w:type w:val="continuous"/>
          <w:pgSz w:w="11910" w:h="16840"/>
          <w:pgMar w:top="440" w:bottom="280" w:left="1620" w:right="720"/>
          <w:cols w:num="2" w:equalWidth="0">
            <w:col w:w="1871" w:space="109"/>
            <w:col w:w="7590"/>
          </w:cols>
        </w:sectPr>
      </w:pPr>
    </w:p>
    <w:p>
      <w:pPr>
        <w:pStyle w:val="BodyText"/>
        <w:spacing w:before="11"/>
        <w:rPr>
          <w:sz w:val="14"/>
        </w:rPr>
      </w:pPr>
    </w:p>
    <w:p>
      <w:pPr>
        <w:spacing w:after="0"/>
        <w:rPr>
          <w:sz w:val="14"/>
        </w:rPr>
        <w:sectPr>
          <w:type w:val="continuous"/>
          <w:pgSz w:w="11910" w:h="16840"/>
          <w:pgMar w:top="440" w:bottom="280" w:left="1620" w:right="720"/>
        </w:sectPr>
      </w:pPr>
    </w:p>
    <w:p>
      <w:pPr>
        <w:pStyle w:val="Heading4"/>
        <w:spacing w:line="204" w:lineRule="auto"/>
        <w:rPr>
          <w:rFonts w:ascii="Microsoft JhengHei" w:eastAsia="Microsoft JhengHei" w:hint="eastAsia"/>
        </w:rPr>
      </w:pPr>
      <w:r>
        <w:rPr>
          <w:rFonts w:ascii="Microsoft JhengHei" w:eastAsia="Microsoft JhengHei" w:hint="eastAsia"/>
          <w:w w:val="95"/>
        </w:rPr>
        <w:t>12、双耳失聪－三</w:t>
      </w:r>
      <w:r>
        <w:rPr>
          <w:rFonts w:ascii="Microsoft JhengHei" w:eastAsia="Microsoft JhengHei" w:hint="eastAsia"/>
        </w:rPr>
        <w:t>周岁始理赔</w:t>
      </w:r>
    </w:p>
    <w:p>
      <w:pPr>
        <w:pStyle w:val="BodyText"/>
        <w:spacing w:line="273" w:lineRule="auto" w:before="40"/>
        <w:ind w:left="106" w:right="205"/>
        <w:jc w:val="both"/>
      </w:pPr>
      <w:r>
        <w:rPr/>
        <w:br w:type="column"/>
      </w:r>
      <w:r>
        <w:rPr/>
        <w:t>指因疾病或意外伤害导致双耳听力</w:t>
      </w:r>
      <w:r>
        <w:rPr>
          <w:b/>
        </w:rPr>
        <w:t>永久不可逆</w:t>
      </w:r>
      <w:r>
        <w:rPr>
          <w:spacing w:val="-6"/>
        </w:rPr>
        <w:t>性丧失，在 </w:t>
      </w:r>
      <w:r>
        <w:rPr/>
        <w:t>500</w:t>
      </w:r>
      <w:r>
        <w:rPr>
          <w:spacing w:val="-9"/>
        </w:rPr>
        <w:t> 赫兹、</w:t>
      </w:r>
      <w:r>
        <w:rPr/>
        <w:t>1000</w:t>
      </w:r>
      <w:r>
        <w:rPr>
          <w:spacing w:val="-11"/>
        </w:rPr>
        <w:t> 赫兹</w:t>
      </w:r>
      <w:r>
        <w:rPr>
          <w:spacing w:val="-35"/>
        </w:rPr>
        <w:t>和 </w:t>
      </w:r>
      <w:r>
        <w:rPr/>
        <w:t>2000</w:t>
      </w:r>
      <w:r>
        <w:rPr>
          <w:spacing w:val="-14"/>
        </w:rPr>
        <w:t> 赫兹语音频率下，平均听阈大于 </w:t>
      </w:r>
      <w:r>
        <w:rPr/>
        <w:t>90</w:t>
      </w:r>
      <w:r>
        <w:rPr>
          <w:spacing w:val="-12"/>
        </w:rPr>
        <w:t> 分贝，且经纯音听力测试、声导抗检测或听觉诱发电位检测等证实。</w:t>
      </w:r>
    </w:p>
    <w:p>
      <w:pPr>
        <w:pStyle w:val="BodyText"/>
        <w:spacing w:line="273" w:lineRule="auto" w:before="8"/>
        <w:ind w:left="106" w:right="207"/>
        <w:jc w:val="both"/>
      </w:pPr>
      <w:r>
        <w:rPr>
          <w:spacing w:val="-5"/>
        </w:rPr>
        <w:t>被保险人申请理赔时年龄必须在三周岁以上，并且提供理赔当时的听力丧失诊断及检查证据。</w:t>
      </w:r>
    </w:p>
    <w:p>
      <w:pPr>
        <w:spacing w:after="0" w:line="273" w:lineRule="auto"/>
        <w:jc w:val="both"/>
        <w:sectPr>
          <w:type w:val="continuous"/>
          <w:pgSz w:w="11910" w:h="16840"/>
          <w:pgMar w:top="440" w:bottom="280" w:left="1620" w:right="720"/>
          <w:cols w:num="2" w:equalWidth="0">
            <w:col w:w="1782" w:space="198"/>
            <w:col w:w="7590"/>
          </w:cols>
        </w:sectPr>
      </w:pPr>
    </w:p>
    <w:p>
      <w:pPr>
        <w:pStyle w:val="BodyText"/>
        <w:spacing w:before="11"/>
        <w:rPr>
          <w:sz w:val="14"/>
        </w:rPr>
      </w:pPr>
    </w:p>
    <w:p>
      <w:pPr>
        <w:spacing w:after="0"/>
        <w:rPr>
          <w:sz w:val="14"/>
        </w:rPr>
        <w:sectPr>
          <w:type w:val="continuous"/>
          <w:pgSz w:w="11910" w:h="16840"/>
          <w:pgMar w:top="440" w:bottom="280" w:left="1620" w:right="720"/>
        </w:sectPr>
      </w:pPr>
    </w:p>
    <w:p>
      <w:pPr>
        <w:pStyle w:val="Heading4"/>
        <w:spacing w:line="204" w:lineRule="auto"/>
        <w:rPr>
          <w:rFonts w:ascii="Microsoft JhengHei" w:eastAsia="Microsoft JhengHei" w:hint="eastAsia"/>
        </w:rPr>
      </w:pPr>
      <w:r>
        <w:rPr>
          <w:rFonts w:ascii="Microsoft JhengHei" w:eastAsia="Microsoft JhengHei" w:hint="eastAsia"/>
          <w:w w:val="95"/>
        </w:rPr>
        <w:t>13、双目失明－三</w:t>
      </w:r>
      <w:r>
        <w:rPr>
          <w:rFonts w:ascii="Microsoft JhengHei" w:eastAsia="Microsoft JhengHei" w:hint="eastAsia"/>
        </w:rPr>
        <w:t>周岁始理赔</w:t>
      </w:r>
    </w:p>
    <w:p>
      <w:pPr>
        <w:pStyle w:val="BodyText"/>
        <w:spacing w:line="273" w:lineRule="auto" w:before="40"/>
        <w:ind w:left="106" w:right="130"/>
      </w:pPr>
      <w:r>
        <w:rPr/>
        <w:br w:type="column"/>
      </w:r>
      <w:r>
        <w:rPr/>
        <w:t>指因疾病或意外伤害导致双眼视力永久不可逆性丧失，双眼中较好眼须满足下列至少一项条件：</w:t>
      </w:r>
    </w:p>
    <w:p>
      <w:pPr>
        <w:pStyle w:val="BodyText"/>
        <w:spacing w:before="7"/>
        <w:ind w:left="106"/>
      </w:pPr>
      <w:r>
        <w:rPr/>
        <w:t>（1）眼球缺失或摘除；</w:t>
      </w:r>
    </w:p>
    <w:p>
      <w:pPr>
        <w:pStyle w:val="BodyText"/>
        <w:spacing w:line="273" w:lineRule="auto"/>
        <w:ind w:left="106" w:right="207"/>
      </w:pPr>
      <w:r>
        <w:rPr>
          <w:spacing w:val="-4"/>
        </w:rPr>
        <w:t>（2）</w:t>
      </w:r>
      <w:r>
        <w:rPr>
          <w:spacing w:val="-8"/>
        </w:rPr>
        <w:t>矫正视力低于 </w:t>
      </w:r>
      <w:r>
        <w:rPr>
          <w:spacing w:val="-3"/>
        </w:rPr>
        <w:t>0.02（</w:t>
      </w:r>
      <w:r>
        <w:rPr>
          <w:spacing w:val="-1"/>
        </w:rPr>
        <w:t>采用国际标准视力表，如果使用其他视力表应进行换算</w:t>
      </w:r>
      <w:r>
        <w:rPr>
          <w:spacing w:val="-105"/>
        </w:rPr>
        <w:t>）</w:t>
      </w:r>
      <w:r>
        <w:rPr/>
        <w:t>；</w:t>
      </w:r>
    </w:p>
    <w:p>
      <w:pPr>
        <w:pStyle w:val="BodyText"/>
        <w:spacing w:before="8"/>
        <w:ind w:left="106"/>
      </w:pPr>
      <w:r>
        <w:rPr/>
        <w:t>（3）视野半径小于 5 度。</w:t>
      </w:r>
    </w:p>
    <w:p>
      <w:pPr>
        <w:pStyle w:val="BodyText"/>
        <w:spacing w:line="273" w:lineRule="auto"/>
        <w:ind w:left="106" w:right="130"/>
      </w:pPr>
      <w:r>
        <w:rPr/>
        <w:t>被保险人申请理赔时年龄必须在三周岁以上，并且提供理赔当时的视力丧失诊断及检查证据。</w:t>
      </w:r>
    </w:p>
    <w:p>
      <w:pPr>
        <w:spacing w:after="0" w:line="273" w:lineRule="auto"/>
        <w:sectPr>
          <w:type w:val="continuous"/>
          <w:pgSz w:w="11910" w:h="16840"/>
          <w:pgMar w:top="440" w:bottom="280" w:left="1620" w:right="720"/>
          <w:cols w:num="2" w:equalWidth="0">
            <w:col w:w="1782" w:space="198"/>
            <w:col w:w="7590"/>
          </w:cols>
        </w:sectPr>
      </w:pPr>
    </w:p>
    <w:p>
      <w:pPr>
        <w:pStyle w:val="BodyText"/>
        <w:spacing w:before="12"/>
        <w:rPr>
          <w:sz w:val="14"/>
        </w:rPr>
      </w:pPr>
    </w:p>
    <w:p>
      <w:pPr>
        <w:pStyle w:val="BodyText"/>
        <w:tabs>
          <w:tab w:pos="2086" w:val="left" w:leader="none"/>
        </w:tabs>
        <w:spacing w:line="312" w:lineRule="exact" w:before="36"/>
        <w:ind w:left="2086" w:right="207" w:hanging="1981"/>
        <w:jc w:val="both"/>
      </w:pPr>
      <w:r>
        <w:rPr>
          <w:rFonts w:ascii="Microsoft JhengHei" w:eastAsia="Microsoft JhengHei" w:hint="eastAsia"/>
          <w:b/>
          <w:position w:val="2"/>
        </w:rPr>
        <w:t>14、瘫痪</w:t>
        <w:tab/>
      </w:r>
      <w:r>
        <w:rPr/>
        <w:t>指因疾病或意外伤害导致两肢或两肢以上肢体机能永久完全丧失</w:t>
      </w:r>
      <w:r>
        <w:rPr>
          <w:spacing w:val="-82"/>
        </w:rPr>
        <w:t>。</w:t>
      </w:r>
      <w:r>
        <w:rPr/>
        <w:t>肢体机能永久完全丧失</w:t>
      </w:r>
      <w:r>
        <w:rPr>
          <w:spacing w:val="-41"/>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41"/>
        </w:rPr>
        <w:t>，</w:t>
      </w:r>
      <w:r>
        <w:rPr/>
        <w:t>每肢三大关节中的两大关节仍然完全僵硬，或不能随意识活动。</w:t>
      </w:r>
    </w:p>
    <w:p>
      <w:pPr>
        <w:tabs>
          <w:tab w:pos="2086" w:val="left" w:leader="none"/>
        </w:tabs>
        <w:spacing w:before="144"/>
        <w:ind w:left="106"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440" w:bottom="280" w:left="1620" w:right="720"/>
        </w:sectPr>
      </w:pPr>
    </w:p>
    <w:p>
      <w:pPr>
        <w:pStyle w:val="Heading4"/>
        <w:spacing w:line="204" w:lineRule="auto"/>
        <w:jc w:val="both"/>
        <w:rPr>
          <w:rFonts w:ascii="Microsoft JhengHei" w:hAnsi="Microsoft JhengHei" w:eastAsia="Microsoft JhengHei" w:hint="eastAsia"/>
        </w:rPr>
      </w:pPr>
      <w:r>
        <w:rPr>
          <w:rFonts w:ascii="Microsoft JhengHei" w:hAnsi="Microsoft JhengHei" w:eastAsia="Microsoft JhengHei" w:hint="eastAsia"/>
          <w:w w:val="95"/>
        </w:rPr>
        <w:t>16、严重阿尔茨海</w:t>
      </w:r>
      <w:r>
        <w:rPr>
          <w:rFonts w:ascii="Microsoft JhengHei" w:hAnsi="Microsoft JhengHei" w:eastAsia="Microsoft JhengHei" w:hint="eastAsia"/>
        </w:rPr>
        <w:t>默病—限 70 周岁前发病</w:t>
      </w:r>
    </w:p>
    <w:p>
      <w:pPr>
        <w:pStyle w:val="BodyText"/>
        <w:spacing w:line="273" w:lineRule="auto" w:before="40"/>
        <w:ind w:left="106" w:right="205"/>
        <w:jc w:val="both"/>
      </w:pPr>
      <w:r>
        <w:rPr/>
        <w:br w:type="column"/>
      </w:r>
      <w:r>
        <w:rPr>
          <w:spacing w:val="-8"/>
        </w:rPr>
        <w:t>指因大脑进行性、不可逆性改变导致智能严重衰退或丧失，临床表现为明显的认</w:t>
      </w:r>
      <w:r>
        <w:rPr>
          <w:spacing w:val="-12"/>
        </w:rPr>
        <w:t>知能力障碍、行为异常和社交能力减退，其日常生活必须持续受到他人监护。须</w:t>
      </w:r>
      <w:r>
        <w:rPr/>
        <w:t>由头颅断层扫描（</w:t>
      </w:r>
      <w:r>
        <w:rPr>
          <w:spacing w:val="-1"/>
        </w:rPr>
        <w:t>C</w:t>
      </w:r>
      <w:r>
        <w:rPr>
          <w:spacing w:val="0"/>
        </w:rPr>
        <w:t>T</w:t>
      </w:r>
      <w:r>
        <w:rPr>
          <w:spacing w:val="-105"/>
        </w:rPr>
        <w:t>）</w:t>
      </w:r>
      <w:r>
        <w:rPr/>
        <w:t>、核磁共振检查</w:t>
      </w:r>
      <w:r>
        <w:rPr>
          <w:spacing w:val="0"/>
        </w:rPr>
        <w:t>（</w:t>
      </w:r>
      <w:r>
        <w:rPr>
          <w:spacing w:val="-1"/>
        </w:rPr>
        <w:t>MR</w:t>
      </w:r>
      <w:r>
        <w:rPr>
          <w:spacing w:val="0"/>
        </w:rPr>
        <w:t>I</w:t>
      </w:r>
      <w:r>
        <w:rPr/>
        <w:t>）或正电子发射断层扫描（</w:t>
      </w:r>
      <w:r>
        <w:rPr>
          <w:spacing w:val="-1"/>
        </w:rPr>
        <w:t>P</w:t>
      </w:r>
      <w:r>
        <w:rPr>
          <w:spacing w:val="0"/>
        </w:rPr>
        <w:t>ET）等</w:t>
      </w:r>
      <w:r>
        <w:rPr>
          <w:spacing w:val="-8"/>
        </w:rPr>
        <w:t>影像学检查证实，自主生活能力完全丧失，无法独立完成六项基本日常生活活动中的三项或三项以上。</w:t>
      </w:r>
    </w:p>
    <w:p>
      <w:pPr>
        <w:pStyle w:val="BodyText"/>
        <w:spacing w:before="7"/>
        <w:ind w:left="106"/>
        <w:jc w:val="both"/>
      </w:pPr>
      <w:r>
        <w:rPr/>
        <w:t>神经官能症和精神疾病不在保障范围内。</w:t>
      </w:r>
    </w:p>
    <w:p>
      <w:pPr>
        <w:spacing w:after="0"/>
        <w:jc w:val="both"/>
        <w:sectPr>
          <w:type w:val="continuous"/>
          <w:pgSz w:w="11910" w:h="16840"/>
          <w:pgMar w:top="440" w:bottom="280" w:left="1620" w:right="720"/>
          <w:cols w:num="2" w:equalWidth="0">
            <w:col w:w="1782" w:space="198"/>
            <w:col w:w="7590"/>
          </w:cols>
        </w:sectPr>
      </w:pPr>
    </w:p>
    <w:p>
      <w:pPr>
        <w:pStyle w:val="BodyText"/>
        <w:spacing w:before="1"/>
        <w:rPr>
          <w:sz w:val="17"/>
        </w:rPr>
      </w:pPr>
    </w:p>
    <w:p>
      <w:pPr>
        <w:pStyle w:val="BodyText"/>
        <w:tabs>
          <w:tab w:pos="2086" w:val="left" w:leader="none"/>
        </w:tabs>
        <w:spacing w:line="312" w:lineRule="exact" w:before="36"/>
        <w:ind w:left="2086" w:right="103" w:hanging="1981"/>
      </w:pPr>
      <w:r>
        <w:rPr>
          <w:rFonts w:ascii="Microsoft JhengHei" w:eastAsia="Microsoft JhengHei" w:hint="eastAsia"/>
          <w:b/>
          <w:position w:val="2"/>
        </w:rPr>
        <w:t>17、严重脑损伤</w:t>
        <w:tab/>
      </w:r>
      <w:r>
        <w:rPr/>
        <w:t>指因头部遭受机械性外力</w:t>
      </w:r>
      <w:r>
        <w:rPr>
          <w:spacing w:val="-41"/>
        </w:rPr>
        <w:t>，</w:t>
      </w:r>
      <w:r>
        <w:rPr/>
        <w:t>引起脑重要部位损伤</w:t>
      </w:r>
      <w:r>
        <w:rPr>
          <w:spacing w:val="-41"/>
        </w:rPr>
        <w:t>，</w:t>
      </w:r>
      <w:r>
        <w:rPr/>
        <w:t>导致神经系统永久性的功能障</w:t>
      </w:r>
      <w:r>
        <w:rPr>
          <w:spacing w:val="-1"/>
        </w:rPr>
        <w:t>碍</w:t>
      </w:r>
      <w:r>
        <w:rPr>
          <w:spacing w:val="-50"/>
        </w:rPr>
        <w:t>。</w:t>
      </w:r>
      <w:r>
        <w:rPr>
          <w:spacing w:val="-1"/>
        </w:rPr>
        <w:t>须由头颅断层扫</w:t>
      </w:r>
      <w:r>
        <w:rPr>
          <w:spacing w:val="-50"/>
        </w:rPr>
        <w:t>描</w:t>
      </w:r>
      <w:r>
        <w:rPr>
          <w:spacing w:val="-1"/>
        </w:rPr>
        <w:t>（CT</w:t>
      </w:r>
      <w:r>
        <w:rPr>
          <w:spacing w:val="-104"/>
        </w:rPr>
        <w:t>）</w:t>
      </w:r>
      <w:r>
        <w:rPr>
          <w:spacing w:val="-50"/>
        </w:rPr>
        <w:t>、</w:t>
      </w:r>
      <w:r>
        <w:rPr/>
        <w:t>核磁共振检</w:t>
      </w:r>
      <w:r>
        <w:rPr>
          <w:spacing w:val="-50"/>
        </w:rPr>
        <w:t>查</w:t>
      </w:r>
      <w:r>
        <w:rPr/>
        <w:t>（MRI</w:t>
      </w:r>
      <w:r>
        <w:rPr>
          <w:spacing w:val="-51"/>
        </w:rPr>
        <w:t>）</w:t>
      </w:r>
      <w:r>
        <w:rPr/>
        <w:t>或正电子发射断层扫</w:t>
      </w:r>
      <w:r>
        <w:rPr>
          <w:spacing w:val="-50"/>
        </w:rPr>
        <w:t>描</w:t>
      </w:r>
      <w:r>
        <w:rPr/>
        <w:t>（PE</w:t>
      </w:r>
      <w:r>
        <w:rPr>
          <w:spacing w:val="0"/>
        </w:rPr>
        <w:t>T</w:t>
      </w:r>
      <w:r>
        <w:rPr/>
        <w:t>）等影像学检查证实</w:t>
      </w:r>
      <w:r>
        <w:rPr>
          <w:spacing w:val="-28"/>
        </w:rPr>
        <w:t>。</w:t>
      </w:r>
      <w:r>
        <w:rPr/>
        <w:t>神经系统永久性的功能障碍</w:t>
      </w:r>
      <w:r>
        <w:rPr>
          <w:spacing w:val="-28"/>
        </w:rPr>
        <w:t>，</w:t>
      </w:r>
      <w:r>
        <w:rPr/>
        <w:t>指脑损伤</w:t>
      </w:r>
      <w:r>
        <w:rPr>
          <w:spacing w:val="-54"/>
        </w:rPr>
        <w:t> </w:t>
      </w:r>
      <w:r>
        <w:rPr/>
        <w:t>180</w:t>
      </w:r>
      <w:r>
        <w:rPr>
          <w:spacing w:val="-53"/>
        </w:rPr>
        <w:t> </w:t>
      </w:r>
      <w:r>
        <w:rPr/>
        <w:t>天后</w:t>
      </w:r>
      <w:r>
        <w:rPr>
          <w:spacing w:val="-28"/>
        </w:rPr>
        <w:t>，</w:t>
      </w:r>
      <w:r>
        <w:rPr/>
        <w:t>仍遗留下列一种或一种以上障碍：</w:t>
      </w:r>
    </w:p>
    <w:p>
      <w:pPr>
        <w:pStyle w:val="BodyText"/>
        <w:spacing w:before="4"/>
        <w:ind w:left="2086"/>
      </w:pPr>
      <w:r>
        <w:rPr/>
        <w:t>（1）一肢或一肢以上肢体机能完全丧失；</w:t>
      </w:r>
    </w:p>
    <w:p>
      <w:pPr>
        <w:pStyle w:val="BodyText"/>
        <w:spacing w:before="36"/>
        <w:ind w:left="2086"/>
      </w:pPr>
      <w:r>
        <w:rPr/>
        <w:t>（2）语言能力或咀嚼吞咽能力完全丧失；</w:t>
      </w:r>
    </w:p>
    <w:p>
      <w:pPr>
        <w:pStyle w:val="BodyText"/>
        <w:spacing w:line="273" w:lineRule="auto" w:before="36"/>
        <w:ind w:left="2086" w:right="231"/>
      </w:pPr>
      <w:r>
        <w:rPr/>
        <w:t>（3）自主生活能力完全丧失，无法独立完成六项基本日常生活活动中的三项或三项以上。</w:t>
      </w:r>
    </w:p>
    <w:p>
      <w:pPr>
        <w:tabs>
          <w:tab w:pos="2086" w:val="left" w:leader="none"/>
        </w:tabs>
        <w:spacing w:before="147"/>
        <w:ind w:left="106" w:right="0" w:firstLine="0"/>
        <w:jc w:val="left"/>
        <w:rPr>
          <w:sz w:val="21"/>
        </w:rPr>
      </w:pPr>
      <w:r>
        <w:rPr>
          <w:rFonts w:ascii="Microsoft JhengHei" w:eastAsia="Microsoft JhengHei" w:hint="eastAsia"/>
          <w:b/>
          <w:position w:val="2"/>
          <w:sz w:val="21"/>
        </w:rPr>
        <w:t>18、严重帕金森病</w:t>
        <w:tab/>
      </w:r>
      <w:r>
        <w:rPr>
          <w:sz w:val="21"/>
        </w:rPr>
        <w:t>指一种中枢神经系统的退行性疾病</w:t>
      </w:r>
      <w:r>
        <w:rPr>
          <w:spacing w:val="-28"/>
          <w:sz w:val="21"/>
        </w:rPr>
        <w:t>，</w:t>
      </w:r>
      <w:r>
        <w:rPr>
          <w:sz w:val="21"/>
        </w:rPr>
        <w:t>临床表现为震颤麻痹</w:t>
      </w:r>
      <w:r>
        <w:rPr>
          <w:spacing w:val="-28"/>
          <w:sz w:val="21"/>
        </w:rPr>
        <w:t>、</w:t>
      </w:r>
      <w:r>
        <w:rPr>
          <w:sz w:val="21"/>
        </w:rPr>
        <w:t>共济失调等</w:t>
      </w:r>
      <w:r>
        <w:rPr>
          <w:spacing w:val="-28"/>
          <w:sz w:val="21"/>
        </w:rPr>
        <w:t>。</w:t>
      </w:r>
      <w:r>
        <w:rPr>
          <w:sz w:val="21"/>
        </w:rPr>
        <w:t>须满足</w:t>
      </w:r>
    </w:p>
    <w:p>
      <w:pPr>
        <w:spacing w:after="0"/>
        <w:jc w:val="left"/>
        <w:rPr>
          <w:sz w:val="21"/>
        </w:rPr>
        <w:sectPr>
          <w:type w:val="continuous"/>
          <w:pgSz w:w="11910" w:h="16840"/>
          <w:pgMar w:top="440" w:bottom="280" w:left="1620" w:right="720"/>
        </w:sectPr>
      </w:pPr>
    </w:p>
    <w:p>
      <w:pPr>
        <w:pStyle w:val="BodyText"/>
        <w:spacing w:before="19"/>
        <w:ind w:left="2086"/>
      </w:pPr>
      <w:r>
        <w:rPr/>
        <w:t>下列全部条件：</w:t>
      </w:r>
    </w:p>
    <w:p>
      <w:pPr>
        <w:pStyle w:val="BodyText"/>
        <w:ind w:left="2086"/>
      </w:pPr>
      <w:r>
        <w:rPr/>
        <w:t>（1）药物治疗无法控制病情；</w:t>
      </w:r>
    </w:p>
    <w:p>
      <w:pPr>
        <w:pStyle w:val="BodyText"/>
        <w:spacing w:line="273" w:lineRule="auto"/>
        <w:ind w:left="2086" w:right="183"/>
      </w:pPr>
      <w:r>
        <w:rPr/>
        <w:t>（2）自主生活能力完全丧失，无法独立完成六项基本日常生活活动中的三项或三项以上。</w:t>
      </w:r>
    </w:p>
    <w:p>
      <w:pPr>
        <w:pStyle w:val="BodyText"/>
        <w:spacing w:before="7"/>
        <w:ind w:left="2086"/>
      </w:pPr>
      <w:r>
        <w:rPr/>
        <w:t>继发性帕金森综合征不在保障范围内。</w:t>
      </w:r>
    </w:p>
    <w:p>
      <w:pPr>
        <w:tabs>
          <w:tab w:pos="2086" w:val="left" w:leader="none"/>
        </w:tabs>
        <w:spacing w:line="261" w:lineRule="auto" w:before="176"/>
        <w:ind w:left="2086" w:right="211" w:hanging="1981"/>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指烧伤程度为Ⅲ度，且Ⅲ度烧伤面积达到全身体表面积的</w:t>
      </w:r>
      <w:r>
        <w:rPr>
          <w:spacing w:val="-54"/>
          <w:sz w:val="21"/>
        </w:rPr>
        <w:t> </w:t>
      </w:r>
      <w:r>
        <w:rPr>
          <w:sz w:val="21"/>
        </w:rPr>
        <w:t>20％或</w:t>
      </w:r>
      <w:r>
        <w:rPr>
          <w:spacing w:val="-54"/>
          <w:sz w:val="21"/>
        </w:rPr>
        <w:t> </w:t>
      </w:r>
      <w:r>
        <w:rPr>
          <w:sz w:val="21"/>
        </w:rPr>
        <w:t>20％以上。体表面积根据《中国新九分法》计算。</w:t>
      </w:r>
    </w:p>
    <w:p>
      <w:pPr>
        <w:pStyle w:val="BodyText"/>
        <w:spacing w:before="8"/>
        <w:rPr>
          <w:sz w:val="15"/>
        </w:rPr>
      </w:pPr>
    </w:p>
    <w:p>
      <w:pPr>
        <w:spacing w:after="0"/>
        <w:rPr>
          <w:sz w:val="15"/>
        </w:rPr>
        <w:sectPr>
          <w:pgSz w:w="11910" w:h="16840"/>
          <w:pgMar w:header="0" w:footer="677" w:top="1100" w:bottom="860" w:left="1620" w:right="740"/>
        </w:sectPr>
      </w:pPr>
    </w:p>
    <w:p>
      <w:pPr>
        <w:pStyle w:val="Heading4"/>
        <w:spacing w:line="204" w:lineRule="auto"/>
        <w:rPr>
          <w:rFonts w:ascii="Microsoft JhengHei" w:eastAsia="Microsoft JhengHei" w:hint="eastAsia"/>
        </w:rPr>
      </w:pPr>
      <w:r>
        <w:rPr>
          <w:rFonts w:ascii="Microsoft JhengHei" w:eastAsia="Microsoft JhengHei" w:hint="eastAsia"/>
          <w:w w:val="95"/>
        </w:rPr>
        <w:t>20、严重原发性肺</w:t>
      </w:r>
      <w:r>
        <w:rPr>
          <w:rFonts w:ascii="Microsoft JhengHei" w:eastAsia="Microsoft JhengHei" w:hint="eastAsia"/>
        </w:rPr>
        <w:t>动脉高压</w:t>
      </w:r>
    </w:p>
    <w:p>
      <w:pPr>
        <w:pStyle w:val="BodyText"/>
        <w:spacing w:line="273" w:lineRule="auto" w:before="40"/>
        <w:ind w:left="106" w:right="110"/>
      </w:pPr>
      <w:r>
        <w:rPr/>
        <w:br w:type="column"/>
      </w:r>
      <w:r>
        <w:rPr/>
        <w:t>指不明原因的肺动脉压力持续性增高，进行性发展而导致的慢性疾病，已经造成永久不可逆性的体力活动能力受限，达到美国纽约心脏病学会心功能状态分级</w:t>
      </w:r>
    </w:p>
    <w:p>
      <w:pPr>
        <w:pStyle w:val="BodyText"/>
        <w:spacing w:before="7"/>
        <w:ind w:left="106"/>
      </w:pPr>
      <w:r>
        <w:rPr/>
        <w:t>IV 级，静息状态下肺动脉平均压超过 30mmHg。</w:t>
      </w:r>
    </w:p>
    <w:p>
      <w:pPr>
        <w:spacing w:after="0"/>
        <w:sectPr>
          <w:type w:val="continuous"/>
          <w:pgSz w:w="11910" w:h="16840"/>
          <w:pgMar w:top="440" w:bottom="280" w:left="1620" w:right="740"/>
          <w:cols w:num="2" w:equalWidth="0">
            <w:col w:w="1822" w:space="158"/>
            <w:col w:w="7570"/>
          </w:cols>
        </w:sectPr>
      </w:pP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rPr>
          <w:rFonts w:ascii="Microsoft JhengHei" w:eastAsia="Microsoft JhengHei" w:hint="eastAsia"/>
        </w:rPr>
      </w:pPr>
      <w:r>
        <w:rPr>
          <w:rFonts w:ascii="Microsoft JhengHei" w:eastAsia="Microsoft JhengHei" w:hint="eastAsia"/>
          <w:w w:val="95"/>
        </w:rPr>
        <w:t>21、严重运动神经</w:t>
      </w:r>
      <w:r>
        <w:rPr>
          <w:rFonts w:ascii="Microsoft JhengHei" w:eastAsia="Microsoft JhengHei" w:hint="eastAsia"/>
        </w:rPr>
        <w:t>元病</w:t>
      </w:r>
    </w:p>
    <w:p>
      <w:pPr>
        <w:pStyle w:val="BodyText"/>
        <w:spacing w:line="273" w:lineRule="auto" w:before="40"/>
        <w:ind w:left="106" w:right="187"/>
        <w:jc w:val="both"/>
      </w:pPr>
      <w:r>
        <w:rPr/>
        <w:br w:type="column"/>
      </w:r>
      <w:r>
        <w:rPr>
          <w:spacing w:val="-4"/>
        </w:rPr>
        <w:t>是一组中枢神经系统运动神经元的进行性变性疾病，包括进行性脊肌萎缩症、进</w:t>
      </w:r>
      <w:r>
        <w:rPr>
          <w:spacing w:val="-10"/>
        </w:rPr>
        <w:t>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620" w:right="740"/>
          <w:cols w:num="2" w:equalWidth="0">
            <w:col w:w="1782" w:space="198"/>
            <w:col w:w="7570"/>
          </w:cols>
        </w:sectPr>
      </w:pPr>
    </w:p>
    <w:p>
      <w:pPr>
        <w:pStyle w:val="BodyText"/>
        <w:spacing w:before="13"/>
        <w:rPr>
          <w:sz w:val="14"/>
        </w:rPr>
      </w:pPr>
    </w:p>
    <w:p>
      <w:pPr>
        <w:spacing w:after="0"/>
        <w:rPr>
          <w:sz w:val="14"/>
        </w:rPr>
        <w:sectPr>
          <w:type w:val="continuous"/>
          <w:pgSz w:w="11910" w:h="16840"/>
          <w:pgMar w:top="440" w:bottom="280" w:left="1620" w:right="740"/>
        </w:sectPr>
      </w:pPr>
    </w:p>
    <w:p>
      <w:pPr>
        <w:pStyle w:val="Heading4"/>
        <w:spacing w:line="295" w:lineRule="exact" w:before="0"/>
        <w:rPr>
          <w:rFonts w:ascii="Microsoft JhengHei" w:eastAsia="Microsoft JhengHei" w:hint="eastAsia"/>
        </w:rPr>
      </w:pPr>
      <w:r>
        <w:rPr>
          <w:rFonts w:ascii="Microsoft JhengHei" w:eastAsia="Microsoft JhengHei" w:hint="eastAsia"/>
          <w:w w:val="95"/>
        </w:rPr>
        <w:t>22、语言能力丧失</w:t>
      </w:r>
    </w:p>
    <w:p>
      <w:pPr>
        <w:spacing w:line="339" w:lineRule="exact" w:before="0"/>
        <w:ind w:left="106"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9"/>
        <w:ind w:left="106" w:right="186"/>
      </w:pPr>
      <w:r>
        <w:rPr/>
        <w:br w:type="column"/>
      </w:r>
      <w:r>
        <w:rPr>
          <w:spacing w:val="-2"/>
        </w:rPr>
        <w:t>指因疾病或意外伤害导致完全丧失语言能力，经过积极治疗至少 </w:t>
      </w:r>
      <w:r>
        <w:rPr/>
        <w:t>12</w:t>
      </w:r>
      <w:r>
        <w:rPr>
          <w:spacing w:val="-14"/>
        </w:rPr>
        <w:t> 个月</w:t>
      </w:r>
      <w:r>
        <w:rPr/>
        <w:t>（声带完全切除不受此时间限制</w:t>
      </w:r>
      <w:r>
        <w:rPr>
          <w:spacing w:val="-105"/>
        </w:rPr>
        <w:t>）</w:t>
      </w:r>
      <w:r>
        <w:rPr>
          <w:spacing w:val="-1"/>
        </w:rPr>
        <w:t>，仍无法通过现有医疗手段恢复。</w:t>
      </w:r>
    </w:p>
    <w:p>
      <w:pPr>
        <w:pStyle w:val="BodyText"/>
        <w:spacing w:before="7"/>
        <w:ind w:left="106"/>
      </w:pPr>
      <w:r>
        <w:rPr/>
        <w:t>精神心理因素所致的语言能力丧失不在保障范围内。</w:t>
      </w:r>
    </w:p>
    <w:p>
      <w:pPr>
        <w:pStyle w:val="BodyText"/>
        <w:spacing w:line="273" w:lineRule="auto"/>
        <w:ind w:left="106" w:right="110"/>
      </w:pPr>
      <w:r>
        <w:rPr/>
        <w:t>被保险人申请理赔时年龄必须在三周岁以上，并且提供理赔当时的语言能力丧失诊断及检查证据。</w:t>
      </w:r>
    </w:p>
    <w:p>
      <w:pPr>
        <w:spacing w:after="0" w:line="273" w:lineRule="auto"/>
        <w:sectPr>
          <w:type w:val="continuous"/>
          <w:pgSz w:w="11910" w:h="16840"/>
          <w:pgMar w:top="440" w:bottom="280" w:left="1620" w:right="740"/>
          <w:cols w:num="2" w:equalWidth="0">
            <w:col w:w="1818" w:space="162"/>
            <w:col w:w="7570"/>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rPr>
          <w:rFonts w:ascii="Microsoft JhengHei" w:eastAsia="Microsoft JhengHei" w:hint="eastAsia"/>
        </w:rPr>
      </w:pPr>
      <w:r>
        <w:rPr>
          <w:rFonts w:ascii="Microsoft JhengHei" w:eastAsia="Microsoft JhengHei" w:hint="eastAsia"/>
          <w:w w:val="95"/>
        </w:rPr>
        <w:t>23、重型再生障碍</w:t>
      </w:r>
      <w:r>
        <w:rPr>
          <w:rFonts w:ascii="Microsoft JhengHei" w:eastAsia="Microsoft JhengHei" w:hint="eastAsia"/>
        </w:rPr>
        <w:t>性贫血</w:t>
      </w:r>
    </w:p>
    <w:p>
      <w:pPr>
        <w:pStyle w:val="BodyText"/>
        <w:spacing w:line="273" w:lineRule="auto" w:before="40"/>
        <w:ind w:left="106" w:right="105"/>
      </w:pPr>
      <w:r>
        <w:rPr/>
        <w:br w:type="column"/>
      </w:r>
      <w:r>
        <w:rPr/>
        <w:t>指因骨髓造血功能慢性持续性衰竭导致的贫血、中性粒细胞减少及血小板减少， 须满足下列全部条件：</w:t>
      </w:r>
    </w:p>
    <w:p>
      <w:pPr>
        <w:pStyle w:val="BodyText"/>
        <w:spacing w:before="7"/>
        <w:ind w:left="106"/>
      </w:pPr>
      <w:r>
        <w:rPr/>
        <w:t>（1）骨髓穿刺检查或骨髓活检结果支持诊断；</w:t>
      </w:r>
    </w:p>
    <w:p>
      <w:pPr>
        <w:pStyle w:val="BodyText"/>
        <w:ind w:left="106"/>
      </w:pPr>
      <w:r>
        <w:rPr/>
        <w:t>（2）外周血象必须具备以下三项条件：</w:t>
      </w:r>
    </w:p>
    <w:p>
      <w:pPr>
        <w:pStyle w:val="BodyText"/>
        <w:ind w:left="526"/>
      </w:pPr>
      <w:r>
        <w:rPr/>
        <w:t>①中性粒细胞绝对值≤0.5×109/L；</w:t>
      </w:r>
    </w:p>
    <w:p>
      <w:pPr>
        <w:pStyle w:val="BodyText"/>
        <w:ind w:left="526"/>
      </w:pPr>
      <w:r>
        <w:rPr/>
        <w:t>②网织红细胞＜1%；</w:t>
      </w:r>
    </w:p>
    <w:p>
      <w:pPr>
        <w:pStyle w:val="BodyText"/>
        <w:ind w:left="526"/>
      </w:pPr>
      <w:r>
        <w:rPr/>
        <w:t>③血小板绝对值≤20×109/L。</w:t>
      </w:r>
    </w:p>
    <w:p>
      <w:pPr>
        <w:spacing w:after="0"/>
        <w:sectPr>
          <w:type w:val="continuous"/>
          <w:pgSz w:w="11910" w:h="16840"/>
          <w:pgMar w:top="440" w:bottom="280" w:left="1620" w:right="740"/>
          <w:cols w:num="2" w:equalWidth="0">
            <w:col w:w="1818" w:space="162"/>
            <w:col w:w="7570"/>
          </w:cols>
        </w:sectPr>
      </w:pPr>
    </w:p>
    <w:p>
      <w:pPr>
        <w:pStyle w:val="BodyText"/>
        <w:spacing w:before="1"/>
        <w:rPr>
          <w:sz w:val="17"/>
        </w:rPr>
      </w:pPr>
    </w:p>
    <w:p>
      <w:pPr>
        <w:pStyle w:val="BodyText"/>
        <w:spacing w:line="312" w:lineRule="exact" w:before="36"/>
        <w:ind w:left="2086" w:right="187" w:hanging="1981"/>
        <w:jc w:val="both"/>
      </w:pPr>
      <w:r>
        <w:rPr>
          <w:rFonts w:ascii="Microsoft JhengHei" w:eastAsia="Microsoft JhengHei" w:hint="eastAsia"/>
          <w:b/>
          <w:position w:val="2"/>
        </w:rPr>
        <w:t>24</w:t>
      </w:r>
      <w:r>
        <w:rPr>
          <w:rFonts w:ascii="Microsoft JhengHei" w:eastAsia="Microsoft JhengHei" w:hint="eastAsia"/>
          <w:b/>
          <w:spacing w:val="3"/>
          <w:position w:val="2"/>
        </w:rPr>
        <w:t>、主动脉手术     </w:t>
      </w:r>
      <w:r>
        <w:rPr>
          <w:spacing w:val="-5"/>
        </w:rPr>
        <w:t>指为治疗主动脉疾病，实际实施了开胸或开腹进行的切除、置换、修补病损主动</w:t>
      </w:r>
      <w:r>
        <w:rPr>
          <w:spacing w:val="-11"/>
        </w:rPr>
        <w:t>脉血管的手术。主动脉指胸主动脉和腹主动脉，不包括胸主动脉和腹主动脉的分支血管。</w:t>
      </w:r>
    </w:p>
    <w:p>
      <w:pPr>
        <w:pStyle w:val="BodyText"/>
        <w:spacing w:before="4"/>
        <w:ind w:left="2086"/>
      </w:pPr>
      <w:r>
        <w:rPr/>
        <w:t>动脉内血管成形术不在保障范围内。</w:t>
      </w: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rPr>
          <w:rFonts w:ascii="Microsoft JhengHei" w:eastAsia="Microsoft JhengHei" w:hint="eastAsia"/>
        </w:rPr>
      </w:pPr>
      <w:r>
        <w:rPr>
          <w:rFonts w:ascii="Microsoft JhengHei" w:eastAsia="Microsoft JhengHei" w:hint="eastAsia"/>
          <w:w w:val="95"/>
        </w:rPr>
        <w:t>25、慢性呼吸功能</w:t>
      </w:r>
      <w:r>
        <w:rPr>
          <w:rFonts w:ascii="Microsoft JhengHei" w:eastAsia="Microsoft JhengHei" w:hint="eastAsia"/>
        </w:rPr>
        <w:t>衰竭</w:t>
      </w:r>
    </w:p>
    <w:p>
      <w:pPr>
        <w:pStyle w:val="BodyText"/>
        <w:spacing w:line="273" w:lineRule="auto" w:before="40"/>
        <w:ind w:left="106" w:right="110"/>
      </w:pPr>
      <w:r>
        <w:rPr/>
        <w:br w:type="column"/>
      </w:r>
      <w:r>
        <w:rPr/>
        <w:t>慢性肺部疾病导致永久不可逆性的慢性呼吸功能衰竭。慢性呼吸功能衰竭必须明确诊断并满足下列全部条件：</w:t>
      </w:r>
    </w:p>
    <w:p>
      <w:pPr>
        <w:pStyle w:val="BodyText"/>
        <w:spacing w:before="7"/>
        <w:ind w:left="106"/>
      </w:pPr>
      <w:r>
        <w:rPr/>
        <w:t>（1）休息时出现呼吸困难；</w:t>
      </w:r>
    </w:p>
    <w:p>
      <w:pPr>
        <w:pStyle w:val="BodyText"/>
        <w:spacing w:before="36"/>
        <w:ind w:left="106"/>
      </w:pPr>
      <w:r>
        <w:rPr/>
        <w:t>（2）动脉血氧分压（PaO2）&lt;50mmHg；</w:t>
      </w:r>
    </w:p>
    <w:p>
      <w:pPr>
        <w:pStyle w:val="BodyText"/>
        <w:spacing w:before="36"/>
        <w:ind w:left="106"/>
      </w:pPr>
      <w:r>
        <w:rPr/>
        <w:t>（3）动脉血氧饱和度（SaO2）&lt;80％；</w:t>
      </w:r>
    </w:p>
    <w:p>
      <w:pPr>
        <w:pStyle w:val="BodyText"/>
        <w:spacing w:before="36"/>
        <w:ind w:left="106"/>
      </w:pPr>
      <w:r>
        <w:rPr/>
        <w:t>（4）因缺氧必须接受持续的输氧治疗。</w:t>
      </w:r>
    </w:p>
    <w:p>
      <w:pPr>
        <w:spacing w:after="0"/>
        <w:sectPr>
          <w:type w:val="continuous"/>
          <w:pgSz w:w="11910" w:h="16840"/>
          <w:pgMar w:top="440" w:bottom="280" w:left="1620" w:right="740"/>
          <w:cols w:num="2" w:equalWidth="0">
            <w:col w:w="1818" w:space="162"/>
            <w:col w:w="7570"/>
          </w:cols>
        </w:sectPr>
      </w:pP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rPr>
          <w:rFonts w:ascii="Microsoft JhengHei" w:eastAsia="Microsoft JhengHei" w:hint="eastAsia"/>
        </w:rPr>
      </w:pPr>
      <w:r>
        <w:rPr>
          <w:rFonts w:ascii="Microsoft JhengHei" w:eastAsia="Microsoft JhengHei" w:hint="eastAsia"/>
          <w:w w:val="95"/>
        </w:rPr>
        <w:t>26、严重多发性硬</w:t>
      </w:r>
      <w:r>
        <w:rPr>
          <w:rFonts w:ascii="Microsoft JhengHei" w:eastAsia="Microsoft JhengHei" w:hint="eastAsia"/>
        </w:rPr>
        <w:t>化</w:t>
      </w:r>
    </w:p>
    <w:p>
      <w:pPr>
        <w:pStyle w:val="BodyText"/>
        <w:spacing w:line="273" w:lineRule="auto" w:before="40"/>
        <w:ind w:left="106" w:right="187"/>
        <w:jc w:val="both"/>
      </w:pPr>
      <w:r>
        <w:rPr/>
        <w:br w:type="column"/>
      </w:r>
      <w:r>
        <w:rPr>
          <w:spacing w:val="-4"/>
        </w:rPr>
        <w:t>多发性硬化为中枢神经系统白质多灶性脱髓鞘病变，病变有时累及灰质。多发性</w:t>
      </w:r>
      <w:r>
        <w:rPr>
          <w:spacing w:val="-11"/>
        </w:rPr>
        <w:t>硬化必须明确诊断，并且已经造成神经系统功能损害导致被保险人永久不可逆性的无法独立完成下列基本日常生活活动：</w:t>
      </w:r>
    </w:p>
    <w:p>
      <w:pPr>
        <w:pStyle w:val="BodyText"/>
        <w:spacing w:before="7"/>
        <w:ind w:left="106"/>
        <w:jc w:val="both"/>
      </w:pPr>
      <w:r>
        <w:rPr/>
        <w:t>（1）移动：自己从一个房间移动到另一个房间；或者</w:t>
      </w:r>
    </w:p>
    <w:p>
      <w:pPr>
        <w:pStyle w:val="BodyText"/>
        <w:spacing w:before="36"/>
        <w:ind w:left="106"/>
        <w:jc w:val="both"/>
      </w:pPr>
      <w:r>
        <w:rPr/>
        <w:t>（2）进食：自己从已准备好的碗或碟中取食物放入口中。</w:t>
      </w:r>
    </w:p>
    <w:p>
      <w:pPr>
        <w:spacing w:after="0"/>
        <w:jc w:val="both"/>
        <w:sectPr>
          <w:type w:val="continuous"/>
          <w:pgSz w:w="11910" w:h="16840"/>
          <w:pgMar w:top="440" w:bottom="280" w:left="1620" w:right="740"/>
          <w:cols w:num="2" w:equalWidth="0">
            <w:col w:w="1818" w:space="162"/>
            <w:col w:w="7570"/>
          </w:cols>
        </w:sectPr>
      </w:pPr>
    </w:p>
    <w:p>
      <w:pPr>
        <w:tabs>
          <w:tab w:pos="2086" w:val="left" w:leader="none"/>
        </w:tabs>
        <w:spacing w:line="298" w:lineRule="exact" w:before="0"/>
        <w:ind w:left="106"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086"/>
      </w:pPr>
      <w:r>
        <w:rPr/>
        <w:t>（1）符合坏死性筋膜炎的一般临床表现；</w:t>
      </w:r>
    </w:p>
    <w:p>
      <w:pPr>
        <w:pStyle w:val="BodyText"/>
        <w:ind w:left="2086"/>
      </w:pPr>
      <w:r>
        <w:rPr/>
        <w:t>（2）细菌培养检出致病菌；</w:t>
      </w:r>
    </w:p>
    <w:p>
      <w:pPr>
        <w:pStyle w:val="BodyText"/>
        <w:spacing w:line="273" w:lineRule="auto"/>
        <w:ind w:left="2086" w:right="25"/>
      </w:pPr>
      <w:r>
        <w:rPr/>
        <w:t>（3）出现广泛性肌肉及软组织坏死，并导致身体受影响部位永久完全失去功能。所谓永久完全失去功能是指受影响部位的功能丧失超过六个月者。</w:t>
      </w:r>
    </w:p>
    <w:p>
      <w:pPr>
        <w:pStyle w:val="BodyText"/>
        <w:spacing w:before="11"/>
        <w:rPr>
          <w:sz w:val="14"/>
        </w:rPr>
      </w:pPr>
    </w:p>
    <w:p>
      <w:pPr>
        <w:spacing w:after="0"/>
        <w:rPr>
          <w:sz w:val="14"/>
        </w:rPr>
        <w:sectPr>
          <w:pgSz w:w="11910" w:h="16840"/>
          <w:pgMar w:header="0" w:footer="677" w:top="1100" w:bottom="860" w:left="1620" w:right="720"/>
        </w:sectPr>
      </w:pPr>
    </w:p>
    <w:p>
      <w:pPr>
        <w:pStyle w:val="Heading4"/>
        <w:spacing w:line="204" w:lineRule="auto"/>
        <w:rPr>
          <w:rFonts w:ascii="Microsoft JhengHei" w:eastAsia="Microsoft JhengHei" w:hint="eastAsia"/>
        </w:rPr>
      </w:pPr>
      <w:r>
        <w:rPr>
          <w:rFonts w:ascii="Microsoft JhengHei" w:eastAsia="Microsoft JhengHei" w:hint="eastAsia"/>
          <w:w w:val="95"/>
        </w:rPr>
        <w:t>28、急性坏死性胰</w:t>
      </w:r>
      <w:r>
        <w:rPr>
          <w:rFonts w:ascii="Microsoft JhengHei" w:eastAsia="Microsoft JhengHei" w:hint="eastAsia"/>
        </w:rPr>
        <w:t>腺炎</w:t>
      </w:r>
    </w:p>
    <w:p>
      <w:pPr>
        <w:pStyle w:val="BodyText"/>
        <w:spacing w:line="273" w:lineRule="auto" w:before="40"/>
        <w:ind w:left="106" w:right="130"/>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620" w:right="720"/>
          <w:cols w:num="2" w:equalWidth="0">
            <w:col w:w="1818" w:space="162"/>
            <w:col w:w="7590"/>
          </w:cols>
        </w:sectPr>
      </w:pPr>
    </w:p>
    <w:p>
      <w:pPr>
        <w:pStyle w:val="BodyText"/>
        <w:spacing w:before="11"/>
        <w:rPr>
          <w:sz w:val="14"/>
        </w:rPr>
      </w:pPr>
    </w:p>
    <w:p>
      <w:pPr>
        <w:spacing w:after="0"/>
        <w:rPr>
          <w:sz w:val="14"/>
        </w:rPr>
        <w:sectPr>
          <w:type w:val="continuous"/>
          <w:pgSz w:w="11910" w:h="16840"/>
          <w:pgMar w:top="440" w:bottom="280" w:left="1620" w:right="720"/>
        </w:sectPr>
      </w:pPr>
    </w:p>
    <w:p>
      <w:pPr>
        <w:pStyle w:val="Heading4"/>
        <w:spacing w:line="204" w:lineRule="auto"/>
        <w:rPr>
          <w:rFonts w:ascii="Microsoft JhengHei" w:eastAsia="Microsoft JhengHei" w:hint="eastAsia"/>
        </w:rPr>
      </w:pPr>
      <w:r>
        <w:rPr>
          <w:rFonts w:ascii="Microsoft JhengHei" w:eastAsia="Microsoft JhengHei" w:hint="eastAsia"/>
        </w:rPr>
        <w:t>29、全身性重症ft 无力</w:t>
      </w:r>
    </w:p>
    <w:p>
      <w:pPr>
        <w:pStyle w:val="BodyText"/>
        <w:spacing w:before="40"/>
        <w:ind w:left="106"/>
      </w:pPr>
      <w:r>
        <w:rPr/>
        <w:br w:type="column"/>
      </w:r>
      <w:r>
        <w:rPr/>
        <w:t>重症肌无力是一种神经肌肉接头传递障碍所致的疾病，表现为局部或全身骨骼肌</w:t>
      </w:r>
    </w:p>
    <w:p>
      <w:pPr>
        <w:pStyle w:val="BodyText"/>
        <w:spacing w:line="273" w:lineRule="auto"/>
        <w:ind w:left="106" w:right="208"/>
      </w:pPr>
      <w:r>
        <w:rPr/>
        <w:t>（特别是眼外肌</w:t>
      </w:r>
      <w:r>
        <w:rPr>
          <w:spacing w:val="-28"/>
        </w:rPr>
        <w:t>）</w:t>
      </w:r>
      <w:r>
        <w:rPr>
          <w:spacing w:val="-7"/>
        </w:rPr>
        <w:t>极易疲劳。疾病可以累及呼吸肌、上肢或下肢的近端肌群或全身肌肉，必须满足下列全部条件：</w:t>
      </w:r>
    </w:p>
    <w:p>
      <w:pPr>
        <w:pStyle w:val="BodyText"/>
        <w:spacing w:before="8"/>
        <w:ind w:left="106"/>
      </w:pPr>
      <w:r>
        <w:rPr/>
        <w:t>（1）经药物治疗和胸腺切除治疗一年以上仍无法控制病情；</w:t>
      </w:r>
    </w:p>
    <w:p>
      <w:pPr>
        <w:pStyle w:val="BodyText"/>
        <w:spacing w:line="273" w:lineRule="auto"/>
        <w:ind w:left="106" w:right="231"/>
      </w:pPr>
      <w:r>
        <w:rPr/>
        <w:t>（2）自主生活能力完全丧失，无法独立完成六项基本日常生活活动中的三项或三项以上。</w:t>
      </w:r>
    </w:p>
    <w:p>
      <w:pPr>
        <w:spacing w:after="0" w:line="273" w:lineRule="auto"/>
        <w:sectPr>
          <w:type w:val="continuous"/>
          <w:pgSz w:w="11910" w:h="16840"/>
          <w:pgMar w:top="440" w:bottom="280" w:left="1620" w:right="720"/>
          <w:cols w:num="2" w:equalWidth="0">
            <w:col w:w="1818" w:space="162"/>
            <w:col w:w="7590"/>
          </w:cols>
        </w:sectPr>
      </w:pPr>
    </w:p>
    <w:p>
      <w:pPr>
        <w:pStyle w:val="BodyText"/>
        <w:spacing w:before="11"/>
        <w:rPr>
          <w:sz w:val="14"/>
        </w:rPr>
      </w:pPr>
    </w:p>
    <w:p>
      <w:pPr>
        <w:pStyle w:val="BodyText"/>
        <w:spacing w:line="312" w:lineRule="exact" w:before="35"/>
        <w:ind w:left="2086" w:right="207" w:hanging="1981"/>
        <w:jc w:val="both"/>
      </w:pPr>
      <w:r>
        <w:rPr>
          <w:rFonts w:ascii="Microsoft JhengHei" w:eastAsia="Microsoft JhengHei" w:hint="eastAsia"/>
          <w:b/>
          <w:position w:val="2"/>
        </w:rPr>
        <w:t>30、严重心ft</w:t>
      </w:r>
      <w:r>
        <w:rPr>
          <w:rFonts w:ascii="Microsoft JhengHei" w:eastAsia="Microsoft JhengHei" w:hint="eastAsia"/>
          <w:b/>
          <w:spacing w:val="5"/>
          <w:position w:val="2"/>
        </w:rPr>
        <w:t>病      </w:t>
      </w:r>
      <w:r>
        <w:rPr>
          <w:spacing w:val="-3"/>
        </w:rPr>
        <w:t>指被保人因心肌病导致慢性心功能损害造成永久不可逆性的心功能衰竭。心功能</w:t>
      </w:r>
      <w:r>
        <w:rPr>
          <w:spacing w:val="-6"/>
        </w:rPr>
        <w:t>衰竭程度达到纽约心脏病学会的心功能分级标准之心功能 </w:t>
      </w:r>
      <w:r>
        <w:rPr/>
        <w:t>IV</w:t>
      </w:r>
      <w:r>
        <w:rPr>
          <w:spacing w:val="-9"/>
        </w:rPr>
        <w:t> 级。被保险人永久不可逆性的体力活动能力受限，不能从事任何体力活动。</w:t>
      </w:r>
    </w:p>
    <w:p>
      <w:pPr>
        <w:pStyle w:val="BodyText"/>
        <w:spacing w:before="8"/>
        <w:rPr>
          <w:sz w:val="14"/>
        </w:rPr>
      </w:pPr>
    </w:p>
    <w:p>
      <w:pPr>
        <w:spacing w:after="0"/>
        <w:rPr>
          <w:sz w:val="14"/>
        </w:rPr>
        <w:sectPr>
          <w:type w:val="continuous"/>
          <w:pgSz w:w="11910" w:h="16840"/>
          <w:pgMar w:top="440" w:bottom="280" w:left="1620" w:right="720"/>
        </w:sectPr>
      </w:pPr>
    </w:p>
    <w:p>
      <w:pPr>
        <w:pStyle w:val="Heading4"/>
        <w:spacing w:line="204" w:lineRule="auto"/>
        <w:rPr>
          <w:rFonts w:ascii="Microsoft JhengHei" w:eastAsia="Microsoft JhengHei" w:hint="eastAsia"/>
        </w:rPr>
      </w:pPr>
      <w:r>
        <w:rPr>
          <w:rFonts w:ascii="Microsoft JhengHei" w:eastAsia="Microsoft JhengHei" w:hint="eastAsia"/>
          <w:w w:val="95"/>
        </w:rPr>
        <w:t>31、严重类风湿性</w:t>
      </w:r>
      <w:r>
        <w:rPr>
          <w:rFonts w:ascii="Microsoft JhengHei" w:eastAsia="Microsoft JhengHei" w:hint="eastAsia"/>
        </w:rPr>
        <w:t>关节炎</w:t>
      </w:r>
    </w:p>
    <w:p>
      <w:pPr>
        <w:pStyle w:val="BodyText"/>
        <w:spacing w:line="273" w:lineRule="auto" w:before="40"/>
        <w:ind w:left="106" w:right="102"/>
      </w:pPr>
      <w:r>
        <w:rPr/>
        <w:br w:type="column"/>
      </w:r>
      <w:r>
        <w:rPr>
          <w:spacing w:val="-4"/>
        </w:rPr>
        <w:t>类风湿性关节炎为广泛分布的慢性进行性多关节病变，表现为关节严重变形，侵</w:t>
      </w:r>
      <w:r>
        <w:rPr>
          <w:spacing w:val="-6"/>
        </w:rPr>
        <w:t>犯至少三个主要关节或关节组</w:t>
      </w:r>
      <w:r>
        <w:rPr/>
        <w:t>（</w:t>
      </w:r>
      <w:r>
        <w:rPr>
          <w:spacing w:val="-15"/>
        </w:rPr>
        <w:t>如：双手</w:t>
      </w:r>
      <w:r>
        <w:rPr/>
        <w:t>（多手指</w:t>
      </w:r>
      <w:r>
        <w:rPr>
          <w:spacing w:val="-27"/>
        </w:rPr>
        <w:t>）</w:t>
      </w:r>
      <w:r>
        <w:rPr>
          <w:spacing w:val="-11"/>
        </w:rPr>
        <w:t>关节、双足</w:t>
      </w:r>
      <w:r>
        <w:rPr/>
        <w:t>（多足趾</w:t>
      </w:r>
      <w:r>
        <w:rPr>
          <w:spacing w:val="-28"/>
        </w:rPr>
        <w:t>）</w:t>
      </w:r>
      <w:r>
        <w:rPr/>
        <w:t>关节、双腕关节、双膝关节和双髋关节</w:t>
      </w:r>
      <w:r>
        <w:rPr>
          <w:spacing w:val="-105"/>
        </w:rPr>
        <w:t>）</w:t>
      </w:r>
      <w:r>
        <w:rPr/>
        <w:t>。类风湿性关节炎必须明确诊断并且已经达到</w:t>
      </w:r>
      <w:r>
        <w:rPr>
          <w:spacing w:val="-5"/>
        </w:rPr>
        <w:t>类风湿性关节炎功能分级 </w:t>
      </w:r>
      <w:r>
        <w:rPr/>
        <w:t>III</w:t>
      </w:r>
      <w:r>
        <w:rPr>
          <w:spacing w:val="-12"/>
        </w:rPr>
        <w:t> 级以上的功能障碍</w:t>
      </w:r>
      <w:r>
        <w:rPr/>
        <w:t>（</w:t>
      </w:r>
      <w:r>
        <w:rPr>
          <w:spacing w:val="-5"/>
        </w:rPr>
        <w:t>关节活动严重限制，不能完成大部分的日常工作和活动）并且满足下列全部条件：</w:t>
      </w:r>
    </w:p>
    <w:p>
      <w:pPr>
        <w:pStyle w:val="BodyText"/>
        <w:spacing w:before="7"/>
        <w:ind w:left="106"/>
      </w:pPr>
      <w:r>
        <w:rPr/>
        <w:t>（1）晨僵；</w:t>
      </w:r>
    </w:p>
    <w:p>
      <w:pPr>
        <w:pStyle w:val="BodyText"/>
        <w:spacing w:before="36"/>
        <w:ind w:left="106"/>
      </w:pPr>
      <w:r>
        <w:rPr/>
        <w:t>（2）对称性关节炎；</w:t>
      </w:r>
    </w:p>
    <w:p>
      <w:pPr>
        <w:pStyle w:val="BodyText"/>
        <w:spacing w:before="36"/>
        <w:ind w:left="106"/>
      </w:pPr>
      <w:r>
        <w:rPr/>
        <w:t>（3）类风湿性皮下结节；</w:t>
      </w:r>
    </w:p>
    <w:p>
      <w:pPr>
        <w:pStyle w:val="BodyText"/>
        <w:spacing w:before="36"/>
        <w:ind w:left="106"/>
      </w:pPr>
      <w:r>
        <w:rPr/>
        <w:t>（4）类风湿因子滴度升高；</w:t>
      </w:r>
    </w:p>
    <w:p>
      <w:pPr>
        <w:pStyle w:val="BodyText"/>
        <w:spacing w:before="36"/>
        <w:ind w:left="106"/>
      </w:pPr>
      <w:r>
        <w:rPr/>
        <w:t>（5）X 线显示严重的关节（软骨和骨）破坏和关节畸形。</w:t>
      </w:r>
    </w:p>
    <w:p>
      <w:pPr>
        <w:spacing w:after="0"/>
        <w:sectPr>
          <w:type w:val="continuous"/>
          <w:pgSz w:w="11910" w:h="16840"/>
          <w:pgMar w:top="440" w:bottom="280" w:left="1620" w:right="720"/>
          <w:cols w:num="2" w:equalWidth="0">
            <w:col w:w="1782" w:space="198"/>
            <w:col w:w="7590"/>
          </w:cols>
        </w:sectPr>
      </w:pPr>
    </w:p>
    <w:p>
      <w:pPr>
        <w:pStyle w:val="BodyText"/>
        <w:spacing w:before="1"/>
        <w:rPr>
          <w:sz w:val="17"/>
        </w:rPr>
      </w:pPr>
    </w:p>
    <w:p>
      <w:pPr>
        <w:spacing w:after="0"/>
        <w:rPr>
          <w:sz w:val="17"/>
        </w:rPr>
        <w:sectPr>
          <w:type w:val="continuous"/>
          <w:pgSz w:w="11910" w:h="16840"/>
          <w:pgMar w:top="440" w:bottom="280" w:left="1620" w:right="720"/>
        </w:sectPr>
      </w:pPr>
    </w:p>
    <w:p>
      <w:pPr>
        <w:pStyle w:val="Heading4"/>
        <w:spacing w:line="204" w:lineRule="auto"/>
        <w:jc w:val="both"/>
        <w:rPr>
          <w:rFonts w:ascii="Microsoft JhengHei" w:eastAsia="Microsoft JhengHei" w:hint="eastAsia"/>
        </w:rPr>
      </w:pPr>
      <w:r>
        <w:rPr>
          <w:rFonts w:ascii="Microsoft JhengHei" w:eastAsia="Microsoft JhengHei" w:hint="eastAsia"/>
          <w:w w:val="95"/>
        </w:rPr>
        <w:t>32、系统性红斑狼</w:t>
      </w:r>
      <w:r>
        <w:rPr>
          <w:rFonts w:ascii="Microsoft JhengHei" w:eastAsia="Microsoft JhengHei" w:hint="eastAsia"/>
        </w:rPr>
        <w:t>疮－III</w:t>
      </w:r>
      <w:r>
        <w:rPr>
          <w:rFonts w:ascii="Microsoft JhengHei" w:eastAsia="Microsoft JhengHei" w:hint="eastAsia"/>
          <w:spacing w:val="-3"/>
        </w:rPr>
        <w:t> 型或以上狼疮性肾炎</w:t>
      </w:r>
    </w:p>
    <w:p>
      <w:pPr>
        <w:pStyle w:val="BodyText"/>
        <w:spacing w:line="273" w:lineRule="auto" w:before="40"/>
        <w:ind w:left="106" w:right="13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6" w:right="205"/>
        <w:jc w:val="both"/>
      </w:pPr>
      <w:r>
        <w:rPr/>
        <w:t>本保单所指的系统性红斑狼疮仅限于累及肾脏（</w:t>
      </w:r>
      <w:r>
        <w:rPr>
          <w:spacing w:val="3"/>
        </w:rPr>
        <w:t>经肾脏活检确认的，符合 </w:t>
      </w:r>
      <w:r>
        <w:rPr/>
        <w:t>WHO </w:t>
      </w:r>
      <w:r>
        <w:rPr>
          <w:spacing w:val="-8"/>
        </w:rPr>
        <w:t>诊断标准定义 </w:t>
      </w:r>
      <w:r>
        <w:rPr/>
        <w:t>III</w:t>
      </w:r>
      <w:r>
        <w:rPr>
          <w:spacing w:val="-2"/>
        </w:rPr>
        <w:t> 型至</w:t>
      </w:r>
      <w:r>
        <w:rPr/>
        <w:t>V</w:t>
      </w:r>
      <w:r>
        <w:rPr>
          <w:spacing w:val="-9"/>
        </w:rPr>
        <w:t> 型狼疮性肾炎</w:t>
      </w:r>
      <w:r>
        <w:rPr>
          <w:spacing w:val="-41"/>
        </w:rPr>
        <w:t>）</w:t>
      </w:r>
      <w:r>
        <w:rPr>
          <w:spacing w:val="-5"/>
        </w:rPr>
        <w:t>的系统性红斑狼疮。其他类型的红斑性狼疮，如盘状狼疮、仅累及血液及关节的狼疮不在本保单保障范围內。</w:t>
      </w:r>
    </w:p>
    <w:p>
      <w:pPr>
        <w:pStyle w:val="BodyText"/>
        <w:spacing w:before="7"/>
        <w:ind w:left="106"/>
        <w:jc w:val="both"/>
      </w:pPr>
      <w:r>
        <w:rPr/>
        <w:t>世界卫生组织（WHO）狼疮性肾炎分型：</w:t>
      </w:r>
    </w:p>
    <w:p>
      <w:pPr>
        <w:pStyle w:val="ListParagraph"/>
        <w:numPr>
          <w:ilvl w:val="0"/>
          <w:numId w:val="18"/>
        </w:numPr>
        <w:tabs>
          <w:tab w:pos="317" w:val="left" w:leader="none"/>
        </w:tabs>
        <w:spacing w:line="240" w:lineRule="auto" w:before="37" w:after="0"/>
        <w:ind w:left="316" w:right="0" w:hanging="210"/>
        <w:jc w:val="both"/>
        <w:rPr>
          <w:sz w:val="21"/>
        </w:rPr>
      </w:pPr>
      <w:r>
        <w:rPr>
          <w:sz w:val="21"/>
        </w:rPr>
        <w:t>型（微小病变型）</w:t>
      </w:r>
      <w:r>
        <w:rPr>
          <w:spacing w:val="2"/>
          <w:sz w:val="21"/>
        </w:rPr>
        <w:t>       镜下阴性，尿液正常</w:t>
      </w:r>
    </w:p>
    <w:p>
      <w:pPr>
        <w:pStyle w:val="ListParagraph"/>
        <w:numPr>
          <w:ilvl w:val="0"/>
          <w:numId w:val="18"/>
        </w:numPr>
        <w:tabs>
          <w:tab w:pos="422" w:val="left" w:leader="none"/>
        </w:tabs>
        <w:spacing w:line="240" w:lineRule="auto" w:before="37" w:after="0"/>
        <w:ind w:left="421" w:right="0" w:hanging="315"/>
        <w:jc w:val="both"/>
        <w:rPr>
          <w:sz w:val="21"/>
        </w:rPr>
      </w:pPr>
      <w:r>
        <w:rPr>
          <w:sz w:val="21"/>
        </w:rPr>
        <w:t>型（系膜病变型）      中度蛋白尿，偶有尿沉渣改变</w:t>
      </w:r>
    </w:p>
    <w:p>
      <w:pPr>
        <w:pStyle w:val="ListParagraph"/>
        <w:numPr>
          <w:ilvl w:val="0"/>
          <w:numId w:val="18"/>
        </w:numPr>
        <w:tabs>
          <w:tab w:pos="527" w:val="left" w:leader="none"/>
        </w:tabs>
        <w:spacing w:line="240" w:lineRule="auto" w:before="37" w:after="0"/>
        <w:ind w:left="526" w:right="0" w:hanging="420"/>
        <w:jc w:val="both"/>
        <w:rPr>
          <w:sz w:val="21"/>
        </w:rPr>
      </w:pPr>
      <w:r>
        <w:rPr>
          <w:spacing w:val="-1"/>
          <w:sz w:val="21"/>
        </w:rPr>
        <w:t>型（</w:t>
      </w:r>
      <w:r>
        <w:rPr>
          <w:sz w:val="21"/>
        </w:rPr>
        <w:t>局灶及节段增生型）蛋白尿，尿沉渣改变</w:t>
      </w:r>
    </w:p>
    <w:p>
      <w:pPr>
        <w:pStyle w:val="ListParagraph"/>
        <w:numPr>
          <w:ilvl w:val="0"/>
          <w:numId w:val="18"/>
        </w:numPr>
        <w:tabs>
          <w:tab w:pos="422" w:val="left" w:leader="none"/>
        </w:tabs>
        <w:spacing w:line="240" w:lineRule="auto" w:before="37" w:after="0"/>
        <w:ind w:left="421" w:right="0" w:hanging="315"/>
        <w:jc w:val="both"/>
        <w:rPr>
          <w:sz w:val="21"/>
        </w:rPr>
      </w:pPr>
      <w:r>
        <w:rPr>
          <w:sz w:val="21"/>
        </w:rPr>
        <w:t>型（弥漫增生型）      急性肾炎伴有尿沉渣改变及</w:t>
      </w:r>
    </w:p>
    <w:p>
      <w:pPr>
        <w:pStyle w:val="BodyText"/>
        <w:ind w:left="2821" w:right="3259"/>
        <w:jc w:val="center"/>
      </w:pPr>
      <w:r>
        <w:rPr/>
        <w:t>／或肾病综合征</w:t>
      </w:r>
    </w:p>
    <w:p>
      <w:pPr>
        <w:pStyle w:val="ListParagraph"/>
        <w:numPr>
          <w:ilvl w:val="0"/>
          <w:numId w:val="18"/>
        </w:numPr>
        <w:tabs>
          <w:tab w:pos="317" w:val="left" w:leader="none"/>
          <w:tab w:pos="2837" w:val="left" w:leader="none"/>
        </w:tabs>
        <w:spacing w:line="240" w:lineRule="auto" w:before="37" w:after="0"/>
        <w:ind w:left="316"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440" w:bottom="280" w:left="1620" w:right="720"/>
          <w:cols w:num="2" w:equalWidth="0">
            <w:col w:w="1818" w:space="162"/>
            <w:col w:w="7590"/>
          </w:cols>
        </w:sectPr>
      </w:pPr>
    </w:p>
    <w:p>
      <w:pPr>
        <w:pStyle w:val="BodyText"/>
        <w:spacing w:before="1"/>
        <w:rPr>
          <w:sz w:val="17"/>
        </w:rPr>
      </w:pPr>
    </w:p>
    <w:p>
      <w:pPr>
        <w:spacing w:after="0"/>
        <w:rPr>
          <w:sz w:val="17"/>
        </w:rPr>
        <w:sectPr>
          <w:type w:val="continuous"/>
          <w:pgSz w:w="11910" w:h="16840"/>
          <w:pgMar w:top="440" w:bottom="280" w:left="1620" w:right="720"/>
        </w:sectPr>
      </w:pPr>
    </w:p>
    <w:p>
      <w:pPr>
        <w:pStyle w:val="Heading4"/>
        <w:spacing w:line="204" w:lineRule="auto"/>
        <w:jc w:val="both"/>
        <w:rPr>
          <w:rFonts w:ascii="Microsoft JhengHei" w:eastAsia="Microsoft JhengHei" w:hint="eastAsia"/>
        </w:rPr>
      </w:pPr>
      <w:r>
        <w:rPr>
          <w:rFonts w:ascii="Microsoft JhengHei" w:eastAsia="Microsoft JhengHei" w:hint="eastAsia"/>
          <w:w w:val="95"/>
        </w:rPr>
        <w:t>33、因职业关系导</w:t>
      </w:r>
      <w:r>
        <w:rPr>
          <w:rFonts w:ascii="Microsoft JhengHei" w:eastAsia="Microsoft JhengHei" w:hint="eastAsia"/>
        </w:rPr>
        <w:t>致的人类免疫缺陷</w:t>
      </w:r>
      <w:r>
        <w:rPr>
          <w:rFonts w:ascii="Microsoft JhengHei" w:eastAsia="Microsoft JhengHei" w:hint="eastAsia"/>
          <w:w w:val="95"/>
        </w:rPr>
        <w:t>病毒（HIV）感染</w:t>
      </w:r>
    </w:p>
    <w:p>
      <w:pPr>
        <w:pStyle w:val="BodyText"/>
        <w:spacing w:line="273" w:lineRule="auto" w:before="40"/>
        <w:ind w:left="106" w:right="207"/>
      </w:pPr>
      <w:r>
        <w:rPr/>
        <w:br w:type="column"/>
      </w:r>
      <w:r>
        <w:rPr>
          <w:spacing w:val="-5"/>
        </w:rPr>
        <w:t>被保险人在其常规职业工作过程中遭遇外伤，或者职业需要处理血液或者其他体</w:t>
      </w:r>
      <w:r>
        <w:rPr>
          <w:spacing w:val="-1"/>
        </w:rPr>
        <w:t>液时感染上人类免疫缺陷病毒（HIV</w:t>
      </w:r>
      <w:r>
        <w:rPr>
          <w:spacing w:val="-104"/>
        </w:rPr>
        <w:t>）</w:t>
      </w:r>
      <w:r>
        <w:rPr>
          <w:spacing w:val="-1"/>
        </w:rPr>
        <w:t>。必须满足下列全部条件：</w:t>
      </w:r>
    </w:p>
    <w:p>
      <w:pPr>
        <w:pStyle w:val="BodyText"/>
        <w:spacing w:line="273" w:lineRule="auto" w:before="7"/>
        <w:ind w:left="106" w:right="203"/>
      </w:pPr>
      <w:r>
        <w:rPr/>
        <w:t>（1）感染必须是在被保险人正在从事其职业工作中发生，该职业必须属于以下列表内的职业；</w:t>
      </w:r>
    </w:p>
    <w:p>
      <w:pPr>
        <w:spacing w:after="0" w:line="273" w:lineRule="auto"/>
        <w:sectPr>
          <w:type w:val="continuous"/>
          <w:pgSz w:w="11910" w:h="16840"/>
          <w:pgMar w:top="440" w:bottom="280" w:left="1620" w:right="720"/>
          <w:cols w:num="2" w:equalWidth="0">
            <w:col w:w="1818" w:space="162"/>
            <w:col w:w="7590"/>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80"/>
        <w:gridCol w:w="7558"/>
      </w:tblGrid>
      <w:tr>
        <w:trPr>
          <w:trHeight w:val="260" w:hRule="atLeast"/>
        </w:trPr>
        <w:tc>
          <w:tcPr>
            <w:tcW w:w="2693" w:type="dxa"/>
            <w:gridSpan w:val="2"/>
            <w:vMerge w:val="restart"/>
          </w:tcPr>
          <w:p>
            <w:pPr>
              <w:pStyle w:val="TableParagraph"/>
              <w:rPr>
                <w:rFonts w:ascii="Times New Roman"/>
                <w:sz w:val="20"/>
              </w:rPr>
            </w:pPr>
          </w:p>
        </w:tc>
        <w:tc>
          <w:tcPr>
            <w:tcW w:w="7558" w:type="dxa"/>
          </w:tcPr>
          <w:p>
            <w:pPr>
              <w:pStyle w:val="TableParagraph"/>
              <w:spacing w:line="210" w:lineRule="exact"/>
              <w:ind w:left="133"/>
              <w:rPr>
                <w:sz w:val="21"/>
              </w:rPr>
            </w:pPr>
            <w:r>
              <w:rPr>
                <w:sz w:val="21"/>
              </w:rPr>
              <w:t>（2）血清转化必须出现在事故发生后的 6 个月以内；</w:t>
            </w:r>
          </w:p>
        </w:tc>
      </w:tr>
      <w:tr>
        <w:trPr>
          <w:trHeight w:val="311" w:hRule="atLeast"/>
        </w:trPr>
        <w:tc>
          <w:tcPr>
            <w:tcW w:w="2693" w:type="dxa"/>
            <w:gridSpan w:val="2"/>
            <w:vMerge/>
            <w:tcBorders>
              <w:top w:val="nil"/>
            </w:tcBorders>
          </w:tcPr>
          <w:p>
            <w:pPr>
              <w:rPr>
                <w:sz w:val="2"/>
                <w:szCs w:val="2"/>
              </w:rPr>
            </w:pPr>
          </w:p>
        </w:tc>
        <w:tc>
          <w:tcPr>
            <w:tcW w:w="7558" w:type="dxa"/>
          </w:tcPr>
          <w:p>
            <w:pPr>
              <w:pStyle w:val="TableParagraph"/>
              <w:spacing w:line="261" w:lineRule="exact"/>
              <w:ind w:left="133"/>
              <w:rPr>
                <w:sz w:val="21"/>
              </w:rPr>
            </w:pPr>
            <w:r>
              <w:rPr>
                <w:sz w:val="21"/>
              </w:rPr>
              <w:t>（3）必须提供被保险人在所报事故发生后的 5 天以内进行的检查报告，该报告</w:t>
            </w:r>
          </w:p>
        </w:tc>
      </w:tr>
      <w:tr>
        <w:trPr>
          <w:trHeight w:val="311" w:hRule="atLeast"/>
        </w:trPr>
        <w:tc>
          <w:tcPr>
            <w:tcW w:w="2693" w:type="dxa"/>
            <w:gridSpan w:val="2"/>
            <w:vMerge/>
            <w:tcBorders>
              <w:top w:val="nil"/>
            </w:tcBorders>
          </w:tcPr>
          <w:p>
            <w:pPr>
              <w:rPr>
                <w:sz w:val="2"/>
                <w:szCs w:val="2"/>
              </w:rPr>
            </w:pPr>
          </w:p>
        </w:tc>
        <w:tc>
          <w:tcPr>
            <w:tcW w:w="7558" w:type="dxa"/>
          </w:tcPr>
          <w:p>
            <w:pPr>
              <w:pStyle w:val="TableParagraph"/>
              <w:spacing w:line="261" w:lineRule="exact"/>
              <w:ind w:left="133"/>
              <w:rPr>
                <w:sz w:val="21"/>
              </w:rPr>
            </w:pPr>
            <w:r>
              <w:rPr>
                <w:sz w:val="21"/>
              </w:rPr>
              <w:t>必须显示被保险人血液 HIV 病毒阴性和/或 HIV 抗体阴性；</w:t>
            </w:r>
          </w:p>
        </w:tc>
      </w:tr>
      <w:tr>
        <w:trPr>
          <w:trHeight w:val="311" w:hRule="atLeast"/>
        </w:trPr>
        <w:tc>
          <w:tcPr>
            <w:tcW w:w="2693" w:type="dxa"/>
            <w:gridSpan w:val="2"/>
            <w:vMerge/>
            <w:tcBorders>
              <w:top w:val="nil"/>
            </w:tcBorders>
          </w:tcPr>
          <w:p>
            <w:pPr>
              <w:rPr>
                <w:sz w:val="2"/>
                <w:szCs w:val="2"/>
              </w:rPr>
            </w:pPr>
          </w:p>
        </w:tc>
        <w:tc>
          <w:tcPr>
            <w:tcW w:w="7558" w:type="dxa"/>
          </w:tcPr>
          <w:p>
            <w:pPr>
              <w:pStyle w:val="TableParagraph"/>
              <w:spacing w:line="261" w:lineRule="exact"/>
              <w:ind w:left="133"/>
              <w:rPr>
                <w:sz w:val="21"/>
              </w:rPr>
            </w:pPr>
            <w:r>
              <w:rPr>
                <w:sz w:val="21"/>
              </w:rPr>
              <w:t>（4）必须在事故发生后的 12 个月内证实被保险人体内存在 HIV 病毒或者 HIV</w:t>
            </w:r>
          </w:p>
        </w:tc>
      </w:tr>
      <w:tr>
        <w:trPr>
          <w:trHeight w:val="311" w:hRule="atLeast"/>
        </w:trPr>
        <w:tc>
          <w:tcPr>
            <w:tcW w:w="2693" w:type="dxa"/>
            <w:gridSpan w:val="2"/>
            <w:vMerge/>
            <w:tcBorders>
              <w:top w:val="nil"/>
            </w:tcBorders>
          </w:tcPr>
          <w:p>
            <w:pPr>
              <w:rPr>
                <w:sz w:val="2"/>
                <w:szCs w:val="2"/>
              </w:rPr>
            </w:pPr>
          </w:p>
        </w:tc>
        <w:tc>
          <w:tcPr>
            <w:tcW w:w="7558" w:type="dxa"/>
          </w:tcPr>
          <w:p>
            <w:pPr>
              <w:pStyle w:val="TableParagraph"/>
              <w:spacing w:line="261" w:lineRule="exact"/>
              <w:ind w:left="133"/>
              <w:rPr>
                <w:sz w:val="21"/>
              </w:rPr>
            </w:pPr>
            <w:r>
              <w:rPr>
                <w:sz w:val="21"/>
              </w:rPr>
              <w:t>抗体。职业限制如下所示:</w:t>
            </w:r>
          </w:p>
        </w:tc>
      </w:tr>
      <w:tr>
        <w:trPr>
          <w:trHeight w:val="311" w:hRule="atLeast"/>
        </w:trPr>
        <w:tc>
          <w:tcPr>
            <w:tcW w:w="2693" w:type="dxa"/>
            <w:gridSpan w:val="2"/>
            <w:vMerge/>
            <w:tcBorders>
              <w:top w:val="nil"/>
            </w:tcBorders>
          </w:tcPr>
          <w:p>
            <w:pPr>
              <w:rPr>
                <w:sz w:val="2"/>
                <w:szCs w:val="2"/>
              </w:rPr>
            </w:pPr>
          </w:p>
        </w:tc>
        <w:tc>
          <w:tcPr>
            <w:tcW w:w="7558" w:type="dxa"/>
          </w:tcPr>
          <w:p>
            <w:pPr>
              <w:pStyle w:val="TableParagraph"/>
              <w:spacing w:line="261" w:lineRule="exact"/>
              <w:ind w:left="133"/>
              <w:rPr>
                <w:sz w:val="21"/>
              </w:rPr>
            </w:pPr>
            <w:r>
              <w:rPr>
                <w:sz w:val="21"/>
              </w:rPr>
              <w:t>医生和牙科医生、护士、实验室工作人员、医院护工、医生助理和牙医助理、救</w:t>
            </w:r>
          </w:p>
        </w:tc>
      </w:tr>
      <w:tr>
        <w:trPr>
          <w:trHeight w:val="423" w:hRule="atLeast"/>
        </w:trPr>
        <w:tc>
          <w:tcPr>
            <w:tcW w:w="2693" w:type="dxa"/>
            <w:gridSpan w:val="2"/>
            <w:vMerge/>
            <w:tcBorders>
              <w:top w:val="nil"/>
            </w:tcBorders>
          </w:tcPr>
          <w:p>
            <w:pPr>
              <w:rPr>
                <w:sz w:val="2"/>
                <w:szCs w:val="2"/>
              </w:rPr>
            </w:pPr>
          </w:p>
        </w:tc>
        <w:tc>
          <w:tcPr>
            <w:tcW w:w="7558" w:type="dxa"/>
          </w:tcPr>
          <w:p>
            <w:pPr>
              <w:pStyle w:val="TableParagraph"/>
              <w:spacing w:line="261" w:lineRule="exact"/>
              <w:ind w:left="133"/>
              <w:rPr>
                <w:sz w:val="21"/>
              </w:rPr>
            </w:pPr>
            <w:r>
              <w:rPr>
                <w:sz w:val="21"/>
              </w:rPr>
              <w:t>护车工作人员、助产士、消防队员、警察、狱警</w:t>
            </w:r>
          </w:p>
        </w:tc>
      </w:tr>
      <w:tr>
        <w:trPr>
          <w:trHeight w:val="1053" w:hRule="atLeast"/>
        </w:trPr>
        <w:tc>
          <w:tcPr>
            <w:tcW w:w="713" w:type="dxa"/>
          </w:tcPr>
          <w:p>
            <w:pPr>
              <w:pStyle w:val="TableParagraph"/>
              <w:rPr>
                <w:rFonts w:ascii="Times New Roman"/>
                <w:sz w:val="20"/>
              </w:rPr>
            </w:pPr>
          </w:p>
        </w:tc>
        <w:tc>
          <w:tcPr>
            <w:tcW w:w="1980" w:type="dxa"/>
          </w:tcPr>
          <w:p>
            <w:pPr>
              <w:pStyle w:val="TableParagraph"/>
              <w:spacing w:line="204" w:lineRule="auto" w:before="73"/>
              <w:ind w:left="133" w:right="133"/>
              <w:rPr>
                <w:rFonts w:ascii="Microsoft JhengHei" w:eastAsia="Microsoft JhengHei" w:hint="eastAsia"/>
                <w:b/>
                <w:sz w:val="21"/>
              </w:rPr>
            </w:pPr>
            <w:r>
              <w:rPr>
                <w:rFonts w:ascii="Microsoft JhengHei" w:eastAsia="Microsoft JhengHei" w:hint="eastAsia"/>
                <w:b/>
                <w:w w:val="95"/>
                <w:sz w:val="21"/>
              </w:rPr>
              <w:t>34、经输血导致的</w:t>
            </w:r>
            <w:r>
              <w:rPr>
                <w:rFonts w:ascii="Microsoft JhengHei" w:eastAsia="Microsoft JhengHei" w:hint="eastAsia"/>
                <w:b/>
                <w:sz w:val="21"/>
              </w:rPr>
              <w:t>人类免疫缺陷病毒</w:t>
            </w:r>
          </w:p>
          <w:p>
            <w:pPr>
              <w:pStyle w:val="TableParagraph"/>
              <w:spacing w:line="312" w:lineRule="exact"/>
              <w:ind w:left="133"/>
              <w:rPr>
                <w:rFonts w:ascii="Microsoft JhengHei" w:eastAsia="Microsoft JhengHei" w:hint="eastAsia"/>
                <w:b/>
                <w:sz w:val="21"/>
              </w:rPr>
            </w:pPr>
            <w:r>
              <w:rPr>
                <w:rFonts w:ascii="Microsoft JhengHei" w:eastAsia="Microsoft JhengHei" w:hint="eastAsia"/>
                <w:b/>
                <w:w w:val="95"/>
                <w:sz w:val="21"/>
              </w:rPr>
              <w:t>（HIV）感染</w:t>
            </w:r>
          </w:p>
        </w:tc>
        <w:tc>
          <w:tcPr>
            <w:tcW w:w="7558" w:type="dxa"/>
          </w:tcPr>
          <w:p>
            <w:pPr>
              <w:pStyle w:val="TableParagraph"/>
              <w:spacing w:before="101"/>
              <w:ind w:left="133"/>
              <w:rPr>
                <w:sz w:val="21"/>
              </w:rPr>
            </w:pPr>
            <w:r>
              <w:rPr>
                <w:sz w:val="21"/>
              </w:rPr>
              <w:t>被保险人感染上人类免疫缺陷病毒（HIV）并且满足下列全部条件：</w:t>
            </w:r>
          </w:p>
          <w:p>
            <w:pPr>
              <w:pStyle w:val="TableParagraph"/>
              <w:spacing w:before="36"/>
              <w:ind w:left="133"/>
              <w:rPr>
                <w:sz w:val="21"/>
              </w:rPr>
            </w:pPr>
            <w:r>
              <w:rPr>
                <w:sz w:val="21"/>
              </w:rPr>
              <w:t>（1）在保障起始日或复效日之后，被保险人因输血而感染 HIV；</w:t>
            </w:r>
          </w:p>
          <w:p>
            <w:pPr>
              <w:pStyle w:val="TableParagraph"/>
              <w:spacing w:before="36"/>
              <w:ind w:left="133"/>
              <w:rPr>
                <w:sz w:val="21"/>
              </w:rPr>
            </w:pPr>
            <w:r>
              <w:rPr>
                <w:spacing w:val="-28"/>
                <w:sz w:val="21"/>
              </w:rPr>
              <w:t>（2）</w:t>
            </w:r>
            <w:r>
              <w:rPr>
                <w:sz w:val="21"/>
              </w:rPr>
              <w:t>提供输血治疗的输血中心或医院出具该项输血感染属医疗责任事故的报告，</w:t>
            </w:r>
          </w:p>
        </w:tc>
      </w:tr>
      <w:tr>
        <w:trPr>
          <w:trHeight w:val="310"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59" w:lineRule="exact"/>
              <w:ind w:left="133"/>
              <w:rPr>
                <w:sz w:val="21"/>
              </w:rPr>
            </w:pPr>
            <w:r>
              <w:rPr>
                <w:sz w:val="21"/>
              </w:rPr>
              <w:t>或者法院终审裁定为医疗责任并且不准上诉；</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（3）受感染的被保险人不是血友病患者。</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在任何治愈艾滋病（AIDS）或阻止 HIV 病毒作用的疗法被发现以后，或能防止</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AIDS 发生的医疗方法被研究出来以后，本保障将不再予以赔付。</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pacing w:val="-4"/>
                <w:sz w:val="21"/>
              </w:rPr>
              <w:t>任何因其他传播方式</w:t>
            </w:r>
            <w:r>
              <w:rPr>
                <w:sz w:val="21"/>
              </w:rPr>
              <w:t>（</w:t>
            </w:r>
            <w:r>
              <w:rPr>
                <w:spacing w:val="-6"/>
                <w:sz w:val="21"/>
              </w:rPr>
              <w:t>包括：性传播或静脉注射毒品</w:t>
            </w:r>
            <w:r>
              <w:rPr>
                <w:spacing w:val="-28"/>
                <w:sz w:val="21"/>
              </w:rPr>
              <w:t>）</w:t>
            </w:r>
            <w:r>
              <w:rPr>
                <w:spacing w:val="-14"/>
                <w:sz w:val="21"/>
              </w:rPr>
              <w:t>导致的 </w:t>
            </w:r>
            <w:r>
              <w:rPr>
                <w:sz w:val="21"/>
              </w:rPr>
              <w:t>HIV</w:t>
            </w:r>
            <w:r>
              <w:rPr>
                <w:spacing w:val="-9"/>
                <w:sz w:val="21"/>
              </w:rPr>
              <w:t> 感染不在本保</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单保障范围内。保险公司必须拥有获得使用被保险人的所有血液样本的权利和能</w:t>
            </w:r>
          </w:p>
        </w:tc>
      </w:tr>
      <w:tr>
        <w:trPr>
          <w:trHeight w:val="423"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够对这些样本进行独立检验的权利。</w:t>
            </w:r>
          </w:p>
        </w:tc>
      </w:tr>
      <w:tr>
        <w:trPr>
          <w:trHeight w:val="429" w:hRule="atLeast"/>
        </w:trPr>
        <w:tc>
          <w:tcPr>
            <w:tcW w:w="713" w:type="dxa"/>
          </w:tcPr>
          <w:p>
            <w:pPr>
              <w:pStyle w:val="TableParagraph"/>
              <w:rPr>
                <w:rFonts w:ascii="Times New Roman"/>
                <w:sz w:val="20"/>
              </w:rPr>
            </w:pPr>
          </w:p>
        </w:tc>
        <w:tc>
          <w:tcPr>
            <w:tcW w:w="1980" w:type="dxa"/>
          </w:tcPr>
          <w:p>
            <w:pPr>
              <w:pStyle w:val="TableParagraph"/>
              <w:spacing w:before="18"/>
              <w:ind w:left="133"/>
              <w:rPr>
                <w:rFonts w:ascii="Microsoft JhengHei" w:eastAsia="Microsoft JhengHei" w:hint="eastAsia"/>
                <w:b/>
                <w:sz w:val="21"/>
              </w:rPr>
            </w:pPr>
            <w:r>
              <w:rPr>
                <w:rFonts w:ascii="Microsoft JhengHei" w:eastAsia="Microsoft JhengHei" w:hint="eastAsia"/>
                <w:b/>
                <w:w w:val="95"/>
                <w:sz w:val="21"/>
              </w:rPr>
              <w:t>35、严重克隆病</w:t>
            </w:r>
          </w:p>
        </w:tc>
        <w:tc>
          <w:tcPr>
            <w:tcW w:w="7558" w:type="dxa"/>
          </w:tcPr>
          <w:p>
            <w:pPr>
              <w:pStyle w:val="TableParagraph"/>
              <w:spacing w:before="101"/>
              <w:ind w:left="133"/>
              <w:rPr>
                <w:sz w:val="21"/>
              </w:rPr>
            </w:pPr>
            <w:r>
              <w:rPr>
                <w:sz w:val="21"/>
              </w:rPr>
              <w:t>克隆病是一种慢性肉芽肿性肠炎，具有特征性的克隆病病理组织学变化。诊断必</w:t>
            </w:r>
          </w:p>
        </w:tc>
      </w:tr>
      <w:tr>
        <w:trPr>
          <w:trHeight w:val="310"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59" w:lineRule="exact"/>
              <w:ind w:left="133"/>
              <w:rPr>
                <w:sz w:val="21"/>
              </w:rPr>
            </w:pPr>
            <w:r>
              <w:rPr>
                <w:sz w:val="21"/>
              </w:rPr>
              <w:t>须由病理检查结果证实。被保险人所患的克隆病必须已经造成瘘管形成并伴有肠</w:t>
            </w:r>
          </w:p>
        </w:tc>
      </w:tr>
      <w:tr>
        <w:trPr>
          <w:trHeight w:val="425"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梗阻或肠穿孔。</w:t>
            </w:r>
          </w:p>
        </w:tc>
      </w:tr>
      <w:tr>
        <w:trPr>
          <w:trHeight w:val="425" w:hRule="atLeast"/>
        </w:trPr>
        <w:tc>
          <w:tcPr>
            <w:tcW w:w="713" w:type="dxa"/>
          </w:tcPr>
          <w:p>
            <w:pPr>
              <w:pStyle w:val="TableParagraph"/>
              <w:spacing w:before="99"/>
              <w:ind w:left="50"/>
              <w:rPr>
                <w:b/>
                <w:sz w:val="21"/>
              </w:rPr>
            </w:pPr>
            <w:r>
              <w:rPr>
                <w:b/>
                <w:sz w:val="21"/>
              </w:rPr>
              <w:t>12.18</w:t>
            </w:r>
          </w:p>
        </w:tc>
        <w:tc>
          <w:tcPr>
            <w:tcW w:w="1980" w:type="dxa"/>
          </w:tcPr>
          <w:p>
            <w:pPr>
              <w:pStyle w:val="TableParagraph"/>
              <w:spacing w:before="99"/>
              <w:ind w:left="133"/>
              <w:rPr>
                <w:b/>
                <w:sz w:val="21"/>
              </w:rPr>
            </w:pPr>
            <w:r>
              <w:rPr>
                <w:b/>
                <w:w w:val="95"/>
                <w:sz w:val="21"/>
              </w:rPr>
              <w:t>专科医生</w:t>
            </w:r>
          </w:p>
        </w:tc>
        <w:tc>
          <w:tcPr>
            <w:tcW w:w="7558" w:type="dxa"/>
          </w:tcPr>
          <w:p>
            <w:pPr>
              <w:pStyle w:val="TableParagraph"/>
              <w:spacing w:before="99"/>
              <w:ind w:left="133"/>
              <w:rPr>
                <w:sz w:val="21"/>
              </w:rPr>
            </w:pPr>
            <w:r>
              <w:rPr>
                <w:sz w:val="21"/>
              </w:rPr>
              <w:t>专科医生应当满足以下四项资格条件：</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（1）中华人民共和国《医师资格证书》；</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pacing w:val="-21"/>
                <w:sz w:val="21"/>
              </w:rPr>
              <w:t>（2）</w:t>
            </w:r>
            <w:r>
              <w:rPr>
                <w:spacing w:val="-14"/>
                <w:sz w:val="21"/>
              </w:rPr>
              <w:t>具有有效的中华人民共和国《医师执业证书》，并按期到相关部门登记注册；</w:t>
            </w:r>
          </w:p>
        </w:tc>
      </w:tr>
      <w:tr>
        <w:trPr>
          <w:trHeight w:val="260" w:hRule="atLeast"/>
        </w:trPr>
        <w:tc>
          <w:tcPr>
            <w:tcW w:w="713" w:type="dxa"/>
          </w:tcPr>
          <w:p>
            <w:pPr>
              <w:pStyle w:val="TableParagraph"/>
              <w:rPr>
                <w:rFonts w:ascii="Times New Roman"/>
                <w:sz w:val="18"/>
              </w:rPr>
            </w:pPr>
          </w:p>
        </w:tc>
        <w:tc>
          <w:tcPr>
            <w:tcW w:w="1980" w:type="dxa"/>
          </w:tcPr>
          <w:p>
            <w:pPr>
              <w:pStyle w:val="TableParagraph"/>
              <w:rPr>
                <w:rFonts w:ascii="Times New Roman"/>
                <w:sz w:val="18"/>
              </w:rPr>
            </w:pPr>
          </w:p>
        </w:tc>
        <w:tc>
          <w:tcPr>
            <w:tcW w:w="7558" w:type="dxa"/>
          </w:tcPr>
          <w:p>
            <w:pPr>
              <w:pStyle w:val="TableParagraph"/>
              <w:spacing w:line="241" w:lineRule="exact"/>
              <w:ind w:left="133"/>
              <w:rPr>
                <w:sz w:val="21"/>
              </w:rPr>
            </w:pPr>
            <w:r>
              <w:rPr>
                <w:sz w:val="21"/>
              </w:rPr>
              <w:t>（3）具有有效的中华人民共和国主治医师或主治医师以上职称的《医师职称证</w:t>
            </w:r>
          </w:p>
        </w:tc>
      </w:tr>
      <w:tr>
        <w:trPr>
          <w:trHeight w:val="362"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before="37"/>
              <w:ind w:left="659"/>
              <w:rPr>
                <w:sz w:val="21"/>
              </w:rPr>
            </w:pPr>
            <w:r>
              <w:rPr>
                <w:sz w:val="21"/>
              </w:rPr>
              <w:t>书》；</w:t>
            </w:r>
          </w:p>
        </w:tc>
      </w:tr>
      <w:tr>
        <w:trPr>
          <w:trHeight w:val="425"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（4）在二级或二级以上医院的相应科室从事临床工作三年以上。</w:t>
            </w:r>
          </w:p>
        </w:tc>
      </w:tr>
      <w:tr>
        <w:trPr>
          <w:trHeight w:val="425" w:hRule="atLeast"/>
        </w:trPr>
        <w:tc>
          <w:tcPr>
            <w:tcW w:w="713" w:type="dxa"/>
          </w:tcPr>
          <w:p>
            <w:pPr>
              <w:pStyle w:val="TableParagraph"/>
              <w:spacing w:before="100"/>
              <w:ind w:left="50"/>
              <w:rPr>
                <w:b/>
                <w:sz w:val="21"/>
              </w:rPr>
            </w:pPr>
            <w:r>
              <w:rPr>
                <w:b/>
                <w:sz w:val="21"/>
              </w:rPr>
              <w:t>12.19</w:t>
            </w:r>
          </w:p>
        </w:tc>
        <w:tc>
          <w:tcPr>
            <w:tcW w:w="1980" w:type="dxa"/>
          </w:tcPr>
          <w:p>
            <w:pPr>
              <w:pStyle w:val="TableParagraph"/>
              <w:spacing w:before="100"/>
              <w:ind w:left="133"/>
              <w:rPr>
                <w:b/>
                <w:sz w:val="21"/>
              </w:rPr>
            </w:pPr>
            <w:r>
              <w:rPr>
                <w:b/>
                <w:w w:val="95"/>
                <w:sz w:val="21"/>
              </w:rPr>
              <w:t>肢体机能完全丧失</w:t>
            </w:r>
          </w:p>
        </w:tc>
        <w:tc>
          <w:tcPr>
            <w:tcW w:w="7558" w:type="dxa"/>
          </w:tcPr>
          <w:p>
            <w:pPr>
              <w:pStyle w:val="TableParagraph"/>
              <w:spacing w:before="100"/>
              <w:ind w:left="133"/>
              <w:rPr>
                <w:sz w:val="21"/>
              </w:rPr>
            </w:pPr>
            <w:r>
              <w:rPr>
                <w:sz w:val="21"/>
              </w:rPr>
              <w:t>指肢体的三大关节中的两大关节僵硬，或不能随意识活动。肢体是指包括肩关节</w:t>
            </w:r>
          </w:p>
        </w:tc>
      </w:tr>
      <w:tr>
        <w:trPr>
          <w:trHeight w:val="425"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的整个上肢或者包括髋关节的整个下肢。</w:t>
            </w:r>
          </w:p>
        </w:tc>
      </w:tr>
      <w:tr>
        <w:trPr>
          <w:trHeight w:val="425" w:hRule="atLeast"/>
        </w:trPr>
        <w:tc>
          <w:tcPr>
            <w:tcW w:w="713" w:type="dxa"/>
          </w:tcPr>
          <w:p>
            <w:pPr>
              <w:pStyle w:val="TableParagraph"/>
              <w:spacing w:before="99"/>
              <w:ind w:left="50"/>
              <w:rPr>
                <w:b/>
                <w:sz w:val="21"/>
              </w:rPr>
            </w:pPr>
            <w:r>
              <w:rPr>
                <w:b/>
                <w:sz w:val="21"/>
              </w:rPr>
              <w:t>12.20</w:t>
            </w:r>
          </w:p>
        </w:tc>
        <w:tc>
          <w:tcPr>
            <w:tcW w:w="1980" w:type="dxa"/>
          </w:tcPr>
          <w:p>
            <w:pPr>
              <w:pStyle w:val="TableParagraph"/>
              <w:spacing w:before="99"/>
              <w:ind w:left="133"/>
              <w:rPr>
                <w:b/>
                <w:sz w:val="21"/>
              </w:rPr>
            </w:pPr>
            <w:r>
              <w:rPr>
                <w:b/>
                <w:w w:val="95"/>
                <w:sz w:val="21"/>
              </w:rPr>
              <w:t>语言能力或咀嚼吞</w:t>
            </w:r>
          </w:p>
        </w:tc>
        <w:tc>
          <w:tcPr>
            <w:tcW w:w="7558" w:type="dxa"/>
          </w:tcPr>
          <w:p>
            <w:pPr>
              <w:pStyle w:val="TableParagraph"/>
              <w:spacing w:before="99"/>
              <w:ind w:left="133"/>
              <w:rPr>
                <w:sz w:val="21"/>
              </w:rPr>
            </w:pPr>
            <w:r>
              <w:rPr>
                <w:sz w:val="21"/>
              </w:rPr>
              <w:t>语言能力完全丧失，指无法发出四种声音（包括口唇音、齿舌音、口盖音和喉头</w:t>
            </w:r>
          </w:p>
        </w:tc>
      </w:tr>
      <w:tr>
        <w:trPr>
          <w:trHeight w:val="311" w:hRule="atLeast"/>
        </w:trPr>
        <w:tc>
          <w:tcPr>
            <w:tcW w:w="713" w:type="dxa"/>
          </w:tcPr>
          <w:p>
            <w:pPr>
              <w:pStyle w:val="TableParagraph"/>
              <w:rPr>
                <w:rFonts w:ascii="Times New Roman"/>
                <w:sz w:val="20"/>
              </w:rPr>
            </w:pPr>
          </w:p>
        </w:tc>
        <w:tc>
          <w:tcPr>
            <w:tcW w:w="1980" w:type="dxa"/>
          </w:tcPr>
          <w:p>
            <w:pPr>
              <w:pStyle w:val="TableParagraph"/>
              <w:spacing w:line="261" w:lineRule="exact"/>
              <w:ind w:left="133"/>
              <w:rPr>
                <w:b/>
                <w:sz w:val="21"/>
              </w:rPr>
            </w:pPr>
            <w:r>
              <w:rPr>
                <w:b/>
                <w:w w:val="95"/>
                <w:sz w:val="21"/>
              </w:rPr>
              <w:t>咽能力完全丧失</w:t>
            </w:r>
          </w:p>
        </w:tc>
        <w:tc>
          <w:tcPr>
            <w:tcW w:w="7558" w:type="dxa"/>
          </w:tcPr>
          <w:p>
            <w:pPr>
              <w:pStyle w:val="TableParagraph"/>
              <w:spacing w:line="261" w:lineRule="exact"/>
              <w:ind w:left="133"/>
              <w:rPr>
                <w:sz w:val="21"/>
              </w:rPr>
            </w:pPr>
            <w:r>
              <w:rPr>
                <w:sz w:val="21"/>
              </w:rPr>
              <w:t>音）中的任何三音、或声带全部切除、或因大脑语言中枢受伤害而患失语症。</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咀嚼吞咽能力完全丧失，指因牙齿以外的原因导致器质障碍或机能障碍，以致不</w:t>
            </w:r>
          </w:p>
        </w:tc>
      </w:tr>
      <w:tr>
        <w:trPr>
          <w:trHeight w:val="425"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能作咀嚼吞咽运动，除流质食物外不能摄取或吞咽的状态。</w:t>
            </w:r>
          </w:p>
        </w:tc>
      </w:tr>
      <w:tr>
        <w:trPr>
          <w:trHeight w:val="425" w:hRule="atLeast"/>
        </w:trPr>
        <w:tc>
          <w:tcPr>
            <w:tcW w:w="713" w:type="dxa"/>
          </w:tcPr>
          <w:p>
            <w:pPr>
              <w:pStyle w:val="TableParagraph"/>
              <w:spacing w:before="99"/>
              <w:ind w:left="50"/>
              <w:rPr>
                <w:b/>
                <w:sz w:val="21"/>
              </w:rPr>
            </w:pPr>
            <w:r>
              <w:rPr>
                <w:b/>
                <w:sz w:val="21"/>
              </w:rPr>
              <w:t>12.21</w:t>
            </w:r>
          </w:p>
        </w:tc>
        <w:tc>
          <w:tcPr>
            <w:tcW w:w="1980" w:type="dxa"/>
          </w:tcPr>
          <w:p>
            <w:pPr>
              <w:pStyle w:val="TableParagraph"/>
              <w:spacing w:before="99"/>
              <w:ind w:left="133"/>
              <w:rPr>
                <w:b/>
                <w:sz w:val="21"/>
              </w:rPr>
            </w:pPr>
            <w:r>
              <w:rPr>
                <w:b/>
                <w:w w:val="95"/>
                <w:sz w:val="21"/>
              </w:rPr>
              <w:t>六项基本日常生活</w:t>
            </w:r>
          </w:p>
        </w:tc>
        <w:tc>
          <w:tcPr>
            <w:tcW w:w="7558" w:type="dxa"/>
          </w:tcPr>
          <w:p>
            <w:pPr>
              <w:pStyle w:val="TableParagraph"/>
              <w:spacing w:before="99"/>
              <w:ind w:left="133"/>
              <w:rPr>
                <w:sz w:val="21"/>
              </w:rPr>
            </w:pPr>
            <w:r>
              <w:rPr>
                <w:sz w:val="21"/>
              </w:rPr>
              <w:t>（1）穿衣：自己能够穿衣及脱衣；</w:t>
            </w:r>
          </w:p>
        </w:tc>
      </w:tr>
      <w:tr>
        <w:trPr>
          <w:trHeight w:val="311" w:hRule="atLeast"/>
        </w:trPr>
        <w:tc>
          <w:tcPr>
            <w:tcW w:w="713" w:type="dxa"/>
          </w:tcPr>
          <w:p>
            <w:pPr>
              <w:pStyle w:val="TableParagraph"/>
              <w:rPr>
                <w:rFonts w:ascii="Times New Roman"/>
                <w:sz w:val="20"/>
              </w:rPr>
            </w:pPr>
          </w:p>
        </w:tc>
        <w:tc>
          <w:tcPr>
            <w:tcW w:w="1980" w:type="dxa"/>
          </w:tcPr>
          <w:p>
            <w:pPr>
              <w:pStyle w:val="TableParagraph"/>
              <w:spacing w:line="261" w:lineRule="exact"/>
              <w:ind w:left="133"/>
              <w:rPr>
                <w:b/>
                <w:sz w:val="21"/>
              </w:rPr>
            </w:pPr>
            <w:r>
              <w:rPr>
                <w:b/>
                <w:sz w:val="21"/>
              </w:rPr>
              <w:t>活动</w:t>
            </w:r>
          </w:p>
        </w:tc>
        <w:tc>
          <w:tcPr>
            <w:tcW w:w="7558" w:type="dxa"/>
          </w:tcPr>
          <w:p>
            <w:pPr>
              <w:pStyle w:val="TableParagraph"/>
              <w:spacing w:line="261" w:lineRule="exact"/>
              <w:ind w:left="133"/>
              <w:rPr>
                <w:sz w:val="21"/>
              </w:rPr>
            </w:pPr>
            <w:r>
              <w:rPr>
                <w:sz w:val="21"/>
              </w:rPr>
              <w:t>（2）移动：自己从一个房间到另一个房间；</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（3）行动：自己上下床或上下轮椅；</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（4）如厕：自己控制进行大小便；</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（5）进食：自己从已准备好的碗或碟中取食物放入口中；</w:t>
            </w:r>
          </w:p>
        </w:tc>
      </w:tr>
      <w:tr>
        <w:trPr>
          <w:trHeight w:val="425"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（6）洗澡：自己进行淋浴或盆浴。</w:t>
            </w:r>
          </w:p>
        </w:tc>
      </w:tr>
      <w:tr>
        <w:trPr>
          <w:trHeight w:val="425" w:hRule="atLeast"/>
        </w:trPr>
        <w:tc>
          <w:tcPr>
            <w:tcW w:w="713" w:type="dxa"/>
          </w:tcPr>
          <w:p>
            <w:pPr>
              <w:pStyle w:val="TableParagraph"/>
              <w:spacing w:before="99"/>
              <w:ind w:left="50"/>
              <w:rPr>
                <w:b/>
                <w:sz w:val="21"/>
              </w:rPr>
            </w:pPr>
            <w:r>
              <w:rPr>
                <w:b/>
                <w:sz w:val="21"/>
              </w:rPr>
              <w:t>12.22</w:t>
            </w:r>
          </w:p>
        </w:tc>
        <w:tc>
          <w:tcPr>
            <w:tcW w:w="1980" w:type="dxa"/>
          </w:tcPr>
          <w:p>
            <w:pPr>
              <w:pStyle w:val="TableParagraph"/>
              <w:spacing w:before="99"/>
              <w:ind w:left="133"/>
              <w:rPr>
                <w:b/>
                <w:sz w:val="21"/>
              </w:rPr>
            </w:pPr>
            <w:r>
              <w:rPr>
                <w:b/>
                <w:w w:val="95"/>
                <w:sz w:val="21"/>
              </w:rPr>
              <w:t>酗酒</w:t>
            </w:r>
          </w:p>
        </w:tc>
        <w:tc>
          <w:tcPr>
            <w:tcW w:w="7558" w:type="dxa"/>
          </w:tcPr>
          <w:p>
            <w:pPr>
              <w:pStyle w:val="TableParagraph"/>
              <w:spacing w:before="99"/>
              <w:ind w:left="133"/>
              <w:rPr>
                <w:sz w:val="21"/>
              </w:rPr>
            </w:pPr>
            <w:r>
              <w:rPr>
                <w:sz w:val="21"/>
              </w:rPr>
              <w:t>是指酒精摄入过量。长期过量饮酒导致身体脏器严重损害，或一次大量饮酒导致</w:t>
            </w:r>
          </w:p>
        </w:tc>
      </w:tr>
      <w:tr>
        <w:trPr>
          <w:trHeight w:val="311" w:hRule="atLeast"/>
        </w:trPr>
        <w:tc>
          <w:tcPr>
            <w:tcW w:w="713" w:type="dxa"/>
          </w:tcPr>
          <w:p>
            <w:pPr>
              <w:pStyle w:val="TableParagraph"/>
              <w:rPr>
                <w:rFonts w:ascii="Times New Roman"/>
                <w:sz w:val="20"/>
              </w:rPr>
            </w:pPr>
          </w:p>
        </w:tc>
        <w:tc>
          <w:tcPr>
            <w:tcW w:w="1980" w:type="dxa"/>
          </w:tcPr>
          <w:p>
            <w:pPr>
              <w:pStyle w:val="TableParagraph"/>
              <w:rPr>
                <w:rFonts w:ascii="Times New Roman"/>
                <w:sz w:val="20"/>
              </w:rPr>
            </w:pPr>
          </w:p>
        </w:tc>
        <w:tc>
          <w:tcPr>
            <w:tcW w:w="7558" w:type="dxa"/>
          </w:tcPr>
          <w:p>
            <w:pPr>
              <w:pStyle w:val="TableParagraph"/>
              <w:spacing w:line="261" w:lineRule="exact"/>
              <w:ind w:left="133"/>
              <w:rPr>
                <w:sz w:val="21"/>
              </w:rPr>
            </w:pPr>
            <w:r>
              <w:rPr>
                <w:sz w:val="21"/>
              </w:rPr>
              <w:t>急性酒精中毒或自制力丧失造成自身伤害、斗殴肇事或交通肇事。酒精过量由医</w:t>
            </w:r>
          </w:p>
        </w:tc>
      </w:tr>
      <w:tr>
        <w:trPr>
          <w:trHeight w:val="260" w:hRule="atLeast"/>
        </w:trPr>
        <w:tc>
          <w:tcPr>
            <w:tcW w:w="713" w:type="dxa"/>
          </w:tcPr>
          <w:p>
            <w:pPr>
              <w:pStyle w:val="TableParagraph"/>
              <w:rPr>
                <w:rFonts w:ascii="Times New Roman"/>
                <w:sz w:val="18"/>
              </w:rPr>
            </w:pPr>
          </w:p>
        </w:tc>
        <w:tc>
          <w:tcPr>
            <w:tcW w:w="1980" w:type="dxa"/>
          </w:tcPr>
          <w:p>
            <w:pPr>
              <w:pStyle w:val="TableParagraph"/>
              <w:rPr>
                <w:rFonts w:ascii="Times New Roman"/>
                <w:sz w:val="18"/>
              </w:rPr>
            </w:pPr>
          </w:p>
        </w:tc>
        <w:tc>
          <w:tcPr>
            <w:tcW w:w="7558" w:type="dxa"/>
          </w:tcPr>
          <w:p>
            <w:pPr>
              <w:pStyle w:val="TableParagraph"/>
              <w:spacing w:line="241" w:lineRule="exact"/>
              <w:ind w:left="133"/>
              <w:rPr>
                <w:sz w:val="21"/>
              </w:rPr>
            </w:pPr>
            <w:r>
              <w:rPr>
                <w:sz w:val="21"/>
              </w:rPr>
              <w:t>疗机构或公安部门判定。</w:t>
            </w:r>
          </w:p>
        </w:tc>
      </w:tr>
    </w:tbl>
    <w:p>
      <w:pPr>
        <w:spacing w:after="0" w:line="241" w:lineRule="exact"/>
        <w:rPr>
          <w:sz w:val="21"/>
        </w:rPr>
        <w:sectPr>
          <w:pgSz w:w="11910" w:h="16840"/>
          <w:pgMar w:header="0" w:footer="677" w:top="1180" w:bottom="860" w:left="760" w:right="660"/>
        </w:sectPr>
      </w:pPr>
    </w:p>
    <w:p>
      <w:pPr>
        <w:pStyle w:val="ListParagraph"/>
        <w:numPr>
          <w:ilvl w:val="1"/>
          <w:numId w:val="19"/>
        </w:numPr>
        <w:tabs>
          <w:tab w:pos="906" w:val="left" w:leader="none"/>
          <w:tab w:pos="907" w:val="left" w:leader="none"/>
          <w:tab w:pos="2886" w:val="left" w:leader="none"/>
        </w:tabs>
        <w:spacing w:line="273" w:lineRule="auto" w:before="6" w:after="0"/>
        <w:ind w:left="2886" w:right="267" w:hanging="2776"/>
        <w:jc w:val="left"/>
        <w:rPr>
          <w:sz w:val="21"/>
        </w:rPr>
      </w:pPr>
      <w:r>
        <w:rPr>
          <w:b/>
          <w:sz w:val="21"/>
        </w:rPr>
        <w:t>永久不可逆</w:t>
        <w:tab/>
      </w:r>
      <w:r>
        <w:rPr>
          <w:sz w:val="21"/>
        </w:rPr>
        <w:t>指因疾病确诊或意外发生之日起</w:t>
      </w:r>
      <w:r>
        <w:rPr>
          <w:spacing w:val="-41"/>
          <w:sz w:val="21"/>
        </w:rPr>
        <w:t>，</w:t>
      </w:r>
      <w:r>
        <w:rPr>
          <w:sz w:val="21"/>
        </w:rPr>
        <w:t>经过积极治疗</w:t>
      </w:r>
      <w:r>
        <w:rPr>
          <w:spacing w:val="-54"/>
          <w:sz w:val="21"/>
        </w:rPr>
        <w:t> </w:t>
      </w:r>
      <w:r>
        <w:rPr>
          <w:sz w:val="21"/>
        </w:rPr>
        <w:t>180</w:t>
      </w:r>
      <w:r>
        <w:rPr>
          <w:spacing w:val="-53"/>
          <w:sz w:val="21"/>
        </w:rPr>
        <w:t> </w:t>
      </w:r>
      <w:r>
        <w:rPr>
          <w:sz w:val="21"/>
        </w:rPr>
        <w:t>天后</w:t>
      </w:r>
      <w:r>
        <w:rPr>
          <w:spacing w:val="-41"/>
          <w:sz w:val="21"/>
        </w:rPr>
        <w:t>，</w:t>
      </w:r>
      <w:r>
        <w:rPr>
          <w:sz w:val="21"/>
        </w:rPr>
        <w:t>仍无法通过现有医疗手段恢复。</w:t>
      </w:r>
    </w:p>
    <w:p>
      <w:pPr>
        <w:pStyle w:val="BodyText"/>
        <w:spacing w:before="12"/>
        <w:rPr>
          <w:sz w:val="17"/>
        </w:rPr>
      </w:pPr>
    </w:p>
    <w:p>
      <w:pPr>
        <w:pStyle w:val="ListParagraph"/>
        <w:numPr>
          <w:ilvl w:val="1"/>
          <w:numId w:val="19"/>
        </w:numPr>
        <w:tabs>
          <w:tab w:pos="906" w:val="left" w:leader="none"/>
          <w:tab w:pos="907" w:val="left" w:leader="none"/>
          <w:tab w:pos="2886" w:val="left" w:leader="none"/>
        </w:tabs>
        <w:spacing w:line="240" w:lineRule="auto" w:before="0" w:after="0"/>
        <w:ind w:left="2886" w:right="0" w:hanging="2776"/>
        <w:jc w:val="left"/>
        <w:rPr>
          <w:sz w:val="21"/>
        </w:rPr>
      </w:pPr>
      <w:r>
        <w:rPr>
          <w:b/>
          <w:sz w:val="21"/>
        </w:rPr>
        <w:t>重大疾病分组</w:t>
        <w:tab/>
      </w:r>
      <w:r>
        <w:rPr>
          <w:sz w:val="21"/>
        </w:rPr>
        <w:t>本合同所列的</w:t>
      </w:r>
      <w:r>
        <w:rPr>
          <w:spacing w:val="-57"/>
          <w:sz w:val="21"/>
        </w:rPr>
        <w:t> </w:t>
      </w:r>
      <w:r>
        <w:rPr>
          <w:sz w:val="21"/>
        </w:rPr>
        <w:t>35</w:t>
      </w:r>
      <w:r>
        <w:rPr>
          <w:spacing w:val="-56"/>
          <w:sz w:val="21"/>
        </w:rPr>
        <w:t> </w:t>
      </w:r>
      <w:r>
        <w:rPr>
          <w:sz w:val="21"/>
        </w:rPr>
        <w:t>种重大疾病分为以下</w:t>
      </w:r>
      <w:r>
        <w:rPr>
          <w:spacing w:val="-57"/>
          <w:sz w:val="21"/>
        </w:rPr>
        <w:t> </w:t>
      </w:r>
      <w:r>
        <w:rPr>
          <w:sz w:val="21"/>
        </w:rPr>
        <w:t>3</w:t>
      </w:r>
      <w:r>
        <w:rPr>
          <w:spacing w:val="-56"/>
          <w:sz w:val="21"/>
        </w:rPr>
        <w:t> </w:t>
      </w:r>
      <w:r>
        <w:rPr>
          <w:sz w:val="21"/>
        </w:rPr>
        <w:t>组：</w:t>
      </w:r>
    </w:p>
    <w:p>
      <w:pPr>
        <w:pStyle w:val="BodyText"/>
        <w:spacing w:before="6"/>
        <w:rPr>
          <w:sz w:val="13"/>
        </w:rPr>
      </w:pPr>
    </w:p>
    <w:tbl>
      <w:tblPr>
        <w:tblW w:w="0" w:type="auto"/>
        <w:jc w:val="left"/>
        <w:tblInd w:w="8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16"/>
        <w:gridCol w:w="3122"/>
        <w:gridCol w:w="3342"/>
      </w:tblGrid>
      <w:tr>
        <w:trPr>
          <w:trHeight w:val="420" w:hRule="atLeast"/>
        </w:trPr>
        <w:tc>
          <w:tcPr>
            <w:tcW w:w="3016" w:type="dxa"/>
          </w:tcPr>
          <w:p>
            <w:pPr>
              <w:pStyle w:val="TableParagraph"/>
              <w:spacing w:before="40"/>
              <w:ind w:left="107"/>
              <w:rPr>
                <w:b/>
                <w:sz w:val="21"/>
              </w:rPr>
            </w:pPr>
            <w:r>
              <w:rPr>
                <w:b/>
                <w:spacing w:val="52"/>
                <w:w w:val="95"/>
                <w:sz w:val="21"/>
              </w:rPr>
              <w:t>A</w:t>
            </w:r>
            <w:r>
              <w:rPr>
                <w:b/>
                <w:w w:val="95"/>
                <w:sz w:val="21"/>
              </w:rPr>
              <w:t>组</w:t>
            </w:r>
            <w:r>
              <w:rPr>
                <w:b/>
                <w:spacing w:val="-52"/>
                <w:sz w:val="21"/>
              </w:rPr>
              <w:t> </w:t>
            </w:r>
          </w:p>
        </w:tc>
        <w:tc>
          <w:tcPr>
            <w:tcW w:w="3122" w:type="dxa"/>
          </w:tcPr>
          <w:p>
            <w:pPr>
              <w:pStyle w:val="TableParagraph"/>
              <w:spacing w:before="40"/>
              <w:ind w:left="107"/>
              <w:rPr>
                <w:b/>
                <w:sz w:val="21"/>
              </w:rPr>
            </w:pPr>
            <w:r>
              <w:rPr>
                <w:b/>
                <w:sz w:val="21"/>
              </w:rPr>
              <w:t>B 组</w:t>
            </w:r>
          </w:p>
        </w:tc>
        <w:tc>
          <w:tcPr>
            <w:tcW w:w="3342" w:type="dxa"/>
          </w:tcPr>
          <w:p>
            <w:pPr>
              <w:pStyle w:val="TableParagraph"/>
              <w:spacing w:before="40"/>
              <w:ind w:left="106"/>
              <w:rPr>
                <w:b/>
                <w:sz w:val="21"/>
              </w:rPr>
            </w:pPr>
            <w:r>
              <w:rPr>
                <w:b/>
                <w:spacing w:val="52"/>
                <w:w w:val="95"/>
                <w:sz w:val="21"/>
              </w:rPr>
              <w:t>C</w:t>
            </w:r>
            <w:r>
              <w:rPr>
                <w:b/>
                <w:w w:val="95"/>
                <w:sz w:val="21"/>
              </w:rPr>
              <w:t>组</w:t>
            </w:r>
            <w:r>
              <w:rPr>
                <w:b/>
                <w:spacing w:val="-52"/>
                <w:sz w:val="21"/>
              </w:rPr>
              <w:t> </w:t>
            </w:r>
          </w:p>
        </w:tc>
      </w:tr>
      <w:tr>
        <w:trPr>
          <w:trHeight w:val="313" w:hRule="atLeast"/>
        </w:trPr>
        <w:tc>
          <w:tcPr>
            <w:tcW w:w="3016" w:type="dxa"/>
          </w:tcPr>
          <w:p>
            <w:pPr>
              <w:pStyle w:val="TableParagraph"/>
              <w:spacing w:line="261" w:lineRule="exact"/>
              <w:ind w:left="107"/>
              <w:rPr>
                <w:sz w:val="21"/>
              </w:rPr>
            </w:pPr>
            <w:r>
              <w:rPr>
                <w:sz w:val="21"/>
              </w:rPr>
              <w:t>1.恶性肿瘤；</w:t>
            </w:r>
          </w:p>
        </w:tc>
        <w:tc>
          <w:tcPr>
            <w:tcW w:w="3122" w:type="dxa"/>
          </w:tcPr>
          <w:p>
            <w:pPr>
              <w:pStyle w:val="TableParagraph"/>
              <w:spacing w:line="261" w:lineRule="exact"/>
              <w:ind w:left="106"/>
              <w:rPr>
                <w:sz w:val="21"/>
              </w:rPr>
            </w:pPr>
            <w:r>
              <w:rPr>
                <w:sz w:val="21"/>
              </w:rPr>
              <w:t>2.急性心肌梗塞；</w:t>
            </w:r>
          </w:p>
        </w:tc>
        <w:tc>
          <w:tcPr>
            <w:tcW w:w="3342" w:type="dxa"/>
          </w:tcPr>
          <w:p>
            <w:pPr>
              <w:pStyle w:val="TableParagraph"/>
              <w:spacing w:line="261" w:lineRule="exact"/>
              <w:ind w:left="105"/>
              <w:rPr>
                <w:sz w:val="21"/>
              </w:rPr>
            </w:pPr>
            <w:r>
              <w:rPr>
                <w:sz w:val="21"/>
              </w:rPr>
              <w:t>3.脑中风后遗症；</w:t>
            </w:r>
          </w:p>
        </w:tc>
      </w:tr>
      <w:tr>
        <w:trPr>
          <w:trHeight w:val="623" w:hRule="atLeast"/>
        </w:trPr>
        <w:tc>
          <w:tcPr>
            <w:tcW w:w="3016"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c>
          <w:tcPr>
            <w:tcW w:w="3122" w:type="dxa"/>
          </w:tcPr>
          <w:p>
            <w:pPr>
              <w:pStyle w:val="TableParagraph"/>
              <w:spacing w:line="260" w:lineRule="exact"/>
              <w:ind w:left="107"/>
              <w:rPr>
                <w:sz w:val="21"/>
              </w:rPr>
            </w:pPr>
            <w:r>
              <w:rPr>
                <w:sz w:val="21"/>
              </w:rPr>
              <w:t>5.冠状动脉搭桥术；</w:t>
            </w:r>
          </w:p>
        </w:tc>
        <w:tc>
          <w:tcPr>
            <w:tcW w:w="3342" w:type="dxa"/>
          </w:tcPr>
          <w:p>
            <w:pPr>
              <w:pStyle w:val="TableParagraph"/>
              <w:spacing w:line="260" w:lineRule="exact"/>
              <w:ind w:left="106"/>
              <w:rPr>
                <w:sz w:val="21"/>
              </w:rPr>
            </w:pPr>
            <w:r>
              <w:rPr>
                <w:sz w:val="21"/>
              </w:rPr>
              <w:t>7.多个肢体缺失；</w:t>
            </w:r>
          </w:p>
        </w:tc>
      </w:tr>
      <w:tr>
        <w:trPr>
          <w:trHeight w:val="312" w:hRule="atLeast"/>
        </w:trPr>
        <w:tc>
          <w:tcPr>
            <w:tcW w:w="3016" w:type="dxa"/>
          </w:tcPr>
          <w:p>
            <w:pPr>
              <w:pStyle w:val="TableParagraph"/>
              <w:spacing w:line="261" w:lineRule="exact"/>
              <w:ind w:left="107"/>
              <w:rPr>
                <w:sz w:val="21"/>
              </w:rPr>
            </w:pPr>
            <w:r>
              <w:rPr>
                <w:sz w:val="21"/>
              </w:rPr>
              <w:t>6.终末期肾病；</w:t>
            </w:r>
          </w:p>
        </w:tc>
        <w:tc>
          <w:tcPr>
            <w:tcW w:w="3122" w:type="dxa"/>
          </w:tcPr>
          <w:p>
            <w:pPr>
              <w:pStyle w:val="TableParagraph"/>
              <w:spacing w:line="261" w:lineRule="exact"/>
              <w:ind w:left="106"/>
              <w:rPr>
                <w:sz w:val="21"/>
              </w:rPr>
            </w:pPr>
            <w:r>
              <w:rPr>
                <w:sz w:val="21"/>
              </w:rPr>
              <w:t>15.心脏瓣膜手术；</w:t>
            </w:r>
          </w:p>
        </w:tc>
        <w:tc>
          <w:tcPr>
            <w:tcW w:w="3342" w:type="dxa"/>
          </w:tcPr>
          <w:p>
            <w:pPr>
              <w:pStyle w:val="TableParagraph"/>
              <w:spacing w:line="261" w:lineRule="exact"/>
              <w:ind w:left="106"/>
              <w:rPr>
                <w:sz w:val="21"/>
              </w:rPr>
            </w:pPr>
            <w:r>
              <w:rPr>
                <w:sz w:val="21"/>
              </w:rPr>
              <w:t>9.良性脑肿瘤；</w:t>
            </w:r>
          </w:p>
        </w:tc>
      </w:tr>
      <w:tr>
        <w:trPr>
          <w:trHeight w:val="312" w:hRule="atLeast"/>
        </w:trPr>
        <w:tc>
          <w:tcPr>
            <w:tcW w:w="3016" w:type="dxa"/>
          </w:tcPr>
          <w:p>
            <w:pPr>
              <w:pStyle w:val="TableParagraph"/>
              <w:spacing w:line="261" w:lineRule="exact"/>
              <w:ind w:left="107"/>
              <w:rPr>
                <w:sz w:val="21"/>
              </w:rPr>
            </w:pPr>
            <w:r>
              <w:rPr>
                <w:sz w:val="21"/>
              </w:rPr>
              <w:t>8.急性或亚急性重症肝炎；</w:t>
            </w:r>
          </w:p>
        </w:tc>
        <w:tc>
          <w:tcPr>
            <w:tcW w:w="3122" w:type="dxa"/>
          </w:tcPr>
          <w:p>
            <w:pPr>
              <w:pStyle w:val="TableParagraph"/>
              <w:spacing w:line="261" w:lineRule="exact"/>
              <w:ind w:left="106"/>
              <w:rPr>
                <w:sz w:val="21"/>
              </w:rPr>
            </w:pPr>
            <w:r>
              <w:rPr>
                <w:sz w:val="21"/>
              </w:rPr>
              <w:t>20.严重原发性肺动脉高压；</w:t>
            </w:r>
          </w:p>
        </w:tc>
        <w:tc>
          <w:tcPr>
            <w:tcW w:w="3342" w:type="dxa"/>
          </w:tcPr>
          <w:p>
            <w:pPr>
              <w:pStyle w:val="TableParagraph"/>
              <w:spacing w:line="261" w:lineRule="exact"/>
              <w:ind w:left="106"/>
              <w:rPr>
                <w:sz w:val="21"/>
              </w:rPr>
            </w:pPr>
            <w:r>
              <w:rPr>
                <w:sz w:val="21"/>
              </w:rPr>
              <w:t>11.脑炎后遗症或脑膜炎后遗症；</w:t>
            </w:r>
          </w:p>
        </w:tc>
      </w:tr>
      <w:tr>
        <w:trPr>
          <w:trHeight w:val="311" w:hRule="atLeast"/>
        </w:trPr>
        <w:tc>
          <w:tcPr>
            <w:tcW w:w="3016" w:type="dxa"/>
          </w:tcPr>
          <w:p>
            <w:pPr>
              <w:pStyle w:val="TableParagraph"/>
              <w:spacing w:line="260" w:lineRule="exact"/>
              <w:ind w:left="107"/>
              <w:rPr>
                <w:sz w:val="21"/>
              </w:rPr>
            </w:pPr>
            <w:r>
              <w:rPr>
                <w:sz w:val="21"/>
              </w:rPr>
              <w:t>10.慢性肝功能衰竭失代偿期；</w:t>
            </w:r>
          </w:p>
        </w:tc>
        <w:tc>
          <w:tcPr>
            <w:tcW w:w="3122" w:type="dxa"/>
          </w:tcPr>
          <w:p>
            <w:pPr>
              <w:pStyle w:val="TableParagraph"/>
              <w:spacing w:line="260" w:lineRule="exact"/>
              <w:ind w:left="107"/>
              <w:rPr>
                <w:sz w:val="21"/>
              </w:rPr>
            </w:pPr>
            <w:r>
              <w:rPr>
                <w:sz w:val="21"/>
              </w:rPr>
              <w:t>24.主动脉手术；</w:t>
            </w:r>
          </w:p>
        </w:tc>
        <w:tc>
          <w:tcPr>
            <w:tcW w:w="3342" w:type="dxa"/>
          </w:tcPr>
          <w:p>
            <w:pPr>
              <w:pStyle w:val="TableParagraph"/>
              <w:spacing w:line="260" w:lineRule="exact"/>
              <w:ind w:left="106"/>
              <w:rPr>
                <w:sz w:val="21"/>
              </w:rPr>
            </w:pPr>
            <w:r>
              <w:rPr>
                <w:sz w:val="21"/>
              </w:rPr>
              <w:t>12.双耳失聪-三周岁始理赔；</w:t>
            </w:r>
          </w:p>
        </w:tc>
      </w:tr>
      <w:tr>
        <w:trPr>
          <w:trHeight w:val="312" w:hRule="atLeast"/>
        </w:trPr>
        <w:tc>
          <w:tcPr>
            <w:tcW w:w="3016" w:type="dxa"/>
          </w:tcPr>
          <w:p>
            <w:pPr>
              <w:pStyle w:val="TableParagraph"/>
              <w:spacing w:line="261" w:lineRule="exact"/>
              <w:ind w:left="107"/>
              <w:rPr>
                <w:sz w:val="21"/>
              </w:rPr>
            </w:pPr>
            <w:r>
              <w:rPr>
                <w:sz w:val="21"/>
              </w:rPr>
              <w:t>19.严重 III 度烧伤；</w:t>
            </w:r>
          </w:p>
        </w:tc>
        <w:tc>
          <w:tcPr>
            <w:tcW w:w="3122" w:type="dxa"/>
          </w:tcPr>
          <w:p>
            <w:pPr>
              <w:pStyle w:val="TableParagraph"/>
              <w:spacing w:line="261" w:lineRule="exact"/>
              <w:ind w:left="107"/>
              <w:rPr>
                <w:sz w:val="21"/>
              </w:rPr>
            </w:pPr>
            <w:r>
              <w:rPr>
                <w:sz w:val="21"/>
              </w:rPr>
              <w:t>27.坏死性筋膜炎；</w:t>
            </w:r>
          </w:p>
        </w:tc>
        <w:tc>
          <w:tcPr>
            <w:tcW w:w="3342" w:type="dxa"/>
          </w:tcPr>
          <w:p>
            <w:pPr>
              <w:pStyle w:val="TableParagraph"/>
              <w:spacing w:line="261" w:lineRule="exact"/>
              <w:ind w:left="106"/>
              <w:rPr>
                <w:sz w:val="21"/>
              </w:rPr>
            </w:pPr>
            <w:r>
              <w:rPr>
                <w:sz w:val="21"/>
              </w:rPr>
              <w:t>13.双目失明-三周岁始理赔；</w:t>
            </w:r>
          </w:p>
        </w:tc>
      </w:tr>
      <w:tr>
        <w:trPr>
          <w:trHeight w:val="312" w:hRule="atLeast"/>
        </w:trPr>
        <w:tc>
          <w:tcPr>
            <w:tcW w:w="3016" w:type="dxa"/>
          </w:tcPr>
          <w:p>
            <w:pPr>
              <w:pStyle w:val="TableParagraph"/>
              <w:spacing w:line="261" w:lineRule="exact"/>
              <w:ind w:left="107"/>
              <w:rPr>
                <w:sz w:val="21"/>
              </w:rPr>
            </w:pPr>
            <w:r>
              <w:rPr>
                <w:sz w:val="21"/>
              </w:rPr>
              <w:t>23.重型再生障碍性贫血；</w:t>
            </w:r>
          </w:p>
        </w:tc>
        <w:tc>
          <w:tcPr>
            <w:tcW w:w="3122" w:type="dxa"/>
          </w:tcPr>
          <w:p>
            <w:pPr>
              <w:pStyle w:val="TableParagraph"/>
              <w:spacing w:line="261" w:lineRule="exact"/>
              <w:ind w:left="107"/>
              <w:rPr>
                <w:sz w:val="21"/>
              </w:rPr>
            </w:pPr>
            <w:r>
              <w:rPr>
                <w:sz w:val="21"/>
              </w:rPr>
              <w:t>29.全身性重症肌无力；</w:t>
            </w:r>
          </w:p>
        </w:tc>
        <w:tc>
          <w:tcPr>
            <w:tcW w:w="3342" w:type="dxa"/>
          </w:tcPr>
          <w:p>
            <w:pPr>
              <w:pStyle w:val="TableParagraph"/>
              <w:spacing w:line="261" w:lineRule="exact"/>
              <w:ind w:left="106"/>
              <w:rPr>
                <w:sz w:val="21"/>
              </w:rPr>
            </w:pPr>
            <w:r>
              <w:rPr>
                <w:sz w:val="21"/>
              </w:rPr>
              <w:t>14.瘫痪；</w:t>
            </w:r>
          </w:p>
        </w:tc>
      </w:tr>
      <w:tr>
        <w:trPr>
          <w:trHeight w:val="623" w:hRule="atLeast"/>
        </w:trPr>
        <w:tc>
          <w:tcPr>
            <w:tcW w:w="3016" w:type="dxa"/>
          </w:tcPr>
          <w:p>
            <w:pPr>
              <w:pStyle w:val="TableParagraph"/>
              <w:spacing w:line="260" w:lineRule="exact"/>
              <w:ind w:left="107"/>
              <w:rPr>
                <w:sz w:val="21"/>
              </w:rPr>
            </w:pPr>
            <w:r>
              <w:rPr>
                <w:sz w:val="21"/>
              </w:rPr>
              <w:t>25.慢性呼吸功能衰竭；</w:t>
            </w:r>
          </w:p>
        </w:tc>
        <w:tc>
          <w:tcPr>
            <w:tcW w:w="3122" w:type="dxa"/>
          </w:tcPr>
          <w:p>
            <w:pPr>
              <w:pStyle w:val="TableParagraph"/>
              <w:spacing w:line="260" w:lineRule="exact"/>
              <w:ind w:left="107"/>
              <w:rPr>
                <w:sz w:val="21"/>
              </w:rPr>
            </w:pPr>
            <w:r>
              <w:rPr>
                <w:sz w:val="21"/>
              </w:rPr>
              <w:t>30.严重心肌病；</w:t>
            </w:r>
          </w:p>
        </w:tc>
        <w:tc>
          <w:tcPr>
            <w:tcW w:w="3342" w:type="dxa"/>
          </w:tcPr>
          <w:p>
            <w:pPr>
              <w:pStyle w:val="TableParagraph"/>
              <w:spacing w:line="260" w:lineRule="exact"/>
              <w:ind w:left="106"/>
              <w:rPr>
                <w:sz w:val="21"/>
              </w:rPr>
            </w:pPr>
            <w:r>
              <w:rPr>
                <w:sz w:val="21"/>
              </w:rPr>
              <w:t>16.严重阿尔茨海默病-限七十周</w:t>
            </w:r>
          </w:p>
          <w:p>
            <w:pPr>
              <w:pStyle w:val="TableParagraph"/>
              <w:spacing w:before="37"/>
              <w:ind w:left="106"/>
              <w:rPr>
                <w:sz w:val="21"/>
              </w:rPr>
            </w:pPr>
            <w:r>
              <w:rPr>
                <w:sz w:val="21"/>
              </w:rPr>
              <w:t>岁前发病；</w:t>
            </w:r>
          </w:p>
        </w:tc>
      </w:tr>
      <w:tr>
        <w:trPr>
          <w:trHeight w:val="312" w:hRule="atLeast"/>
        </w:trPr>
        <w:tc>
          <w:tcPr>
            <w:tcW w:w="3016" w:type="dxa"/>
          </w:tcPr>
          <w:p>
            <w:pPr>
              <w:pStyle w:val="TableParagraph"/>
              <w:spacing w:line="261" w:lineRule="exact"/>
              <w:ind w:left="107"/>
              <w:rPr>
                <w:sz w:val="21"/>
              </w:rPr>
            </w:pPr>
            <w:r>
              <w:rPr>
                <w:sz w:val="21"/>
              </w:rPr>
              <w:t>28.急性坏死性胰腺炎；</w:t>
            </w:r>
          </w:p>
        </w:tc>
        <w:tc>
          <w:tcPr>
            <w:tcW w:w="3122" w:type="dxa"/>
          </w:tcPr>
          <w:p>
            <w:pPr>
              <w:pStyle w:val="TableParagraph"/>
              <w:spacing w:line="261" w:lineRule="exact"/>
              <w:ind w:left="107"/>
              <w:rPr>
                <w:sz w:val="21"/>
              </w:rPr>
            </w:pPr>
            <w:r>
              <w:rPr>
                <w:sz w:val="21"/>
              </w:rPr>
              <w:t>31.严重类风湿性关节炎</w:t>
            </w:r>
          </w:p>
        </w:tc>
        <w:tc>
          <w:tcPr>
            <w:tcW w:w="3342" w:type="dxa"/>
          </w:tcPr>
          <w:p>
            <w:pPr>
              <w:pStyle w:val="TableParagraph"/>
              <w:spacing w:line="261" w:lineRule="exact"/>
              <w:ind w:left="106"/>
              <w:rPr>
                <w:sz w:val="21"/>
              </w:rPr>
            </w:pPr>
            <w:r>
              <w:rPr>
                <w:sz w:val="21"/>
              </w:rPr>
              <w:t>17.严重脑损伤；</w:t>
            </w:r>
          </w:p>
        </w:tc>
      </w:tr>
      <w:tr>
        <w:trPr>
          <w:trHeight w:val="624" w:hRule="atLeast"/>
        </w:trPr>
        <w:tc>
          <w:tcPr>
            <w:tcW w:w="3016" w:type="dxa"/>
          </w:tcPr>
          <w:p>
            <w:pPr>
              <w:pStyle w:val="TableParagraph"/>
              <w:spacing w:line="261" w:lineRule="exact"/>
              <w:ind w:left="107"/>
              <w:rPr>
                <w:sz w:val="21"/>
              </w:rPr>
            </w:pPr>
            <w:r>
              <w:rPr>
                <w:sz w:val="21"/>
              </w:rPr>
              <w:t>32.系统性红斑狼疮-III 型或</w:t>
            </w:r>
          </w:p>
          <w:p>
            <w:pPr>
              <w:pStyle w:val="TableParagraph"/>
              <w:spacing w:before="37"/>
              <w:ind w:left="107"/>
              <w:rPr>
                <w:sz w:val="21"/>
              </w:rPr>
            </w:pPr>
            <w:r>
              <w:rPr>
                <w:sz w:val="21"/>
              </w:rPr>
              <w:t>以上狼疮性肾炎；</w:t>
            </w:r>
          </w:p>
        </w:tc>
        <w:tc>
          <w:tcPr>
            <w:tcW w:w="3122" w:type="dxa"/>
          </w:tcPr>
          <w:p>
            <w:pPr>
              <w:pStyle w:val="TableParagraph"/>
              <w:rPr>
                <w:rFonts w:ascii="Times New Roman"/>
                <w:sz w:val="20"/>
              </w:rPr>
            </w:pPr>
          </w:p>
        </w:tc>
        <w:tc>
          <w:tcPr>
            <w:tcW w:w="3342" w:type="dxa"/>
          </w:tcPr>
          <w:p>
            <w:pPr>
              <w:pStyle w:val="TableParagraph"/>
              <w:spacing w:line="261" w:lineRule="exact"/>
              <w:ind w:left="106"/>
              <w:rPr>
                <w:sz w:val="21"/>
              </w:rPr>
            </w:pPr>
            <w:r>
              <w:rPr>
                <w:sz w:val="21"/>
              </w:rPr>
              <w:t>18.严重帕金森病；</w:t>
            </w:r>
          </w:p>
        </w:tc>
      </w:tr>
      <w:tr>
        <w:trPr>
          <w:trHeight w:val="623" w:hRule="atLeast"/>
        </w:trPr>
        <w:tc>
          <w:tcPr>
            <w:tcW w:w="3016" w:type="dxa"/>
          </w:tcPr>
          <w:p>
            <w:pPr>
              <w:pStyle w:val="TableParagraph"/>
              <w:spacing w:line="260" w:lineRule="exact"/>
              <w:ind w:left="107"/>
              <w:rPr>
                <w:sz w:val="21"/>
              </w:rPr>
            </w:pPr>
            <w:r>
              <w:rPr>
                <w:sz w:val="21"/>
              </w:rPr>
              <w:t>33.因职业关系导致的人类免</w:t>
            </w:r>
          </w:p>
          <w:p>
            <w:pPr>
              <w:pStyle w:val="TableParagraph"/>
              <w:spacing w:before="37"/>
              <w:ind w:left="107"/>
              <w:rPr>
                <w:sz w:val="21"/>
              </w:rPr>
            </w:pPr>
            <w:r>
              <w:rPr>
                <w:sz w:val="21"/>
              </w:rPr>
              <w:t>疫缺陷病毒感染（HIV</w:t>
            </w:r>
            <w:r>
              <w:rPr>
                <w:spacing w:val="-106"/>
                <w:sz w:val="21"/>
              </w:rPr>
              <w:t>）</w:t>
            </w:r>
            <w:r>
              <w:rPr>
                <w:sz w:val="21"/>
              </w:rPr>
              <w:t>；</w:t>
            </w:r>
          </w:p>
        </w:tc>
        <w:tc>
          <w:tcPr>
            <w:tcW w:w="3122" w:type="dxa"/>
          </w:tcPr>
          <w:p>
            <w:pPr>
              <w:pStyle w:val="TableParagraph"/>
              <w:rPr>
                <w:rFonts w:ascii="Times New Roman"/>
                <w:sz w:val="20"/>
              </w:rPr>
            </w:pPr>
          </w:p>
        </w:tc>
        <w:tc>
          <w:tcPr>
            <w:tcW w:w="3342" w:type="dxa"/>
          </w:tcPr>
          <w:p>
            <w:pPr>
              <w:pStyle w:val="TableParagraph"/>
              <w:spacing w:line="260" w:lineRule="exact"/>
              <w:ind w:left="106"/>
              <w:rPr>
                <w:sz w:val="21"/>
              </w:rPr>
            </w:pPr>
            <w:r>
              <w:rPr>
                <w:sz w:val="21"/>
              </w:rPr>
              <w:t>21.严重运动神经元病；</w:t>
            </w:r>
          </w:p>
        </w:tc>
      </w:tr>
      <w:tr>
        <w:trPr>
          <w:trHeight w:val="624" w:hRule="atLeast"/>
        </w:trPr>
        <w:tc>
          <w:tcPr>
            <w:tcW w:w="3016" w:type="dxa"/>
          </w:tcPr>
          <w:p>
            <w:pPr>
              <w:pStyle w:val="TableParagraph"/>
              <w:spacing w:line="261" w:lineRule="exact"/>
              <w:ind w:left="107"/>
              <w:rPr>
                <w:sz w:val="21"/>
              </w:rPr>
            </w:pPr>
            <w:r>
              <w:rPr>
                <w:sz w:val="21"/>
              </w:rPr>
              <w:t>34.经输血导致的人类免疫缺</w:t>
            </w:r>
          </w:p>
          <w:p>
            <w:pPr>
              <w:pStyle w:val="TableParagraph"/>
              <w:spacing w:before="37"/>
              <w:ind w:left="107"/>
              <w:rPr>
                <w:sz w:val="21"/>
              </w:rPr>
            </w:pPr>
            <w:r>
              <w:rPr>
                <w:sz w:val="21"/>
              </w:rPr>
              <w:t>陷病毒感染（HIV</w:t>
            </w:r>
            <w:r>
              <w:rPr>
                <w:spacing w:val="-105"/>
                <w:sz w:val="21"/>
              </w:rPr>
              <w:t>）</w:t>
            </w:r>
            <w:r>
              <w:rPr>
                <w:sz w:val="21"/>
              </w:rPr>
              <w:t>；</w:t>
            </w:r>
          </w:p>
        </w:tc>
        <w:tc>
          <w:tcPr>
            <w:tcW w:w="3122" w:type="dxa"/>
          </w:tcPr>
          <w:p>
            <w:pPr>
              <w:pStyle w:val="TableParagraph"/>
              <w:rPr>
                <w:rFonts w:ascii="Times New Roman"/>
                <w:sz w:val="20"/>
              </w:rPr>
            </w:pPr>
          </w:p>
        </w:tc>
        <w:tc>
          <w:tcPr>
            <w:tcW w:w="3342" w:type="dxa"/>
          </w:tcPr>
          <w:p>
            <w:pPr>
              <w:pStyle w:val="TableParagraph"/>
              <w:spacing w:line="261" w:lineRule="exact"/>
              <w:ind w:left="106"/>
              <w:rPr>
                <w:sz w:val="21"/>
              </w:rPr>
            </w:pPr>
            <w:r>
              <w:rPr>
                <w:sz w:val="21"/>
              </w:rPr>
              <w:t>22.语言能力丧失-三周岁始理赔；</w:t>
            </w:r>
          </w:p>
        </w:tc>
      </w:tr>
      <w:tr>
        <w:trPr>
          <w:trHeight w:val="311" w:hRule="atLeast"/>
        </w:trPr>
        <w:tc>
          <w:tcPr>
            <w:tcW w:w="3016" w:type="dxa"/>
          </w:tcPr>
          <w:p>
            <w:pPr>
              <w:pStyle w:val="TableParagraph"/>
              <w:spacing w:line="261" w:lineRule="exact"/>
              <w:ind w:left="107"/>
              <w:rPr>
                <w:sz w:val="21"/>
              </w:rPr>
            </w:pPr>
            <w:r>
              <w:rPr>
                <w:sz w:val="21"/>
              </w:rPr>
              <w:t>35.严重克隆病</w:t>
            </w:r>
          </w:p>
        </w:tc>
        <w:tc>
          <w:tcPr>
            <w:tcW w:w="3122" w:type="dxa"/>
          </w:tcPr>
          <w:p>
            <w:pPr>
              <w:pStyle w:val="TableParagraph"/>
              <w:rPr>
                <w:rFonts w:ascii="Times New Roman"/>
                <w:sz w:val="20"/>
              </w:rPr>
            </w:pPr>
          </w:p>
        </w:tc>
        <w:tc>
          <w:tcPr>
            <w:tcW w:w="3342" w:type="dxa"/>
          </w:tcPr>
          <w:p>
            <w:pPr>
              <w:pStyle w:val="TableParagraph"/>
              <w:spacing w:line="261" w:lineRule="exact"/>
              <w:ind w:left="105"/>
              <w:rPr>
                <w:sz w:val="21"/>
              </w:rPr>
            </w:pPr>
            <w:r>
              <w:rPr>
                <w:sz w:val="21"/>
              </w:rPr>
              <w:t>26.严重多发性硬化；</w:t>
            </w:r>
          </w:p>
        </w:tc>
      </w:tr>
    </w:tbl>
    <w:sectPr>
      <w:pgSz w:w="11910" w:h="16840"/>
      <w:pgMar w:header="0" w:footer="677" w:top="1340" w:bottom="860" w:left="8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Microsoft JhengHei">
    <w:altName w:val="Microsoft JhengHei"/>
    <w:charset w:val="0"/>
    <w:family w:val="swiss"/>
    <w:pitch w:val="variable"/>
  </w:font>
  <w:font w:name="Yu Gothic">
    <w:altName w:val="Yu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989pt;margin-top:797.139709pt;width:67.25pt;height:12pt;mso-position-horizontal-relative:page;mso-position-vertical-relative:page;z-index:-418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2"/>
      <w:numFmt w:val="decimal"/>
      <w:lvlText w:val="%1"/>
      <w:lvlJc w:val="left"/>
      <w:pPr>
        <w:ind w:left="2886" w:hanging="797"/>
        <w:jc w:val="left"/>
      </w:pPr>
      <w:rPr>
        <w:rFonts w:hint="default"/>
      </w:rPr>
    </w:lvl>
    <w:lvl w:ilvl="1">
      <w:start w:val="23"/>
      <w:numFmt w:val="decimal"/>
      <w:lvlText w:val="%1.%2"/>
      <w:lvlJc w:val="left"/>
      <w:pPr>
        <w:ind w:left="2886" w:hanging="797"/>
        <w:jc w:val="left"/>
      </w:pPr>
      <w:rPr>
        <w:rFonts w:hint="default" w:ascii="宋体" w:hAnsi="宋体" w:eastAsia="宋体" w:cs="宋体"/>
        <w:b/>
        <w:bCs/>
        <w:w w:val="99"/>
        <w:sz w:val="21"/>
        <w:szCs w:val="21"/>
      </w:rPr>
    </w:lvl>
    <w:lvl w:ilvl="2">
      <w:start w:val="0"/>
      <w:numFmt w:val="bullet"/>
      <w:lvlText w:val="•"/>
      <w:lvlJc w:val="left"/>
      <w:pPr>
        <w:ind w:left="4388" w:hanging="797"/>
      </w:pPr>
      <w:rPr>
        <w:rFonts w:hint="default"/>
      </w:rPr>
    </w:lvl>
    <w:lvl w:ilvl="3">
      <w:start w:val="0"/>
      <w:numFmt w:val="bullet"/>
      <w:lvlText w:val="•"/>
      <w:lvlJc w:val="left"/>
      <w:pPr>
        <w:ind w:left="5143" w:hanging="797"/>
      </w:pPr>
      <w:rPr>
        <w:rFonts w:hint="default"/>
      </w:rPr>
    </w:lvl>
    <w:lvl w:ilvl="4">
      <w:start w:val="0"/>
      <w:numFmt w:val="bullet"/>
      <w:lvlText w:val="•"/>
      <w:lvlJc w:val="left"/>
      <w:pPr>
        <w:ind w:left="5897" w:hanging="797"/>
      </w:pPr>
      <w:rPr>
        <w:rFonts w:hint="default"/>
      </w:rPr>
    </w:lvl>
    <w:lvl w:ilvl="5">
      <w:start w:val="0"/>
      <w:numFmt w:val="bullet"/>
      <w:lvlText w:val="•"/>
      <w:lvlJc w:val="left"/>
      <w:pPr>
        <w:ind w:left="6652" w:hanging="797"/>
      </w:pPr>
      <w:rPr>
        <w:rFonts w:hint="default"/>
      </w:rPr>
    </w:lvl>
    <w:lvl w:ilvl="6">
      <w:start w:val="0"/>
      <w:numFmt w:val="bullet"/>
      <w:lvlText w:val="•"/>
      <w:lvlJc w:val="left"/>
      <w:pPr>
        <w:ind w:left="7406" w:hanging="797"/>
      </w:pPr>
      <w:rPr>
        <w:rFonts w:hint="default"/>
      </w:rPr>
    </w:lvl>
    <w:lvl w:ilvl="7">
      <w:start w:val="0"/>
      <w:numFmt w:val="bullet"/>
      <w:lvlText w:val="•"/>
      <w:lvlJc w:val="left"/>
      <w:pPr>
        <w:ind w:left="8161" w:hanging="797"/>
      </w:pPr>
      <w:rPr>
        <w:rFonts w:hint="default"/>
      </w:rPr>
    </w:lvl>
    <w:lvl w:ilvl="8">
      <w:start w:val="0"/>
      <w:numFmt w:val="bullet"/>
      <w:lvlText w:val="•"/>
      <w:lvlJc w:val="left"/>
      <w:pPr>
        <w:ind w:left="8915" w:hanging="797"/>
      </w:pPr>
      <w:rPr>
        <w:rFonts w:hint="default"/>
      </w:rPr>
    </w:lvl>
  </w:abstractNum>
  <w:abstractNum w:abstractNumId="17">
    <w:multiLevelType w:val="hybridMultilevel"/>
    <w:lvl w:ilvl="0">
      <w:start w:val="1"/>
      <w:numFmt w:val="upperRoman"/>
      <w:lvlText w:val="%1"/>
      <w:lvlJc w:val="left"/>
      <w:pPr>
        <w:ind w:left="316" w:hanging="211"/>
        <w:jc w:val="left"/>
      </w:pPr>
      <w:rPr>
        <w:rFonts w:hint="default" w:ascii="宋体" w:hAnsi="宋体" w:eastAsia="宋体" w:cs="宋体"/>
        <w:spacing w:val="-2"/>
        <w:w w:val="100"/>
        <w:sz w:val="21"/>
        <w:szCs w:val="21"/>
      </w:rPr>
    </w:lvl>
    <w:lvl w:ilvl="1">
      <w:start w:val="0"/>
      <w:numFmt w:val="bullet"/>
      <w:lvlText w:val="•"/>
      <w:lvlJc w:val="left"/>
      <w:pPr>
        <w:ind w:left="1046" w:hanging="211"/>
      </w:pPr>
      <w:rPr>
        <w:rFonts w:hint="default"/>
      </w:rPr>
    </w:lvl>
    <w:lvl w:ilvl="2">
      <w:start w:val="0"/>
      <w:numFmt w:val="bullet"/>
      <w:lvlText w:val="•"/>
      <w:lvlJc w:val="left"/>
      <w:pPr>
        <w:ind w:left="1772" w:hanging="211"/>
      </w:pPr>
      <w:rPr>
        <w:rFonts w:hint="default"/>
      </w:rPr>
    </w:lvl>
    <w:lvl w:ilvl="3">
      <w:start w:val="0"/>
      <w:numFmt w:val="bullet"/>
      <w:lvlText w:val="•"/>
      <w:lvlJc w:val="left"/>
      <w:pPr>
        <w:ind w:left="2499" w:hanging="211"/>
      </w:pPr>
      <w:rPr>
        <w:rFonts w:hint="default"/>
      </w:rPr>
    </w:lvl>
    <w:lvl w:ilvl="4">
      <w:start w:val="0"/>
      <w:numFmt w:val="bullet"/>
      <w:lvlText w:val="•"/>
      <w:lvlJc w:val="left"/>
      <w:pPr>
        <w:ind w:left="3225" w:hanging="211"/>
      </w:pPr>
      <w:rPr>
        <w:rFonts w:hint="default"/>
      </w:rPr>
    </w:lvl>
    <w:lvl w:ilvl="5">
      <w:start w:val="0"/>
      <w:numFmt w:val="bullet"/>
      <w:lvlText w:val="•"/>
      <w:lvlJc w:val="left"/>
      <w:pPr>
        <w:ind w:left="3952" w:hanging="211"/>
      </w:pPr>
      <w:rPr>
        <w:rFonts w:hint="default"/>
      </w:rPr>
    </w:lvl>
    <w:lvl w:ilvl="6">
      <w:start w:val="0"/>
      <w:numFmt w:val="bullet"/>
      <w:lvlText w:val="•"/>
      <w:lvlJc w:val="left"/>
      <w:pPr>
        <w:ind w:left="4678" w:hanging="211"/>
      </w:pPr>
      <w:rPr>
        <w:rFonts w:hint="default"/>
      </w:rPr>
    </w:lvl>
    <w:lvl w:ilvl="7">
      <w:start w:val="0"/>
      <w:numFmt w:val="bullet"/>
      <w:lvlText w:val="•"/>
      <w:lvlJc w:val="left"/>
      <w:pPr>
        <w:ind w:left="5405" w:hanging="211"/>
      </w:pPr>
      <w:rPr>
        <w:rFonts w:hint="default"/>
      </w:rPr>
    </w:lvl>
    <w:lvl w:ilvl="8">
      <w:start w:val="0"/>
      <w:numFmt w:val="bullet"/>
      <w:lvlText w:val="•"/>
      <w:lvlJc w:val="left"/>
      <w:pPr>
        <w:ind w:left="6131" w:hanging="211"/>
      </w:pPr>
      <w:rPr>
        <w:rFonts w:hint="default"/>
      </w:rPr>
    </w:lvl>
  </w:abstractNum>
  <w:abstractNum w:abstractNumId="16">
    <w:multiLevelType w:val="hybridMultilevel"/>
    <w:lvl w:ilvl="0">
      <w:start w:val="12"/>
      <w:numFmt w:val="decimal"/>
      <w:lvlText w:val="%1"/>
      <w:lvlJc w:val="left"/>
      <w:pPr>
        <w:ind w:left="2926" w:hanging="797"/>
        <w:jc w:val="left"/>
      </w:pPr>
      <w:rPr>
        <w:rFonts w:hint="default"/>
      </w:rPr>
    </w:lvl>
    <w:lvl w:ilvl="1">
      <w:start w:val="11"/>
      <w:numFmt w:val="decimal"/>
      <w:lvlText w:val="%1.%2"/>
      <w:lvlJc w:val="left"/>
      <w:pPr>
        <w:ind w:left="2926" w:hanging="797"/>
        <w:jc w:val="left"/>
      </w:pPr>
      <w:rPr>
        <w:rFonts w:hint="default" w:ascii="宋体" w:hAnsi="宋体" w:eastAsia="宋体" w:cs="宋体"/>
        <w:b/>
        <w:bCs/>
        <w:w w:val="99"/>
        <w:sz w:val="21"/>
        <w:szCs w:val="21"/>
      </w:rPr>
    </w:lvl>
    <w:lvl w:ilvl="2">
      <w:start w:val="0"/>
      <w:numFmt w:val="bullet"/>
      <w:lvlText w:val="•"/>
      <w:lvlJc w:val="left"/>
      <w:pPr>
        <w:ind w:left="4428" w:hanging="797"/>
      </w:pPr>
      <w:rPr>
        <w:rFonts w:hint="default"/>
      </w:rPr>
    </w:lvl>
    <w:lvl w:ilvl="3">
      <w:start w:val="0"/>
      <w:numFmt w:val="bullet"/>
      <w:lvlText w:val="•"/>
      <w:lvlJc w:val="left"/>
      <w:pPr>
        <w:ind w:left="5183" w:hanging="797"/>
      </w:pPr>
      <w:rPr>
        <w:rFonts w:hint="default"/>
      </w:rPr>
    </w:lvl>
    <w:lvl w:ilvl="4">
      <w:start w:val="0"/>
      <w:numFmt w:val="bullet"/>
      <w:lvlText w:val="•"/>
      <w:lvlJc w:val="left"/>
      <w:pPr>
        <w:ind w:left="5937" w:hanging="797"/>
      </w:pPr>
      <w:rPr>
        <w:rFonts w:hint="default"/>
      </w:rPr>
    </w:lvl>
    <w:lvl w:ilvl="5">
      <w:start w:val="0"/>
      <w:numFmt w:val="bullet"/>
      <w:lvlText w:val="•"/>
      <w:lvlJc w:val="left"/>
      <w:pPr>
        <w:ind w:left="6692" w:hanging="797"/>
      </w:pPr>
      <w:rPr>
        <w:rFonts w:hint="default"/>
      </w:rPr>
    </w:lvl>
    <w:lvl w:ilvl="6">
      <w:start w:val="0"/>
      <w:numFmt w:val="bullet"/>
      <w:lvlText w:val="•"/>
      <w:lvlJc w:val="left"/>
      <w:pPr>
        <w:ind w:left="7446" w:hanging="797"/>
      </w:pPr>
      <w:rPr>
        <w:rFonts w:hint="default"/>
      </w:rPr>
    </w:lvl>
    <w:lvl w:ilvl="7">
      <w:start w:val="0"/>
      <w:numFmt w:val="bullet"/>
      <w:lvlText w:val="•"/>
      <w:lvlJc w:val="left"/>
      <w:pPr>
        <w:ind w:left="8201" w:hanging="797"/>
      </w:pPr>
      <w:rPr>
        <w:rFonts w:hint="default"/>
      </w:rPr>
    </w:lvl>
    <w:lvl w:ilvl="8">
      <w:start w:val="0"/>
      <w:numFmt w:val="bullet"/>
      <w:lvlText w:val="•"/>
      <w:lvlJc w:val="left"/>
      <w:pPr>
        <w:ind w:left="8955" w:hanging="797"/>
      </w:pPr>
      <w:rPr>
        <w:rFonts w:hint="default"/>
      </w:rPr>
    </w:lvl>
  </w:abstractNum>
  <w:abstractNum w:abstractNumId="15">
    <w:multiLevelType w:val="hybridMultilevel"/>
    <w:lvl w:ilvl="0">
      <w:start w:val="12"/>
      <w:numFmt w:val="decimal"/>
      <w:lvlText w:val="%1"/>
      <w:lvlJc w:val="left"/>
      <w:pPr>
        <w:ind w:left="2986" w:hanging="798"/>
        <w:jc w:val="left"/>
      </w:pPr>
      <w:rPr>
        <w:rFonts w:hint="default"/>
      </w:rPr>
    </w:lvl>
    <w:lvl w:ilvl="1">
      <w:start w:val="1"/>
      <w:numFmt w:val="decimal"/>
      <w:lvlText w:val="%1.%2"/>
      <w:lvlJc w:val="left"/>
      <w:pPr>
        <w:ind w:left="2986" w:hanging="798"/>
        <w:jc w:val="left"/>
      </w:pPr>
      <w:rPr>
        <w:rFonts w:hint="default" w:ascii="宋体" w:hAnsi="宋体" w:eastAsia="宋体" w:cs="宋体"/>
        <w:b/>
        <w:bCs/>
        <w:spacing w:val="0"/>
        <w:w w:val="99"/>
        <w:sz w:val="21"/>
        <w:szCs w:val="21"/>
      </w:rPr>
    </w:lvl>
    <w:lvl w:ilvl="2">
      <w:start w:val="0"/>
      <w:numFmt w:val="bullet"/>
      <w:lvlText w:val="•"/>
      <w:lvlJc w:val="left"/>
      <w:pPr>
        <w:ind w:left="4476" w:hanging="798"/>
      </w:pPr>
      <w:rPr>
        <w:rFonts w:hint="default"/>
      </w:rPr>
    </w:lvl>
    <w:lvl w:ilvl="3">
      <w:start w:val="0"/>
      <w:numFmt w:val="bullet"/>
      <w:lvlText w:val="•"/>
      <w:lvlJc w:val="left"/>
      <w:pPr>
        <w:ind w:left="5225" w:hanging="798"/>
      </w:pPr>
      <w:rPr>
        <w:rFonts w:hint="default"/>
      </w:rPr>
    </w:lvl>
    <w:lvl w:ilvl="4">
      <w:start w:val="0"/>
      <w:numFmt w:val="bullet"/>
      <w:lvlText w:val="•"/>
      <w:lvlJc w:val="left"/>
      <w:pPr>
        <w:ind w:left="5973" w:hanging="798"/>
      </w:pPr>
      <w:rPr>
        <w:rFonts w:hint="default"/>
      </w:rPr>
    </w:lvl>
    <w:lvl w:ilvl="5">
      <w:start w:val="0"/>
      <w:numFmt w:val="bullet"/>
      <w:lvlText w:val="•"/>
      <w:lvlJc w:val="left"/>
      <w:pPr>
        <w:ind w:left="6722" w:hanging="798"/>
      </w:pPr>
      <w:rPr>
        <w:rFonts w:hint="default"/>
      </w:rPr>
    </w:lvl>
    <w:lvl w:ilvl="6">
      <w:start w:val="0"/>
      <w:numFmt w:val="bullet"/>
      <w:lvlText w:val="•"/>
      <w:lvlJc w:val="left"/>
      <w:pPr>
        <w:ind w:left="7470" w:hanging="798"/>
      </w:pPr>
      <w:rPr>
        <w:rFonts w:hint="default"/>
      </w:rPr>
    </w:lvl>
    <w:lvl w:ilvl="7">
      <w:start w:val="0"/>
      <w:numFmt w:val="bullet"/>
      <w:lvlText w:val="•"/>
      <w:lvlJc w:val="left"/>
      <w:pPr>
        <w:ind w:left="8219" w:hanging="798"/>
      </w:pPr>
      <w:rPr>
        <w:rFonts w:hint="default"/>
      </w:rPr>
    </w:lvl>
    <w:lvl w:ilvl="8">
      <w:start w:val="0"/>
      <w:numFmt w:val="bullet"/>
      <w:lvlText w:val="•"/>
      <w:lvlJc w:val="left"/>
      <w:pPr>
        <w:ind w:left="8967" w:hanging="798"/>
      </w:pPr>
      <w:rPr>
        <w:rFonts w:hint="default"/>
      </w:rPr>
    </w:lvl>
  </w:abstractNum>
  <w:abstractNum w:abstractNumId="14">
    <w:multiLevelType w:val="hybridMultilevel"/>
    <w:lvl w:ilvl="0">
      <w:start w:val="11"/>
      <w:numFmt w:val="decimal"/>
      <w:lvlText w:val="%1"/>
      <w:lvlJc w:val="left"/>
      <w:pPr>
        <w:ind w:left="2986" w:hanging="797"/>
        <w:jc w:val="left"/>
      </w:pPr>
      <w:rPr>
        <w:rFonts w:hint="default"/>
      </w:rPr>
    </w:lvl>
    <w:lvl w:ilvl="1">
      <w:start w:val="1"/>
      <w:numFmt w:val="decimal"/>
      <w:lvlText w:val="%1.%2"/>
      <w:lvlJc w:val="left"/>
      <w:pPr>
        <w:ind w:left="2986" w:hanging="797"/>
        <w:jc w:val="left"/>
      </w:pPr>
      <w:rPr>
        <w:rFonts w:hint="default" w:ascii="宋体" w:hAnsi="宋体" w:eastAsia="宋体" w:cs="宋体"/>
        <w:b/>
        <w:bCs/>
        <w:w w:val="99"/>
        <w:sz w:val="21"/>
        <w:szCs w:val="21"/>
      </w:rPr>
    </w:lvl>
    <w:lvl w:ilvl="2">
      <w:start w:val="0"/>
      <w:numFmt w:val="bullet"/>
      <w:lvlText w:val="•"/>
      <w:lvlJc w:val="left"/>
      <w:pPr>
        <w:ind w:left="4476" w:hanging="797"/>
      </w:pPr>
      <w:rPr>
        <w:rFonts w:hint="default"/>
      </w:rPr>
    </w:lvl>
    <w:lvl w:ilvl="3">
      <w:start w:val="0"/>
      <w:numFmt w:val="bullet"/>
      <w:lvlText w:val="•"/>
      <w:lvlJc w:val="left"/>
      <w:pPr>
        <w:ind w:left="5225" w:hanging="797"/>
      </w:pPr>
      <w:rPr>
        <w:rFonts w:hint="default"/>
      </w:rPr>
    </w:lvl>
    <w:lvl w:ilvl="4">
      <w:start w:val="0"/>
      <w:numFmt w:val="bullet"/>
      <w:lvlText w:val="•"/>
      <w:lvlJc w:val="left"/>
      <w:pPr>
        <w:ind w:left="5973" w:hanging="797"/>
      </w:pPr>
      <w:rPr>
        <w:rFonts w:hint="default"/>
      </w:rPr>
    </w:lvl>
    <w:lvl w:ilvl="5">
      <w:start w:val="0"/>
      <w:numFmt w:val="bullet"/>
      <w:lvlText w:val="•"/>
      <w:lvlJc w:val="left"/>
      <w:pPr>
        <w:ind w:left="6722" w:hanging="797"/>
      </w:pPr>
      <w:rPr>
        <w:rFonts w:hint="default"/>
      </w:rPr>
    </w:lvl>
    <w:lvl w:ilvl="6">
      <w:start w:val="0"/>
      <w:numFmt w:val="bullet"/>
      <w:lvlText w:val="•"/>
      <w:lvlJc w:val="left"/>
      <w:pPr>
        <w:ind w:left="7470" w:hanging="797"/>
      </w:pPr>
      <w:rPr>
        <w:rFonts w:hint="default"/>
      </w:rPr>
    </w:lvl>
    <w:lvl w:ilvl="7">
      <w:start w:val="0"/>
      <w:numFmt w:val="bullet"/>
      <w:lvlText w:val="•"/>
      <w:lvlJc w:val="left"/>
      <w:pPr>
        <w:ind w:left="8219" w:hanging="797"/>
      </w:pPr>
      <w:rPr>
        <w:rFonts w:hint="default"/>
      </w:rPr>
    </w:lvl>
    <w:lvl w:ilvl="8">
      <w:start w:val="0"/>
      <w:numFmt w:val="bullet"/>
      <w:lvlText w:val="•"/>
      <w:lvlJc w:val="left"/>
      <w:pPr>
        <w:ind w:left="8967" w:hanging="797"/>
      </w:pPr>
      <w:rPr>
        <w:rFonts w:hint="default"/>
      </w:rPr>
    </w:lvl>
  </w:abstractNum>
  <w:abstractNum w:abstractNumId="13">
    <w:multiLevelType w:val="hybridMultilevel"/>
    <w:lvl w:ilvl="0">
      <w:start w:val="10"/>
      <w:numFmt w:val="decimal"/>
      <w:lvlText w:val="%1"/>
      <w:lvlJc w:val="left"/>
      <w:pPr>
        <w:ind w:left="2986" w:hanging="798"/>
        <w:jc w:val="left"/>
      </w:pPr>
      <w:rPr>
        <w:rFonts w:hint="default"/>
      </w:rPr>
    </w:lvl>
    <w:lvl w:ilvl="1">
      <w:start w:val="1"/>
      <w:numFmt w:val="decimal"/>
      <w:lvlText w:val="%1.%2"/>
      <w:lvlJc w:val="left"/>
      <w:pPr>
        <w:ind w:left="2986" w:hanging="798"/>
        <w:jc w:val="left"/>
      </w:pPr>
      <w:rPr>
        <w:rFonts w:hint="default" w:ascii="宋体" w:hAnsi="宋体" w:eastAsia="宋体" w:cs="宋体"/>
        <w:b/>
        <w:bCs/>
        <w:spacing w:val="0"/>
        <w:w w:val="99"/>
        <w:sz w:val="21"/>
        <w:szCs w:val="21"/>
      </w:rPr>
    </w:lvl>
    <w:lvl w:ilvl="2">
      <w:start w:val="0"/>
      <w:numFmt w:val="bullet"/>
      <w:lvlText w:val="•"/>
      <w:lvlJc w:val="left"/>
      <w:pPr>
        <w:ind w:left="4476" w:hanging="798"/>
      </w:pPr>
      <w:rPr>
        <w:rFonts w:hint="default"/>
      </w:rPr>
    </w:lvl>
    <w:lvl w:ilvl="3">
      <w:start w:val="0"/>
      <w:numFmt w:val="bullet"/>
      <w:lvlText w:val="•"/>
      <w:lvlJc w:val="left"/>
      <w:pPr>
        <w:ind w:left="5225" w:hanging="798"/>
      </w:pPr>
      <w:rPr>
        <w:rFonts w:hint="default"/>
      </w:rPr>
    </w:lvl>
    <w:lvl w:ilvl="4">
      <w:start w:val="0"/>
      <w:numFmt w:val="bullet"/>
      <w:lvlText w:val="•"/>
      <w:lvlJc w:val="left"/>
      <w:pPr>
        <w:ind w:left="5973" w:hanging="798"/>
      </w:pPr>
      <w:rPr>
        <w:rFonts w:hint="default"/>
      </w:rPr>
    </w:lvl>
    <w:lvl w:ilvl="5">
      <w:start w:val="0"/>
      <w:numFmt w:val="bullet"/>
      <w:lvlText w:val="•"/>
      <w:lvlJc w:val="left"/>
      <w:pPr>
        <w:ind w:left="6722" w:hanging="798"/>
      </w:pPr>
      <w:rPr>
        <w:rFonts w:hint="default"/>
      </w:rPr>
    </w:lvl>
    <w:lvl w:ilvl="6">
      <w:start w:val="0"/>
      <w:numFmt w:val="bullet"/>
      <w:lvlText w:val="•"/>
      <w:lvlJc w:val="left"/>
      <w:pPr>
        <w:ind w:left="7470" w:hanging="798"/>
      </w:pPr>
      <w:rPr>
        <w:rFonts w:hint="default"/>
      </w:rPr>
    </w:lvl>
    <w:lvl w:ilvl="7">
      <w:start w:val="0"/>
      <w:numFmt w:val="bullet"/>
      <w:lvlText w:val="•"/>
      <w:lvlJc w:val="left"/>
      <w:pPr>
        <w:ind w:left="8219" w:hanging="798"/>
      </w:pPr>
      <w:rPr>
        <w:rFonts w:hint="default"/>
      </w:rPr>
    </w:lvl>
    <w:lvl w:ilvl="8">
      <w:start w:val="0"/>
      <w:numFmt w:val="bullet"/>
      <w:lvlText w:val="•"/>
      <w:lvlJc w:val="left"/>
      <w:pPr>
        <w:ind w:left="8967" w:hanging="798"/>
      </w:pPr>
      <w:rPr>
        <w:rFonts w:hint="default"/>
      </w:rPr>
    </w:lvl>
  </w:abstractNum>
  <w:abstractNum w:abstractNumId="12">
    <w:multiLevelType w:val="hybridMultilevel"/>
    <w:lvl w:ilvl="0">
      <w:start w:val="9"/>
      <w:numFmt w:val="decimal"/>
      <w:lvlText w:val="%1"/>
      <w:lvlJc w:val="left"/>
      <w:pPr>
        <w:ind w:left="2986" w:hanging="798"/>
        <w:jc w:val="left"/>
      </w:pPr>
      <w:rPr>
        <w:rFonts w:hint="default"/>
      </w:rPr>
    </w:lvl>
    <w:lvl w:ilvl="1">
      <w:start w:val="1"/>
      <w:numFmt w:val="decimal"/>
      <w:lvlText w:val="%1.%2"/>
      <w:lvlJc w:val="left"/>
      <w:pPr>
        <w:ind w:left="2986" w:hanging="798"/>
        <w:jc w:val="left"/>
      </w:pPr>
      <w:rPr>
        <w:rFonts w:hint="default" w:ascii="宋体" w:hAnsi="宋体" w:eastAsia="宋体" w:cs="宋体"/>
        <w:b/>
        <w:bCs/>
        <w:spacing w:val="0"/>
        <w:w w:val="99"/>
        <w:sz w:val="21"/>
        <w:szCs w:val="21"/>
      </w:rPr>
    </w:lvl>
    <w:lvl w:ilvl="2">
      <w:start w:val="0"/>
      <w:numFmt w:val="bullet"/>
      <w:lvlText w:val="•"/>
      <w:lvlJc w:val="left"/>
      <w:pPr>
        <w:ind w:left="2922" w:hanging="798"/>
      </w:pPr>
      <w:rPr>
        <w:rFonts w:hint="default"/>
      </w:rPr>
    </w:lvl>
    <w:lvl w:ilvl="3">
      <w:start w:val="0"/>
      <w:numFmt w:val="bullet"/>
      <w:lvlText w:val="•"/>
      <w:lvlJc w:val="left"/>
      <w:pPr>
        <w:ind w:left="2894" w:hanging="798"/>
      </w:pPr>
      <w:rPr>
        <w:rFonts w:hint="default"/>
      </w:rPr>
    </w:lvl>
    <w:lvl w:ilvl="4">
      <w:start w:val="0"/>
      <w:numFmt w:val="bullet"/>
      <w:lvlText w:val="•"/>
      <w:lvlJc w:val="left"/>
      <w:pPr>
        <w:ind w:left="2865" w:hanging="798"/>
      </w:pPr>
      <w:rPr>
        <w:rFonts w:hint="default"/>
      </w:rPr>
    </w:lvl>
    <w:lvl w:ilvl="5">
      <w:start w:val="0"/>
      <w:numFmt w:val="bullet"/>
      <w:lvlText w:val="•"/>
      <w:lvlJc w:val="left"/>
      <w:pPr>
        <w:ind w:left="2836" w:hanging="798"/>
      </w:pPr>
      <w:rPr>
        <w:rFonts w:hint="default"/>
      </w:rPr>
    </w:lvl>
    <w:lvl w:ilvl="6">
      <w:start w:val="0"/>
      <w:numFmt w:val="bullet"/>
      <w:lvlText w:val="•"/>
      <w:lvlJc w:val="left"/>
      <w:pPr>
        <w:ind w:left="2808" w:hanging="798"/>
      </w:pPr>
      <w:rPr>
        <w:rFonts w:hint="default"/>
      </w:rPr>
    </w:lvl>
    <w:lvl w:ilvl="7">
      <w:start w:val="0"/>
      <w:numFmt w:val="bullet"/>
      <w:lvlText w:val="•"/>
      <w:lvlJc w:val="left"/>
      <w:pPr>
        <w:ind w:left="2779" w:hanging="798"/>
      </w:pPr>
      <w:rPr>
        <w:rFonts w:hint="default"/>
      </w:rPr>
    </w:lvl>
    <w:lvl w:ilvl="8">
      <w:start w:val="0"/>
      <w:numFmt w:val="bullet"/>
      <w:lvlText w:val="•"/>
      <w:lvlJc w:val="left"/>
      <w:pPr>
        <w:ind w:left="2750" w:hanging="798"/>
      </w:pPr>
      <w:rPr>
        <w:rFonts w:hint="default"/>
      </w:rPr>
    </w:lvl>
  </w:abstractNum>
  <w:abstractNum w:abstractNumId="11">
    <w:multiLevelType w:val="hybridMultilevel"/>
    <w:lvl w:ilvl="0">
      <w:start w:val="8"/>
      <w:numFmt w:val="decimal"/>
      <w:lvlText w:val="%1"/>
      <w:lvlJc w:val="left"/>
      <w:pPr>
        <w:ind w:left="1006" w:hanging="797"/>
        <w:jc w:val="left"/>
      </w:pPr>
      <w:rPr>
        <w:rFonts w:hint="default"/>
      </w:rPr>
    </w:lvl>
    <w:lvl w:ilvl="1">
      <w:start w:val="1"/>
      <w:numFmt w:val="decimal"/>
      <w:lvlText w:val="%1.%2"/>
      <w:lvlJc w:val="left"/>
      <w:pPr>
        <w:ind w:left="1006" w:hanging="797"/>
        <w:jc w:val="left"/>
      </w:pPr>
      <w:rPr>
        <w:rFonts w:hint="default" w:ascii="宋体" w:hAnsi="宋体" w:eastAsia="宋体" w:cs="宋体"/>
        <w:b/>
        <w:bCs/>
        <w:w w:val="99"/>
        <w:sz w:val="21"/>
        <w:szCs w:val="21"/>
      </w:rPr>
    </w:lvl>
    <w:lvl w:ilvl="2">
      <w:start w:val="0"/>
      <w:numFmt w:val="bullet"/>
      <w:lvlText w:val="◉"/>
      <w:lvlJc w:val="left"/>
      <w:pPr>
        <w:ind w:left="1006" w:hanging="686"/>
      </w:pPr>
      <w:rPr>
        <w:rFonts w:hint="default" w:ascii="Yu Gothic" w:hAnsi="Yu Gothic" w:eastAsia="Yu Gothic" w:cs="Yu Gothic"/>
        <w:b/>
        <w:bCs/>
        <w:w w:val="89"/>
        <w:position w:val="-3"/>
        <w:sz w:val="40"/>
        <w:szCs w:val="40"/>
      </w:rPr>
    </w:lvl>
    <w:lvl w:ilvl="3">
      <w:start w:val="0"/>
      <w:numFmt w:val="bullet"/>
      <w:lvlText w:val="•"/>
      <w:lvlJc w:val="left"/>
      <w:pPr>
        <w:ind w:left="3839" w:hanging="686"/>
      </w:pPr>
      <w:rPr>
        <w:rFonts w:hint="default"/>
      </w:rPr>
    </w:lvl>
    <w:lvl w:ilvl="4">
      <w:start w:val="0"/>
      <w:numFmt w:val="bullet"/>
      <w:lvlText w:val="•"/>
      <w:lvlJc w:val="left"/>
      <w:pPr>
        <w:ind w:left="4785" w:hanging="686"/>
      </w:pPr>
      <w:rPr>
        <w:rFonts w:hint="default"/>
      </w:rPr>
    </w:lvl>
    <w:lvl w:ilvl="5">
      <w:start w:val="0"/>
      <w:numFmt w:val="bullet"/>
      <w:lvlText w:val="•"/>
      <w:lvlJc w:val="left"/>
      <w:pPr>
        <w:ind w:left="5732" w:hanging="686"/>
      </w:pPr>
      <w:rPr>
        <w:rFonts w:hint="default"/>
      </w:rPr>
    </w:lvl>
    <w:lvl w:ilvl="6">
      <w:start w:val="0"/>
      <w:numFmt w:val="bullet"/>
      <w:lvlText w:val="•"/>
      <w:lvlJc w:val="left"/>
      <w:pPr>
        <w:ind w:left="6678" w:hanging="686"/>
      </w:pPr>
      <w:rPr>
        <w:rFonts w:hint="default"/>
      </w:rPr>
    </w:lvl>
    <w:lvl w:ilvl="7">
      <w:start w:val="0"/>
      <w:numFmt w:val="bullet"/>
      <w:lvlText w:val="•"/>
      <w:lvlJc w:val="left"/>
      <w:pPr>
        <w:ind w:left="7625" w:hanging="686"/>
      </w:pPr>
      <w:rPr>
        <w:rFonts w:hint="default"/>
      </w:rPr>
    </w:lvl>
    <w:lvl w:ilvl="8">
      <w:start w:val="0"/>
      <w:numFmt w:val="bullet"/>
      <w:lvlText w:val="•"/>
      <w:lvlJc w:val="left"/>
      <w:pPr>
        <w:ind w:left="8571" w:hanging="686"/>
      </w:pPr>
      <w:rPr>
        <w:rFonts w:hint="default"/>
      </w:rPr>
    </w:lvl>
  </w:abstractNum>
  <w:abstractNum w:abstractNumId="10">
    <w:multiLevelType w:val="hybridMultilevel"/>
    <w:lvl w:ilvl="0">
      <w:start w:val="6"/>
      <w:numFmt w:val="decimal"/>
      <w:lvlText w:val="%1"/>
      <w:lvlJc w:val="left"/>
      <w:pPr>
        <w:ind w:left="2986" w:hanging="797"/>
        <w:jc w:val="left"/>
      </w:pPr>
      <w:rPr>
        <w:rFonts w:hint="default"/>
      </w:rPr>
    </w:lvl>
    <w:lvl w:ilvl="1">
      <w:start w:val="1"/>
      <w:numFmt w:val="decimal"/>
      <w:lvlText w:val="%1.%2"/>
      <w:lvlJc w:val="left"/>
      <w:pPr>
        <w:ind w:left="2986" w:hanging="797"/>
        <w:jc w:val="left"/>
      </w:pPr>
      <w:rPr>
        <w:rFonts w:hint="default" w:ascii="宋体" w:hAnsi="宋体" w:eastAsia="宋体" w:cs="宋体"/>
        <w:b/>
        <w:bCs/>
        <w:w w:val="99"/>
        <w:sz w:val="21"/>
        <w:szCs w:val="21"/>
      </w:rPr>
    </w:lvl>
    <w:lvl w:ilvl="2">
      <w:start w:val="0"/>
      <w:numFmt w:val="bullet"/>
      <w:lvlText w:val="•"/>
      <w:lvlJc w:val="left"/>
      <w:pPr>
        <w:ind w:left="4476" w:hanging="797"/>
      </w:pPr>
      <w:rPr>
        <w:rFonts w:hint="default"/>
      </w:rPr>
    </w:lvl>
    <w:lvl w:ilvl="3">
      <w:start w:val="0"/>
      <w:numFmt w:val="bullet"/>
      <w:lvlText w:val="•"/>
      <w:lvlJc w:val="left"/>
      <w:pPr>
        <w:ind w:left="5225" w:hanging="797"/>
      </w:pPr>
      <w:rPr>
        <w:rFonts w:hint="default"/>
      </w:rPr>
    </w:lvl>
    <w:lvl w:ilvl="4">
      <w:start w:val="0"/>
      <w:numFmt w:val="bullet"/>
      <w:lvlText w:val="•"/>
      <w:lvlJc w:val="left"/>
      <w:pPr>
        <w:ind w:left="5973" w:hanging="797"/>
      </w:pPr>
      <w:rPr>
        <w:rFonts w:hint="default"/>
      </w:rPr>
    </w:lvl>
    <w:lvl w:ilvl="5">
      <w:start w:val="0"/>
      <w:numFmt w:val="bullet"/>
      <w:lvlText w:val="•"/>
      <w:lvlJc w:val="left"/>
      <w:pPr>
        <w:ind w:left="6722" w:hanging="797"/>
      </w:pPr>
      <w:rPr>
        <w:rFonts w:hint="default"/>
      </w:rPr>
    </w:lvl>
    <w:lvl w:ilvl="6">
      <w:start w:val="0"/>
      <w:numFmt w:val="bullet"/>
      <w:lvlText w:val="•"/>
      <w:lvlJc w:val="left"/>
      <w:pPr>
        <w:ind w:left="7470" w:hanging="797"/>
      </w:pPr>
      <w:rPr>
        <w:rFonts w:hint="default"/>
      </w:rPr>
    </w:lvl>
    <w:lvl w:ilvl="7">
      <w:start w:val="0"/>
      <w:numFmt w:val="bullet"/>
      <w:lvlText w:val="•"/>
      <w:lvlJc w:val="left"/>
      <w:pPr>
        <w:ind w:left="8219" w:hanging="797"/>
      </w:pPr>
      <w:rPr>
        <w:rFonts w:hint="default"/>
      </w:rPr>
    </w:lvl>
    <w:lvl w:ilvl="8">
      <w:start w:val="0"/>
      <w:numFmt w:val="bullet"/>
      <w:lvlText w:val="•"/>
      <w:lvlJc w:val="left"/>
      <w:pPr>
        <w:ind w:left="8967" w:hanging="797"/>
      </w:pPr>
      <w:rPr>
        <w:rFonts w:hint="default"/>
      </w:rPr>
    </w:lvl>
  </w:abstractNum>
  <w:abstractNum w:abstractNumId="9">
    <w:multiLevelType w:val="hybridMultilevel"/>
    <w:lvl w:ilvl="0">
      <w:start w:val="5"/>
      <w:numFmt w:val="decimal"/>
      <w:lvlText w:val="%1"/>
      <w:lvlJc w:val="left"/>
      <w:pPr>
        <w:ind w:left="1006" w:hanging="797"/>
        <w:jc w:val="left"/>
      </w:pPr>
      <w:rPr>
        <w:rFonts w:hint="default"/>
      </w:rPr>
    </w:lvl>
    <w:lvl w:ilvl="1">
      <w:start w:val="2"/>
      <w:numFmt w:val="decimal"/>
      <w:lvlText w:val="%1.%2"/>
      <w:lvlJc w:val="left"/>
      <w:pPr>
        <w:ind w:left="1006" w:hanging="797"/>
        <w:jc w:val="left"/>
      </w:pPr>
      <w:rPr>
        <w:rFonts w:hint="default" w:ascii="宋体" w:hAnsi="宋体" w:eastAsia="宋体" w:cs="宋体"/>
        <w:b/>
        <w:bCs/>
        <w:w w:val="99"/>
        <w:sz w:val="21"/>
        <w:szCs w:val="21"/>
      </w:rPr>
    </w:lvl>
    <w:lvl w:ilvl="2">
      <w:start w:val="0"/>
      <w:numFmt w:val="bullet"/>
      <w:lvlText w:val="◉"/>
      <w:lvlJc w:val="left"/>
      <w:pPr>
        <w:ind w:left="1006" w:hanging="686"/>
      </w:pPr>
      <w:rPr>
        <w:rFonts w:hint="default" w:ascii="Yu Gothic" w:hAnsi="Yu Gothic" w:eastAsia="Yu Gothic" w:cs="Yu Gothic"/>
        <w:b/>
        <w:bCs/>
        <w:w w:val="89"/>
        <w:position w:val="-3"/>
        <w:sz w:val="40"/>
        <w:szCs w:val="40"/>
      </w:rPr>
    </w:lvl>
    <w:lvl w:ilvl="3">
      <w:start w:val="0"/>
      <w:numFmt w:val="bullet"/>
      <w:lvlText w:val="•"/>
      <w:lvlJc w:val="left"/>
      <w:pPr>
        <w:ind w:left="3839" w:hanging="686"/>
      </w:pPr>
      <w:rPr>
        <w:rFonts w:hint="default"/>
      </w:rPr>
    </w:lvl>
    <w:lvl w:ilvl="4">
      <w:start w:val="0"/>
      <w:numFmt w:val="bullet"/>
      <w:lvlText w:val="•"/>
      <w:lvlJc w:val="left"/>
      <w:pPr>
        <w:ind w:left="4785" w:hanging="686"/>
      </w:pPr>
      <w:rPr>
        <w:rFonts w:hint="default"/>
      </w:rPr>
    </w:lvl>
    <w:lvl w:ilvl="5">
      <w:start w:val="0"/>
      <w:numFmt w:val="bullet"/>
      <w:lvlText w:val="•"/>
      <w:lvlJc w:val="left"/>
      <w:pPr>
        <w:ind w:left="5732" w:hanging="686"/>
      </w:pPr>
      <w:rPr>
        <w:rFonts w:hint="default"/>
      </w:rPr>
    </w:lvl>
    <w:lvl w:ilvl="6">
      <w:start w:val="0"/>
      <w:numFmt w:val="bullet"/>
      <w:lvlText w:val="•"/>
      <w:lvlJc w:val="left"/>
      <w:pPr>
        <w:ind w:left="6678" w:hanging="686"/>
      </w:pPr>
      <w:rPr>
        <w:rFonts w:hint="default"/>
      </w:rPr>
    </w:lvl>
    <w:lvl w:ilvl="7">
      <w:start w:val="0"/>
      <w:numFmt w:val="bullet"/>
      <w:lvlText w:val="•"/>
      <w:lvlJc w:val="left"/>
      <w:pPr>
        <w:ind w:left="7625" w:hanging="686"/>
      </w:pPr>
      <w:rPr>
        <w:rFonts w:hint="default"/>
      </w:rPr>
    </w:lvl>
    <w:lvl w:ilvl="8">
      <w:start w:val="0"/>
      <w:numFmt w:val="bullet"/>
      <w:lvlText w:val="•"/>
      <w:lvlJc w:val="left"/>
      <w:pPr>
        <w:ind w:left="8571" w:hanging="686"/>
      </w:pPr>
      <w:rPr>
        <w:rFonts w:hint="default"/>
      </w:rPr>
    </w:lvl>
  </w:abstractNum>
  <w:abstractNum w:abstractNumId="8">
    <w:multiLevelType w:val="hybridMultilevel"/>
    <w:lvl w:ilvl="0">
      <w:start w:val="3"/>
      <w:numFmt w:val="decimal"/>
      <w:lvlText w:val="%1"/>
      <w:lvlJc w:val="left"/>
      <w:pPr>
        <w:ind w:left="2986" w:hanging="797"/>
        <w:jc w:val="left"/>
      </w:pPr>
      <w:rPr>
        <w:rFonts w:hint="default"/>
      </w:rPr>
    </w:lvl>
    <w:lvl w:ilvl="1">
      <w:start w:val="2"/>
      <w:numFmt w:val="decimal"/>
      <w:lvlText w:val="%1.%2"/>
      <w:lvlJc w:val="left"/>
      <w:pPr>
        <w:ind w:left="2986" w:hanging="797"/>
        <w:jc w:val="left"/>
      </w:pPr>
      <w:rPr>
        <w:rFonts w:hint="default" w:ascii="宋体" w:hAnsi="宋体" w:eastAsia="宋体" w:cs="宋体"/>
        <w:b/>
        <w:bCs/>
        <w:w w:val="99"/>
        <w:sz w:val="21"/>
        <w:szCs w:val="21"/>
      </w:rPr>
    </w:lvl>
    <w:lvl w:ilvl="2">
      <w:start w:val="0"/>
      <w:numFmt w:val="bullet"/>
      <w:lvlText w:val="•"/>
      <w:lvlJc w:val="left"/>
      <w:pPr>
        <w:ind w:left="4476" w:hanging="797"/>
      </w:pPr>
      <w:rPr>
        <w:rFonts w:hint="default"/>
      </w:rPr>
    </w:lvl>
    <w:lvl w:ilvl="3">
      <w:start w:val="0"/>
      <w:numFmt w:val="bullet"/>
      <w:lvlText w:val="•"/>
      <w:lvlJc w:val="left"/>
      <w:pPr>
        <w:ind w:left="5225" w:hanging="797"/>
      </w:pPr>
      <w:rPr>
        <w:rFonts w:hint="default"/>
      </w:rPr>
    </w:lvl>
    <w:lvl w:ilvl="4">
      <w:start w:val="0"/>
      <w:numFmt w:val="bullet"/>
      <w:lvlText w:val="•"/>
      <w:lvlJc w:val="left"/>
      <w:pPr>
        <w:ind w:left="5973" w:hanging="797"/>
      </w:pPr>
      <w:rPr>
        <w:rFonts w:hint="default"/>
      </w:rPr>
    </w:lvl>
    <w:lvl w:ilvl="5">
      <w:start w:val="0"/>
      <w:numFmt w:val="bullet"/>
      <w:lvlText w:val="•"/>
      <w:lvlJc w:val="left"/>
      <w:pPr>
        <w:ind w:left="6722" w:hanging="797"/>
      </w:pPr>
      <w:rPr>
        <w:rFonts w:hint="default"/>
      </w:rPr>
    </w:lvl>
    <w:lvl w:ilvl="6">
      <w:start w:val="0"/>
      <w:numFmt w:val="bullet"/>
      <w:lvlText w:val="•"/>
      <w:lvlJc w:val="left"/>
      <w:pPr>
        <w:ind w:left="7470" w:hanging="797"/>
      </w:pPr>
      <w:rPr>
        <w:rFonts w:hint="default"/>
      </w:rPr>
    </w:lvl>
    <w:lvl w:ilvl="7">
      <w:start w:val="0"/>
      <w:numFmt w:val="bullet"/>
      <w:lvlText w:val="•"/>
      <w:lvlJc w:val="left"/>
      <w:pPr>
        <w:ind w:left="8219" w:hanging="797"/>
      </w:pPr>
      <w:rPr>
        <w:rFonts w:hint="default"/>
      </w:rPr>
    </w:lvl>
    <w:lvl w:ilvl="8">
      <w:start w:val="0"/>
      <w:numFmt w:val="bullet"/>
      <w:lvlText w:val="•"/>
      <w:lvlJc w:val="left"/>
      <w:pPr>
        <w:ind w:left="8967" w:hanging="797"/>
      </w:pPr>
      <w:rPr>
        <w:rFonts w:hint="default"/>
      </w:rPr>
    </w:lvl>
  </w:abstractNum>
  <w:abstractNum w:abstractNumId="7">
    <w:multiLevelType w:val="hybridMultilevel"/>
    <w:lvl w:ilvl="0">
      <w:start w:val="2"/>
      <w:numFmt w:val="decimal"/>
      <w:lvlText w:val="%1"/>
      <w:lvlJc w:val="left"/>
      <w:pPr>
        <w:ind w:left="1006" w:hanging="797"/>
        <w:jc w:val="left"/>
      </w:pPr>
      <w:rPr>
        <w:rFonts w:hint="default"/>
      </w:rPr>
    </w:lvl>
    <w:lvl w:ilvl="1">
      <w:start w:val="1"/>
      <w:numFmt w:val="decimal"/>
      <w:lvlText w:val="%1.%2"/>
      <w:lvlJc w:val="left"/>
      <w:pPr>
        <w:ind w:left="2886" w:hanging="797"/>
        <w:jc w:val="right"/>
      </w:pPr>
      <w:rPr>
        <w:rFonts w:hint="default"/>
        <w:b/>
        <w:bCs/>
        <w:w w:val="99"/>
      </w:rPr>
    </w:lvl>
    <w:lvl w:ilvl="2">
      <w:start w:val="0"/>
      <w:numFmt w:val="bullet"/>
      <w:lvlText w:val="•"/>
      <w:lvlJc w:val="left"/>
      <w:pPr>
        <w:ind w:left="3722" w:hanging="797"/>
      </w:pPr>
      <w:rPr>
        <w:rFonts w:hint="default"/>
      </w:rPr>
    </w:lvl>
    <w:lvl w:ilvl="3">
      <w:start w:val="0"/>
      <w:numFmt w:val="bullet"/>
      <w:lvlText w:val="•"/>
      <w:lvlJc w:val="left"/>
      <w:pPr>
        <w:ind w:left="4565" w:hanging="797"/>
      </w:pPr>
      <w:rPr>
        <w:rFonts w:hint="default"/>
      </w:rPr>
    </w:lvl>
    <w:lvl w:ilvl="4">
      <w:start w:val="0"/>
      <w:numFmt w:val="bullet"/>
      <w:lvlText w:val="•"/>
      <w:lvlJc w:val="left"/>
      <w:pPr>
        <w:ind w:left="5408" w:hanging="797"/>
      </w:pPr>
      <w:rPr>
        <w:rFonts w:hint="default"/>
      </w:rPr>
    </w:lvl>
    <w:lvl w:ilvl="5">
      <w:start w:val="0"/>
      <w:numFmt w:val="bullet"/>
      <w:lvlText w:val="•"/>
      <w:lvlJc w:val="left"/>
      <w:pPr>
        <w:ind w:left="6250" w:hanging="797"/>
      </w:pPr>
      <w:rPr>
        <w:rFonts w:hint="default"/>
      </w:rPr>
    </w:lvl>
    <w:lvl w:ilvl="6">
      <w:start w:val="0"/>
      <w:numFmt w:val="bullet"/>
      <w:lvlText w:val="•"/>
      <w:lvlJc w:val="left"/>
      <w:pPr>
        <w:ind w:left="7093" w:hanging="797"/>
      </w:pPr>
      <w:rPr>
        <w:rFonts w:hint="default"/>
      </w:rPr>
    </w:lvl>
    <w:lvl w:ilvl="7">
      <w:start w:val="0"/>
      <w:numFmt w:val="bullet"/>
      <w:lvlText w:val="•"/>
      <w:lvlJc w:val="left"/>
      <w:pPr>
        <w:ind w:left="7936" w:hanging="797"/>
      </w:pPr>
      <w:rPr>
        <w:rFonts w:hint="default"/>
      </w:rPr>
    </w:lvl>
    <w:lvl w:ilvl="8">
      <w:start w:val="0"/>
      <w:numFmt w:val="bullet"/>
      <w:lvlText w:val="•"/>
      <w:lvlJc w:val="left"/>
      <w:pPr>
        <w:ind w:left="8778" w:hanging="797"/>
      </w:pPr>
      <w:rPr>
        <w:rFonts w:hint="default"/>
      </w:rPr>
    </w:lvl>
  </w:abstractNum>
  <w:abstractNum w:abstractNumId="6">
    <w:multiLevelType w:val="hybridMultilevel"/>
    <w:lvl w:ilvl="0">
      <w:start w:val="1"/>
      <w:numFmt w:val="decimal"/>
      <w:lvlText w:val="%1"/>
      <w:lvlJc w:val="left"/>
      <w:pPr>
        <w:ind w:left="2986" w:hanging="797"/>
        <w:jc w:val="left"/>
      </w:pPr>
      <w:rPr>
        <w:rFonts w:hint="default"/>
      </w:rPr>
    </w:lvl>
    <w:lvl w:ilvl="1">
      <w:start w:val="1"/>
      <w:numFmt w:val="decimal"/>
      <w:lvlText w:val="%1.%2"/>
      <w:lvlJc w:val="left"/>
      <w:pPr>
        <w:ind w:left="2986" w:hanging="797"/>
        <w:jc w:val="left"/>
      </w:pPr>
      <w:rPr>
        <w:rFonts w:hint="default" w:ascii="宋体" w:hAnsi="宋体" w:eastAsia="宋体" w:cs="宋体"/>
        <w:b/>
        <w:bCs/>
        <w:w w:val="99"/>
        <w:sz w:val="21"/>
        <w:szCs w:val="21"/>
      </w:rPr>
    </w:lvl>
    <w:lvl w:ilvl="2">
      <w:start w:val="0"/>
      <w:numFmt w:val="bullet"/>
      <w:lvlText w:val="•"/>
      <w:lvlJc w:val="left"/>
      <w:pPr>
        <w:ind w:left="4476" w:hanging="797"/>
      </w:pPr>
      <w:rPr>
        <w:rFonts w:hint="default"/>
      </w:rPr>
    </w:lvl>
    <w:lvl w:ilvl="3">
      <w:start w:val="0"/>
      <w:numFmt w:val="bullet"/>
      <w:lvlText w:val="•"/>
      <w:lvlJc w:val="left"/>
      <w:pPr>
        <w:ind w:left="5225" w:hanging="797"/>
      </w:pPr>
      <w:rPr>
        <w:rFonts w:hint="default"/>
      </w:rPr>
    </w:lvl>
    <w:lvl w:ilvl="4">
      <w:start w:val="0"/>
      <w:numFmt w:val="bullet"/>
      <w:lvlText w:val="•"/>
      <w:lvlJc w:val="left"/>
      <w:pPr>
        <w:ind w:left="5973" w:hanging="797"/>
      </w:pPr>
      <w:rPr>
        <w:rFonts w:hint="default"/>
      </w:rPr>
    </w:lvl>
    <w:lvl w:ilvl="5">
      <w:start w:val="0"/>
      <w:numFmt w:val="bullet"/>
      <w:lvlText w:val="•"/>
      <w:lvlJc w:val="left"/>
      <w:pPr>
        <w:ind w:left="6722" w:hanging="797"/>
      </w:pPr>
      <w:rPr>
        <w:rFonts w:hint="default"/>
      </w:rPr>
    </w:lvl>
    <w:lvl w:ilvl="6">
      <w:start w:val="0"/>
      <w:numFmt w:val="bullet"/>
      <w:lvlText w:val="•"/>
      <w:lvlJc w:val="left"/>
      <w:pPr>
        <w:ind w:left="7470" w:hanging="797"/>
      </w:pPr>
      <w:rPr>
        <w:rFonts w:hint="default"/>
      </w:rPr>
    </w:lvl>
    <w:lvl w:ilvl="7">
      <w:start w:val="0"/>
      <w:numFmt w:val="bullet"/>
      <w:lvlText w:val="•"/>
      <w:lvlJc w:val="left"/>
      <w:pPr>
        <w:ind w:left="8219" w:hanging="797"/>
      </w:pPr>
      <w:rPr>
        <w:rFonts w:hint="default"/>
      </w:rPr>
    </w:lvl>
    <w:lvl w:ilvl="8">
      <w:start w:val="0"/>
      <w:numFmt w:val="bullet"/>
      <w:lvlText w:val="•"/>
      <w:lvlJc w:val="left"/>
      <w:pPr>
        <w:ind w:left="8967" w:hanging="797"/>
      </w:pPr>
      <w:rPr>
        <w:rFonts w:hint="default"/>
      </w:rPr>
    </w:lvl>
  </w:abstractNum>
  <w:abstractNum w:abstractNumId="5">
    <w:multiLevelType w:val="hybridMultilevel"/>
    <w:lvl w:ilvl="0">
      <w:start w:val="11"/>
      <w:numFmt w:val="decimal"/>
      <w:lvlText w:val="%1"/>
      <w:lvlJc w:val="left"/>
      <w:pPr>
        <w:ind w:left="1442" w:hanging="525"/>
        <w:jc w:val="left"/>
      </w:pPr>
      <w:rPr>
        <w:rFonts w:hint="default"/>
      </w:rPr>
    </w:lvl>
    <w:lvl w:ilvl="1">
      <w:start w:val="2"/>
      <w:numFmt w:val="decimal"/>
      <w:lvlText w:val="%1.%2"/>
      <w:lvlJc w:val="left"/>
      <w:pPr>
        <w:ind w:left="1442" w:hanging="525"/>
        <w:jc w:val="left"/>
      </w:pPr>
      <w:rPr>
        <w:rFonts w:hint="default" w:ascii="宋体" w:hAnsi="宋体" w:eastAsia="宋体" w:cs="宋体"/>
        <w:spacing w:val="-1"/>
        <w:w w:val="100"/>
        <w:sz w:val="21"/>
        <w:szCs w:val="21"/>
      </w:rPr>
    </w:lvl>
    <w:lvl w:ilvl="2">
      <w:start w:val="0"/>
      <w:numFmt w:val="bullet"/>
      <w:lvlText w:val="•"/>
      <w:lvlJc w:val="left"/>
      <w:pPr>
        <w:ind w:left="1975" w:hanging="525"/>
      </w:pPr>
      <w:rPr>
        <w:rFonts w:hint="default"/>
      </w:rPr>
    </w:lvl>
    <w:lvl w:ilvl="3">
      <w:start w:val="0"/>
      <w:numFmt w:val="bullet"/>
      <w:lvlText w:val="•"/>
      <w:lvlJc w:val="left"/>
      <w:pPr>
        <w:ind w:left="2243" w:hanging="525"/>
      </w:pPr>
      <w:rPr>
        <w:rFonts w:hint="default"/>
      </w:rPr>
    </w:lvl>
    <w:lvl w:ilvl="4">
      <w:start w:val="0"/>
      <w:numFmt w:val="bullet"/>
      <w:lvlText w:val="•"/>
      <w:lvlJc w:val="left"/>
      <w:pPr>
        <w:ind w:left="2511" w:hanging="525"/>
      </w:pPr>
      <w:rPr>
        <w:rFonts w:hint="default"/>
      </w:rPr>
    </w:lvl>
    <w:lvl w:ilvl="5">
      <w:start w:val="0"/>
      <w:numFmt w:val="bullet"/>
      <w:lvlText w:val="•"/>
      <w:lvlJc w:val="left"/>
      <w:pPr>
        <w:ind w:left="2779" w:hanging="525"/>
      </w:pPr>
      <w:rPr>
        <w:rFonts w:hint="default"/>
      </w:rPr>
    </w:lvl>
    <w:lvl w:ilvl="6">
      <w:start w:val="0"/>
      <w:numFmt w:val="bullet"/>
      <w:lvlText w:val="•"/>
      <w:lvlJc w:val="left"/>
      <w:pPr>
        <w:ind w:left="3047" w:hanging="525"/>
      </w:pPr>
      <w:rPr>
        <w:rFonts w:hint="default"/>
      </w:rPr>
    </w:lvl>
    <w:lvl w:ilvl="7">
      <w:start w:val="0"/>
      <w:numFmt w:val="bullet"/>
      <w:lvlText w:val="•"/>
      <w:lvlJc w:val="left"/>
      <w:pPr>
        <w:ind w:left="3315" w:hanging="525"/>
      </w:pPr>
      <w:rPr>
        <w:rFonts w:hint="default"/>
      </w:rPr>
    </w:lvl>
    <w:lvl w:ilvl="8">
      <w:start w:val="0"/>
      <w:numFmt w:val="bullet"/>
      <w:lvlText w:val="•"/>
      <w:lvlJc w:val="left"/>
      <w:pPr>
        <w:ind w:left="3583" w:hanging="525"/>
      </w:pPr>
      <w:rPr>
        <w:rFonts w:hint="default"/>
      </w:rPr>
    </w:lvl>
  </w:abstractNum>
  <w:abstractNum w:abstractNumId="4">
    <w:multiLevelType w:val="hybridMultilevel"/>
    <w:lvl w:ilvl="0">
      <w:start w:val="3"/>
      <w:numFmt w:val="decimal"/>
      <w:lvlText w:val="%1"/>
      <w:lvlJc w:val="left"/>
      <w:pPr>
        <w:ind w:left="1742" w:hanging="420"/>
        <w:jc w:val="left"/>
      </w:pPr>
      <w:rPr>
        <w:rFonts w:hint="default"/>
      </w:rPr>
    </w:lvl>
    <w:lvl w:ilvl="1">
      <w:start w:val="1"/>
      <w:numFmt w:val="decimal"/>
      <w:lvlText w:val="%1.%2"/>
      <w:lvlJc w:val="left"/>
      <w:pPr>
        <w:ind w:left="1742" w:hanging="420"/>
        <w:jc w:val="left"/>
      </w:pPr>
      <w:rPr>
        <w:rFonts w:hint="default" w:ascii="宋体" w:hAnsi="宋体" w:eastAsia="宋体" w:cs="宋体"/>
        <w:spacing w:val="-1"/>
        <w:w w:val="100"/>
        <w:sz w:val="21"/>
        <w:szCs w:val="21"/>
      </w:rPr>
    </w:lvl>
    <w:lvl w:ilvl="2">
      <w:start w:val="0"/>
      <w:numFmt w:val="bullet"/>
      <w:lvlText w:val="•"/>
      <w:lvlJc w:val="left"/>
      <w:pPr>
        <w:ind w:left="1992" w:hanging="420"/>
      </w:pPr>
      <w:rPr>
        <w:rFonts w:hint="default"/>
      </w:rPr>
    </w:lvl>
    <w:lvl w:ilvl="3">
      <w:start w:val="0"/>
      <w:numFmt w:val="bullet"/>
      <w:lvlText w:val="•"/>
      <w:lvlJc w:val="left"/>
      <w:pPr>
        <w:ind w:left="2118" w:hanging="420"/>
      </w:pPr>
      <w:rPr>
        <w:rFonts w:hint="default"/>
      </w:rPr>
    </w:lvl>
    <w:lvl w:ilvl="4">
      <w:start w:val="0"/>
      <w:numFmt w:val="bullet"/>
      <w:lvlText w:val="•"/>
      <w:lvlJc w:val="left"/>
      <w:pPr>
        <w:ind w:left="2245" w:hanging="420"/>
      </w:pPr>
      <w:rPr>
        <w:rFonts w:hint="default"/>
      </w:rPr>
    </w:lvl>
    <w:lvl w:ilvl="5">
      <w:start w:val="0"/>
      <w:numFmt w:val="bullet"/>
      <w:lvlText w:val="•"/>
      <w:lvlJc w:val="left"/>
      <w:pPr>
        <w:ind w:left="2371" w:hanging="420"/>
      </w:pPr>
      <w:rPr>
        <w:rFonts w:hint="default"/>
      </w:rPr>
    </w:lvl>
    <w:lvl w:ilvl="6">
      <w:start w:val="0"/>
      <w:numFmt w:val="bullet"/>
      <w:lvlText w:val="•"/>
      <w:lvlJc w:val="left"/>
      <w:pPr>
        <w:ind w:left="2497" w:hanging="420"/>
      </w:pPr>
      <w:rPr>
        <w:rFonts w:hint="default"/>
      </w:rPr>
    </w:lvl>
    <w:lvl w:ilvl="7">
      <w:start w:val="0"/>
      <w:numFmt w:val="bullet"/>
      <w:lvlText w:val="•"/>
      <w:lvlJc w:val="left"/>
      <w:pPr>
        <w:ind w:left="2623" w:hanging="420"/>
      </w:pPr>
      <w:rPr>
        <w:rFonts w:hint="default"/>
      </w:rPr>
    </w:lvl>
    <w:lvl w:ilvl="8">
      <w:start w:val="0"/>
      <w:numFmt w:val="bullet"/>
      <w:lvlText w:val="•"/>
      <w:lvlJc w:val="left"/>
      <w:pPr>
        <w:ind w:left="2750" w:hanging="420"/>
      </w:pPr>
      <w:rPr>
        <w:rFonts w:hint="default"/>
      </w:rPr>
    </w:lvl>
  </w:abstractNum>
  <w:abstractNum w:abstractNumId="3">
    <w:multiLevelType w:val="hybridMultilevel"/>
    <w:lvl w:ilvl="0">
      <w:start w:val="9"/>
      <w:numFmt w:val="decimal"/>
      <w:lvlText w:val="%1"/>
      <w:lvlJc w:val="left"/>
      <w:pPr>
        <w:ind w:left="1728" w:hanging="442"/>
        <w:jc w:val="left"/>
      </w:pPr>
      <w:rPr>
        <w:rFonts w:hint="default"/>
      </w:rPr>
    </w:lvl>
    <w:lvl w:ilvl="1">
      <w:start w:val="1"/>
      <w:numFmt w:val="decimal"/>
      <w:lvlText w:val="%1.%2"/>
      <w:lvlJc w:val="left"/>
      <w:pPr>
        <w:ind w:left="1728" w:hanging="442"/>
        <w:jc w:val="left"/>
      </w:pPr>
      <w:rPr>
        <w:rFonts w:hint="default" w:ascii="宋体" w:hAnsi="宋体" w:eastAsia="宋体" w:cs="宋体"/>
        <w:spacing w:val="-1"/>
        <w:w w:val="100"/>
        <w:sz w:val="21"/>
        <w:szCs w:val="21"/>
      </w:rPr>
    </w:lvl>
    <w:lvl w:ilvl="2">
      <w:start w:val="0"/>
      <w:numFmt w:val="bullet"/>
      <w:lvlText w:val="•"/>
      <w:lvlJc w:val="left"/>
      <w:pPr>
        <w:ind w:left="2280" w:hanging="442"/>
      </w:pPr>
      <w:rPr>
        <w:rFonts w:hint="default"/>
      </w:rPr>
    </w:lvl>
    <w:lvl w:ilvl="3">
      <w:start w:val="0"/>
      <w:numFmt w:val="bullet"/>
      <w:lvlText w:val="•"/>
      <w:lvlJc w:val="left"/>
      <w:pPr>
        <w:ind w:left="2561" w:hanging="442"/>
      </w:pPr>
      <w:rPr>
        <w:rFonts w:hint="default"/>
      </w:rPr>
    </w:lvl>
    <w:lvl w:ilvl="4">
      <w:start w:val="0"/>
      <w:numFmt w:val="bullet"/>
      <w:lvlText w:val="•"/>
      <w:lvlJc w:val="left"/>
      <w:pPr>
        <w:ind w:left="2841" w:hanging="442"/>
      </w:pPr>
      <w:rPr>
        <w:rFonts w:hint="default"/>
      </w:rPr>
    </w:lvl>
    <w:lvl w:ilvl="5">
      <w:start w:val="0"/>
      <w:numFmt w:val="bullet"/>
      <w:lvlText w:val="•"/>
      <w:lvlJc w:val="left"/>
      <w:pPr>
        <w:ind w:left="3122" w:hanging="442"/>
      </w:pPr>
      <w:rPr>
        <w:rFonts w:hint="default"/>
      </w:rPr>
    </w:lvl>
    <w:lvl w:ilvl="6">
      <w:start w:val="0"/>
      <w:numFmt w:val="bullet"/>
      <w:lvlText w:val="•"/>
      <w:lvlJc w:val="left"/>
      <w:pPr>
        <w:ind w:left="3402" w:hanging="442"/>
      </w:pPr>
      <w:rPr>
        <w:rFonts w:hint="default"/>
      </w:rPr>
    </w:lvl>
    <w:lvl w:ilvl="7">
      <w:start w:val="0"/>
      <w:numFmt w:val="bullet"/>
      <w:lvlText w:val="•"/>
      <w:lvlJc w:val="left"/>
      <w:pPr>
        <w:ind w:left="3683" w:hanging="442"/>
      </w:pPr>
      <w:rPr>
        <w:rFonts w:hint="default"/>
      </w:rPr>
    </w:lvl>
    <w:lvl w:ilvl="8">
      <w:start w:val="0"/>
      <w:numFmt w:val="bullet"/>
      <w:lvlText w:val="•"/>
      <w:lvlJc w:val="left"/>
      <w:pPr>
        <w:ind w:left="3963" w:hanging="442"/>
      </w:pPr>
      <w:rPr>
        <w:rFonts w:hint="default"/>
      </w:rPr>
    </w:lvl>
  </w:abstractNum>
  <w:abstractNum w:abstractNumId="2">
    <w:multiLevelType w:val="hybridMultilevel"/>
    <w:lvl w:ilvl="0">
      <w:start w:val="4"/>
      <w:numFmt w:val="decimal"/>
      <w:lvlText w:val="%1"/>
      <w:lvlJc w:val="left"/>
      <w:pPr>
        <w:ind w:left="1106" w:hanging="421"/>
        <w:jc w:val="left"/>
      </w:pPr>
      <w:rPr>
        <w:rFonts w:hint="default"/>
      </w:rPr>
    </w:lvl>
    <w:lvl w:ilvl="1">
      <w:start w:val="1"/>
      <w:numFmt w:val="decimal"/>
      <w:lvlText w:val="%1.%2"/>
      <w:lvlJc w:val="left"/>
      <w:pPr>
        <w:ind w:left="1106" w:hanging="421"/>
        <w:jc w:val="left"/>
      </w:pPr>
      <w:rPr>
        <w:rFonts w:hint="default" w:ascii="宋体" w:hAnsi="宋体" w:eastAsia="宋体" w:cs="宋体"/>
        <w:spacing w:val="-1"/>
        <w:w w:val="100"/>
        <w:sz w:val="21"/>
        <w:szCs w:val="21"/>
      </w:rPr>
    </w:lvl>
    <w:lvl w:ilvl="2">
      <w:start w:val="0"/>
      <w:numFmt w:val="bullet"/>
      <w:lvlText w:val="•"/>
      <w:lvlJc w:val="left"/>
      <w:pPr>
        <w:ind w:left="1353"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606" w:hanging="421"/>
      </w:pPr>
      <w:rPr>
        <w:rFonts w:hint="default"/>
      </w:rPr>
    </w:lvl>
    <w:lvl w:ilvl="5">
      <w:start w:val="0"/>
      <w:numFmt w:val="bullet"/>
      <w:lvlText w:val="•"/>
      <w:lvlJc w:val="left"/>
      <w:pPr>
        <w:ind w:left="1733" w:hanging="421"/>
      </w:pPr>
      <w:rPr>
        <w:rFonts w:hint="default"/>
      </w:rPr>
    </w:lvl>
    <w:lvl w:ilvl="6">
      <w:start w:val="0"/>
      <w:numFmt w:val="bullet"/>
      <w:lvlText w:val="•"/>
      <w:lvlJc w:val="left"/>
      <w:pPr>
        <w:ind w:left="1859" w:hanging="421"/>
      </w:pPr>
      <w:rPr>
        <w:rFonts w:hint="default"/>
      </w:rPr>
    </w:lvl>
    <w:lvl w:ilvl="7">
      <w:start w:val="0"/>
      <w:numFmt w:val="bullet"/>
      <w:lvlText w:val="•"/>
      <w:lvlJc w:val="left"/>
      <w:pPr>
        <w:ind w:left="1986" w:hanging="421"/>
      </w:pPr>
      <w:rPr>
        <w:rFonts w:hint="default"/>
      </w:rPr>
    </w:lvl>
    <w:lvl w:ilvl="8">
      <w:start w:val="0"/>
      <w:numFmt w:val="bullet"/>
      <w:lvlText w:val="•"/>
      <w:lvlJc w:val="left"/>
      <w:pPr>
        <w:ind w:left="2112" w:hanging="421"/>
      </w:pPr>
      <w:rPr>
        <w:rFonts w:hint="default"/>
      </w:rPr>
    </w:lvl>
  </w:abstractNum>
  <w:abstractNum w:abstractNumId="1">
    <w:multiLevelType w:val="hybridMultilevel"/>
    <w:lvl w:ilvl="0">
      <w:start w:val="1"/>
      <w:numFmt w:val="decimal"/>
      <w:lvlText w:val="%1"/>
      <w:lvlJc w:val="left"/>
      <w:pPr>
        <w:ind w:left="1742" w:hanging="420"/>
        <w:jc w:val="left"/>
      </w:pPr>
      <w:rPr>
        <w:rFonts w:hint="default"/>
      </w:rPr>
    </w:lvl>
    <w:lvl w:ilvl="1">
      <w:start w:val="1"/>
      <w:numFmt w:val="decimal"/>
      <w:lvlText w:val="%1.%2"/>
      <w:lvlJc w:val="left"/>
      <w:pPr>
        <w:ind w:left="1742" w:hanging="420"/>
        <w:jc w:val="left"/>
      </w:pPr>
      <w:rPr>
        <w:rFonts w:hint="default" w:ascii="宋体" w:hAnsi="宋体" w:eastAsia="宋体" w:cs="宋体"/>
        <w:spacing w:val="-1"/>
        <w:w w:val="100"/>
        <w:sz w:val="21"/>
        <w:szCs w:val="21"/>
      </w:rPr>
    </w:lvl>
    <w:lvl w:ilvl="2">
      <w:start w:val="0"/>
      <w:numFmt w:val="bullet"/>
      <w:lvlText w:val="•"/>
      <w:lvlJc w:val="left"/>
      <w:pPr>
        <w:ind w:left="2120" w:hanging="420"/>
      </w:pPr>
      <w:rPr>
        <w:rFonts w:hint="default"/>
      </w:rPr>
    </w:lvl>
    <w:lvl w:ilvl="3">
      <w:start w:val="0"/>
      <w:numFmt w:val="bullet"/>
      <w:lvlText w:val="•"/>
      <w:lvlJc w:val="left"/>
      <w:pPr>
        <w:ind w:left="2310" w:hanging="420"/>
      </w:pPr>
      <w:rPr>
        <w:rFonts w:hint="default"/>
      </w:rPr>
    </w:lvl>
    <w:lvl w:ilvl="4">
      <w:start w:val="0"/>
      <w:numFmt w:val="bullet"/>
      <w:lvlText w:val="•"/>
      <w:lvlJc w:val="left"/>
      <w:pPr>
        <w:ind w:left="2500" w:hanging="420"/>
      </w:pPr>
      <w:rPr>
        <w:rFonts w:hint="default"/>
      </w:rPr>
    </w:lvl>
    <w:lvl w:ilvl="5">
      <w:start w:val="0"/>
      <w:numFmt w:val="bullet"/>
      <w:lvlText w:val="•"/>
      <w:lvlJc w:val="left"/>
      <w:pPr>
        <w:ind w:left="2691" w:hanging="420"/>
      </w:pPr>
      <w:rPr>
        <w:rFonts w:hint="default"/>
      </w:rPr>
    </w:lvl>
    <w:lvl w:ilvl="6">
      <w:start w:val="0"/>
      <w:numFmt w:val="bullet"/>
      <w:lvlText w:val="•"/>
      <w:lvlJc w:val="left"/>
      <w:pPr>
        <w:ind w:left="2881" w:hanging="420"/>
      </w:pPr>
      <w:rPr>
        <w:rFonts w:hint="default"/>
      </w:rPr>
    </w:lvl>
    <w:lvl w:ilvl="7">
      <w:start w:val="0"/>
      <w:numFmt w:val="bullet"/>
      <w:lvlText w:val="•"/>
      <w:lvlJc w:val="left"/>
      <w:pPr>
        <w:ind w:left="3071" w:hanging="420"/>
      </w:pPr>
      <w:rPr>
        <w:rFonts w:hint="default"/>
      </w:rPr>
    </w:lvl>
    <w:lvl w:ilvl="8">
      <w:start w:val="0"/>
      <w:numFmt w:val="bullet"/>
      <w:lvlText w:val="•"/>
      <w:lvlJc w:val="left"/>
      <w:pPr>
        <w:ind w:left="3261" w:hanging="420"/>
      </w:pPr>
      <w:rPr>
        <w:rFonts w:hint="default"/>
      </w:rPr>
    </w:lvl>
  </w:abstractNum>
  <w:abstractNum w:abstractNumId="0">
    <w:multiLevelType w:val="hybridMultilevel"/>
    <w:lvl w:ilvl="0">
      <w:start w:val="0"/>
      <w:numFmt w:val="bullet"/>
      <w:lvlText w:val="❖"/>
      <w:lvlJc w:val="left"/>
      <w:pPr>
        <w:ind w:left="1685" w:hanging="447"/>
      </w:pPr>
      <w:rPr>
        <w:rFonts w:hint="default" w:ascii="MS UI Gothic" w:hAnsi="MS UI Gothic" w:eastAsia="MS UI Gothic" w:cs="MS UI Gothic"/>
        <w:w w:val="89"/>
        <w:sz w:val="21"/>
        <w:szCs w:val="21"/>
      </w:rPr>
    </w:lvl>
    <w:lvl w:ilvl="1">
      <w:start w:val="0"/>
      <w:numFmt w:val="bullet"/>
      <w:lvlText w:val="•"/>
      <w:lvlJc w:val="left"/>
      <w:pPr>
        <w:ind w:left="2616" w:hanging="447"/>
      </w:pPr>
      <w:rPr>
        <w:rFonts w:hint="default"/>
      </w:rPr>
    </w:lvl>
    <w:lvl w:ilvl="2">
      <w:start w:val="0"/>
      <w:numFmt w:val="bullet"/>
      <w:lvlText w:val="•"/>
      <w:lvlJc w:val="left"/>
      <w:pPr>
        <w:ind w:left="3552" w:hanging="447"/>
      </w:pPr>
      <w:rPr>
        <w:rFonts w:hint="default"/>
      </w:rPr>
    </w:lvl>
    <w:lvl w:ilvl="3">
      <w:start w:val="0"/>
      <w:numFmt w:val="bullet"/>
      <w:lvlText w:val="•"/>
      <w:lvlJc w:val="left"/>
      <w:pPr>
        <w:ind w:left="4489" w:hanging="447"/>
      </w:pPr>
      <w:rPr>
        <w:rFonts w:hint="default"/>
      </w:rPr>
    </w:lvl>
    <w:lvl w:ilvl="4">
      <w:start w:val="0"/>
      <w:numFmt w:val="bullet"/>
      <w:lvlText w:val="•"/>
      <w:lvlJc w:val="left"/>
      <w:pPr>
        <w:ind w:left="5425" w:hanging="447"/>
      </w:pPr>
      <w:rPr>
        <w:rFonts w:hint="default"/>
      </w:rPr>
    </w:lvl>
    <w:lvl w:ilvl="5">
      <w:start w:val="0"/>
      <w:numFmt w:val="bullet"/>
      <w:lvlText w:val="•"/>
      <w:lvlJc w:val="left"/>
      <w:pPr>
        <w:ind w:left="6362" w:hanging="447"/>
      </w:pPr>
      <w:rPr>
        <w:rFonts w:hint="default"/>
      </w:rPr>
    </w:lvl>
    <w:lvl w:ilvl="6">
      <w:start w:val="0"/>
      <w:numFmt w:val="bullet"/>
      <w:lvlText w:val="•"/>
      <w:lvlJc w:val="left"/>
      <w:pPr>
        <w:ind w:left="7298" w:hanging="447"/>
      </w:pPr>
      <w:rPr>
        <w:rFonts w:hint="default"/>
      </w:rPr>
    </w:lvl>
    <w:lvl w:ilvl="7">
      <w:start w:val="0"/>
      <w:numFmt w:val="bullet"/>
      <w:lvlText w:val="•"/>
      <w:lvlJc w:val="left"/>
      <w:pPr>
        <w:ind w:left="8235" w:hanging="447"/>
      </w:pPr>
      <w:rPr>
        <w:rFonts w:hint="default"/>
      </w:rPr>
    </w:lvl>
    <w:lvl w:ilvl="8">
      <w:start w:val="0"/>
      <w:numFmt w:val="bullet"/>
      <w:lvlText w:val="•"/>
      <w:lvlJc w:val="left"/>
      <w:pPr>
        <w:ind w:left="9171" w:hanging="447"/>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956"/>
      <w:jc w:val="center"/>
      <w:outlineLvl w:val="1"/>
    </w:pPr>
    <w:rPr>
      <w:rFonts w:ascii="宋体" w:hAnsi="宋体" w:eastAsia="宋体" w:cs="宋体"/>
      <w:b/>
      <w:bCs/>
      <w:sz w:val="44"/>
      <w:szCs w:val="44"/>
    </w:rPr>
  </w:style>
  <w:style w:styleId="Heading2" w:type="paragraph">
    <w:name w:val="Heading 2"/>
    <w:basedOn w:val="Normal"/>
    <w:uiPriority w:val="1"/>
    <w:qFormat/>
    <w:pPr>
      <w:ind w:left="1006"/>
      <w:outlineLvl w:val="2"/>
    </w:pPr>
    <w:rPr>
      <w:rFonts w:ascii="宋体" w:hAnsi="宋体" w:eastAsia="宋体" w:cs="宋体"/>
      <w:b/>
      <w:bCs/>
      <w:sz w:val="24"/>
      <w:szCs w:val="24"/>
    </w:rPr>
  </w:style>
  <w:style w:styleId="Heading3" w:type="paragraph">
    <w:name w:val="Heading 3"/>
    <w:basedOn w:val="Normal"/>
    <w:uiPriority w:val="1"/>
    <w:qFormat/>
    <w:pPr>
      <w:spacing w:before="23"/>
      <w:ind w:left="3096"/>
      <w:outlineLvl w:val="3"/>
    </w:pPr>
    <w:rPr>
      <w:rFonts w:ascii="黑体" w:hAnsi="黑体" w:eastAsia="黑体" w:cs="黑体"/>
      <w:i/>
      <w:sz w:val="22"/>
      <w:szCs w:val="22"/>
    </w:rPr>
  </w:style>
  <w:style w:styleId="Heading4" w:type="paragraph">
    <w:name w:val="Heading 4"/>
    <w:basedOn w:val="Normal"/>
    <w:uiPriority w:val="1"/>
    <w:qFormat/>
    <w:pPr>
      <w:spacing w:before="11"/>
      <w:ind w:left="106"/>
      <w:outlineLvl w:val="4"/>
    </w:pPr>
    <w:rPr>
      <w:rFonts w:ascii="宋体" w:hAnsi="宋体" w:eastAsia="宋体" w:cs="宋体"/>
      <w:b/>
      <w:bCs/>
      <w:sz w:val="21"/>
      <w:szCs w:val="21"/>
    </w:rPr>
  </w:style>
  <w:style w:styleId="ListParagraph" w:type="paragraph">
    <w:name w:val="List Paragraph"/>
    <w:basedOn w:val="Normal"/>
    <w:uiPriority w:val="1"/>
    <w:qFormat/>
    <w:pPr>
      <w:ind w:left="2986" w:hanging="277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&lt;4D6963726F736F667420576F7264202D20323030395F303332BBAACFC4B8A3D3D3D2BBC9FACDC5CCE5D6D8B4F3BCB2B2A1B1A3CFD5CCF5BFEE&gt;</dc:title>
  <dcterms:created xsi:type="dcterms:W3CDTF">2018-10-19T23:09:55Z</dcterms:created>
  <dcterms:modified xsi:type="dcterms:W3CDTF">2018-10-19T23:09:55Z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