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115" w:firstLine="0"/>
        <w:jc w:val="right"/>
        <w:rPr>
          <w:sz w:val="18"/>
        </w:rPr>
      </w:pPr>
      <w:r>
        <w:rPr/>
        <w:drawing>
          <wp:anchor distT="0" distB="0" distL="0" distR="0" allowOverlap="1" layoutInCell="1" locked="0" behindDoc="0" simplePos="0" relativeHeight="1048">
            <wp:simplePos x="0" y="0"/>
            <wp:positionH relativeFrom="page">
              <wp:posOffset>6230620</wp:posOffset>
            </wp:positionH>
            <wp:positionV relativeFrom="paragraph">
              <wp:posOffset>227479</wp:posOffset>
            </wp:positionV>
            <wp:extent cx="724534" cy="7245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4" cy="724534"/>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75714</wp:posOffset>
            </wp:positionV>
            <wp:extent cx="2486025" cy="49784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86025" cy="497840"/>
                    </a:xfrm>
                    <a:prstGeom prst="rect">
                      <a:avLst/>
                    </a:prstGeom>
                  </pic:spPr>
                </pic:pic>
              </a:graphicData>
            </a:graphic>
          </wp:anchor>
        </w:drawing>
      </w:r>
      <w:r>
        <w:rPr>
          <w:sz w:val="18"/>
        </w:rPr>
        <w:t>太平人寿[2009]疾病保险 074 号</w:t>
      </w:r>
    </w:p>
    <w:p>
      <w:pPr>
        <w:pStyle w:val="BodyText"/>
        <w:rPr>
          <w:sz w:val="18"/>
        </w:rPr>
      </w:pPr>
    </w:p>
    <w:p>
      <w:pPr>
        <w:pStyle w:val="BodyText"/>
        <w:rPr>
          <w:sz w:val="18"/>
        </w:rPr>
      </w:pPr>
    </w:p>
    <w:p>
      <w:pPr>
        <w:pStyle w:val="BodyText"/>
        <w:spacing w:before="12"/>
        <w:rPr>
          <w:sz w:val="12"/>
        </w:rPr>
      </w:pPr>
    </w:p>
    <w:p>
      <w:pPr>
        <w:pStyle w:val="BodyText"/>
        <w:ind w:right="20"/>
        <w:jc w:val="center"/>
      </w:pPr>
      <w:r>
        <w:rPr/>
        <w:drawing>
          <wp:anchor distT="0" distB="0" distL="0" distR="0" allowOverlap="1" layoutInCell="1" locked="0" behindDoc="1" simplePos="0" relativeHeight="268413647">
            <wp:simplePos x="0" y="0"/>
            <wp:positionH relativeFrom="page">
              <wp:posOffset>2700654</wp:posOffset>
            </wp:positionH>
            <wp:positionV relativeFrom="paragraph">
              <wp:posOffset>127808</wp:posOffset>
            </wp:positionV>
            <wp:extent cx="2160270" cy="3492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anchor>
        </w:drawing>
      </w:r>
      <w:r>
        <w:rPr>
          <w:w w:val="100"/>
        </w:rPr>
        <w:t>－</w:t>
      </w:r>
    </w:p>
    <w:p>
      <w:pPr>
        <w:pStyle w:val="BodyText"/>
        <w:spacing w:before="3"/>
        <w:rPr>
          <w:sz w:val="29"/>
        </w:rPr>
      </w:pPr>
    </w:p>
    <w:p>
      <w:pPr>
        <w:spacing w:line="196" w:lineRule="exact" w:before="44"/>
        <w:ind w:left="0" w:right="367" w:firstLine="0"/>
        <w:jc w:val="right"/>
        <w:rPr>
          <w:sz w:val="18"/>
        </w:rPr>
      </w:pPr>
      <w:r>
        <w:rPr>
          <w:sz w:val="18"/>
        </w:rPr>
        <w:t>请扫描以查询验证条款</w:t>
      </w:r>
    </w:p>
    <w:p>
      <w:pPr>
        <w:spacing w:line="376" w:lineRule="exact" w:before="0"/>
        <w:ind w:left="2992" w:right="3014" w:firstLine="0"/>
        <w:jc w:val="center"/>
        <w:rPr>
          <w:b/>
          <w:sz w:val="30"/>
        </w:rPr>
      </w:pPr>
      <w:r>
        <w:rPr>
          <w:b/>
          <w:sz w:val="30"/>
        </w:rPr>
        <w:t>太平真爱定期重大疾病保险 </w:t>
      </w:r>
      <w:r>
        <w:rPr>
          <w:rFonts w:ascii="Times New Roman" w:eastAsia="Times New Roman"/>
          <w:b/>
          <w:sz w:val="30"/>
        </w:rPr>
        <w:t>2007 </w:t>
      </w:r>
      <w:r>
        <w:rPr>
          <w:b/>
          <w:sz w:val="30"/>
        </w:rPr>
        <w:t>条款</w:t>
      </w:r>
    </w:p>
    <w:p>
      <w:pPr>
        <w:pStyle w:val="BodyText"/>
        <w:spacing w:before="129"/>
        <w:ind w:left="2992" w:right="3009"/>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rPr>
          <w:sz w:val="27"/>
        </w:rPr>
      </w:pPr>
    </w:p>
    <w:p>
      <w:pPr>
        <w:spacing w:before="0"/>
        <w:ind w:left="2992" w:right="3014" w:firstLine="0"/>
        <w:jc w:val="center"/>
        <w:rPr>
          <w:b/>
          <w:sz w:val="28"/>
        </w:rPr>
      </w:pPr>
      <w:r>
        <w:rPr>
          <w:b/>
          <w:sz w:val="28"/>
        </w:rPr>
        <w:t>特别提示</w:t>
      </w:r>
    </w:p>
    <w:p>
      <w:pPr>
        <w:pStyle w:val="BodyText"/>
        <w:rPr>
          <w:b/>
          <w:sz w:val="28"/>
        </w:rPr>
      </w:pPr>
    </w:p>
    <w:p>
      <w:pPr>
        <w:pStyle w:val="BodyText"/>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3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25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90"/>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90"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0" w:type="dxa"/>
                      </w:tcPr>
                      <w:p>
                        <w:pPr>
                          <w:pStyle w:val="TableParagraph"/>
                          <w:spacing w:line="276" w:lineRule="auto" w:before="185"/>
                          <w:ind w:left="143"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3" w:right="198"/>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本产品保险责任有等待期，请您留意.................................第四条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解除保险合同会给您造成一定的损失，请您慎重决策...............第二十一条</w:t>
      </w:r>
    </w:p>
    <w:p>
      <w:pPr>
        <w:pStyle w:val="BodyText"/>
        <w:rPr>
          <w:sz w:val="26"/>
        </w:rPr>
      </w:pPr>
    </w:p>
    <w:p>
      <w:pPr>
        <w:pStyle w:val="BodyText"/>
        <w:spacing w:before="3"/>
        <w:rPr>
          <w:sz w:val="31"/>
        </w:rPr>
      </w:pPr>
    </w:p>
    <w:p>
      <w:pPr>
        <w:spacing w:line="276" w:lineRule="auto" w:before="1"/>
        <w:ind w:left="1058" w:right="4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2"/>
          <w:w w:val="95"/>
          <w:position w:val="-8"/>
          <w:sz w:val="24"/>
        </w:rPr>
        <w:t>．</w:t>
      </w:r>
      <w:r>
        <w:rPr>
          <w:b/>
          <w:spacing w:val="-168"/>
          <w:w w:val="95"/>
          <w:sz w:val="24"/>
        </w:rPr>
        <w:t>注</w:t>
      </w:r>
      <w:r>
        <w:rPr>
          <w:spacing w:val="-70"/>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before="43"/>
        <w:ind w:left="2992" w:right="3011"/>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460" w:bottom="280" w:left="500" w:right="320"/>
        </w:sectPr>
      </w:pPr>
    </w:p>
    <w:p>
      <w:pPr>
        <w:tabs>
          <w:tab w:pos="1118" w:val="left" w:leader="none"/>
        </w:tabs>
        <w:spacing w:line="314" w:lineRule="exact" w:before="0"/>
        <w:ind w:left="275" w:right="0" w:firstLine="0"/>
        <w:jc w:val="center"/>
        <w:rPr>
          <w:b/>
          <w:sz w:val="24"/>
        </w:rPr>
      </w:pPr>
      <w:r>
        <w:rPr>
          <w:b/>
          <w:sz w:val="24"/>
        </w:rPr>
        <w:t>目</w:t>
        <w:tab/>
        <w:t>录</w:t>
      </w:r>
    </w:p>
    <w:sdt>
      <w:sdtPr>
        <w:docPartObj>
          <w:docPartGallery w:val="Table of Contents"/>
          <w:docPartUnique/>
        </w:docPartObj>
      </w:sdtPr>
      <w:sdtEndPr/>
      <w:sdtContent>
        <w:p>
          <w:pPr>
            <w:pStyle w:val="TOC1"/>
            <w:tabs>
              <w:tab w:pos="1557" w:val="left" w:leader="none"/>
              <w:tab w:pos="9748" w:val="right" w:leader="dot"/>
            </w:tabs>
            <w:spacing w:before="386"/>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826"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826" w:val="left" w:leader="none"/>
              <w:tab w:pos="9747" w:val="right" w:leader="dot"/>
            </w:tabs>
            <w:spacing w:before="62"/>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557" w:val="left" w:leader="none"/>
              <w:tab w:pos="9748"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826" w:val="left" w:leader="none"/>
              <w:tab w:pos="9747" w:val="right" w:leader="dot"/>
            </w:tabs>
            <w:spacing w:before="42"/>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826" w:val="left" w:leader="none"/>
              <w:tab w:pos="9747" w:val="right" w:leader="dot"/>
            </w:tabs>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826" w:val="left" w:leader="none"/>
              <w:tab w:pos="9747" w:val="right" w:leader="dot"/>
            </w:tabs>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55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826" w:val="left" w:leader="none"/>
              <w:tab w:pos="9747" w:val="right" w:leader="dot"/>
            </w:tabs>
            <w:spacing w:before="41"/>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826" w:val="left" w:leader="none"/>
              <w:tab w:pos="9747" w:val="right" w:leader="dot"/>
            </w:tabs>
            <w:spacing w:before="62"/>
            <w:rPr>
              <w:rFonts w:ascii="Times New Roman" w:eastAsia="Times New Roman"/>
            </w:rPr>
          </w:pPr>
          <w:hyperlink w:history="true" w:anchor="_bookmark10">
            <w:r>
              <w:rPr/>
              <w:t>第八条</w:t>
              <w:tab/>
              <w:t>宽限期</w:t>
              <w:tab/>
            </w:r>
            <w:r>
              <w:rPr>
                <w:rFonts w:ascii="Times New Roman" w:eastAsia="Times New Roman"/>
              </w:rPr>
              <w:t>5</w:t>
            </w:r>
          </w:hyperlink>
        </w:p>
        <w:p>
          <w:pPr>
            <w:pStyle w:val="TOC2"/>
            <w:tabs>
              <w:tab w:pos="1826" w:val="left" w:leader="none"/>
              <w:tab w:pos="9747" w:val="right" w:leader="dot"/>
            </w:tabs>
            <w:spacing w:before="62"/>
            <w:rPr>
              <w:rFonts w:ascii="Times New Roman" w:eastAsia="Times New Roman"/>
            </w:rPr>
          </w:pPr>
          <w:hyperlink w:history="true" w:anchor="_bookmark11">
            <w:r>
              <w:rPr/>
              <w:t>第九条</w:t>
              <w:tab/>
              <w:t>保险费率的调整</w:t>
              <w:tab/>
            </w:r>
            <w:r>
              <w:rPr>
                <w:rFonts w:ascii="Times New Roman" w:eastAsia="Times New Roman"/>
              </w:rPr>
              <w:t>5</w:t>
            </w:r>
          </w:hyperlink>
        </w:p>
        <w:p>
          <w:pPr>
            <w:pStyle w:val="TOC1"/>
            <w:tabs>
              <w:tab w:pos="1557" w:val="left" w:leader="none"/>
              <w:tab w:pos="9748" w:val="right" w:leader="dot"/>
            </w:tabs>
            <w:rPr>
              <w:rFonts w:ascii="Times New Roman" w:eastAsia="Times New Roman"/>
            </w:rPr>
          </w:pPr>
          <w:hyperlink w:history="true" w:anchor="_bookmark12">
            <w:r>
              <w:rPr/>
              <w:t>第四部分</w:t>
              <w:tab/>
              <w:t>如何申请保险金</w:t>
              <w:tab/>
            </w:r>
            <w:r>
              <w:rPr>
                <w:rFonts w:ascii="Times New Roman" w:eastAsia="Times New Roman"/>
              </w:rPr>
              <w:t>6</w:t>
            </w:r>
          </w:hyperlink>
        </w:p>
        <w:p>
          <w:pPr>
            <w:pStyle w:val="TOC2"/>
            <w:tabs>
              <w:tab w:pos="1826" w:val="left" w:leader="none"/>
              <w:tab w:pos="9747" w:val="right" w:leader="dot"/>
            </w:tabs>
            <w:spacing w:before="42"/>
            <w:rPr>
              <w:rFonts w:ascii="Times New Roman" w:eastAsia="Times New Roman"/>
            </w:rPr>
          </w:pPr>
          <w:hyperlink w:history="true" w:anchor="_bookmark13">
            <w:r>
              <w:rPr/>
              <w:t>第十条</w:t>
              <w:tab/>
              <w:t>受益人</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4">
            <w:r>
              <w:rPr/>
              <w:t>第十一条</w:t>
              <w:tab/>
              <w:t>保险事故通知</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5">
            <w:r>
              <w:rPr/>
              <w:t>第十二条</w:t>
              <w:tab/>
              <w:t>诉讼时效</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6">
            <w:r>
              <w:rPr/>
              <w:t>第十三条</w:t>
              <w:tab/>
              <w:t>保险金申请</w:t>
              <w:tab/>
            </w:r>
            <w:r>
              <w:rPr>
                <w:rFonts w:ascii="Times New Roman" w:eastAsia="Times New Roman"/>
              </w:rPr>
              <w:t>6</w:t>
            </w:r>
          </w:hyperlink>
        </w:p>
        <w:p>
          <w:pPr>
            <w:pStyle w:val="TOC2"/>
            <w:tabs>
              <w:tab w:pos="1826" w:val="left" w:leader="none"/>
              <w:tab w:pos="9747" w:val="right" w:leader="dot"/>
            </w:tabs>
            <w:rPr>
              <w:rFonts w:ascii="Times New Roman" w:eastAsia="Times New Roman"/>
            </w:rPr>
          </w:pPr>
          <w:hyperlink w:history="true" w:anchor="_bookmark17">
            <w:r>
              <w:rPr/>
              <w:t>第十四条</w:t>
              <w:tab/>
              <w:t>保险金给付</w:t>
              <w:tab/>
            </w:r>
            <w:r>
              <w:rPr>
                <w:rFonts w:ascii="Times New Roman" w:eastAsia="Times New Roman"/>
              </w:rPr>
              <w:t>7</w:t>
            </w:r>
          </w:hyperlink>
        </w:p>
        <w:p>
          <w:pPr>
            <w:pStyle w:val="TOC2"/>
            <w:tabs>
              <w:tab w:pos="1826" w:val="left" w:leader="none"/>
              <w:tab w:pos="9747" w:val="right" w:leader="dot"/>
            </w:tabs>
            <w:rPr>
              <w:rFonts w:ascii="Times New Roman" w:eastAsia="Times New Roman"/>
            </w:rPr>
          </w:pPr>
          <w:hyperlink w:history="true" w:anchor="_bookmark18">
            <w:r>
              <w:rPr/>
              <w:t>第十五条</w:t>
              <w:tab/>
              <w:t>司法鉴定</w:t>
              <w:tab/>
            </w:r>
            <w:r>
              <w:rPr>
                <w:rFonts w:ascii="Times New Roman" w:eastAsia="Times New Roman"/>
              </w:rPr>
              <w:t>7</w:t>
            </w:r>
          </w:hyperlink>
        </w:p>
        <w:p>
          <w:pPr>
            <w:pStyle w:val="TOC2"/>
            <w:tabs>
              <w:tab w:pos="1826" w:val="left" w:leader="none"/>
              <w:tab w:pos="9747" w:val="right" w:leader="dot"/>
            </w:tabs>
            <w:rPr>
              <w:rFonts w:ascii="Times New Roman" w:eastAsia="Times New Roman"/>
            </w:rPr>
          </w:pPr>
          <w:hyperlink w:history="true" w:anchor="_bookmark19">
            <w:r>
              <w:rPr/>
              <w:t>第十六条</w:t>
              <w:tab/>
              <w:t>失踪处理</w:t>
              <w:tab/>
            </w:r>
            <w:r>
              <w:rPr>
                <w:rFonts w:ascii="Times New Roman" w:eastAsia="Times New Roman"/>
              </w:rPr>
              <w:t>7</w:t>
            </w:r>
          </w:hyperlink>
        </w:p>
        <w:p>
          <w:pPr>
            <w:pStyle w:val="TOC1"/>
            <w:tabs>
              <w:tab w:pos="1557" w:val="left" w:leader="none"/>
              <w:tab w:pos="9748" w:val="right" w:leader="dot"/>
            </w:tabs>
            <w:rPr>
              <w:rFonts w:ascii="Times New Roman" w:eastAsia="Times New Roman"/>
            </w:rPr>
          </w:pPr>
          <w:hyperlink w:history="true" w:anchor="_bookmark20">
            <w:r>
              <w:rPr/>
              <w:t>第五部分</w:t>
              <w:tab/>
              <w:t>您还享有哪些权益</w:t>
              <w:tab/>
            </w:r>
            <w:r>
              <w:rPr>
                <w:rFonts w:ascii="Times New Roman" w:eastAsia="Times New Roman"/>
              </w:rPr>
              <w:t>7</w:t>
            </w:r>
          </w:hyperlink>
        </w:p>
        <w:p>
          <w:pPr>
            <w:pStyle w:val="TOC2"/>
            <w:tabs>
              <w:tab w:pos="1826" w:val="left" w:leader="none"/>
              <w:tab w:pos="9747" w:val="right" w:leader="dot"/>
            </w:tabs>
            <w:spacing w:before="41"/>
            <w:rPr>
              <w:rFonts w:ascii="Times New Roman" w:eastAsia="Times New Roman"/>
            </w:rPr>
          </w:pPr>
          <w:hyperlink w:history="true" w:anchor="_bookmark21">
            <w:r>
              <w:rPr/>
              <w:t>第十七条</w:t>
              <w:tab/>
              <w:t>保单贷款</w:t>
              <w:tab/>
            </w:r>
            <w:r>
              <w:rPr>
                <w:rFonts w:ascii="Times New Roman" w:eastAsia="Times New Roman"/>
              </w:rPr>
              <w:t>7</w:t>
            </w:r>
          </w:hyperlink>
        </w:p>
        <w:p>
          <w:pPr>
            <w:pStyle w:val="TOC2"/>
            <w:tabs>
              <w:tab w:pos="1826" w:val="left" w:leader="none"/>
              <w:tab w:pos="9747" w:val="right" w:leader="dot"/>
            </w:tabs>
            <w:spacing w:before="62"/>
            <w:rPr>
              <w:rFonts w:ascii="Times New Roman" w:eastAsia="Times New Roman"/>
            </w:rPr>
          </w:pPr>
          <w:hyperlink w:history="true" w:anchor="_bookmark22">
            <w:r>
              <w:rPr/>
              <w:t>第十八条</w:t>
              <w:tab/>
              <w:t>合同内容的变更权</w:t>
              <w:tab/>
            </w:r>
            <w:r>
              <w:rPr>
                <w:rFonts w:ascii="Times New Roman" w:eastAsia="Times New Roman"/>
              </w:rPr>
              <w:t>8</w:t>
            </w:r>
          </w:hyperlink>
        </w:p>
        <w:p>
          <w:pPr>
            <w:pStyle w:val="TOC2"/>
            <w:tabs>
              <w:tab w:pos="1826" w:val="left" w:leader="none"/>
              <w:tab w:pos="9747" w:val="right" w:leader="dot"/>
            </w:tabs>
            <w:spacing w:before="62"/>
            <w:rPr>
              <w:rFonts w:ascii="Times New Roman" w:eastAsia="Times New Roman"/>
            </w:rPr>
          </w:pPr>
          <w:hyperlink w:history="true" w:anchor="_bookmark23">
            <w:r>
              <w:rPr/>
              <w:t>第十九条</w:t>
              <w:tab/>
              <w:t>效力恢复</w:t>
              <w:tab/>
            </w:r>
            <w:r>
              <w:rPr>
                <w:rFonts w:ascii="Times New Roman" w:eastAsia="Times New Roman"/>
              </w:rPr>
              <w:t>8</w:t>
            </w:r>
          </w:hyperlink>
        </w:p>
        <w:p>
          <w:pPr>
            <w:pStyle w:val="TOC2"/>
            <w:tabs>
              <w:tab w:pos="1826" w:val="left" w:leader="none"/>
              <w:tab w:pos="9747" w:val="right" w:leader="dot"/>
            </w:tabs>
            <w:spacing w:before="62"/>
            <w:rPr>
              <w:rFonts w:ascii="Times New Roman" w:eastAsia="Times New Roman"/>
            </w:rPr>
          </w:pPr>
          <w:hyperlink w:history="true" w:anchor="_bookmark24">
            <w:r>
              <w:rPr/>
              <w:t>第二十条</w:t>
              <w:tab/>
              <w:t>犹豫期</w:t>
              <w:tab/>
            </w:r>
            <w:r>
              <w:rPr>
                <w:rFonts w:ascii="Times New Roman" w:eastAsia="Times New Roman"/>
              </w:rPr>
              <w:t>8</w:t>
            </w:r>
          </w:hyperlink>
        </w:p>
        <w:p>
          <w:pPr>
            <w:pStyle w:val="TOC2"/>
            <w:tabs>
              <w:tab w:pos="1826" w:val="left" w:leader="none"/>
              <w:tab w:pos="9747" w:val="right" w:leader="dot"/>
            </w:tabs>
            <w:spacing w:before="62"/>
            <w:rPr>
              <w:rFonts w:ascii="Times New Roman" w:eastAsia="Times New Roman"/>
            </w:rPr>
          </w:pPr>
          <w:hyperlink w:history="true" w:anchor="_bookmark25">
            <w:r>
              <w:rPr/>
              <w:t>第二十一条</w:t>
              <w:tab/>
              <w:t>您解除合同的手续及风险</w:t>
              <w:tab/>
            </w:r>
            <w:r>
              <w:rPr>
                <w:rFonts w:ascii="Times New Roman" w:eastAsia="Times New Roman"/>
              </w:rPr>
              <w:t>8</w:t>
            </w:r>
          </w:hyperlink>
        </w:p>
        <w:p>
          <w:pPr>
            <w:pStyle w:val="TOC1"/>
            <w:tabs>
              <w:tab w:pos="1557" w:val="left" w:leader="none"/>
              <w:tab w:pos="9748" w:val="right" w:leader="dot"/>
            </w:tabs>
            <w:rPr>
              <w:rFonts w:ascii="Times New Roman" w:eastAsia="Times New Roman"/>
            </w:rPr>
          </w:pPr>
          <w:hyperlink w:history="true" w:anchor="_bookmark26">
            <w:r>
              <w:rPr/>
              <w:t>第六部分</w:t>
              <w:tab/>
              <w:t>您必须了解的其它</w:t>
            </w:r>
            <w:r>
              <w:rPr>
                <w:spacing w:val="-3"/>
              </w:rPr>
              <w:t>事</w:t>
            </w:r>
            <w:r>
              <w:rPr/>
              <w:t>项</w:t>
              <w:tab/>
            </w:r>
            <w:r>
              <w:rPr>
                <w:rFonts w:ascii="Times New Roman" w:eastAsia="Times New Roman"/>
              </w:rPr>
              <w:t>8</w:t>
            </w:r>
          </w:hyperlink>
        </w:p>
        <w:p>
          <w:pPr>
            <w:pStyle w:val="TOC2"/>
            <w:tabs>
              <w:tab w:pos="1826" w:val="left" w:leader="none"/>
              <w:tab w:pos="9747" w:val="right" w:leader="dot"/>
            </w:tabs>
            <w:spacing w:before="42"/>
            <w:rPr>
              <w:rFonts w:ascii="Times New Roman" w:eastAsia="Times New Roman"/>
            </w:rPr>
          </w:pPr>
          <w:hyperlink w:history="true" w:anchor="_bookmark27">
            <w:r>
              <w:rPr/>
              <w:t>第二十二条</w:t>
              <w:tab/>
              <w:t>明确说明与如实告知</w:t>
              <w:tab/>
            </w:r>
            <w:r>
              <w:rPr>
                <w:rFonts w:ascii="Times New Roman" w:eastAsia="Times New Roman"/>
              </w:rPr>
              <w:t>8</w:t>
            </w:r>
          </w:hyperlink>
        </w:p>
        <w:p>
          <w:pPr>
            <w:pStyle w:val="TOC2"/>
            <w:tabs>
              <w:tab w:pos="1826" w:val="left" w:leader="none"/>
              <w:tab w:pos="9747" w:val="right" w:leader="dot"/>
            </w:tabs>
            <w:rPr>
              <w:rFonts w:ascii="Times New Roman" w:eastAsia="Times New Roman"/>
            </w:rPr>
          </w:pPr>
          <w:hyperlink w:history="true" w:anchor="_bookmark28">
            <w:r>
              <w:rPr/>
              <w:t>第二十三条</w:t>
              <w:tab/>
              <w:t>我们合同解除权的限制</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29">
            <w:r>
              <w:rPr/>
              <w:t>第二十四条</w:t>
              <w:tab/>
              <w:t>未成年人身故保险金限制</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30">
            <w:r>
              <w:rPr/>
              <w:t>第二十五条</w:t>
              <w:tab/>
              <w:t>年龄错误</w:t>
              <w:tab/>
            </w:r>
            <w:r>
              <w:rPr>
                <w:rFonts w:ascii="Times New Roman" w:eastAsia="Times New Roman"/>
              </w:rPr>
              <w:t>9</w:t>
            </w:r>
          </w:hyperlink>
        </w:p>
        <w:p>
          <w:pPr>
            <w:pStyle w:val="TOC2"/>
            <w:tabs>
              <w:tab w:pos="1826" w:val="left" w:leader="none"/>
              <w:tab w:pos="9747" w:val="right" w:leader="dot"/>
            </w:tabs>
            <w:rPr>
              <w:rFonts w:ascii="Times New Roman" w:eastAsia="Times New Roman"/>
            </w:rPr>
          </w:pPr>
          <w:hyperlink w:history="true" w:anchor="_bookmark31">
            <w:r>
              <w:rPr/>
              <w:t>第二十六条</w:t>
              <w:tab/>
              <w:t>性别错误</w:t>
              <w:tab/>
            </w:r>
            <w:r>
              <w:rPr>
                <w:rFonts w:ascii="Times New Roman" w:eastAsia="Times New Roman"/>
              </w:rPr>
              <w:t>9</w:t>
            </w:r>
          </w:hyperlink>
        </w:p>
        <w:p>
          <w:pPr>
            <w:pStyle w:val="TOC2"/>
            <w:tabs>
              <w:tab w:pos="1826" w:val="left" w:leader="none"/>
              <w:tab w:pos="9747" w:val="right" w:leader="dot"/>
            </w:tabs>
            <w:spacing w:before="62"/>
            <w:rPr>
              <w:rFonts w:ascii="Times New Roman" w:eastAsia="Times New Roman"/>
            </w:rPr>
          </w:pPr>
          <w:hyperlink w:history="true" w:anchor="_bookmark32">
            <w:r>
              <w:rPr/>
              <w:t>第二十七条</w:t>
              <w:tab/>
              <w:t>未还款项</w:t>
              <w:tab/>
            </w:r>
            <w:r>
              <w:rPr>
                <w:rFonts w:ascii="Times New Roman" w:eastAsia="Times New Roman"/>
              </w:rPr>
              <w:t>9</w:t>
            </w:r>
          </w:hyperlink>
        </w:p>
        <w:p>
          <w:pPr>
            <w:pStyle w:val="TOC2"/>
            <w:tabs>
              <w:tab w:pos="1826" w:val="left" w:leader="none"/>
              <w:tab w:pos="9747" w:val="right" w:leader="dot"/>
            </w:tabs>
            <w:spacing w:before="62"/>
            <w:rPr>
              <w:rFonts w:ascii="Times New Roman" w:eastAsia="Times New Roman"/>
            </w:rPr>
          </w:pPr>
          <w:hyperlink w:history="true" w:anchor="_bookmark33">
            <w:r>
              <w:rPr/>
              <w:t>第二十八条</w:t>
              <w:tab/>
              <w:t>保险合同的终止</w:t>
              <w:tab/>
            </w:r>
            <w:r>
              <w:rPr>
                <w:rFonts w:ascii="Times New Roman" w:eastAsia="Times New Roman"/>
              </w:rPr>
              <w:t>9</w:t>
            </w:r>
          </w:hyperlink>
        </w:p>
        <w:p>
          <w:pPr>
            <w:pStyle w:val="TOC2"/>
            <w:tabs>
              <w:tab w:pos="1826" w:val="left" w:leader="none"/>
              <w:tab w:pos="9750" w:val="right" w:leader="dot"/>
            </w:tabs>
            <w:spacing w:before="62"/>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826" w:val="left" w:leader="none"/>
              <w:tab w:pos="9750" w:val="right" w:leader="dot"/>
            </w:tabs>
            <w:spacing w:before="62"/>
            <w:rPr>
              <w:rFonts w:ascii="Times New Roman" w:eastAsia="Times New Roman"/>
            </w:rPr>
          </w:pPr>
          <w:hyperlink w:history="true" w:anchor="_bookmark35">
            <w:r>
              <w:rPr/>
              <w:t>第三十条</w:t>
              <w:tab/>
              <w:t>争议处理</w:t>
              <w:tab/>
            </w:r>
            <w:r>
              <w:rPr>
                <w:rFonts w:ascii="Times New Roman" w:eastAsia="Times New Roman"/>
              </w:rPr>
              <w:t>10</w:t>
            </w:r>
          </w:hyperlink>
        </w:p>
        <w:p>
          <w:pPr>
            <w:pStyle w:val="TOC2"/>
            <w:tabs>
              <w:tab w:pos="1826" w:val="left" w:leader="none"/>
              <w:tab w:pos="9750" w:val="right" w:leader="dot"/>
            </w:tabs>
            <w:spacing w:before="62"/>
            <w:rPr>
              <w:rFonts w:ascii="Times New Roman" w:eastAsia="Times New Roman"/>
            </w:rPr>
          </w:pPr>
          <w:hyperlink w:history="true" w:anchor="_bookmark36">
            <w:r>
              <w:rPr/>
              <w:t>第三十一条</w:t>
              <w:tab/>
              <w:t>重大疾病的种类及定义</w:t>
              <w:tab/>
            </w:r>
            <w:r>
              <w:rPr>
                <w:rFonts w:ascii="Times New Roman" w:eastAsia="Times New Roman"/>
              </w:rPr>
              <w:t>10</w:t>
            </w:r>
          </w:hyperlink>
        </w:p>
      </w:sdtContent>
    </w:sdt>
    <w:p>
      <w:pPr>
        <w:spacing w:after="0"/>
        <w:rPr>
          <w:rFonts w:ascii="Times New Roman" w:eastAsia="Times New Roman"/>
        </w:rPr>
        <w:sectPr>
          <w:footerReference w:type="default" r:id="rId8"/>
          <w:pgSz w:w="11910" w:h="16160"/>
          <w:pgMar w:footer="827" w:header="0" w:top="1340" w:bottom="1020" w:left="960" w:right="1080"/>
          <w:pgNumType w:start="2"/>
        </w:sectPr>
      </w:pPr>
    </w:p>
    <w:p>
      <w:pPr>
        <w:pStyle w:val="Heading1"/>
        <w:tabs>
          <w:tab w:pos="3020" w:val="left" w:leader="none"/>
        </w:tabs>
        <w:spacing w:line="314" w:lineRule="exact"/>
        <w:ind w:left="1697"/>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left="117" w:right="220" w:firstLine="420"/>
      </w:pPr>
      <w:r>
        <w:rPr>
          <w:spacing w:val="-3"/>
        </w:rPr>
        <w:t>本合同由以下几个部分构成：保险单及所附条款、投保单</w:t>
      </w:r>
      <w:r>
        <w:rPr/>
        <w:t>（</w:t>
      </w:r>
      <w:r>
        <w:rPr>
          <w:spacing w:val="-3"/>
        </w:rPr>
        <w:t>其复印件或电子影像印刷件与正本具有同等</w:t>
      </w:r>
      <w:r>
        <w:rPr>
          <w:spacing w:val="-1"/>
        </w:rPr>
        <w:t>效力</w:t>
      </w:r>
      <w:r>
        <w:rPr>
          <w:spacing w:val="-108"/>
        </w:rPr>
        <w:t>）</w:t>
      </w:r>
      <w:r>
        <w:rPr>
          <w:spacing w:val="-3"/>
        </w:rPr>
        <w:t>、批注，以及经您与我们认可的、与本合同有关的其它书面文件。</w:t>
      </w:r>
    </w:p>
    <w:p>
      <w:pPr>
        <w:pStyle w:val="BodyText"/>
        <w:spacing w:before="5"/>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6"/>
        <w:ind w:left="538"/>
      </w:pPr>
      <w:r>
        <w:rPr/>
        <w:t>本合同接受的被保险人的投保年龄为出生满 </w:t>
      </w:r>
      <w:r>
        <w:rPr>
          <w:rFonts w:ascii="Times New Roman" w:eastAsia="Times New Roman"/>
        </w:rPr>
        <w:t>60 </w:t>
      </w:r>
      <w:r>
        <w:rPr/>
        <w:t>天至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3"/>
        <w:rPr>
          <w:sz w:val="23"/>
        </w:rPr>
      </w:pPr>
    </w:p>
    <w:p>
      <w:pPr>
        <w:pStyle w:val="Heading1"/>
        <w:tabs>
          <w:tab w:pos="1576" w:val="left" w:leader="none"/>
        </w:tabs>
        <w:spacing w:before="1"/>
        <w:ind w:left="254"/>
      </w:pPr>
      <w:bookmarkStart w:name="_bookmark3" w:id="4"/>
      <w:bookmarkEnd w:id="4"/>
      <w:r>
        <w:rPr>
          <w:b w:val="0"/>
        </w:rPr>
      </w:r>
      <w:r>
        <w:rPr/>
        <w:t>第二部分</w:t>
        <w:tab/>
      </w:r>
      <w:r>
        <w:rPr>
          <w:w w:val="95"/>
        </w:rPr>
        <w:t>我们提供哪些保障利益</w:t>
      </w:r>
    </w:p>
    <w:p>
      <w:pPr>
        <w:pStyle w:val="BodyText"/>
        <w:spacing w:before="10"/>
        <w:rPr>
          <w:b/>
          <w:sz w:val="25"/>
        </w:rPr>
      </w:pPr>
    </w:p>
    <w:p>
      <w:pPr>
        <w:pStyle w:val="Heading2"/>
        <w:tabs>
          <w:tab w:pos="957"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7"/>
        <w:ind w:left="117" w:right="220" w:firstLine="420"/>
      </w:pPr>
      <w:r>
        <w:rPr/>
        <w:t>本合同的基本保险金额由您和我们约定，并在保险单或批注上列明。如果该金额发生变更，则以变更后的金额为基本保险金额。</w:t>
      </w:r>
    </w:p>
    <w:p>
      <w:pPr>
        <w:pStyle w:val="BodyText"/>
        <w:spacing w:line="256" w:lineRule="auto" w:before="7" w:after="17"/>
        <w:ind w:left="117" w:right="216" w:firstLine="420"/>
      </w:pPr>
      <w:r>
        <w:rPr/>
        <w:t>如果被保险人首次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确诊初次患上本合同第三十一条所定义的重大疾病或身故时的年龄未满 </w:t>
      </w:r>
      <w:r>
        <w:rPr>
          <w:rFonts w:ascii="Times New Roman" w:eastAsia="Times New Roman"/>
          <w:vertAlign w:val="baseline"/>
        </w:rPr>
        <w:t>4 </w:t>
      </w:r>
      <w:r>
        <w:rPr>
          <w:vertAlign w:val="baseline"/>
        </w:rPr>
        <w:t>周岁，则保险金额为下表中规定的金额：</w:t>
      </w: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3"/>
        <w:gridCol w:w="3885"/>
      </w:tblGrid>
      <w:tr>
        <w:trPr>
          <w:trHeight w:val="405" w:hRule="atLeast"/>
        </w:trPr>
        <w:tc>
          <w:tcPr>
            <w:tcW w:w="3853" w:type="dxa"/>
          </w:tcPr>
          <w:p>
            <w:pPr>
              <w:pStyle w:val="TableParagraph"/>
              <w:spacing w:before="35"/>
              <w:ind w:left="803" w:right="793"/>
              <w:jc w:val="center"/>
              <w:rPr>
                <w:sz w:val="21"/>
              </w:rPr>
            </w:pPr>
            <w:r>
              <w:rPr>
                <w:sz w:val="21"/>
              </w:rPr>
              <w:t>被保险人年龄</w:t>
            </w:r>
          </w:p>
        </w:tc>
        <w:tc>
          <w:tcPr>
            <w:tcW w:w="3885" w:type="dxa"/>
          </w:tcPr>
          <w:p>
            <w:pPr>
              <w:pStyle w:val="TableParagraph"/>
              <w:spacing w:before="35"/>
              <w:ind w:left="137" w:right="128"/>
              <w:jc w:val="center"/>
              <w:rPr>
                <w:sz w:val="21"/>
              </w:rPr>
            </w:pPr>
            <w:r>
              <w:rPr>
                <w:sz w:val="21"/>
              </w:rPr>
              <w:t>保险金额（占基本保险金额的百分比）</w:t>
            </w:r>
          </w:p>
        </w:tc>
      </w:tr>
      <w:tr>
        <w:trPr>
          <w:trHeight w:val="405" w:hRule="atLeast"/>
        </w:trPr>
        <w:tc>
          <w:tcPr>
            <w:tcW w:w="3853" w:type="dxa"/>
          </w:tcPr>
          <w:p>
            <w:pPr>
              <w:pStyle w:val="TableParagraph"/>
              <w:spacing w:before="35"/>
              <w:ind w:left="802" w:right="794"/>
              <w:jc w:val="center"/>
              <w:rPr>
                <w:sz w:val="21"/>
              </w:rPr>
            </w:pPr>
            <w:r>
              <w:rPr>
                <w:sz w:val="21"/>
              </w:rPr>
              <w:t>不足 </w:t>
            </w:r>
            <w:r>
              <w:rPr>
                <w:rFonts w:ascii="Times New Roman" w:eastAsia="Times New Roman"/>
                <w:sz w:val="21"/>
              </w:rPr>
              <w:t>1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20%</w:t>
            </w:r>
          </w:p>
        </w:tc>
      </w:tr>
      <w:tr>
        <w:trPr>
          <w:trHeight w:val="405" w:hRule="atLeast"/>
        </w:trPr>
        <w:tc>
          <w:tcPr>
            <w:tcW w:w="3853" w:type="dxa"/>
          </w:tcPr>
          <w:p>
            <w:pPr>
              <w:pStyle w:val="TableParagraph"/>
              <w:spacing w:before="35"/>
              <w:ind w:left="803" w:right="794"/>
              <w:jc w:val="center"/>
              <w:rPr>
                <w:sz w:val="21"/>
              </w:rPr>
            </w:pPr>
            <w:r>
              <w:rPr>
                <w:sz w:val="21"/>
              </w:rPr>
              <w:t>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40%</w:t>
            </w:r>
          </w:p>
        </w:tc>
      </w:tr>
      <w:tr>
        <w:trPr>
          <w:trHeight w:val="405" w:hRule="atLeast"/>
        </w:trPr>
        <w:tc>
          <w:tcPr>
            <w:tcW w:w="3853" w:type="dxa"/>
          </w:tcPr>
          <w:p>
            <w:pPr>
              <w:pStyle w:val="TableParagraph"/>
              <w:spacing w:before="35"/>
              <w:ind w:left="803" w:right="794"/>
              <w:jc w:val="center"/>
              <w:rPr>
                <w:sz w:val="21"/>
              </w:rPr>
            </w:pPr>
            <w:r>
              <w:rPr>
                <w:sz w:val="21"/>
              </w:rPr>
              <w:t>满 </w:t>
            </w:r>
            <w:r>
              <w:rPr>
                <w:rFonts w:ascii="Times New Roman" w:eastAsia="Times New Roman"/>
                <w:sz w:val="21"/>
              </w:rPr>
              <w:t>2 </w:t>
            </w:r>
            <w:r>
              <w:rPr>
                <w:sz w:val="21"/>
              </w:rPr>
              <w:t>周岁但未满 </w:t>
            </w:r>
            <w:r>
              <w:rPr>
                <w:rFonts w:ascii="Times New Roman" w:eastAsia="Times New Roman"/>
                <w:sz w:val="21"/>
              </w:rPr>
              <w:t>3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60%</w:t>
            </w:r>
          </w:p>
        </w:tc>
      </w:tr>
      <w:tr>
        <w:trPr>
          <w:trHeight w:val="405" w:hRule="atLeast"/>
        </w:trPr>
        <w:tc>
          <w:tcPr>
            <w:tcW w:w="3853" w:type="dxa"/>
          </w:tcPr>
          <w:p>
            <w:pPr>
              <w:pStyle w:val="TableParagraph"/>
              <w:spacing w:before="35"/>
              <w:ind w:left="803" w:right="794"/>
              <w:jc w:val="center"/>
              <w:rPr>
                <w:sz w:val="21"/>
              </w:rPr>
            </w:pPr>
            <w:r>
              <w:rPr>
                <w:sz w:val="21"/>
              </w:rPr>
              <w:t>满 </w:t>
            </w:r>
            <w:r>
              <w:rPr>
                <w:rFonts w:ascii="Times New Roman" w:eastAsia="Times New Roman"/>
                <w:sz w:val="21"/>
              </w:rPr>
              <w:t>3 </w:t>
            </w:r>
            <w:r>
              <w:rPr>
                <w:sz w:val="21"/>
              </w:rPr>
              <w:t>周岁但未满 </w:t>
            </w:r>
            <w:r>
              <w:rPr>
                <w:rFonts w:ascii="Times New Roman" w:eastAsia="Times New Roman"/>
                <w:sz w:val="21"/>
              </w:rPr>
              <w:t>4 </w:t>
            </w:r>
            <w:r>
              <w:rPr>
                <w:sz w:val="21"/>
              </w:rPr>
              <w:t>周岁</w:t>
            </w:r>
          </w:p>
        </w:tc>
        <w:tc>
          <w:tcPr>
            <w:tcW w:w="3885" w:type="dxa"/>
          </w:tcPr>
          <w:p>
            <w:pPr>
              <w:pStyle w:val="TableParagraph"/>
              <w:spacing w:before="82"/>
              <w:ind w:left="137" w:right="127"/>
              <w:jc w:val="center"/>
              <w:rPr>
                <w:rFonts w:ascii="Times New Roman"/>
                <w:sz w:val="21"/>
              </w:rPr>
            </w:pPr>
            <w:r>
              <w:rPr>
                <w:rFonts w:ascii="Times New Roman"/>
                <w:sz w:val="21"/>
              </w:rPr>
              <w:t>80%</w:t>
            </w:r>
          </w:p>
        </w:tc>
      </w:tr>
    </w:tbl>
    <w:p>
      <w:pPr>
        <w:pStyle w:val="BodyText"/>
        <w:ind w:left="538"/>
      </w:pPr>
      <w:r>
        <w:rPr/>
        <w:t>如果被保险人首次发病并经医院确诊初次患上本合同第三十一条所定义的重大疾病或身故时的年龄已满</w:t>
      </w:r>
    </w:p>
    <w:p>
      <w:pPr>
        <w:pStyle w:val="BodyText"/>
        <w:spacing w:before="37"/>
        <w:ind w:left="117"/>
      </w:pPr>
      <w:r>
        <w:rPr>
          <w:rFonts w:ascii="Times New Roman" w:eastAsia="Times New Roman"/>
        </w:rPr>
        <w:t>4 </w:t>
      </w:r>
      <w:r>
        <w:rPr/>
        <w:t>周岁，则保险金额为基本保险金额。</w:t>
      </w:r>
    </w:p>
    <w:p>
      <w:pPr>
        <w:pStyle w:val="BodyText"/>
        <w:spacing w:before="5"/>
        <w:rPr>
          <w:sz w:val="25"/>
        </w:rPr>
      </w:pPr>
    </w:p>
    <w:p>
      <w:pPr>
        <w:tabs>
          <w:tab w:pos="957" w:val="left" w:leader="none"/>
        </w:tabs>
        <w:spacing w:line="273" w:lineRule="auto" w:before="1"/>
        <w:ind w:left="117" w:right="8218" w:firstLine="0"/>
        <w:jc w:val="left"/>
        <w:rPr>
          <w:sz w:val="21"/>
        </w:rPr>
      </w:pPr>
      <w:bookmarkStart w:name="_bookmark5" w:id="6"/>
      <w:bookmarkEnd w:id="6"/>
      <w:r>
        <w:rPr/>
      </w:r>
      <w:r>
        <w:rPr>
          <w:b/>
          <w:sz w:val="21"/>
        </w:rPr>
        <w:t>第四条</w:t>
        <w:tab/>
        <w:t>保险责任</w:t>
      </w:r>
      <w:r>
        <w:rPr>
          <w:w w:val="100"/>
          <w:sz w:val="21"/>
        </w:rPr>
        <w:t> </w:t>
      </w:r>
      <w:r>
        <w:rPr>
          <w:sz w:val="21"/>
        </w:rPr>
        <w:t>一</w:t>
      </w:r>
      <w:r>
        <w:rPr>
          <w:spacing w:val="10"/>
          <w:sz w:val="21"/>
        </w:rPr>
        <w:t>、</w:t>
      </w:r>
      <w:r>
        <w:rPr>
          <w:sz w:val="21"/>
        </w:rPr>
        <w:t>重大</w:t>
      </w:r>
      <w:r>
        <w:rPr>
          <w:spacing w:val="-3"/>
          <w:sz w:val="21"/>
        </w:rPr>
        <w:t>疾</w:t>
      </w:r>
      <w:r>
        <w:rPr>
          <w:sz w:val="21"/>
        </w:rPr>
        <w:t>病</w:t>
      </w:r>
      <w:r>
        <w:rPr>
          <w:spacing w:val="-3"/>
          <w:sz w:val="21"/>
        </w:rPr>
        <w:t>保</w:t>
      </w:r>
      <w:r>
        <w:rPr>
          <w:sz w:val="21"/>
        </w:rPr>
        <w:t>险金</w:t>
      </w:r>
    </w:p>
    <w:p>
      <w:pPr>
        <w:pStyle w:val="BodyText"/>
        <w:spacing w:line="264" w:lineRule="auto" w:before="8"/>
        <w:ind w:left="117" w:right="218" w:firstLine="420"/>
        <w:jc w:val="both"/>
      </w:pPr>
      <w:r>
        <w:rPr/>
        <w:t>在本合同</w:t>
      </w:r>
      <w:r>
        <w:rPr>
          <w:b/>
        </w:rPr>
        <w:t>保险期间</w:t>
      </w:r>
      <w:r>
        <w:rPr>
          <w:rFonts w:ascii="Times New Roman" w:eastAsia="Times New Roman"/>
          <w:b/>
          <w:vertAlign w:val="superscript"/>
        </w:rPr>
        <w:t>4</w:t>
      </w:r>
      <w:r>
        <w:rPr>
          <w:rFonts w:ascii="Times New Roman" w:eastAsia="Times New Roman"/>
          <w:b/>
          <w:vertAlign w:val="baseline"/>
        </w:rPr>
      </w:r>
      <w:r>
        <w:rPr>
          <w:vertAlign w:val="baseline"/>
        </w:rPr>
        <w:t>内且本合同有效，如果被保险人自</w:t>
      </w:r>
      <w:r>
        <w:rPr>
          <w:b/>
          <w:vertAlign w:val="baseline"/>
        </w:rPr>
        <w:t>等待期</w:t>
      </w:r>
      <w:r>
        <w:rPr>
          <w:rFonts w:ascii="Times New Roman" w:eastAsia="Times New Roman"/>
          <w:vertAlign w:val="superscript"/>
        </w:rPr>
        <w:t>5</w:t>
      </w:r>
      <w:r>
        <w:rPr>
          <w:rFonts w:ascii="Times New Roman" w:eastAsia="Times New Roman"/>
          <w:vertAlign w:val="baseline"/>
        </w:rPr>
      </w:r>
      <w:r>
        <w:rPr>
          <w:vertAlign w:val="baseline"/>
        </w:rPr>
        <w:t>后首次发病并经医院确诊初次患上一项或多项本合同第三十一条所定义的重大疾病，我们按本合同当时的保险金额给付重大疾病保险金，同时本合同的效力终止。</w:t>
      </w:r>
    </w:p>
    <w:p>
      <w:pPr>
        <w:pStyle w:val="BodyText"/>
        <w:spacing w:line="273" w:lineRule="auto" w:before="16"/>
        <w:ind w:left="117" w:right="109" w:firstLine="420"/>
      </w:pPr>
      <w:r>
        <w:rPr>
          <w:spacing w:val="-6"/>
        </w:rPr>
        <w:t>如果被保险人经医院确诊初次患上本合同第三十一条所定义的重大疾病，并且首次发病时间在等待期内， </w:t>
      </w:r>
      <w:r>
        <w:rPr>
          <w:spacing w:val="-4"/>
        </w:rPr>
        <w:t>我们不承担保险责任并无息退还本合同所交的保险费，同时本合同的效力终止。</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rPr>
          <w:sz w:val="20"/>
        </w:rPr>
      </w:pPr>
    </w:p>
    <w:p>
      <w:pPr>
        <w:pStyle w:val="BodyText"/>
        <w:spacing w:before="3"/>
        <w:rPr>
          <w:sz w:val="25"/>
        </w:rPr>
      </w:pPr>
      <w:r>
        <w:rPr/>
        <w:pict>
          <v:line style="position:absolute;mso-position-horizontal-relative:page;mso-position-vertical-relative:paragraph;z-index:1120;mso-wrap-distance-left:0;mso-wrap-distance-right:0" from="53.880001pt,18.73097pt" to="197.930001pt,18.73097pt" stroked="true" strokeweight=".47998pt" strokecolor="#000000">
            <v:stroke dashstyle="solid"/>
            <w10:wrap type="topAndBottom"/>
          </v:line>
        </w:pict>
      </w:r>
    </w:p>
    <w:p>
      <w:pPr>
        <w:pStyle w:val="BodyText"/>
        <w:spacing w:line="288"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发病：</w:t>
      </w:r>
      <w:r>
        <w:rPr/>
        <w:t>指被保险人出现本合同所界定疾病的前兆或异常的身体状况，或已经显现足以使一般人士引起注意并</w:t>
      </w:r>
    </w:p>
    <w:p>
      <w:pPr>
        <w:pStyle w:val="BodyText"/>
        <w:spacing w:line="226" w:lineRule="exact"/>
        <w:ind w:left="117"/>
      </w:pPr>
      <w:r>
        <w:rPr/>
        <w:t>寻求诊断、治疗或护理的病症，但不包括本合同生效或恢复效力前的任何疾病或症状。</w:t>
      </w:r>
    </w:p>
    <w:p>
      <w:pPr>
        <w:pStyle w:val="BodyText"/>
        <w:spacing w:line="318" w:lineRule="exact"/>
        <w:ind w:left="117"/>
      </w:pPr>
      <w:r>
        <w:rPr>
          <w:rFonts w:ascii="Times New Roman" w:eastAsia="Times New Roman"/>
          <w:position w:val="10"/>
          <w:sz w:val="14"/>
        </w:rPr>
        <w:t>3</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酒、戒毒或相类似的医疗机构。同时该医院必须具有符合有关医院管理规定设臵标准的医疗设备，并且提供</w:t>
      </w:r>
    </w:p>
    <w:p>
      <w:pPr>
        <w:pStyle w:val="BodyText"/>
        <w:spacing w:line="247" w:lineRule="exact"/>
        <w:ind w:left="117"/>
      </w:pPr>
      <w:r>
        <w:rPr>
          <w:rFonts w:ascii="Times New Roman" w:eastAsia="Times New Roman"/>
        </w:rPr>
        <w:t>24 </w:t>
      </w:r>
      <w:r>
        <w:rPr/>
        <w:t>小时有合格医师及护士驻院的医疗和护理等服务。</w:t>
      </w:r>
    </w:p>
    <w:p>
      <w:pPr>
        <w:pStyle w:val="BodyText"/>
        <w:spacing w:line="276" w:lineRule="exact"/>
        <w:ind w:left="117"/>
      </w:pPr>
      <w:r>
        <w:rPr>
          <w:rFonts w:ascii="Times New Roman" w:eastAsia="Times New Roman"/>
          <w:position w:val="10"/>
          <w:sz w:val="14"/>
        </w:rPr>
        <w:t>4</w:t>
      </w:r>
      <w:r>
        <w:rPr>
          <w:rFonts w:ascii="Microsoft JhengHei" w:eastAsia="Microsoft JhengHei" w:hint="eastAsia"/>
          <w:b/>
        </w:rPr>
        <w:t>保险期间：</w:t>
      </w:r>
      <w:r>
        <w:rPr/>
        <w:t>指保险合同期间，自本合同生效日起至合同约定终止时止，并在保险单上载明。</w:t>
      </w:r>
    </w:p>
    <w:p>
      <w:pPr>
        <w:pStyle w:val="BodyText"/>
        <w:spacing w:line="272" w:lineRule="exact"/>
        <w:ind w:left="117"/>
      </w:pPr>
      <w:r>
        <w:rPr>
          <w:rFonts w:ascii="Times New Roman" w:eastAsia="Times New Roman"/>
          <w:position w:val="10"/>
          <w:sz w:val="14"/>
        </w:rPr>
        <w:t>5</w:t>
      </w:r>
      <w:r>
        <w:rPr>
          <w:rFonts w:ascii="Microsoft JhengHei" w:eastAsia="Microsoft JhengHei" w:hint="eastAsia"/>
          <w:b/>
        </w:rPr>
        <w:t>等待期：</w:t>
      </w:r>
      <w:r>
        <w:rPr/>
        <w:t>自本合同生效日或最后复效日（以较迟者为准）起 </w:t>
      </w:r>
      <w:r>
        <w:rPr>
          <w:rFonts w:ascii="Times New Roman" w:eastAsia="Times New Roman"/>
        </w:rPr>
        <w:t>90 </w:t>
      </w:r>
      <w:r>
        <w:rPr/>
        <w:t>天为等待期。</w:t>
      </w:r>
    </w:p>
    <w:p>
      <w:pPr>
        <w:spacing w:line="320"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spacing w:after="0" w:line="320" w:lineRule="exact"/>
        <w:jc w:val="left"/>
        <w:rPr>
          <w:sz w:val="21"/>
        </w:rPr>
        <w:sectPr>
          <w:pgSz w:w="11910" w:h="16160"/>
          <w:pgMar w:header="0" w:footer="827" w:top="1340" w:bottom="1040" w:left="960" w:right="700"/>
        </w:sectPr>
      </w:pPr>
    </w:p>
    <w:p>
      <w:pPr>
        <w:pStyle w:val="BodyText"/>
        <w:spacing w:before="7"/>
        <w:ind w:left="117"/>
      </w:pPr>
      <w:r>
        <w:rPr/>
        <w:t>二、身故保险金</w:t>
      </w:r>
    </w:p>
    <w:p>
      <w:pPr>
        <w:pStyle w:val="BodyText"/>
        <w:spacing w:line="273" w:lineRule="auto" w:before="37"/>
        <w:ind w:left="117" w:right="159" w:firstLine="420"/>
      </w:pPr>
      <w:r>
        <w:rPr/>
        <w:t>在本合同保险期间内且本合同有效，如果被保险人身故，我们按被保险人身故时本合同的保险金额给付身故保险金，同时本合同的效力终止。</w:t>
      </w:r>
    </w:p>
    <w:p>
      <w:pPr>
        <w:pStyle w:val="BodyText"/>
        <w:spacing w:before="5"/>
        <w:rPr>
          <w:sz w:val="24"/>
        </w:rPr>
      </w:pPr>
    </w:p>
    <w:p>
      <w:pPr>
        <w:pStyle w:val="Heading2"/>
        <w:tabs>
          <w:tab w:pos="957" w:val="left" w:leader="none"/>
        </w:tabs>
      </w:pPr>
      <w:bookmarkStart w:name="_bookmark6" w:id="7"/>
      <w:bookmarkEnd w:id="7"/>
      <w:r>
        <w:rPr>
          <w:b w:val="0"/>
        </w:rPr>
      </w:r>
      <w:r>
        <w:rPr/>
        <w:t>第五条</w:t>
        <w:tab/>
        <w:t>责任免除</w:t>
      </w:r>
    </w:p>
    <w:p>
      <w:pPr>
        <w:pStyle w:val="BodyText"/>
        <w:spacing w:line="273" w:lineRule="auto" w:before="36"/>
        <w:ind w:left="117" w:right="1681" w:firstLine="396"/>
        <w:rPr>
          <w:rFonts w:ascii="黑体" w:eastAsia="黑体" w:hint="eastAsia"/>
        </w:rPr>
      </w:pPr>
      <w:r>
        <w:rPr>
          <w:rFonts w:ascii="黑体" w:eastAsia="黑体" w:hint="eastAsia"/>
        </w:rPr>
        <w:t>因下列情形之一导致被保险人患上本合同所定义的重大疾病的，我们不承担保险责任： 一、投保人对被保险人的故意杀害、故意伤害；</w:t>
      </w:r>
    </w:p>
    <w:p>
      <w:pPr>
        <w:pStyle w:val="BodyText"/>
        <w:spacing w:line="273" w:lineRule="auto" w:before="7"/>
        <w:ind w:left="117" w:right="35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56" w:lineRule="auto" w:before="0"/>
        <w:ind w:left="117" w:right="2207"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 五、被保险人</w:t>
      </w:r>
      <w:r>
        <w:rPr>
          <w:rFonts w:ascii="黑体" w:eastAsia="黑体" w:hint="eastAsia"/>
          <w:b/>
          <w:sz w:val="21"/>
          <w:vertAlign w:val="baseline"/>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16"/>
        <w:ind w:left="117" w:right="6281"/>
        <w:rPr>
          <w:rFonts w:ascii="黑体" w:eastAsia="黑体" w:hint="eastAsia"/>
        </w:rPr>
      </w:pPr>
      <w:r>
        <w:rPr>
          <w:rFonts w:ascii="黑体" w:eastAsia="黑体" w:hint="eastAsia"/>
        </w:rPr>
        <w:t>六、战争、军事冲突、暴乱或武装叛乱； 七、核爆炸、核辐射或核污染；</w:t>
      </w:r>
    </w:p>
    <w:p>
      <w:pPr>
        <w:spacing w:before="7"/>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left="117" w:right="128" w:firstLine="420"/>
        <w:rPr>
          <w:rFonts w:ascii="黑体" w:eastAsia="黑体" w:hint="eastAsia"/>
        </w:rPr>
      </w:pPr>
      <w:r>
        <w:rPr>
          <w:rFonts w:ascii="黑体" w:eastAsia="黑体" w:hint="eastAsia"/>
        </w:rPr>
        <w:t>发Th上述第一项情形导致被保险人患上本合同所定义的重大疾病的，本合同终止，您已交足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before="5"/>
        <w:ind w:left="117" w:right="16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5"/>
        <w:rPr>
          <w:rFonts w:ascii="黑体"/>
          <w:sz w:val="24"/>
        </w:rPr>
      </w:pPr>
    </w:p>
    <w:p>
      <w:pPr>
        <w:pStyle w:val="BodyText"/>
        <w:spacing w:line="273" w:lineRule="auto"/>
        <w:ind w:left="117" w:right="270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before="7"/>
        <w:ind w:left="117"/>
        <w:rPr>
          <w:rFonts w:ascii="黑体" w:eastAsia="黑体" w:hint="eastAsia"/>
        </w:rPr>
      </w:pPr>
      <w:r>
        <w:rPr>
          <w:rFonts w:ascii="黑体" w:eastAsia="黑体" w:hint="eastAsia"/>
        </w:rPr>
        <w:t>二、被保险人故意犯罪或者抗拒依法采取的刑事强制措施；</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6"/>
        <w:rPr>
          <w:rFonts w:ascii="黑体"/>
          <w:sz w:val="15"/>
        </w:rPr>
      </w:pPr>
      <w:r>
        <w:rPr/>
        <w:pict>
          <v:line style="position:absolute;mso-position-horizontal-relative:page;mso-position-vertical-relative:paragraph;z-index:1144;mso-wrap-distance-left:0;mso-wrap-distance-right:0" from="53.880001pt,12.323927pt" to="197.930001pt,12.323927pt" stroked="true" strokeweight=".48001pt" strokecolor="#000000">
            <v:stroke dashstyle="solid"/>
            <w10:wrap type="topAndBottom"/>
          </v:line>
        </w:pict>
      </w:r>
    </w:p>
    <w:p>
      <w:pPr>
        <w:pStyle w:val="BodyText"/>
        <w:spacing w:line="319"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left="117" w:right="186"/>
      </w:pPr>
      <w:r>
        <w:rPr/>
        <w:t>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5" w:lineRule="auto" w:before="4"/>
        <w:ind w:left="117" w:right="18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spacing w:val="-1"/>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3" w:lineRule="exact"/>
        <w:ind w:left="117"/>
      </w:pPr>
      <w:r>
        <w:rPr>
          <w:rFonts w:ascii="Times New Roman" w:eastAsia="Times New Roman"/>
          <w:w w:val="99"/>
          <w:position w:val="10"/>
          <w:sz w:val="14"/>
        </w:rPr>
        <w:t>10</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20" w:lineRule="auto"/>
        <w:ind w:left="117" w:right="153"/>
      </w:pPr>
      <w:r>
        <w:rPr>
          <w:rFonts w:ascii="Times New Roman" w:eastAsia="Times New Roman"/>
          <w:position w:val="10"/>
          <w:sz w:val="14"/>
        </w:rPr>
        <w:t>11</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。在人体血液或其它样本中检测到艾滋病病毒或其抗体</w:t>
      </w:r>
      <w:r>
        <w:rPr>
          <w:spacing w:val="-5"/>
        </w:rPr>
        <w:t>呈阳性，没有出现临床症状或体征的，为感染艾滋病病毒；如果同时出现了明显临床症状或体征的，为患艾</w:t>
      </w:r>
    </w:p>
    <w:p>
      <w:pPr>
        <w:pStyle w:val="BodyText"/>
        <w:spacing w:line="238" w:lineRule="exact" w:before="6"/>
        <w:ind w:left="117"/>
      </w:pPr>
      <w:r>
        <w:rPr/>
        <w:t>滋病。</w:t>
      </w:r>
    </w:p>
    <w:p>
      <w:pPr>
        <w:pStyle w:val="BodyText"/>
        <w:spacing w:line="317" w:lineRule="exact"/>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left="117" w:right="186"/>
      </w:pPr>
      <w:r>
        <w:rPr/>
        <w:t>金额。每个保单年度末本合同所具有的现金价值在保险单或批注上列明。每个保单年度中，本合同所具有的现金价值根据本合同实际经过的天数计算。</w:t>
      </w:r>
    </w:p>
    <w:p>
      <w:pPr>
        <w:spacing w:after="0" w:line="274" w:lineRule="exact"/>
        <w:sectPr>
          <w:pgSz w:w="11910" w:h="16160"/>
          <w:pgMar w:header="0" w:footer="827" w:top="1360" w:bottom="1040" w:left="960" w:right="760"/>
        </w:sectPr>
      </w:pPr>
    </w:p>
    <w:p>
      <w:pPr>
        <w:pStyle w:val="BodyText"/>
        <w:spacing w:line="256" w:lineRule="auto" w:before="67"/>
        <w:ind w:left="538" w:right="217" w:hanging="421"/>
        <w:rPr>
          <w:rFonts w:ascii="黑体" w:eastAsia="黑体" w:hint="eastAsia"/>
        </w:rPr>
      </w:pPr>
      <w:r>
        <w:rPr>
          <w:rFonts w:ascii="黑体" w:eastAsia="黑体" w:hint="eastAsia"/>
          <w:spacing w:val="-5"/>
        </w:rPr>
        <w:t>三、被保险人自本合同成立或者合同效力恢复之日起 </w:t>
      </w:r>
      <w:r>
        <w:rPr>
          <w:rFonts w:ascii="Times New Roman" w:eastAsia="Times New Roman"/>
        </w:rPr>
        <w:t>2 </w:t>
      </w:r>
      <w:r>
        <w:rPr>
          <w:rFonts w:ascii="黑体" w:eastAsia="黑体" w:hint="eastAsia"/>
          <w:spacing w:val="-12"/>
        </w:rPr>
        <w:t>年内自杀，但被保险人自杀时为</w:t>
      </w:r>
      <w:r>
        <w:rPr>
          <w:rFonts w:ascii="黑体" w:eastAsia="黑体" w:hint="eastAsia"/>
          <w:b/>
          <w:spacing w:val="-1"/>
        </w:rPr>
        <w:t>无民事行为能力人</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的除外；</w:t>
      </w:r>
    </w:p>
    <w:p>
      <w:pPr>
        <w:pStyle w:val="BodyText"/>
        <w:spacing w:before="22"/>
        <w:ind w:left="117"/>
        <w:rPr>
          <w:rFonts w:ascii="黑体" w:eastAsia="黑体" w:hint="eastAsia"/>
        </w:rPr>
      </w:pPr>
      <w:r>
        <w:rPr>
          <w:rFonts w:ascii="黑体" w:eastAsia="黑体" w:hint="eastAsia"/>
        </w:rPr>
        <w:t>四、被保险人主动吸食或注射毒品；</w:t>
      </w:r>
    </w:p>
    <w:p>
      <w:pPr>
        <w:pStyle w:val="BodyText"/>
        <w:spacing w:line="273" w:lineRule="auto" w:before="37"/>
        <w:ind w:left="117" w:right="256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before="7"/>
        <w:ind w:left="117"/>
        <w:rPr>
          <w:rFonts w:ascii="黑体" w:eastAsia="黑体" w:hint="eastAsia"/>
        </w:rPr>
      </w:pPr>
      <w:r>
        <w:rPr>
          <w:rFonts w:ascii="黑体" w:eastAsia="黑体" w:hint="eastAsia"/>
        </w:rPr>
        <w:t>七、核爆炸、核辐射或核污染。</w:t>
      </w:r>
    </w:p>
    <w:p>
      <w:pPr>
        <w:pStyle w:val="BodyText"/>
        <w:spacing w:line="256" w:lineRule="auto" w:before="36"/>
        <w:ind w:left="117" w:right="248" w:firstLine="420"/>
        <w:jc w:val="both"/>
        <w:rPr>
          <w:rFonts w:ascii="黑体" w:eastAsia="黑体" w:hint="eastAsia"/>
        </w:rPr>
      </w:pPr>
      <w:r>
        <w:rPr>
          <w:rFonts w:ascii="黑体" w:eastAsia="黑体" w:hint="eastAsia"/>
        </w:rPr>
        <w:t>发Th</w:t>
      </w:r>
      <w:r>
        <w:rPr>
          <w:rFonts w:ascii="黑体" w:eastAsia="黑体" w:hint="eastAsia"/>
          <w:spacing w:val="-4"/>
        </w:rPr>
        <w:t>上述第一项情形导致被保险人身故的，本合同终止，您已交足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9"/>
        <w:rPr>
          <w:rFonts w:ascii="黑体"/>
          <w:sz w:val="26"/>
        </w:rPr>
      </w:pPr>
    </w:p>
    <w:p>
      <w:pPr>
        <w:pStyle w:val="Heading2"/>
        <w:tabs>
          <w:tab w:pos="957" w:val="left" w:leader="none"/>
        </w:tabs>
      </w:pPr>
      <w:bookmarkStart w:name="_bookmark7" w:id="8"/>
      <w:bookmarkEnd w:id="8"/>
      <w:r>
        <w:rPr>
          <w:b w:val="0"/>
        </w:rPr>
      </w:r>
      <w:r>
        <w:rPr/>
        <w:t>第六条</w:t>
        <w:tab/>
        <w:t>保险合同成立与生效</w:t>
      </w:r>
    </w:p>
    <w:p>
      <w:pPr>
        <w:pStyle w:val="BodyText"/>
        <w:spacing w:before="37"/>
        <w:ind w:left="538"/>
      </w:pPr>
      <w:r>
        <w:rPr/>
        <w:t>您提出保险申请、我们同意承保，本合同成立。</w:t>
      </w:r>
    </w:p>
    <w:p>
      <w:pPr>
        <w:pStyle w:val="BodyText"/>
        <w:spacing w:line="256" w:lineRule="auto" w:before="37"/>
        <w:ind w:left="117" w:right="217" w:firstLine="420"/>
        <w:jc w:val="both"/>
      </w:pPr>
      <w:r>
        <w:rPr>
          <w:spacing w:val="-9"/>
        </w:rPr>
        <w:t>合同生效日期在保险单上载明。保单年度、保险费约定支付日均以该日期计算。本合同至</w:t>
      </w:r>
      <w:r>
        <w:rPr>
          <w:b/>
          <w:spacing w:val="-1"/>
        </w:rPr>
        <w:t>本合同期满日</w:t>
      </w:r>
      <w:r>
        <w:rPr>
          <w:rFonts w:ascii="Times New Roman" w:eastAsia="Times New Roman"/>
          <w:b/>
          <w:vertAlign w:val="superscript"/>
        </w:rPr>
        <w:t>16</w:t>
      </w:r>
      <w:r>
        <w:rPr>
          <w:rFonts w:ascii="Times New Roman" w:eastAsia="Times New Roman"/>
          <w:b/>
          <w:vertAlign w:val="superscript"/>
        </w:rPr>
        <w:t> </w:t>
      </w:r>
      <w:r>
        <w:rPr>
          <w:rFonts w:ascii="Times New Roman" w:eastAsia="Times New Roman"/>
          <w:b/>
          <w:vertAlign w:val="baseline"/>
        </w:rPr>
      </w:r>
      <w:r>
        <w:rPr>
          <w:spacing w:val="-2"/>
          <w:vertAlign w:val="baseline"/>
        </w:rPr>
        <w:t>当天零时期满。</w:t>
      </w:r>
    </w:p>
    <w:p>
      <w:pPr>
        <w:pStyle w:val="BodyText"/>
        <w:spacing w:before="4"/>
        <w:rPr>
          <w:sz w:val="23"/>
        </w:rPr>
      </w:pPr>
    </w:p>
    <w:p>
      <w:pPr>
        <w:pStyle w:val="Heading1"/>
        <w:tabs>
          <w:tab w:pos="1574" w:val="left" w:leader="none"/>
        </w:tabs>
        <w:spacing w:before="1"/>
      </w:pPr>
      <w:bookmarkStart w:name="_bookmark8" w:id="9"/>
      <w:bookmarkEnd w:id="9"/>
      <w:r>
        <w:rPr>
          <w:b w:val="0"/>
        </w:rPr>
      </w:r>
      <w:r>
        <w:rPr/>
        <w:t>第三部分</w:t>
        <w:tab/>
      </w:r>
      <w:r>
        <w:rPr>
          <w:w w:val="95"/>
        </w:rPr>
        <w:t>如何交纳保险费</w:t>
      </w:r>
    </w:p>
    <w:p>
      <w:pPr>
        <w:pStyle w:val="BodyText"/>
        <w:spacing w:before="10"/>
        <w:rPr>
          <w:b/>
          <w:sz w:val="25"/>
        </w:rPr>
      </w:pPr>
    </w:p>
    <w:p>
      <w:pPr>
        <w:pStyle w:val="Heading2"/>
        <w:tabs>
          <w:tab w:pos="957" w:val="left" w:leader="none"/>
        </w:tabs>
      </w:pPr>
      <w:bookmarkStart w:name="_bookmark9" w:id="10"/>
      <w:bookmarkEnd w:id="10"/>
      <w:r>
        <w:rPr>
          <w:b w:val="0"/>
        </w:rPr>
      </w:r>
      <w:r>
        <w:rPr/>
        <w:t>第七条</w:t>
        <w:tab/>
        <w:t>保险费的交纳</w:t>
      </w:r>
    </w:p>
    <w:p>
      <w:pPr>
        <w:pStyle w:val="BodyText"/>
        <w:spacing w:before="36"/>
        <w:ind w:left="538"/>
      </w:pPr>
      <w:r>
        <w:rPr/>
        <w:t>本合同保险费的交费方式和交费期限由您和我们约定，并在保险单或批注上列明。</w:t>
      </w:r>
    </w:p>
    <w:p>
      <w:pPr>
        <w:pStyle w:val="BodyText"/>
        <w:spacing w:line="256" w:lineRule="auto" w:before="36"/>
        <w:ind w:left="117" w:right="224" w:firstLine="420"/>
        <w:jc w:val="both"/>
      </w:pPr>
      <w:r>
        <w:rPr/>
        <w:t>您可以选择</w:t>
      </w:r>
      <w:r>
        <w:rPr>
          <w:b/>
        </w:rPr>
        <w:t>趸交</w:t>
      </w:r>
      <w:r>
        <w:rPr>
          <w:rFonts w:ascii="Times New Roman" w:eastAsia="Times New Roman"/>
          <w:b/>
          <w:vertAlign w:val="superscript"/>
        </w:rPr>
        <w:t>1</w:t>
      </w:r>
      <w:r>
        <w:rPr>
          <w:rFonts w:ascii="Times New Roman" w:eastAsia="Times New Roman"/>
          <w:b/>
          <w:vertAlign w:val="superscript"/>
        </w:rPr>
        <w:t>7</w:t>
      </w:r>
      <w:r>
        <w:rPr>
          <w:rFonts w:ascii="Times New Roman" w:eastAsia="Times New Roman"/>
          <w:b/>
          <w:vertAlign w:val="baseline"/>
        </w:rPr>
      </w:r>
      <w:r>
        <w:rPr>
          <w:vertAlign w:val="baseline"/>
        </w:rPr>
        <w:t>或分期交纳保险费。选择分期交纳保险费的，您在交纳了首期保险费后，应按本合同的约定在每个</w:t>
      </w:r>
      <w:r>
        <w:rPr>
          <w:b/>
          <w:vertAlign w:val="baseline"/>
        </w:rPr>
        <w:t>保险费到期日</w:t>
      </w:r>
      <w:r>
        <w:rPr>
          <w:rFonts w:ascii="Times New Roman" w:eastAsia="Times New Roman"/>
          <w:b/>
          <w:vertAlign w:val="superscript"/>
        </w:rPr>
        <w:t>18</w:t>
      </w:r>
      <w:r>
        <w:rPr>
          <w:rFonts w:ascii="Times New Roman" w:eastAsia="Times New Roman"/>
          <w:b/>
          <w:vertAlign w:val="baseline"/>
        </w:rPr>
      </w:r>
      <w:r>
        <w:rPr>
          <w:vertAlign w:val="baseline"/>
        </w:rPr>
        <w:t>交纳余下各期的保险费。</w:t>
      </w:r>
    </w:p>
    <w:p>
      <w:pPr>
        <w:pStyle w:val="BodyText"/>
        <w:spacing w:before="2"/>
        <w:rPr>
          <w:sz w:val="24"/>
        </w:rPr>
      </w:pPr>
    </w:p>
    <w:p>
      <w:pPr>
        <w:pStyle w:val="Heading2"/>
        <w:tabs>
          <w:tab w:pos="957" w:val="left" w:leader="none"/>
        </w:tabs>
      </w:pPr>
      <w:bookmarkStart w:name="_bookmark10" w:id="11"/>
      <w:bookmarkEnd w:id="11"/>
      <w:r>
        <w:rPr>
          <w:b w:val="0"/>
        </w:rPr>
      </w:r>
      <w:r>
        <w:rPr/>
        <w:t>第八条</w:t>
        <w:tab/>
        <w:t>宽限期</w:t>
      </w:r>
    </w:p>
    <w:p>
      <w:pPr>
        <w:pStyle w:val="BodyText"/>
        <w:spacing w:line="264" w:lineRule="auto" w:before="37"/>
        <w:ind w:left="117"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19</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line="273" w:lineRule="auto" w:before="16"/>
        <w:ind w:left="538" w:right="1717"/>
      </w:pPr>
      <w:r>
        <w:rPr/>
        <w:t>如果您宽限期结束之后仍未支付保险费，则本合同自宽限期满的次日零时起效力中止。在本合同效力中止期间，我们不承担保险责任。</w:t>
      </w:r>
    </w:p>
    <w:p>
      <w:pPr>
        <w:pStyle w:val="BodyText"/>
        <w:spacing w:before="5"/>
        <w:rPr>
          <w:sz w:val="24"/>
        </w:rPr>
      </w:pPr>
    </w:p>
    <w:p>
      <w:pPr>
        <w:pStyle w:val="Heading2"/>
        <w:tabs>
          <w:tab w:pos="957" w:val="left" w:leader="none"/>
        </w:tabs>
        <w:spacing w:before="1"/>
      </w:pPr>
      <w:bookmarkStart w:name="_bookmark11" w:id="12"/>
      <w:bookmarkEnd w:id="12"/>
      <w:r>
        <w:rPr>
          <w:b w:val="0"/>
        </w:rPr>
      </w:r>
      <w:r>
        <w:rPr/>
        <w:t>第九条</w:t>
        <w:tab/>
        <w:t>保险费率的调整</w:t>
      </w:r>
    </w:p>
    <w:p>
      <w:pPr>
        <w:pStyle w:val="BodyText"/>
        <w:spacing w:line="273" w:lineRule="auto" w:before="37"/>
        <w:ind w:left="117" w:right="220" w:firstLine="420"/>
        <w:jc w:val="both"/>
      </w:pPr>
      <w:r>
        <w:rPr/>
        <w:t>我们保留提高或降低保险费率之权利，但须向监管机构备案。保险费率的调整针对所有被保险人或同一类被保险人。</w:t>
      </w:r>
    </w:p>
    <w:p>
      <w:pPr>
        <w:pStyle w:val="BodyText"/>
        <w:spacing w:line="273" w:lineRule="auto" w:before="7"/>
        <w:ind w:left="117" w:right="218"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二十一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rPr>
          <w:sz w:val="20"/>
        </w:rPr>
      </w:pPr>
    </w:p>
    <w:p>
      <w:pPr>
        <w:pStyle w:val="BodyText"/>
        <w:spacing w:before="3"/>
        <w:rPr>
          <w:sz w:val="12"/>
        </w:rPr>
      </w:pPr>
      <w:r>
        <w:rPr/>
        <w:pict>
          <v:line style="position:absolute;mso-position-horizontal-relative:page;mso-position-vertical-relative:paragraph;z-index:1168;mso-wrap-distance-left:0;mso-wrap-distance-right:0" from="53.880001pt,10.234221pt" to="197.930001pt,10.234221pt" stroked="true" strokeweight=".47998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26" w:lineRule="exact"/>
        <w:ind w:left="117"/>
      </w:pPr>
      <w:r>
        <w:rPr/>
        <w:t>华人民共和国民法通则》第十二条及第十三条规定）</w:t>
      </w:r>
    </w:p>
    <w:p>
      <w:pPr>
        <w:pStyle w:val="BodyText"/>
        <w:spacing w:line="318" w:lineRule="exact"/>
        <w:ind w:left="117"/>
      </w:pPr>
      <w:r>
        <w:rPr>
          <w:rFonts w:ascii="Times New Roman" w:eastAsia="Times New Roman"/>
          <w:position w:val="10"/>
          <w:sz w:val="14"/>
        </w:rPr>
        <w:t>16</w:t>
      </w:r>
      <w:r>
        <w:rPr>
          <w:rFonts w:ascii="Microsoft JhengHei" w:eastAsia="Microsoft JhengHei" w:hint="eastAsia"/>
          <w:b/>
        </w:rPr>
        <w:t>本合同期满日：</w:t>
      </w:r>
      <w:r>
        <w:rPr/>
        <w:t>指保险单或批注上列明的合同生效日经过保险期间后的对应日。如果当月无对应的同一日，</w:t>
      </w:r>
    </w:p>
    <w:p>
      <w:pPr>
        <w:pStyle w:val="BodyText"/>
        <w:spacing w:line="227" w:lineRule="exact"/>
        <w:ind w:left="117"/>
      </w:pPr>
      <w:r>
        <w:rPr/>
        <w:t>则以该月最后一日作为对应日。</w:t>
      </w:r>
    </w:p>
    <w:p>
      <w:pPr>
        <w:spacing w:line="284"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趸交：</w:t>
      </w:r>
      <w:r>
        <w:rPr>
          <w:sz w:val="21"/>
        </w:rPr>
        <w:t>指一次性支付保险费。</w:t>
      </w:r>
    </w:p>
    <w:p>
      <w:pPr>
        <w:pStyle w:val="BodyText"/>
        <w:spacing w:line="306" w:lineRule="exact"/>
        <w:ind w:left="117"/>
      </w:pPr>
      <w:r>
        <w:rPr>
          <w:rFonts w:ascii="Times New Roman" w:eastAsia="Times New Roman"/>
          <w:position w:val="10"/>
          <w:sz w:val="14"/>
        </w:rPr>
        <w:t>18</w:t>
      </w:r>
      <w:r>
        <w:rPr>
          <w:rFonts w:ascii="Microsoft JhengHei" w:eastAsia="Microsoft JhengHei" w:hint="eastAsia"/>
          <w:b/>
        </w:rPr>
        <w:t>保险费到期日：</w:t>
      </w:r>
      <w:r>
        <w:rPr/>
        <w:t>一般为保险单或批注上列明的合同生效日在每月、每季、每半年或每年（根据交费方式确</w:t>
      </w:r>
    </w:p>
    <w:p>
      <w:pPr>
        <w:pStyle w:val="BodyText"/>
        <w:spacing w:line="227" w:lineRule="exact"/>
        <w:ind w:left="117"/>
      </w:pPr>
      <w:r>
        <w:rPr/>
        <w:t>定）的对应日。如果当月无对应的同一日，则以该月最后一日为对应日。</w:t>
      </w:r>
    </w:p>
    <w:p>
      <w:pPr>
        <w:spacing w:line="332"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保险事故：</w:t>
      </w:r>
      <w:r>
        <w:rPr>
          <w:sz w:val="21"/>
        </w:rPr>
        <w:t>指本合同约定的保险责任范围内的事故。</w:t>
      </w:r>
    </w:p>
    <w:p>
      <w:pPr>
        <w:spacing w:after="0" w:line="332" w:lineRule="exact"/>
        <w:jc w:val="left"/>
        <w:rPr>
          <w:sz w:val="21"/>
        </w:rPr>
        <w:sectPr>
          <w:pgSz w:w="11910" w:h="16160"/>
          <w:pgMar w:header="0" w:footer="827" w:top="1300" w:bottom="1040" w:left="960" w:right="700"/>
        </w:sectPr>
      </w:pPr>
    </w:p>
    <w:p>
      <w:pPr>
        <w:pStyle w:val="Heading1"/>
        <w:tabs>
          <w:tab w:pos="1574" w:val="left" w:leader="none"/>
        </w:tabs>
        <w:spacing w:line="314" w:lineRule="exact"/>
      </w:pPr>
      <w:bookmarkStart w:name="_bookmark12" w:id="13"/>
      <w:bookmarkEnd w:id="13"/>
      <w:r>
        <w:rPr>
          <w:b w:val="0"/>
        </w:rPr>
      </w:r>
      <w:r>
        <w:rPr/>
        <w:t>第四部分</w:t>
        <w:tab/>
      </w:r>
      <w:r>
        <w:rPr>
          <w:w w:val="95"/>
        </w:rPr>
        <w:t>如何申请保险金</w:t>
      </w:r>
    </w:p>
    <w:p>
      <w:pPr>
        <w:pStyle w:val="BodyText"/>
        <w:spacing w:before="11"/>
        <w:rPr>
          <w:b/>
          <w:sz w:val="25"/>
        </w:rPr>
      </w:pPr>
    </w:p>
    <w:p>
      <w:pPr>
        <w:pStyle w:val="Heading2"/>
        <w:tabs>
          <w:tab w:pos="957" w:val="left" w:leader="none"/>
        </w:tabs>
      </w:pPr>
      <w:bookmarkStart w:name="_bookmark13" w:id="14"/>
      <w:bookmarkEnd w:id="14"/>
      <w:r>
        <w:rPr>
          <w:b w:val="0"/>
        </w:rPr>
      </w:r>
      <w:r>
        <w:rPr/>
        <w:t>第十条</w:t>
        <w:tab/>
        <w:t>受益人</w:t>
      </w:r>
    </w:p>
    <w:p>
      <w:pPr>
        <w:pStyle w:val="BodyText"/>
        <w:spacing w:before="37"/>
        <w:ind w:left="538"/>
      </w:pPr>
      <w:r>
        <w:rPr/>
        <w:t>重大疾病保险金的受益人为被保险人本人。</w:t>
      </w:r>
    </w:p>
    <w:p>
      <w:pPr>
        <w:pStyle w:val="BodyText"/>
        <w:spacing w:before="37"/>
        <w:ind w:left="538"/>
      </w:pPr>
      <w:r>
        <w:rPr/>
        <w:t>您或被保险人可指定一人或多人为身故保险金受益人。</w:t>
      </w:r>
    </w:p>
    <w:p>
      <w:pPr>
        <w:pStyle w:val="BodyText"/>
        <w:spacing w:line="273" w:lineRule="auto" w:before="37"/>
        <w:ind w:left="117"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left="117"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left="117" w:right="220" w:firstLine="420"/>
      </w:pPr>
      <w:r>
        <w:rPr/>
        <w:t>被保险人身故后，有下列情形之一的，保险金作为被保险人的遗产，由我们依照《中华人民共和国继承法》的规定履行给付保险金的义务：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0"/>
        <w:ind w:left="538"/>
      </w:pPr>
      <w:r>
        <w:rPr/>
        <w:t>（</w:t>
      </w:r>
      <w:r>
        <w:rPr>
          <w:rFonts w:ascii="Times New Roman" w:eastAsia="Times New Roman"/>
        </w:rPr>
        <w:t>2</w:t>
      </w:r>
      <w:r>
        <w:rPr/>
        <w:t>）受益人先于被保险人身故，没有其他受益人的；</w:t>
      </w:r>
    </w:p>
    <w:p>
      <w:pPr>
        <w:pStyle w:val="BodyText"/>
        <w:spacing w:before="20"/>
        <w:ind w:left="538"/>
      </w:pPr>
      <w:r>
        <w:rPr/>
        <w:t>（</w:t>
      </w:r>
      <w:r>
        <w:rPr>
          <w:rFonts w:ascii="Times New Roman" w:eastAsia="Times New Roman"/>
        </w:rPr>
        <w:t>3</w:t>
      </w:r>
      <w:r>
        <w:rPr/>
        <w:t>）受益人依法丧失受益权或者放弃受益权，没有其他受益人的。</w:t>
      </w:r>
    </w:p>
    <w:p>
      <w:pPr>
        <w:pStyle w:val="BodyText"/>
        <w:spacing w:before="20"/>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pStyle w:val="BodyText"/>
        <w:spacing w:line="273" w:lineRule="auto" w:before="21"/>
        <w:ind w:left="117" w:right="109" w:firstLine="420"/>
      </w:pPr>
      <w:r>
        <w:rPr>
          <w:spacing w:val="-7"/>
        </w:rPr>
        <w:t>如果您或受益人故意或者因重大过失未及时通知，致使保险事故的性质、原因、损失程度等难以确定的， 我们对无法确定的部分，不承担给付保险金的责任，但我们通过其他途径已经及时知道或者应当及时知道保</w:t>
      </w:r>
      <w:r>
        <w:rPr>
          <w:spacing w:val="-5"/>
        </w:rPr>
        <w:t>险事故发生或者虽未及时通知但不影响我们确定保险事故的性质、原因、损失程度的除外。</w:t>
      </w:r>
    </w:p>
    <w:p>
      <w:pPr>
        <w:pStyle w:val="BodyText"/>
        <w:spacing w:before="5"/>
        <w:rPr>
          <w:sz w:val="24"/>
        </w:rPr>
      </w:pPr>
    </w:p>
    <w:p>
      <w:pPr>
        <w:pStyle w:val="Heading2"/>
        <w:tabs>
          <w:tab w:pos="1197" w:val="left" w:leader="none"/>
        </w:tabs>
      </w:pPr>
      <w:bookmarkStart w:name="_bookmark15" w:id="16"/>
      <w:bookmarkEnd w:id="16"/>
      <w:r>
        <w:rPr>
          <w:b w:val="0"/>
        </w:rPr>
      </w:r>
      <w:r>
        <w:rPr/>
        <w:t>第十二条</w:t>
        <w:tab/>
        <w:t>诉讼时效</w:t>
      </w:r>
    </w:p>
    <w:p>
      <w:pPr>
        <w:pStyle w:val="BodyText"/>
        <w:spacing w:line="273" w:lineRule="auto" w:before="37"/>
        <w:ind w:left="117"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8"/>
        <w:ind w:left="117" w:right="220" w:firstLine="420"/>
      </w:pPr>
      <w:r>
        <w:rPr/>
        <w:t>人寿保险的被保险人或者受益人向我们请求给付保险金的诉讼时效期间为五年，自其知道或者应当知道保险事故发生之日起计算。</w:t>
      </w:r>
    </w:p>
    <w:p>
      <w:pPr>
        <w:pStyle w:val="BodyText"/>
        <w:spacing w:before="5"/>
        <w:rPr>
          <w:sz w:val="24"/>
        </w:rPr>
      </w:pPr>
    </w:p>
    <w:p>
      <w:pPr>
        <w:pStyle w:val="Heading2"/>
        <w:tabs>
          <w:tab w:pos="1197" w:val="left" w:leader="none"/>
        </w:tabs>
        <w:spacing w:before="1"/>
      </w:pPr>
      <w:bookmarkStart w:name="_bookmark16" w:id="17"/>
      <w:bookmarkEnd w:id="17"/>
      <w:r>
        <w:rPr>
          <w:b w:val="0"/>
        </w:rPr>
      </w:r>
      <w:r>
        <w:rPr/>
        <w:t>第十三条</w:t>
        <w:tab/>
        <w:t>保险金申请</w:t>
      </w:r>
    </w:p>
    <w:p>
      <w:pPr>
        <w:pStyle w:val="BodyText"/>
        <w:spacing w:before="37"/>
        <w:ind w:left="117"/>
      </w:pPr>
      <w:r>
        <w:rPr/>
        <w:t>一、 重大疾病保险金的申请</w:t>
      </w:r>
    </w:p>
    <w:p>
      <w:pPr>
        <w:pStyle w:val="BodyText"/>
        <w:spacing w:before="37"/>
        <w:ind w:left="538"/>
      </w:pPr>
      <w:r>
        <w:rPr/>
        <w:t>在申请重大疾病保险金时，申请人须填写保险金给付申请书，并提供下列证明和资料：</w:t>
      </w:r>
    </w:p>
    <w:p>
      <w:pPr>
        <w:pStyle w:val="ListParagraph"/>
        <w:numPr>
          <w:ilvl w:val="0"/>
          <w:numId w:val="2"/>
        </w:numPr>
        <w:tabs>
          <w:tab w:pos="837" w:val="left" w:leader="none"/>
          <w:tab w:pos="839" w:val="left" w:leader="none"/>
        </w:tabs>
        <w:spacing w:line="240" w:lineRule="auto" w:before="38" w:after="0"/>
        <w:ind w:left="117" w:right="0" w:firstLine="361"/>
        <w:jc w:val="left"/>
        <w:rPr>
          <w:sz w:val="21"/>
        </w:rPr>
      </w:pPr>
      <w:r>
        <w:rPr>
          <w:spacing w:val="-1"/>
          <w:sz w:val="21"/>
        </w:rPr>
        <w:t>保险合同；</w:t>
      </w:r>
    </w:p>
    <w:p>
      <w:pPr>
        <w:pStyle w:val="ListParagraph"/>
        <w:numPr>
          <w:ilvl w:val="0"/>
          <w:numId w:val="2"/>
        </w:numPr>
        <w:tabs>
          <w:tab w:pos="847" w:val="left" w:leader="none"/>
          <w:tab w:pos="848" w:val="left" w:leader="none"/>
        </w:tabs>
        <w:spacing w:line="240" w:lineRule="auto" w:before="21" w:after="0"/>
        <w:ind w:left="847" w:right="0" w:hanging="369"/>
        <w:jc w:val="left"/>
        <w:rPr>
          <w:sz w:val="21"/>
        </w:rPr>
      </w:pPr>
      <w:r>
        <w:rPr>
          <w:spacing w:val="-3"/>
          <w:sz w:val="21"/>
        </w:rPr>
        <w:t>受益人的</w:t>
      </w:r>
      <w:r>
        <w:rPr>
          <w:b/>
          <w:spacing w:val="-1"/>
          <w:sz w:val="21"/>
        </w:rPr>
        <w:t>有效身份证件</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ListParagraph"/>
        <w:numPr>
          <w:ilvl w:val="0"/>
          <w:numId w:val="2"/>
        </w:numPr>
        <w:tabs>
          <w:tab w:pos="847" w:val="left" w:leader="none"/>
          <w:tab w:pos="848" w:val="left" w:leader="none"/>
        </w:tabs>
        <w:spacing w:line="240" w:lineRule="auto" w:before="21" w:after="0"/>
        <w:ind w:left="847" w:right="0" w:hanging="369"/>
        <w:jc w:val="left"/>
        <w:rPr>
          <w:sz w:val="21"/>
        </w:rPr>
      </w:pPr>
      <w:r>
        <w:rPr>
          <w:spacing w:val="-3"/>
          <w:sz w:val="21"/>
        </w:rPr>
        <w:t>医院出具的附有被保险人病理、血液及其它科学方法检验报告等诊断证明文件；</w:t>
      </w:r>
    </w:p>
    <w:p>
      <w:pPr>
        <w:pStyle w:val="ListParagraph"/>
        <w:numPr>
          <w:ilvl w:val="0"/>
          <w:numId w:val="2"/>
        </w:numPr>
        <w:tabs>
          <w:tab w:pos="847" w:val="left" w:leader="none"/>
          <w:tab w:pos="848" w:val="left" w:leader="none"/>
        </w:tabs>
        <w:spacing w:line="256" w:lineRule="auto" w:before="21" w:after="0"/>
        <w:ind w:left="117" w:right="3093" w:firstLine="361"/>
        <w:jc w:val="left"/>
        <w:rPr>
          <w:sz w:val="21"/>
        </w:rPr>
      </w:pPr>
      <w:r>
        <w:rPr>
          <w:spacing w:val="-3"/>
          <w:sz w:val="21"/>
        </w:rPr>
        <w:t>所能提供的与确认保险事故的性质、原因等有关的其他证明和资料。</w:t>
      </w:r>
      <w:r>
        <w:rPr>
          <w:spacing w:val="-2"/>
          <w:sz w:val="21"/>
        </w:rPr>
        <w:t>二、 身故保险金的申请</w:t>
      </w:r>
    </w:p>
    <w:p>
      <w:pPr>
        <w:pStyle w:val="BodyText"/>
        <w:spacing w:before="9"/>
        <w:rPr>
          <w:sz w:val="22"/>
        </w:rPr>
      </w:pPr>
      <w:r>
        <w:rPr/>
        <w:pict>
          <v:line style="position:absolute;mso-position-horizontal-relative:page;mso-position-vertical-relative:paragraph;z-index:1192;mso-wrap-distance-left:0;mso-wrap-distance-right:0" from="53.880001pt,17.090282pt" to="197.930001pt,17.090282pt" stroked="true" strokeweight=".48004pt" strokecolor="#000000">
            <v:stroke dashstyle="solid"/>
            <w10:wrap type="topAndBottom"/>
          </v:line>
        </w:pict>
      </w:r>
    </w:p>
    <w:p>
      <w:pPr>
        <w:spacing w:line="319" w:lineRule="exact" w:before="0"/>
        <w:ind w:left="117" w:right="0" w:firstLine="0"/>
        <w:jc w:val="left"/>
        <w:rPr>
          <w:sz w:val="21"/>
        </w:rPr>
      </w:pPr>
      <w:r>
        <w:rPr>
          <w:rFonts w:ascii="Times New Roman" w:eastAsia="Times New Roman"/>
          <w:spacing w:val="-1"/>
          <w:position w:val="10"/>
          <w:sz w:val="14"/>
        </w:rPr>
        <w:t>20</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z w:val="21"/>
        </w:rPr>
        <w:t>（根</w:t>
      </w:r>
    </w:p>
    <w:p>
      <w:pPr>
        <w:pStyle w:val="BodyText"/>
        <w:spacing w:line="227" w:lineRule="exact"/>
        <w:ind w:left="117"/>
      </w:pPr>
      <w:r>
        <w:rPr/>
        <w:t>据《中华人民共和国民法通则》第十二条及第十三条规定）</w:t>
      </w:r>
    </w:p>
    <w:p>
      <w:pPr>
        <w:pStyle w:val="BodyText"/>
        <w:spacing w:line="318" w:lineRule="exact"/>
        <w:ind w:left="117"/>
      </w:pPr>
      <w:r>
        <w:rPr>
          <w:rFonts w:ascii="Times New Roman" w:eastAsia="Times New Roman"/>
          <w:position w:val="10"/>
          <w:sz w:val="14"/>
        </w:rPr>
        <w:t>21</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2" w:lineRule="exact"/>
        <w:ind w:left="117"/>
      </w:pPr>
      <w:r>
        <w:rPr/>
        <w:t>的未成年人。</w:t>
      </w:r>
    </w:p>
    <w:p>
      <w:pPr>
        <w:spacing w:after="0" w:line="262" w:lineRule="exact"/>
        <w:sectPr>
          <w:pgSz w:w="11910" w:h="16160"/>
          <w:pgMar w:header="0" w:footer="827" w:top="1340" w:bottom="1040" w:left="960" w:right="700"/>
        </w:sectPr>
      </w:pPr>
    </w:p>
    <w:p>
      <w:pPr>
        <w:pStyle w:val="BodyText"/>
        <w:spacing w:before="7"/>
        <w:ind w:left="538"/>
      </w:pPr>
      <w:r>
        <w:rPr/>
        <w:t>在申请身故保险金时，申请人须填写保险金给付申请书，并提供下列证明和资料：</w:t>
      </w:r>
    </w:p>
    <w:p>
      <w:pPr>
        <w:pStyle w:val="ListParagraph"/>
        <w:numPr>
          <w:ilvl w:val="0"/>
          <w:numId w:val="3"/>
        </w:numPr>
        <w:tabs>
          <w:tab w:pos="835" w:val="left" w:leader="none"/>
          <w:tab w:pos="836" w:val="left" w:leader="none"/>
        </w:tabs>
        <w:spacing w:line="240" w:lineRule="auto" w:before="37" w:after="0"/>
        <w:ind w:left="835" w:right="0" w:hanging="360"/>
        <w:jc w:val="left"/>
        <w:rPr>
          <w:sz w:val="21"/>
        </w:rPr>
      </w:pPr>
      <w:r>
        <w:rPr>
          <w:spacing w:val="-1"/>
          <w:sz w:val="21"/>
        </w:rPr>
        <w:t>保险合同；</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申请人的有效身份证件；</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受益人的有效身份证件；</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3"/>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left="117" w:right="118"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5"/>
        <w:rPr>
          <w:sz w:val="24"/>
        </w:rPr>
      </w:pPr>
    </w:p>
    <w:p>
      <w:pPr>
        <w:pStyle w:val="Heading2"/>
        <w:tabs>
          <w:tab w:pos="1197" w:val="left" w:leader="none"/>
        </w:tabs>
      </w:pPr>
      <w:bookmarkStart w:name="_bookmark17" w:id="18"/>
      <w:bookmarkEnd w:id="18"/>
      <w:r>
        <w:rPr>
          <w:b w:val="0"/>
        </w:rPr>
      </w:r>
      <w:r>
        <w:rPr/>
        <w:t>第十四条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left="117"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left="117" w:right="117"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rPr>
          <w:sz w:val="25"/>
        </w:rPr>
      </w:pPr>
    </w:p>
    <w:p>
      <w:pPr>
        <w:pStyle w:val="Heading2"/>
        <w:tabs>
          <w:tab w:pos="1197" w:val="left" w:leader="none"/>
        </w:tabs>
        <w:spacing w:before="1"/>
      </w:pPr>
      <w:bookmarkStart w:name="_bookmark18" w:id="19"/>
      <w:bookmarkEnd w:id="19"/>
      <w:r>
        <w:rPr>
          <w:b w:val="0"/>
        </w:rPr>
      </w:r>
      <w:r>
        <w:rPr/>
        <w:t>第十五条</w:t>
        <w:tab/>
        <w:t>司法鉴定</w:t>
      </w:r>
    </w:p>
    <w:p>
      <w:pPr>
        <w:pStyle w:val="BodyText"/>
        <w:spacing w:before="37"/>
        <w:ind w:left="538"/>
      </w:pPr>
      <w:r>
        <w:rPr/>
        <w:t>如果被保险人身故，我们有权要求司法鉴定机构对保险事故进行鉴定。</w:t>
      </w:r>
    </w:p>
    <w:p>
      <w:pPr>
        <w:pStyle w:val="BodyText"/>
        <w:spacing w:before="8"/>
        <w:rPr>
          <w:sz w:val="26"/>
        </w:rPr>
      </w:pPr>
    </w:p>
    <w:p>
      <w:pPr>
        <w:pStyle w:val="Heading2"/>
        <w:tabs>
          <w:tab w:pos="1197" w:val="left" w:leader="none"/>
        </w:tabs>
      </w:pPr>
      <w:bookmarkStart w:name="_bookmark19" w:id="20"/>
      <w:bookmarkEnd w:id="20"/>
      <w:r>
        <w:rPr>
          <w:b w:val="0"/>
        </w:rPr>
      </w:r>
      <w:r>
        <w:rPr/>
        <w:t>第十六条</w:t>
        <w:tab/>
        <w:t>失踪处理</w:t>
      </w:r>
    </w:p>
    <w:p>
      <w:pPr>
        <w:pStyle w:val="BodyText"/>
        <w:spacing w:line="264" w:lineRule="auto" w:before="37"/>
        <w:ind w:left="117" w:right="117" w:firstLine="420"/>
        <w:jc w:val="both"/>
      </w:pPr>
      <w:r>
        <w:rPr/>
        <w:t>在本合同保险期间内且本合同有效，如果被保险人失踪，且经法院宣告死亡，申请人可以向我们申请身故保险金，我们以法院判决宣告之被保险人死亡日为被保险人死亡的日期，并且按第四条</w:t>
      </w:r>
      <w:r>
        <w:rPr>
          <w:rFonts w:ascii="Times New Roman" w:hAnsi="Times New Roman" w:eastAsia="Times New Roman"/>
        </w:rPr>
        <w:t>“</w:t>
      </w:r>
      <w:r>
        <w:rPr/>
        <w:t>保险责任</w:t>
      </w:r>
      <w:r>
        <w:rPr>
          <w:rFonts w:ascii="Times New Roman" w:hAnsi="Times New Roman" w:eastAsia="Times New Roman"/>
        </w:rPr>
        <w:t>”</w:t>
      </w:r>
      <w:r>
        <w:rPr/>
        <w:t>第二款处理。</w:t>
      </w:r>
    </w:p>
    <w:p>
      <w:pPr>
        <w:pStyle w:val="BodyText"/>
        <w:spacing w:before="16"/>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ind w:left="117"/>
      </w:pPr>
      <w:r>
        <w:rPr/>
        <w:t>天内，向我们退还已领取的身故保险金。退还保险金后，本合同的效力由您和我们协商处理。</w:t>
      </w:r>
    </w:p>
    <w:p>
      <w:pPr>
        <w:pStyle w:val="BodyText"/>
        <w:spacing w:before="7"/>
        <w:rPr>
          <w:sz w:val="24"/>
        </w:rPr>
      </w:pPr>
    </w:p>
    <w:p>
      <w:pPr>
        <w:pStyle w:val="Heading1"/>
        <w:tabs>
          <w:tab w:pos="1674" w:val="left" w:leader="none"/>
        </w:tabs>
        <w:ind w:left="352"/>
      </w:pPr>
      <w:bookmarkStart w:name="_bookmark20" w:id="21"/>
      <w:bookmarkEnd w:id="21"/>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21" w:id="22"/>
      <w:bookmarkEnd w:id="22"/>
      <w:r>
        <w:rPr>
          <w:b w:val="0"/>
        </w:rPr>
      </w:r>
      <w:r>
        <w:rPr/>
        <w:t>第十七条</w:t>
        <w:tab/>
        <w:t>保单贷款</w:t>
      </w:r>
    </w:p>
    <w:p>
      <w:pPr>
        <w:pStyle w:val="BodyText"/>
        <w:spacing w:line="261" w:lineRule="auto" w:before="37"/>
        <w:ind w:left="117" w:right="114" w:firstLine="420"/>
        <w:jc w:val="both"/>
      </w:pPr>
      <w:r>
        <w:rPr>
          <w:spacing w:val="-5"/>
        </w:rPr>
        <w:t>如果本合同具有现金价值，而且您已支付 </w:t>
      </w:r>
      <w:r>
        <w:rPr>
          <w:rFonts w:ascii="Times New Roman" w:eastAsia="Times New Roman"/>
        </w:rPr>
        <w:t>2 </w:t>
      </w:r>
      <w:r>
        <w:rPr/>
        <w:t>年</w:t>
      </w:r>
      <w:r>
        <w:rPr>
          <w:spacing w:val="-3"/>
        </w:rPr>
        <w:t>（</w:t>
      </w:r>
      <w:r>
        <w:rPr>
          <w:spacing w:val="-17"/>
        </w:rPr>
        <w:t>或 </w:t>
      </w:r>
      <w:r>
        <w:rPr>
          <w:rFonts w:ascii="Times New Roman" w:eastAsia="Times New Roman"/>
        </w:rPr>
        <w:t>2 </w:t>
      </w:r>
      <w:r>
        <w:rPr>
          <w:spacing w:val="-3"/>
        </w:rPr>
        <w:t>年以上</w:t>
      </w:r>
      <w:r>
        <w:rPr/>
        <w:t>）</w:t>
      </w:r>
      <w:r>
        <w:rPr>
          <w:spacing w:val="-3"/>
        </w:rPr>
        <w:t>保险费或趸缴保险费的，经被保险人书面同意，您可以将本合同作为保单贷款的质押，向我们申请保单贷款。保单贷款的最高金额不超过本合同当时</w:t>
      </w:r>
      <w:r>
        <w:rPr>
          <w:spacing w:val="-3"/>
          <w:w w:val="100"/>
        </w:rPr>
        <w:t>所具有的</w:t>
      </w:r>
      <w:r>
        <w:rPr>
          <w:b/>
          <w:spacing w:val="-1"/>
          <w:w w:val="100"/>
        </w:rPr>
        <w:t>现金价值净额</w:t>
      </w:r>
      <w:r>
        <w:rPr>
          <w:rFonts w:ascii="Times New Roman" w:eastAsia="Times New Roman"/>
          <w:b/>
          <w:w w:val="97"/>
          <w:vertAlign w:val="superscript"/>
        </w:rPr>
        <w:t>22</w:t>
      </w:r>
      <w:r>
        <w:rPr>
          <w:rFonts w:ascii="Times New Roman" w:eastAsia="Times New Roman"/>
          <w:b/>
          <w:w w:val="97"/>
          <w:vertAlign w:val="baseline"/>
        </w:rPr>
      </w:r>
      <w:r>
        <w:rPr>
          <w:w w:val="100"/>
          <w:vertAlign w:val="baseline"/>
        </w:rPr>
        <w:t>的</w:t>
      </w:r>
      <w:r>
        <w:rPr>
          <w:vertAlign w:val="baseline"/>
        </w:rPr>
        <w:t> </w:t>
      </w:r>
      <w:r>
        <w:rPr>
          <w:rFonts w:ascii="Times New Roman" w:eastAsia="Times New Roman"/>
          <w:w w:val="100"/>
          <w:vertAlign w:val="baseline"/>
        </w:rPr>
        <w:t>70</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w w:val="100"/>
          <w:vertAlign w:val="baseline"/>
        </w:rPr>
        <w:t>1</w:t>
      </w:r>
      <w:r>
        <w:rPr>
          <w:rFonts w:ascii="Times New Roman" w:eastAsia="Times New Roman"/>
          <w:spacing w:val="-3"/>
          <w:w w:val="100"/>
          <w:vertAlign w:val="baseline"/>
        </w:rPr>
        <w:t>0</w:t>
      </w:r>
      <w:r>
        <w:rPr>
          <w:rFonts w:ascii="Times New Roman" w:eastAsia="Times New Roman"/>
          <w:w w:val="100"/>
          <w:vertAlign w:val="baseline"/>
        </w:rPr>
        <w:t>00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2"/>
          <w:w w:val="100"/>
          <w:vertAlign w:val="baseline"/>
        </w:rPr>
        <w:t>，每</w:t>
      </w:r>
      <w:r>
        <w:rPr>
          <w:spacing w:val="-7"/>
          <w:vertAlign w:val="baseline"/>
        </w:rPr>
        <w:t>一期贷款的最长期限为 </w:t>
      </w:r>
      <w:r>
        <w:rPr>
          <w:rFonts w:ascii="Times New Roman" w:eastAsia="Times New Roman"/>
          <w:vertAlign w:val="baseline"/>
        </w:rPr>
        <w:t>6 </w:t>
      </w:r>
      <w:r>
        <w:rPr>
          <w:vertAlign w:val="baseline"/>
        </w:rPr>
        <w:t>个月。</w:t>
      </w:r>
    </w:p>
    <w:p>
      <w:pPr>
        <w:pStyle w:val="BodyText"/>
        <w:spacing w:line="256" w:lineRule="auto"/>
        <w:ind w:left="117" w:right="118" w:firstLine="420"/>
      </w:pPr>
      <w:r>
        <w:rPr/>
        <w:t>如果您没有未偿还的保单贷款，您申请的保单贷款按我们最近一次确定的</w:t>
      </w:r>
      <w:r>
        <w:rPr>
          <w:b/>
        </w:rPr>
        <w:t>保单贷款利率</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73" w:lineRule="auto" w:before="22"/>
        <w:ind w:left="117" w:right="113" w:firstLine="420"/>
      </w:pPr>
      <w:r>
        <w:rPr>
          <w:spacing w:val="-3"/>
        </w:rPr>
        <w:t>如果您有未偿还的保单贷款，您可以申请增加贷款，当期未偿还的保单贷款和增加贷款的累积最高金额不超过增加贷款时本合同所具有的现金价值净额的 </w:t>
      </w:r>
      <w:r>
        <w:rPr>
          <w:rFonts w:ascii="Times New Roman" w:eastAsia="Times New Roman"/>
          <w:spacing w:val="-5"/>
        </w:rPr>
        <w:t>70</w:t>
      </w:r>
      <w:r>
        <w:rPr>
          <w:spacing w:val="-4"/>
        </w:rPr>
        <w:t>％，增加的保单贷款的期限为当期未偿还的保单贷款的</w:t>
      </w:r>
    </w:p>
    <w:p>
      <w:pPr>
        <w:pStyle w:val="BodyText"/>
        <w:spacing w:before="1"/>
        <w:rPr>
          <w:sz w:val="17"/>
        </w:rPr>
      </w:pPr>
      <w:r>
        <w:rPr/>
        <w:pict>
          <v:line style="position:absolute;mso-position-horizontal-relative:page;mso-position-vertical-relative:paragraph;z-index:1216;mso-wrap-distance-left:0;mso-wrap-distance-right:0" from="53.880001pt,13.380912pt" to="197.930001pt,13.380912pt" stroked="true" strokeweight=".48004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06" w:lineRule="exact"/>
        <w:ind w:left="117"/>
      </w:pPr>
      <w:r>
        <w:rPr>
          <w:rFonts w:ascii="Times New Roman" w:hAnsi="Times New Roman" w:eastAsia="Times New Roman"/>
          <w:position w:val="10"/>
          <w:sz w:val="14"/>
        </w:rPr>
        <w:t>23</w:t>
      </w:r>
      <w:r>
        <w:rPr>
          <w:rFonts w:ascii="Microsoft JhengHei" w:hAnsi="Microsoft JhengHei" w:eastAsia="Microsoft JhengHei" w:hint="eastAsia"/>
          <w:b/>
        </w:rPr>
        <w:t>保单贷款利率：</w:t>
      </w:r>
      <w:r>
        <w:rPr/>
        <w:t>我们将根据</w:t>
      </w:r>
      <w:r>
        <w:rPr>
          <w:rFonts w:ascii="Times New Roman" w:hAnsi="Times New Roman" w:eastAsia="Times New Roman"/>
        </w:rPr>
        <w:t>“</w:t>
      </w:r>
      <w:r>
        <w:rPr/>
        <w:t>同期人民银行每月第一个营业日颁布的二年期居民定期储蓄存款利率与 </w:t>
      </w:r>
      <w:r>
        <w:rPr>
          <w:rFonts w:ascii="Times New Roman" w:hAnsi="Times New Roman" w:eastAsia="Times New Roman"/>
        </w:rPr>
        <w:t>2.5%</w:t>
      </w:r>
      <w:r>
        <w:rPr/>
        <w:t>之</w:t>
      </w:r>
    </w:p>
    <w:p>
      <w:pPr>
        <w:pStyle w:val="BodyText"/>
        <w:spacing w:line="278" w:lineRule="exact"/>
        <w:ind w:left="117"/>
      </w:pPr>
      <w:r>
        <w:rPr/>
        <w:t>较大者</w:t>
      </w:r>
      <w:r>
        <w:rPr>
          <w:rFonts w:ascii="Times New Roman" w:hAnsi="Times New Roman" w:eastAsia="Times New Roman"/>
        </w:rPr>
        <w:t>”</w:t>
      </w:r>
      <w:r>
        <w:rPr/>
        <w:t>＋</w:t>
      </w:r>
      <w:r>
        <w:rPr>
          <w:rFonts w:ascii="Times New Roman" w:hAnsi="Times New Roman" w:eastAsia="Times New Roman"/>
        </w:rPr>
        <w:t>2.0%</w:t>
      </w:r>
      <w:r>
        <w:rPr/>
        <w:t>确定计息的利率。</w:t>
      </w:r>
    </w:p>
    <w:p>
      <w:pPr>
        <w:spacing w:after="0" w:line="278" w:lineRule="exact"/>
        <w:sectPr>
          <w:pgSz w:w="11910" w:h="16160"/>
          <w:pgMar w:header="0" w:footer="827" w:top="1360" w:bottom="1020" w:left="960" w:right="800"/>
        </w:sectPr>
      </w:pPr>
    </w:p>
    <w:p>
      <w:pPr>
        <w:pStyle w:val="BodyText"/>
        <w:spacing w:before="7"/>
        <w:ind w:left="117"/>
      </w:pPr>
      <w:r>
        <w:rPr/>
        <w:t>剩余期限。增加的保单贷款按当期未偿还的保单贷款适用的贷款利率每日计息。</w:t>
      </w:r>
    </w:p>
    <w:p>
      <w:pPr>
        <w:pStyle w:val="BodyText"/>
        <w:spacing w:line="256" w:lineRule="auto" w:before="37"/>
        <w:ind w:left="117" w:right="212" w:firstLine="420"/>
        <w:jc w:val="both"/>
      </w:pPr>
      <w:r>
        <w:rPr/>
        <w:t>保单贷款期满时，若您未能全部偿还保单贷款及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4</w:t>
      </w:r>
      <w:r>
        <w:rPr>
          <w:rFonts w:ascii="Times New Roman" w:eastAsia="Times New Roman"/>
          <w:b/>
          <w:vertAlign w:val="baseline"/>
        </w:rPr>
      </w:r>
      <w:r>
        <w:rPr>
          <w:vertAlign w:val="baseline"/>
        </w:rPr>
        <w:t>，且本合同的现金价值净额大于零，未偿还</w:t>
      </w:r>
      <w:r>
        <w:rPr>
          <w:spacing w:val="-4"/>
          <w:vertAlign w:val="baseline"/>
        </w:rPr>
        <w:t>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2"/>
        <w:ind w:left="117" w:right="22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rPr>
          <w:sz w:val="26"/>
        </w:rPr>
      </w:pPr>
    </w:p>
    <w:p>
      <w:pPr>
        <w:pStyle w:val="Heading2"/>
        <w:tabs>
          <w:tab w:pos="1197" w:val="left" w:leader="none"/>
        </w:tabs>
      </w:pPr>
      <w:bookmarkStart w:name="_bookmark22" w:id="23"/>
      <w:bookmarkEnd w:id="23"/>
      <w:r>
        <w:rPr>
          <w:b w:val="0"/>
        </w:rPr>
      </w:r>
      <w:r>
        <w:rPr/>
        <w:t>第十八条</w:t>
        <w:tab/>
        <w:t>合同内容的变更权</w:t>
      </w:r>
    </w:p>
    <w:p>
      <w:pPr>
        <w:pStyle w:val="BodyText"/>
        <w:spacing w:line="273" w:lineRule="auto" w:before="36"/>
        <w:ind w:left="117" w:right="220" w:firstLine="420"/>
      </w:pPr>
      <w:r>
        <w:rPr/>
        <w:t>您和我们协商同意后，有权变更本合同的有关内容，并由我们在保险单或保险凭证上批注，或签订合同变更的书面协议。</w:t>
      </w:r>
    </w:p>
    <w:p>
      <w:pPr>
        <w:pStyle w:val="BodyText"/>
        <w:spacing w:before="5"/>
        <w:rPr>
          <w:sz w:val="24"/>
        </w:rPr>
      </w:pPr>
    </w:p>
    <w:p>
      <w:pPr>
        <w:pStyle w:val="Heading2"/>
        <w:tabs>
          <w:tab w:pos="1197" w:val="left" w:leader="none"/>
        </w:tabs>
      </w:pPr>
      <w:bookmarkStart w:name="_bookmark23" w:id="24"/>
      <w:bookmarkEnd w:id="24"/>
      <w:r>
        <w:rPr>
          <w:b w:val="0"/>
        </w:rPr>
      </w:r>
      <w:r>
        <w:rPr/>
        <w:t>第十九条</w:t>
        <w:tab/>
        <w:t>效力恢复</w:t>
      </w:r>
    </w:p>
    <w:p>
      <w:pPr>
        <w:pStyle w:val="BodyText"/>
        <w:spacing w:line="256" w:lineRule="auto" w:before="36"/>
        <w:ind w:left="117" w:right="172" w:firstLine="420"/>
      </w:pPr>
      <w:r>
        <w:rPr/>
        <w:t>本合同效力中止后 </w:t>
      </w:r>
      <w:r>
        <w:rPr>
          <w:rFonts w:ascii="Times New Roman" w:eastAsia="Times New Roman"/>
        </w:rPr>
        <w:t>2 </w:t>
      </w:r>
      <w:r>
        <w:rPr/>
        <w:t>年内，您可以申请恢复合同效力。经我们与您协商并达成协议，在您补交保险费及累积利息之日起，合同效力恢复。</w:t>
      </w:r>
    </w:p>
    <w:p>
      <w:pPr>
        <w:pStyle w:val="BodyText"/>
        <w:spacing w:line="256" w:lineRule="auto" w:before="22"/>
        <w:ind w:left="117" w:right="214" w:firstLine="36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rPr>
          <w:sz w:val="25"/>
        </w:rPr>
      </w:pPr>
    </w:p>
    <w:p>
      <w:pPr>
        <w:pStyle w:val="Heading2"/>
        <w:tabs>
          <w:tab w:pos="1197" w:val="left" w:leader="none"/>
        </w:tabs>
      </w:pPr>
      <w:bookmarkStart w:name="_bookmark24" w:id="25"/>
      <w:bookmarkEnd w:id="25"/>
      <w:r>
        <w:rPr>
          <w:b w:val="0"/>
        </w:rPr>
      </w:r>
      <w:r>
        <w:rPr/>
        <w:t>第二十条</w:t>
        <w:tab/>
        <w:t>犹豫期</w:t>
      </w:r>
    </w:p>
    <w:p>
      <w:pPr>
        <w:pStyle w:val="BodyText"/>
        <w:spacing w:before="37"/>
        <w:ind w:left="538"/>
      </w:pPr>
      <w:r>
        <w:rPr/>
        <w:t>您在收到本合同后可享有 </w:t>
      </w:r>
      <w:r>
        <w:rPr>
          <w:rFonts w:ascii="Times New Roman" w:eastAsia="Times New Roman"/>
        </w:rPr>
        <w:t>10 </w:t>
      </w:r>
      <w:r>
        <w:rPr/>
        <w:t>天的犹豫期，在犹豫期内要求解除本合同的，在我们收齐相关文件和资料的</w:t>
      </w:r>
    </w:p>
    <w:p>
      <w:pPr>
        <w:pStyle w:val="BodyText"/>
        <w:spacing w:before="21"/>
        <w:ind w:left="117"/>
      </w:pPr>
      <w:r>
        <w:rPr>
          <w:spacing w:val="-14"/>
        </w:rPr>
        <w:t>次日零时，本合同即被解除，我们自始不承担保险责任。我们在扣除 </w:t>
      </w:r>
      <w:r>
        <w:rPr>
          <w:rFonts w:ascii="Times New Roman" w:eastAsia="Times New Roman"/>
        </w:rPr>
        <w:t>10 </w:t>
      </w:r>
      <w:r>
        <w:rPr>
          <w:spacing w:val="-9"/>
        </w:rPr>
        <w:t>元工本费后，无息退还已交的保险费。</w:t>
      </w:r>
    </w:p>
    <w:p>
      <w:pPr>
        <w:pStyle w:val="BodyText"/>
        <w:spacing w:before="5"/>
        <w:rPr>
          <w:sz w:val="25"/>
        </w:rPr>
      </w:pPr>
    </w:p>
    <w:p>
      <w:pPr>
        <w:pStyle w:val="Heading2"/>
        <w:tabs>
          <w:tab w:pos="1377" w:val="left" w:leader="none"/>
        </w:tabs>
      </w:pPr>
      <w:bookmarkStart w:name="_bookmark25" w:id="26"/>
      <w:bookmarkEnd w:id="26"/>
      <w:r>
        <w:rPr>
          <w:b w:val="0"/>
        </w:rPr>
      </w:r>
      <w:r>
        <w:rPr/>
        <w:t>第二十一条</w:t>
        <w:tab/>
        <w:t>您解除合同的手续</w:t>
      </w:r>
      <w:r>
        <w:rPr>
          <w:spacing w:val="-3"/>
        </w:rPr>
        <w:t>及</w:t>
      </w:r>
      <w:r>
        <w:rPr/>
        <w:t>风险</w:t>
      </w:r>
    </w:p>
    <w:p>
      <w:pPr>
        <w:pStyle w:val="BodyText"/>
        <w:spacing w:before="37"/>
        <w:ind w:left="538"/>
      </w:pPr>
      <w:r>
        <w:rPr/>
        <w:t>如您在犹豫期后申请解除本合同，请填写解除合同申请书并向我们提供下列资料：</w:t>
      </w:r>
    </w:p>
    <w:p>
      <w:pPr>
        <w:pStyle w:val="ListParagraph"/>
        <w:numPr>
          <w:ilvl w:val="0"/>
          <w:numId w:val="4"/>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4"/>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left="117" w:right="2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rPr>
          <w:sz w:val="24"/>
        </w:rPr>
      </w:pPr>
    </w:p>
    <w:p>
      <w:pPr>
        <w:pStyle w:val="Heading1"/>
        <w:tabs>
          <w:tab w:pos="1696" w:val="left" w:leader="none"/>
        </w:tabs>
        <w:ind w:left="254"/>
      </w:pPr>
      <w:r>
        <w:rPr/>
        <w:t>第六部分</w:t>
        <w:tab/>
      </w:r>
      <w:bookmarkStart w:name="_bookmark26" w:id="27"/>
      <w:bookmarkEnd w:id="27"/>
      <w:r>
        <w:rPr>
          <w:w w:val="95"/>
        </w:rPr>
        <w:t>您</w:t>
      </w:r>
      <w:r>
        <w:rPr>
          <w:w w:val="95"/>
        </w:rPr>
        <w:t>必须了解的其它事项</w:t>
      </w:r>
    </w:p>
    <w:p>
      <w:pPr>
        <w:pStyle w:val="BodyText"/>
        <w:spacing w:before="10"/>
        <w:rPr>
          <w:b/>
          <w:sz w:val="25"/>
        </w:rPr>
      </w:pPr>
    </w:p>
    <w:p>
      <w:pPr>
        <w:pStyle w:val="Heading2"/>
        <w:tabs>
          <w:tab w:pos="1377" w:val="left" w:leader="none"/>
        </w:tabs>
      </w:pPr>
      <w:bookmarkStart w:name="_bookmark27" w:id="28"/>
      <w:bookmarkEnd w:id="28"/>
      <w:r>
        <w:rPr>
          <w:b w:val="0"/>
        </w:rPr>
      </w:r>
      <w:r>
        <w:rPr/>
        <w:t>第二十二条</w:t>
        <w:tab/>
        <w:t>明确说明与如实告知</w:t>
      </w:r>
    </w:p>
    <w:p>
      <w:pPr>
        <w:pStyle w:val="BodyText"/>
        <w:spacing w:before="36"/>
        <w:ind w:left="538"/>
      </w:pPr>
      <w:r>
        <w:rPr/>
        <w:t>订立本合同时，我们应向您说明本合同的内容。</w:t>
      </w:r>
    </w:p>
    <w:p>
      <w:pPr>
        <w:pStyle w:val="BodyText"/>
        <w:spacing w:line="273" w:lineRule="auto" w:before="37"/>
        <w:ind w:left="117" w:right="2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538"/>
      </w:pPr>
      <w:r>
        <w:rPr/>
        <w:t>我们就您和被保险人的有关情况提出询问，您应当如实告知。</w:t>
      </w:r>
    </w:p>
    <w:p>
      <w:pPr>
        <w:pStyle w:val="BodyText"/>
        <w:spacing w:line="273" w:lineRule="auto" w:before="36"/>
        <w:ind w:left="117" w:right="220" w:firstLine="420"/>
      </w:pPr>
      <w:r>
        <w:rPr/>
        <w:t>如果您故意或者因重大过失未履行前款规定的如实告知义务，足以影响我们决定是否同意承保或者提高保险费率的，我们有权解除本合同。</w:t>
      </w:r>
    </w:p>
    <w:p>
      <w:pPr>
        <w:pStyle w:val="BodyText"/>
        <w:spacing w:before="6"/>
        <w:rPr>
          <w:sz w:val="18"/>
        </w:rPr>
      </w:pPr>
      <w:r>
        <w:rPr/>
        <w:pict>
          <v:line style="position:absolute;mso-position-horizontal-relative:page;mso-position-vertical-relative:paragraph;z-index:1240;mso-wrap-distance-left:0;mso-wrap-distance-right:0" from="53.880001pt,14.308493pt" to="197.930001pt,14.308493pt" stroked="true" strokeweight=".48004pt" strokecolor="#000000">
            <v:stroke dashstyle="solid"/>
            <w10:wrap type="topAndBottom"/>
          </v:line>
        </w:pict>
      </w:r>
    </w:p>
    <w:p>
      <w:pPr>
        <w:pStyle w:val="BodyText"/>
        <w:spacing w:line="320" w:lineRule="exact"/>
        <w:ind w:left="117"/>
      </w:pPr>
      <w:r>
        <w:rPr>
          <w:rFonts w:ascii="Times New Roman" w:hAnsi="Times New Roman" w:eastAsia="Times New Roman"/>
          <w:position w:val="10"/>
          <w:sz w:val="14"/>
        </w:rPr>
        <w:t>24</w:t>
      </w:r>
      <w:r>
        <w:rPr>
          <w:rFonts w:ascii="Microsoft JhengHei" w:hAnsi="Microsoft JhengHei" w:eastAsia="Microsoft JhengHei" w:hint="eastAsia"/>
          <w:b/>
        </w:rPr>
        <w:t>累积利息：</w:t>
      </w:r>
      <w:r>
        <w:rPr/>
        <w:t>指根据我们已确定的利率计算的金额。我们将根据</w:t>
      </w:r>
      <w:r>
        <w:rPr>
          <w:rFonts w:ascii="Times New Roman" w:hAnsi="Times New Roman" w:eastAsia="Times New Roman"/>
        </w:rPr>
        <w:t>“</w:t>
      </w:r>
      <w:r>
        <w:rPr/>
        <w:t>同期人民银行每月第一个营业日颁布的二年</w:t>
      </w:r>
    </w:p>
    <w:p>
      <w:pPr>
        <w:pStyle w:val="BodyText"/>
        <w:spacing w:line="225" w:lineRule="auto" w:before="3"/>
        <w:ind w:left="117" w:right="109"/>
      </w:pPr>
      <w:r>
        <w:rPr>
          <w:spacing w:val="-5"/>
        </w:rPr>
        <w:t>期居民定期储蓄存款利率与 </w:t>
      </w:r>
      <w:r>
        <w:rPr>
          <w:rFonts w:ascii="Times New Roman" w:hAnsi="Times New Roman" w:eastAsia="Times New Roman"/>
        </w:rPr>
        <w:t>2.5%</w:t>
      </w:r>
      <w:r>
        <w:rPr>
          <w:spacing w:val="-2"/>
        </w:rPr>
        <w:t>之较大者</w:t>
      </w:r>
      <w:r>
        <w:rPr>
          <w:rFonts w:ascii="Times New Roman" w:hAnsi="Times New Roman" w:eastAsia="Times New Roman"/>
        </w:rPr>
        <w:t>”</w:t>
      </w:r>
      <w:r>
        <w:rPr/>
        <w:t>＋</w:t>
      </w:r>
      <w:r>
        <w:rPr>
          <w:rFonts w:ascii="Times New Roman" w:hAnsi="Times New Roman" w:eastAsia="Times New Roman"/>
        </w:rPr>
        <w:t>2.0%</w:t>
      </w:r>
      <w:r>
        <w:rPr>
          <w:spacing w:val="-8"/>
        </w:rPr>
        <w:t>确定计息的利率。如果本合同有欠交的保险费或保单贷款， </w:t>
      </w:r>
      <w:r>
        <w:rPr>
          <w:spacing w:val="-5"/>
        </w:rPr>
        <w:t>我们将每半年复利计息一次。</w:t>
      </w:r>
    </w:p>
    <w:p>
      <w:pPr>
        <w:spacing w:after="0" w:line="225" w:lineRule="auto"/>
        <w:sectPr>
          <w:footerReference w:type="default" r:id="rId9"/>
          <w:pgSz w:w="11910" w:h="16160"/>
          <w:pgMar w:footer="827" w:header="0" w:top="1360" w:bottom="1020" w:left="960" w:right="700"/>
          <w:pgNumType w:start="8"/>
        </w:sectPr>
      </w:pPr>
    </w:p>
    <w:p>
      <w:pPr>
        <w:pStyle w:val="BodyText"/>
        <w:spacing w:line="273" w:lineRule="auto" w:before="7"/>
        <w:ind w:left="117" w:right="120" w:firstLine="420"/>
        <w:jc w:val="both"/>
      </w:pPr>
      <w:r>
        <w:rPr/>
        <w:t>如果您故意不履行如实告知义务，对于本合同解除前发生的保险事故，我们不承担给付保险金的责任， 并不退还保险费。</w:t>
      </w:r>
    </w:p>
    <w:p>
      <w:pPr>
        <w:pStyle w:val="BodyText"/>
        <w:spacing w:line="273" w:lineRule="auto" w:before="7"/>
        <w:ind w:left="117" w:right="121" w:firstLine="420"/>
        <w:jc w:val="both"/>
      </w:pPr>
      <w:r>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left="117" w:right="120" w:firstLine="420"/>
        <w:jc w:val="both"/>
      </w:pPr>
      <w:r>
        <w:rPr/>
        <w:t>我们在合同订立时已经知道您未如实告知的情况的，我们不得解除合同；发生保险事故的，我们承担给付保险金的责任。</w:t>
      </w:r>
    </w:p>
    <w:p>
      <w:pPr>
        <w:pStyle w:val="BodyText"/>
        <w:spacing w:before="5"/>
        <w:rPr>
          <w:sz w:val="24"/>
        </w:rPr>
      </w:pPr>
    </w:p>
    <w:p>
      <w:pPr>
        <w:pStyle w:val="Heading2"/>
        <w:tabs>
          <w:tab w:pos="1377" w:val="left" w:leader="none"/>
        </w:tabs>
      </w:pPr>
      <w:bookmarkStart w:name="_bookmark28" w:id="29"/>
      <w:bookmarkEnd w:id="29"/>
      <w:r>
        <w:rPr>
          <w:b w:val="0"/>
        </w:rPr>
      </w:r>
      <w:r>
        <w:rPr/>
        <w:t>第二十三条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ind w:left="117"/>
      </w:pPr>
      <w:r>
        <w:rPr/>
        <w:t>超过 </w:t>
      </w:r>
      <w:r>
        <w:rPr>
          <w:rFonts w:ascii="Times New Roman" w:eastAsia="Times New Roman"/>
        </w:rPr>
        <w:t>2 </w:t>
      </w:r>
      <w:r>
        <w:rPr/>
        <w:t>年的，我们不得解除合同；发生保险事故的，我们承担给付保险金的责任。</w:t>
      </w:r>
    </w:p>
    <w:p>
      <w:pPr>
        <w:pStyle w:val="BodyText"/>
        <w:spacing w:before="5"/>
        <w:rPr>
          <w:sz w:val="25"/>
        </w:rPr>
      </w:pPr>
    </w:p>
    <w:p>
      <w:pPr>
        <w:pStyle w:val="Heading2"/>
        <w:tabs>
          <w:tab w:pos="1377" w:val="left" w:leader="none"/>
        </w:tabs>
        <w:spacing w:before="1"/>
      </w:pPr>
      <w:bookmarkStart w:name="_bookmark29" w:id="30"/>
      <w:bookmarkEnd w:id="30"/>
      <w:r>
        <w:rPr>
          <w:b w:val="0"/>
        </w:rPr>
      </w:r>
      <w:r>
        <w:rPr/>
        <w:t>第二十四条</w:t>
        <w:tab/>
        <w:t>未成年人身故保险</w:t>
      </w:r>
      <w:r>
        <w:rPr>
          <w:spacing w:val="-3"/>
        </w:rPr>
        <w:t>金</w:t>
      </w:r>
      <w:r>
        <w:rPr/>
        <w:t>限制</w:t>
      </w:r>
    </w:p>
    <w:p>
      <w:pPr>
        <w:pStyle w:val="BodyText"/>
        <w:spacing w:line="273" w:lineRule="auto" w:before="38"/>
        <w:ind w:left="117" w:right="120" w:firstLine="420"/>
        <w:jc w:val="both"/>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rPr>
          <w:sz w:val="24"/>
        </w:rPr>
      </w:pPr>
    </w:p>
    <w:p>
      <w:pPr>
        <w:pStyle w:val="Heading2"/>
        <w:tabs>
          <w:tab w:pos="1377" w:val="left" w:leader="none"/>
        </w:tabs>
      </w:pPr>
      <w:bookmarkStart w:name="_bookmark30" w:id="31"/>
      <w:bookmarkEnd w:id="31"/>
      <w:r>
        <w:rPr>
          <w:b w:val="0"/>
        </w:rPr>
      </w:r>
      <w:r>
        <w:rPr/>
        <w:t>第二十五条</w:t>
        <w:tab/>
        <w:t>年龄错误</w:t>
      </w:r>
    </w:p>
    <w:p>
      <w:pPr>
        <w:pStyle w:val="BodyText"/>
        <w:spacing w:line="273" w:lineRule="auto" w:before="36"/>
        <w:ind w:left="117" w:right="120" w:firstLine="420"/>
        <w:jc w:val="both"/>
      </w:pPr>
      <w:r>
        <w:rPr/>
        <w:t>您在申请投保时，应将与有效身份证件相符的被保险人的出生日期在投保单上填明，如果发生错误按照下列方式办理：</w:t>
      </w:r>
    </w:p>
    <w:p>
      <w:pPr>
        <w:pStyle w:val="ListParagraph"/>
        <w:numPr>
          <w:ilvl w:val="0"/>
          <w:numId w:val="5"/>
        </w:numPr>
        <w:tabs>
          <w:tab w:pos="839" w:val="left" w:leader="none"/>
        </w:tabs>
        <w:spacing w:line="256" w:lineRule="auto" w:before="7" w:after="0"/>
        <w:ind w:left="830" w:right="115" w:hanging="355"/>
        <w:jc w:val="both"/>
        <w:rPr>
          <w:sz w:val="21"/>
        </w:rPr>
      </w:pPr>
      <w:r>
        <w:rPr>
          <w:spacing w:val="-6"/>
          <w:sz w:val="21"/>
        </w:rPr>
        <w:t>您申报的被保险人年龄不真实，并且其真实年龄不符合本合同约定投保年龄限制的，在保险事故发生之前我们有权解除合同，并向您退还保险单的现金价值。我们行使合同解除权适用</w:t>
      </w:r>
      <w:r>
        <w:rPr>
          <w:rFonts w:ascii="Times New Roman" w:hAnsi="Times New Roman" w:eastAsia="Times New Roman"/>
          <w:spacing w:val="-6"/>
          <w:sz w:val="21"/>
        </w:rPr>
        <w:t>“</w:t>
      </w:r>
      <w:r>
        <w:rPr>
          <w:spacing w:val="-6"/>
          <w:sz w:val="21"/>
        </w:rPr>
        <w:t>我们合同解除权</w:t>
      </w:r>
      <w:r>
        <w:rPr>
          <w:spacing w:val="-2"/>
          <w:sz w:val="21"/>
        </w:rPr>
        <w:t>的限制</w:t>
      </w:r>
      <w:r>
        <w:rPr>
          <w:rFonts w:ascii="Times New Roman" w:hAnsi="Times New Roman" w:eastAsia="Times New Roman"/>
          <w:sz w:val="21"/>
        </w:rPr>
        <w:t>”</w:t>
      </w:r>
      <w:r>
        <w:rPr>
          <w:spacing w:val="-3"/>
          <w:sz w:val="21"/>
        </w:rPr>
        <w:t>的规定。</w:t>
      </w:r>
    </w:p>
    <w:p>
      <w:pPr>
        <w:pStyle w:val="ListParagraph"/>
        <w:numPr>
          <w:ilvl w:val="0"/>
          <w:numId w:val="5"/>
        </w:numPr>
        <w:tabs>
          <w:tab w:pos="839" w:val="left" w:leader="none"/>
        </w:tabs>
        <w:spacing w:line="256" w:lineRule="auto" w:before="4" w:after="0"/>
        <w:ind w:left="830" w:right="115" w:hanging="355"/>
        <w:jc w:val="both"/>
        <w:rPr>
          <w:sz w:val="21"/>
        </w:rPr>
      </w:pPr>
      <w:r>
        <w:rPr>
          <w:spacing w:val="-6"/>
          <w:sz w:val="21"/>
        </w:rPr>
        <w:t>您申报的被保险人年龄不真实，致使您实付保险费少于应付保险费的，我们有权更正并要求您补交保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5"/>
        </w:numPr>
        <w:tabs>
          <w:tab w:pos="839" w:val="left" w:leader="none"/>
        </w:tabs>
        <w:spacing w:line="256" w:lineRule="auto" w:before="22" w:after="0"/>
        <w:ind w:left="830" w:right="115" w:hanging="355"/>
        <w:jc w:val="both"/>
        <w:rPr>
          <w:sz w:val="21"/>
        </w:rPr>
      </w:pPr>
      <w:r>
        <w:rPr>
          <w:spacing w:val="-6"/>
          <w:sz w:val="21"/>
        </w:rPr>
        <w:t>您申报的被保险人年龄不真实，致使您实付保险费多于应付保险费的，我们会将多收的保险费退还给您。</w:t>
      </w:r>
    </w:p>
    <w:p>
      <w:pPr>
        <w:pStyle w:val="BodyText"/>
        <w:spacing w:before="7"/>
        <w:rPr>
          <w:sz w:val="25"/>
        </w:rPr>
      </w:pPr>
    </w:p>
    <w:p>
      <w:pPr>
        <w:pStyle w:val="Heading2"/>
        <w:tabs>
          <w:tab w:pos="1377" w:val="left" w:leader="none"/>
        </w:tabs>
      </w:pPr>
      <w:bookmarkStart w:name="_bookmark31" w:id="32"/>
      <w:bookmarkEnd w:id="32"/>
      <w:r>
        <w:rPr>
          <w:b w:val="0"/>
        </w:rPr>
      </w:r>
      <w:r>
        <w:rPr/>
        <w:t>第二十六条</w:t>
        <w:tab/>
        <w:t>性别错误</w:t>
      </w:r>
    </w:p>
    <w:p>
      <w:pPr>
        <w:pStyle w:val="BodyText"/>
        <w:spacing w:line="273" w:lineRule="auto" w:before="37"/>
        <w:ind w:left="117" w:right="120" w:firstLine="420"/>
        <w:jc w:val="both"/>
      </w:pPr>
      <w:r>
        <w:rPr/>
        <w:t>您在申请投保时，应将与有效身份证件相符的被保险人的性别在投保单上填明，如果发生错误按照下列方式办理：</w:t>
      </w:r>
    </w:p>
    <w:p>
      <w:pPr>
        <w:pStyle w:val="ListParagraph"/>
        <w:numPr>
          <w:ilvl w:val="0"/>
          <w:numId w:val="6"/>
        </w:numPr>
        <w:tabs>
          <w:tab w:pos="836" w:val="left" w:leader="none"/>
        </w:tabs>
        <w:spacing w:line="256" w:lineRule="auto" w:before="7" w:after="0"/>
        <w:ind w:left="830" w:right="112" w:hanging="355"/>
        <w:jc w:val="both"/>
        <w:rPr>
          <w:sz w:val="21"/>
        </w:rPr>
      </w:pPr>
      <w:r>
        <w:rPr>
          <w:spacing w:val="-6"/>
          <w:sz w:val="21"/>
        </w:rPr>
        <w:t>您申报的被保险人性别不真实，致使您实付保险费少于应付保险费的，我们有权更正并要求您补交保</w:t>
      </w:r>
      <w:r>
        <w:rPr>
          <w:spacing w:val="-4"/>
          <w:sz w:val="21"/>
        </w:rPr>
        <w:t>险费。若已经发生保险事故，在给付保险金时按实付保险费和应付保险费的比例给付。</w:t>
      </w:r>
    </w:p>
    <w:p>
      <w:pPr>
        <w:pStyle w:val="ListParagraph"/>
        <w:numPr>
          <w:ilvl w:val="0"/>
          <w:numId w:val="6"/>
        </w:numPr>
        <w:tabs>
          <w:tab w:pos="836" w:val="left" w:leader="none"/>
        </w:tabs>
        <w:spacing w:line="256" w:lineRule="auto" w:before="22" w:after="0"/>
        <w:ind w:left="830" w:right="112" w:hanging="355"/>
        <w:jc w:val="both"/>
        <w:rPr>
          <w:sz w:val="21"/>
        </w:rPr>
      </w:pPr>
      <w:r>
        <w:rPr>
          <w:spacing w:val="-6"/>
          <w:sz w:val="21"/>
        </w:rPr>
        <w:t>您申报的被保险人性别不真实，致使您实付保险费多于应付保险费的，我们会将多收的保险费退还给您。</w:t>
      </w:r>
    </w:p>
    <w:p>
      <w:pPr>
        <w:pStyle w:val="BodyText"/>
        <w:spacing w:before="8"/>
        <w:rPr>
          <w:sz w:val="25"/>
        </w:rPr>
      </w:pPr>
    </w:p>
    <w:p>
      <w:pPr>
        <w:pStyle w:val="Heading2"/>
        <w:tabs>
          <w:tab w:pos="1377" w:val="left" w:leader="none"/>
        </w:tabs>
      </w:pPr>
      <w:bookmarkStart w:name="_bookmark32" w:id="33"/>
      <w:bookmarkEnd w:id="33"/>
      <w:r>
        <w:rPr>
          <w:b w:val="0"/>
        </w:rPr>
      </w:r>
      <w:r>
        <w:rPr/>
        <w:t>第二十七条</w:t>
        <w:tab/>
        <w:t>未还款项</w:t>
      </w:r>
    </w:p>
    <w:p>
      <w:pPr>
        <w:pStyle w:val="BodyText"/>
        <w:spacing w:line="273" w:lineRule="auto" w:before="37"/>
        <w:ind w:left="117" w:right="118" w:firstLine="420"/>
        <w:jc w:val="both"/>
      </w:pPr>
      <w:r>
        <w:rPr/>
        <w:t>我们在给付各项保险金、退还现金价值或返还保险费时，如果您有欠交的保险费或其他未还清款项，我们会在扣除上述款项及累积利息后给付。您欠交的保险费或其他未还清款项将以保单贷款的方式计算累积利息。关于保单贷款请参见第十七条。</w:t>
      </w:r>
    </w:p>
    <w:p>
      <w:pPr>
        <w:pStyle w:val="BodyText"/>
        <w:spacing w:before="5"/>
        <w:rPr>
          <w:sz w:val="24"/>
        </w:rPr>
      </w:pPr>
    </w:p>
    <w:p>
      <w:pPr>
        <w:pStyle w:val="Heading2"/>
        <w:tabs>
          <w:tab w:pos="1377" w:val="left" w:leader="none"/>
        </w:tabs>
      </w:pPr>
      <w:bookmarkStart w:name="_bookmark33" w:id="34"/>
      <w:bookmarkEnd w:id="34"/>
      <w:r>
        <w:rPr>
          <w:b w:val="0"/>
        </w:rPr>
      </w:r>
      <w:r>
        <w:rPr/>
        <w:t>第二十八条</w:t>
        <w:tab/>
        <w:t>保险合同的终止</w:t>
      </w:r>
    </w:p>
    <w:p>
      <w:pPr>
        <w:pStyle w:val="BodyText"/>
        <w:spacing w:line="273" w:lineRule="auto" w:before="36"/>
        <w:ind w:left="117" w:right="3089" w:firstLine="420"/>
      </w:pPr>
      <w:r>
        <w:rPr/>
        <w:t>除本合同另有约定外，本合同的效力在发生下列情况之一时自动终止： 一、本合同期满日当天零时；</w:t>
      </w:r>
    </w:p>
    <w:p>
      <w:pPr>
        <w:pStyle w:val="BodyText"/>
        <w:spacing w:before="7"/>
        <w:ind w:left="117"/>
      </w:pPr>
      <w:r>
        <w:rPr/>
        <w:t>二、我们已按本合同的约定给付重大疾病保险金或身故保险金；</w:t>
      </w:r>
    </w:p>
    <w:p>
      <w:pPr>
        <w:spacing w:after="0"/>
        <w:sectPr>
          <w:pgSz w:w="11910" w:h="16160"/>
          <w:pgMar w:header="0" w:footer="827" w:top="1360" w:bottom="1060" w:left="960" w:right="800"/>
        </w:sectPr>
      </w:pPr>
    </w:p>
    <w:p>
      <w:pPr>
        <w:pStyle w:val="BodyText"/>
        <w:spacing w:before="7"/>
        <w:ind w:left="317"/>
      </w:pPr>
      <w:r>
        <w:rPr/>
        <w:t>三、本合同内约定的其它终止情况。</w:t>
      </w:r>
    </w:p>
    <w:p>
      <w:pPr>
        <w:pStyle w:val="BodyText"/>
        <w:spacing w:before="8"/>
        <w:rPr>
          <w:sz w:val="26"/>
        </w:rPr>
      </w:pPr>
    </w:p>
    <w:p>
      <w:pPr>
        <w:pStyle w:val="Heading2"/>
        <w:tabs>
          <w:tab w:pos="1577" w:val="left" w:leader="none"/>
        </w:tabs>
        <w:spacing w:before="1"/>
        <w:ind w:left="317"/>
      </w:pPr>
      <w:bookmarkStart w:name="_bookmark34" w:id="35"/>
      <w:bookmarkEnd w:id="35"/>
      <w:r>
        <w:rPr>
          <w:b w:val="0"/>
        </w:rPr>
      </w:r>
      <w:r>
        <w:rPr/>
        <w:t>第二十九条</w:t>
        <w:tab/>
        <w:t>联系方式的变更</w:t>
      </w:r>
    </w:p>
    <w:p>
      <w:pPr>
        <w:pStyle w:val="BodyText"/>
        <w:spacing w:line="273" w:lineRule="auto" w:before="37"/>
        <w:ind w:left="317" w:right="348"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4"/>
        </w:rPr>
      </w:pPr>
    </w:p>
    <w:p>
      <w:pPr>
        <w:pStyle w:val="Heading2"/>
        <w:tabs>
          <w:tab w:pos="1577" w:val="left" w:leader="none"/>
        </w:tabs>
        <w:ind w:left="317"/>
      </w:pPr>
      <w:bookmarkStart w:name="_bookmark35" w:id="36"/>
      <w:bookmarkEnd w:id="36"/>
      <w:r>
        <w:rPr>
          <w:b w:val="0"/>
        </w:rPr>
      </w:r>
      <w:r>
        <w:rPr/>
        <w:t>第三十条</w:t>
        <w:tab/>
        <w:t>争议处理</w:t>
      </w:r>
    </w:p>
    <w:p>
      <w:pPr>
        <w:pStyle w:val="BodyText"/>
        <w:spacing w:before="37"/>
        <w:ind w:left="738"/>
      </w:pPr>
      <w:r>
        <w:rPr/>
        <w:t>合同争议解决方式由当事人在合同约定从下列两种方式中选择一种：</w:t>
      </w:r>
    </w:p>
    <w:p>
      <w:pPr>
        <w:pStyle w:val="BodyText"/>
        <w:spacing w:line="273" w:lineRule="auto" w:before="37"/>
        <w:ind w:left="317" w:right="558"/>
      </w:pPr>
      <w:r>
        <w:rPr/>
        <w:t>一、因履行本合同发生的争议，由当事人协商解决，协商不成的，由当事人达成仲裁协议通过仲裁解决； 二、因履行本合同发生的争议，由当事人协商解决，协商不成的，依法向人民法院起诉。</w:t>
      </w:r>
    </w:p>
    <w:p>
      <w:pPr>
        <w:tabs>
          <w:tab w:pos="1577" w:val="left" w:leader="none"/>
        </w:tabs>
        <w:spacing w:line="544" w:lineRule="auto" w:before="7"/>
        <w:ind w:left="317" w:right="2449" w:firstLine="420"/>
        <w:jc w:val="left"/>
        <w:rPr>
          <w:b/>
          <w:sz w:val="21"/>
        </w:rPr>
      </w:pPr>
      <w:r>
        <w:rPr/>
        <w:pict>
          <v:shape style="position:absolute;margin-left:43.880001pt;margin-top:50.368698pt;width:515.85pt;height:400.6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765"/>
                    <w:gridCol w:w="7136"/>
                  </w:tblGrid>
                  <w:tr>
                    <w:trPr>
                      <w:trHeight w:val="1194" w:hRule="atLeast"/>
                    </w:trPr>
                    <w:tc>
                      <w:tcPr>
                        <w:tcW w:w="10317" w:type="dxa"/>
                        <w:gridSpan w:val="3"/>
                      </w:tcPr>
                      <w:p>
                        <w:pPr>
                          <w:pStyle w:val="TableParagraph"/>
                          <w:spacing w:line="211" w:lineRule="exact"/>
                          <w:ind w:left="620"/>
                          <w:rPr>
                            <w:sz w:val="21"/>
                          </w:rPr>
                        </w:pPr>
                        <w:r>
                          <w:rPr>
                            <w:sz w:val="21"/>
                          </w:rPr>
                          <w:t>本合同指的重大疾病包括以下十八种：</w:t>
                        </w:r>
                      </w:p>
                      <w:p>
                        <w:pPr>
                          <w:pStyle w:val="TableParagraph"/>
                          <w:spacing w:before="37"/>
                          <w:ind w:left="620"/>
                          <w:rPr>
                            <w:sz w:val="21"/>
                          </w:rPr>
                        </w:pPr>
                        <w:r>
                          <w:rPr>
                            <w:sz w:val="21"/>
                          </w:rPr>
                          <w:t>被保险人发生符合以下疾病定义所述条件的疾病，应当由</w:t>
                        </w:r>
                        <w:r>
                          <w:rPr>
                            <w:b/>
                            <w:sz w:val="21"/>
                          </w:rPr>
                          <w:t>专科医生</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明确诊断。</w:t>
                        </w:r>
                      </w:p>
                      <w:p>
                        <w:pPr>
                          <w:pStyle w:val="TableParagraph"/>
                          <w:spacing w:line="256" w:lineRule="auto" w:before="21"/>
                          <w:ind w:left="200" w:right="201" w:firstLine="420"/>
                          <w:rPr>
                            <w:sz w:val="21"/>
                          </w:rPr>
                        </w:pPr>
                        <w:r>
                          <w:rPr>
                            <w:sz w:val="21"/>
                          </w:rPr>
                          <w:t>（</w:t>
                        </w:r>
                        <w:r>
                          <w:rPr>
                            <w:rFonts w:ascii="Times New Roman" w:eastAsia="Times New Roman"/>
                            <w:sz w:val="21"/>
                          </w:rPr>
                          <w:t>1-18 </w:t>
                        </w:r>
                        <w:r>
                          <w:rPr>
                            <w:spacing w:val="-24"/>
                            <w:sz w:val="21"/>
                          </w:rPr>
                          <w:t>为 </w:t>
                        </w:r>
                        <w:r>
                          <w:rPr>
                            <w:rFonts w:ascii="Times New Roman" w:eastAsia="Times New Roman"/>
                            <w:sz w:val="21"/>
                          </w:rPr>
                          <w:t>2007 </w:t>
                        </w:r>
                        <w:r>
                          <w:rPr>
                            <w:spacing w:val="-24"/>
                            <w:sz w:val="21"/>
                          </w:rPr>
                          <w:t>年 </w:t>
                        </w:r>
                        <w:r>
                          <w:rPr>
                            <w:rFonts w:ascii="Times New Roman" w:eastAsia="Times New Roman"/>
                            <w:sz w:val="21"/>
                          </w:rPr>
                          <w:t>4 </w:t>
                        </w:r>
                        <w:r>
                          <w:rPr>
                            <w:spacing w:val="-24"/>
                            <w:sz w:val="21"/>
                          </w:rPr>
                          <w:t>月 </w:t>
                        </w:r>
                        <w:r>
                          <w:rPr>
                            <w:rFonts w:ascii="Times New Roman" w:eastAsia="Times New Roman"/>
                            <w:sz w:val="21"/>
                          </w:rPr>
                          <w:t>3 </w:t>
                        </w:r>
                        <w:r>
                          <w:rPr>
                            <w:spacing w:val="-9"/>
                            <w:sz w:val="21"/>
                          </w:rPr>
                          <w:t>日正式启用的《重大疾病保险的疾病定义使用规范》的规范定义疾病，该规范由</w:t>
                        </w:r>
                        <w:r>
                          <w:rPr>
                            <w:spacing w:val="-5"/>
                            <w:sz w:val="21"/>
                          </w:rPr>
                          <w:t>中国保险行业协会制定</w:t>
                        </w:r>
                        <w:r>
                          <w:rPr>
                            <w:sz w:val="21"/>
                          </w:rPr>
                          <w:t>）</w:t>
                        </w:r>
                      </w:p>
                    </w:tc>
                  </w:tr>
                  <w:tr>
                    <w:trPr>
                      <w:trHeight w:val="3440" w:hRule="atLeast"/>
                    </w:trPr>
                    <w:tc>
                      <w:tcPr>
                        <w:tcW w:w="2416" w:type="dxa"/>
                      </w:tcPr>
                      <w:p>
                        <w:pPr>
                          <w:pStyle w:val="TableParagraph"/>
                          <w:spacing w:line="281" w:lineRule="exact"/>
                          <w:ind w:left="353"/>
                          <w:rPr>
                            <w:sz w:val="21"/>
                          </w:rPr>
                        </w:pPr>
                        <w:r>
                          <w:rPr>
                            <w:rFonts w:ascii="Times New Roman" w:eastAsia="Times New Roman"/>
                            <w:sz w:val="21"/>
                          </w:rPr>
                          <w:t>1.  </w:t>
                        </w:r>
                        <w:r>
                          <w:rPr>
                            <w:sz w:val="21"/>
                          </w:rPr>
                          <w:t>恶性肿瘤</w:t>
                        </w:r>
                      </w:p>
                    </w:tc>
                    <w:tc>
                      <w:tcPr>
                        <w:tcW w:w="765" w:type="dxa"/>
                      </w:tcPr>
                      <w:p>
                        <w:pPr>
                          <w:pStyle w:val="TableParagraph"/>
                          <w:spacing w:line="250" w:lineRule="exact"/>
                          <w:ind w:left="0" w:right="18"/>
                          <w:jc w:val="right"/>
                          <w:rPr>
                            <w:sz w:val="21"/>
                          </w:rPr>
                        </w:pPr>
                        <w:r>
                          <w:rPr>
                            <w:w w:val="100"/>
                            <w:sz w:val="21"/>
                          </w:rPr>
                          <w:t>：</w:t>
                        </w:r>
                      </w:p>
                    </w:tc>
                    <w:tc>
                      <w:tcPr>
                        <w:tcW w:w="7136" w:type="dxa"/>
                      </w:tcPr>
                      <w:p>
                        <w:pPr>
                          <w:pStyle w:val="TableParagraph"/>
                          <w:spacing w:line="273" w:lineRule="auto"/>
                          <w:ind w:right="200"/>
                          <w:jc w:val="both"/>
                          <w:rPr>
                            <w:sz w:val="21"/>
                          </w:rPr>
                        </w:pPr>
                        <w:r>
                          <w:rPr>
                            <w:spacing w:val="-5"/>
                            <w:sz w:val="21"/>
                          </w:rPr>
                          <w:t>指恶性细胞不受控制的进行性增长和扩散，浸润和破坏周围正常组织，可以</w:t>
                        </w:r>
                        <w:r>
                          <w:rPr>
                            <w:spacing w:val="-7"/>
                            <w:sz w:val="21"/>
                          </w:rPr>
                          <w:t>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10"/>
                          <w:jc w:val="both"/>
                          <w:rPr>
                            <w:sz w:val="21"/>
                          </w:rPr>
                        </w:pPr>
                        <w:r>
                          <w:rPr>
                            <w:sz w:val="21"/>
                          </w:rPr>
                          <w:t>下列疾病不在保障范围内：</w:t>
                        </w:r>
                      </w:p>
                      <w:p>
                        <w:pPr>
                          <w:pStyle w:val="TableParagraph"/>
                          <w:spacing w:before="37"/>
                          <w:jc w:val="both"/>
                          <w:rPr>
                            <w:sz w:val="21"/>
                          </w:rPr>
                        </w:pPr>
                        <w:r>
                          <w:rPr>
                            <w:sz w:val="21"/>
                          </w:rPr>
                          <w:t>（</w:t>
                        </w:r>
                        <w:r>
                          <w:rPr>
                            <w:rFonts w:ascii="Times New Roman" w:eastAsia="Times New Roman"/>
                            <w:sz w:val="21"/>
                          </w:rPr>
                          <w:t>1</w:t>
                        </w:r>
                        <w:r>
                          <w:rPr>
                            <w:sz w:val="21"/>
                          </w:rPr>
                          <w:t>）原位癌；</w:t>
                        </w:r>
                      </w:p>
                      <w:p>
                        <w:pPr>
                          <w:pStyle w:val="TableParagraph"/>
                          <w:spacing w:before="21"/>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0"/>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2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496" w:hRule="atLeast"/>
                    </w:trPr>
                    <w:tc>
                      <w:tcPr>
                        <w:tcW w:w="2416" w:type="dxa"/>
                      </w:tcPr>
                      <w:p>
                        <w:pPr>
                          <w:pStyle w:val="TableParagraph"/>
                          <w:spacing w:line="273" w:lineRule="exact"/>
                          <w:ind w:left="353"/>
                          <w:rPr>
                            <w:sz w:val="21"/>
                          </w:rPr>
                        </w:pPr>
                        <w:r>
                          <w:rPr>
                            <w:rFonts w:ascii="Times New Roman" w:eastAsia="Times New Roman"/>
                            <w:sz w:val="21"/>
                          </w:rPr>
                          <w:t>2.  </w:t>
                        </w:r>
                        <w:r>
                          <w:rPr>
                            <w:sz w:val="21"/>
                          </w:rPr>
                          <w:t>急性心肌梗塞</w:t>
                        </w:r>
                      </w:p>
                    </w:tc>
                    <w:tc>
                      <w:tcPr>
                        <w:tcW w:w="765" w:type="dxa"/>
                      </w:tcPr>
                      <w:p>
                        <w:pPr>
                          <w:pStyle w:val="TableParagraph"/>
                          <w:spacing w:line="242" w:lineRule="exact"/>
                          <w:ind w:left="0" w:right="18"/>
                          <w:jc w:val="right"/>
                          <w:rPr>
                            <w:sz w:val="21"/>
                          </w:rPr>
                        </w:pPr>
                        <w:r>
                          <w:rPr>
                            <w:w w:val="100"/>
                            <w:sz w:val="21"/>
                          </w:rPr>
                          <w:t>：</w:t>
                        </w:r>
                      </w:p>
                    </w:tc>
                    <w:tc>
                      <w:tcPr>
                        <w:tcW w:w="7136" w:type="dxa"/>
                      </w:tcPr>
                      <w:p>
                        <w:pPr>
                          <w:pStyle w:val="TableParagraph"/>
                          <w:spacing w:line="257" w:lineRule="exact"/>
                          <w:rPr>
                            <w:sz w:val="21"/>
                          </w:rPr>
                        </w:pPr>
                        <w:r>
                          <w:rPr>
                            <w:sz w:val="21"/>
                          </w:rPr>
                          <w:t>指因冠状动脉阻塞导致的相应区域供血不足造成部分心肌坏死。须满足下列</w:t>
                        </w:r>
                      </w:p>
                      <w:p>
                        <w:pPr>
                          <w:pStyle w:val="TableParagraph"/>
                          <w:spacing w:before="37"/>
                          <w:rPr>
                            <w:sz w:val="21"/>
                          </w:rPr>
                        </w:pPr>
                        <w:r>
                          <w:rPr>
                            <w:sz w:val="21"/>
                          </w:rPr>
                          <w:t>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205"/>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880" w:hRule="atLeast"/>
                    </w:trPr>
                    <w:tc>
                      <w:tcPr>
                        <w:tcW w:w="2416" w:type="dxa"/>
                      </w:tcPr>
                      <w:p>
                        <w:pPr>
                          <w:pStyle w:val="TableParagraph"/>
                          <w:spacing w:line="273" w:lineRule="exact"/>
                          <w:ind w:left="353"/>
                          <w:rPr>
                            <w:sz w:val="21"/>
                          </w:rPr>
                        </w:pPr>
                        <w:r>
                          <w:rPr>
                            <w:rFonts w:ascii="Times New Roman" w:eastAsia="Times New Roman"/>
                            <w:sz w:val="21"/>
                          </w:rPr>
                          <w:t>3.  </w:t>
                        </w:r>
                        <w:r>
                          <w:rPr>
                            <w:sz w:val="21"/>
                          </w:rPr>
                          <w:t>脑中风后遗症</w:t>
                        </w:r>
                      </w:p>
                    </w:tc>
                    <w:tc>
                      <w:tcPr>
                        <w:tcW w:w="765" w:type="dxa"/>
                      </w:tcPr>
                      <w:p>
                        <w:pPr>
                          <w:pStyle w:val="TableParagraph"/>
                          <w:spacing w:line="242" w:lineRule="exact"/>
                          <w:ind w:left="0" w:right="18"/>
                          <w:jc w:val="right"/>
                          <w:rPr>
                            <w:sz w:val="21"/>
                          </w:rPr>
                        </w:pPr>
                        <w:r>
                          <w:rPr>
                            <w:w w:val="100"/>
                            <w:sz w:val="21"/>
                          </w:rPr>
                          <w:t>：</w:t>
                        </w:r>
                      </w:p>
                    </w:tc>
                    <w:tc>
                      <w:tcPr>
                        <w:tcW w:w="7136" w:type="dxa"/>
                      </w:tcPr>
                      <w:p>
                        <w:pPr>
                          <w:pStyle w:val="TableParagraph"/>
                          <w:spacing w:line="257" w:lineRule="exact"/>
                          <w:rPr>
                            <w:sz w:val="21"/>
                          </w:rPr>
                        </w:pPr>
                        <w:r>
                          <w:rPr>
                            <w:sz w:val="21"/>
                          </w:rPr>
                          <w:t>指因脑血管的突发病变引起脑血管出血、栓塞或梗塞，并导致神经系统永久</w:t>
                        </w:r>
                      </w:p>
                      <w:p>
                        <w:pPr>
                          <w:pStyle w:val="TableParagraph"/>
                          <w:spacing w:line="290" w:lineRule="atLeast" w:before="37"/>
                          <w:ind w:right="198"/>
                          <w:rPr>
                            <w:sz w:val="21"/>
                          </w:rPr>
                        </w:pPr>
                        <w:r>
                          <w:rPr>
                            <w:spacing w:val="-10"/>
                            <w:sz w:val="21"/>
                          </w:rPr>
                          <w:t>性的功能障碍。神经系统永久性的功能障碍，指疾病确诊 </w:t>
                        </w:r>
                        <w:r>
                          <w:rPr>
                            <w:rFonts w:ascii="Times New Roman" w:eastAsia="Times New Roman"/>
                            <w:sz w:val="21"/>
                          </w:rPr>
                          <w:t>180 </w:t>
                        </w:r>
                        <w:r>
                          <w:rPr>
                            <w:spacing w:val="-7"/>
                            <w:sz w:val="21"/>
                          </w:rPr>
                          <w:t>天后，仍遗留</w:t>
                        </w:r>
                        <w:r>
                          <w:rPr>
                            <w:spacing w:val="-5"/>
                            <w:sz w:val="21"/>
                          </w:rPr>
                          <w:t>下列一种或一种以上障碍：</w:t>
                        </w:r>
                      </w:p>
                    </w:tc>
                  </w:tr>
                </w:tbl>
                <w:p>
                  <w:pPr>
                    <w:pStyle w:val="BodyText"/>
                  </w:pPr>
                </w:p>
              </w:txbxContent>
            </v:textbox>
            <w10:wrap type="none"/>
          </v:shape>
        </w:pict>
      </w:r>
      <w:r>
        <w:rPr>
          <w:sz w:val="21"/>
        </w:rPr>
        <w:t>如果</w:t>
      </w:r>
      <w:r>
        <w:rPr>
          <w:spacing w:val="-3"/>
          <w:sz w:val="21"/>
        </w:rPr>
        <w:t>当</w:t>
      </w:r>
      <w:r>
        <w:rPr>
          <w:sz w:val="21"/>
        </w:rPr>
        <w:t>事</w:t>
      </w:r>
      <w:r>
        <w:rPr>
          <w:spacing w:val="-3"/>
          <w:sz w:val="21"/>
        </w:rPr>
        <w:t>人</w:t>
      </w:r>
      <w:r>
        <w:rPr>
          <w:sz w:val="21"/>
        </w:rPr>
        <w:t>选</w:t>
      </w:r>
      <w:r>
        <w:rPr>
          <w:spacing w:val="-3"/>
          <w:sz w:val="21"/>
        </w:rPr>
        <w:t>择</w:t>
      </w:r>
      <w:r>
        <w:rPr>
          <w:sz w:val="21"/>
        </w:rPr>
        <w:t>仲</w:t>
      </w:r>
      <w:r>
        <w:rPr>
          <w:spacing w:val="-3"/>
          <w:sz w:val="21"/>
        </w:rPr>
        <w:t>裁</w:t>
      </w:r>
      <w:r>
        <w:rPr>
          <w:sz w:val="21"/>
        </w:rPr>
        <w:t>方</w:t>
      </w:r>
      <w:r>
        <w:rPr>
          <w:spacing w:val="-3"/>
          <w:sz w:val="21"/>
        </w:rPr>
        <w:t>式</w:t>
      </w:r>
      <w:r>
        <w:rPr>
          <w:sz w:val="21"/>
        </w:rPr>
        <w:t>，应</w:t>
      </w:r>
      <w:r>
        <w:rPr>
          <w:spacing w:val="-3"/>
          <w:sz w:val="21"/>
        </w:rPr>
        <w:t>当</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并</w:t>
      </w:r>
      <w:r>
        <w:rPr>
          <w:spacing w:val="-3"/>
          <w:sz w:val="21"/>
        </w:rPr>
        <w:t>明</w:t>
      </w:r>
      <w:r>
        <w:rPr>
          <w:sz w:val="21"/>
        </w:rPr>
        <w:t>确约</w:t>
      </w:r>
      <w:r>
        <w:rPr>
          <w:spacing w:val="-3"/>
          <w:sz w:val="21"/>
        </w:rPr>
        <w:t>定</w:t>
      </w:r>
      <w:r>
        <w:rPr>
          <w:sz w:val="21"/>
        </w:rPr>
        <w:t>仲</w:t>
      </w:r>
      <w:r>
        <w:rPr>
          <w:spacing w:val="-3"/>
          <w:sz w:val="21"/>
        </w:rPr>
        <w:t>裁</w:t>
      </w:r>
      <w:r>
        <w:rPr>
          <w:sz w:val="21"/>
        </w:rPr>
        <w:t>事</w:t>
      </w:r>
      <w:r>
        <w:rPr>
          <w:spacing w:val="-3"/>
          <w:sz w:val="21"/>
        </w:rPr>
        <w:t>项</w:t>
      </w:r>
      <w:r>
        <w:rPr>
          <w:sz w:val="21"/>
        </w:rPr>
        <w:t>、</w:t>
      </w:r>
      <w:r>
        <w:rPr>
          <w:spacing w:val="-3"/>
          <w:sz w:val="21"/>
        </w:rPr>
        <w:t>仲</w:t>
      </w:r>
      <w:r>
        <w:rPr>
          <w:sz w:val="21"/>
        </w:rPr>
        <w:t>裁</w:t>
      </w:r>
      <w:r>
        <w:rPr>
          <w:spacing w:val="-3"/>
          <w:sz w:val="21"/>
        </w:rPr>
        <w:t>机</w:t>
      </w:r>
      <w:r>
        <w:rPr>
          <w:sz w:val="21"/>
        </w:rPr>
        <w:t>构。</w:t>
      </w:r>
      <w:bookmarkStart w:name="_bookmark36" w:id="37"/>
      <w:bookmarkEnd w:id="37"/>
      <w:r>
        <w:rPr>
          <w:sz w:val="21"/>
        </w:rPr>
      </w:r>
      <w:r>
        <w:rPr>
          <w:b/>
          <w:sz w:val="21"/>
        </w:rPr>
        <w:t>第三十一条</w:t>
        <w:tab/>
        <w:t>重大疾病的种类及</w:t>
      </w:r>
      <w:r>
        <w:rPr>
          <w:b/>
          <w:spacing w:val="-3"/>
          <w:sz w:val="21"/>
        </w:rPr>
        <w:t>定</w:t>
      </w:r>
      <w:r>
        <w:rPr>
          <w:b/>
          <w:sz w:val="21"/>
        </w:rPr>
        <w:t>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r>
        <w:rPr/>
        <w:pict>
          <v:line style="position:absolute;mso-position-horizontal-relative:page;mso-position-vertical-relative:paragraph;z-index:1264;mso-wrap-distance-left:0;mso-wrap-distance-right:0" from="53.880001pt,17.559124pt" to="197.930001pt,17.559124pt" stroked="true" strokeweight=".48004pt" strokecolor="#000000">
            <v:stroke dashstyle="solid"/>
            <w10:wrap type="topAndBottom"/>
          </v:line>
        </w:pict>
      </w:r>
    </w:p>
    <w:p>
      <w:pPr>
        <w:pStyle w:val="BodyText"/>
        <w:spacing w:line="318" w:lineRule="exact"/>
        <w:ind w:left="317"/>
      </w:pPr>
      <w:r>
        <w:rPr>
          <w:rFonts w:ascii="Times New Roman" w:eastAsia="Times New Roman"/>
          <w:w w:val="99"/>
          <w:position w:val="10"/>
          <w:sz w:val="14"/>
        </w:rPr>
        <w:t>25</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left="317" w:right="3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827" w:top="1360" w:bottom="1040" w:left="76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252"/>
        <w:gridCol w:w="7136"/>
      </w:tblGrid>
      <w:tr>
        <w:trPr>
          <w:trHeight w:val="1237" w:hRule="atLeast"/>
        </w:trPr>
        <w:tc>
          <w:tcPr>
            <w:tcW w:w="2775" w:type="dxa"/>
          </w:tcPr>
          <w:p>
            <w:pPr>
              <w:pStyle w:val="TableParagraph"/>
              <w:ind w:left="0"/>
              <w:rPr>
                <w:rFonts w:ascii="Times New Roman"/>
                <w:sz w:val="20"/>
              </w:rPr>
            </w:pPr>
          </w:p>
        </w:tc>
        <w:tc>
          <w:tcPr>
            <w:tcW w:w="252" w:type="dxa"/>
          </w:tcPr>
          <w:p>
            <w:pPr>
              <w:pStyle w:val="TableParagraph"/>
              <w:ind w:left="0"/>
              <w:rPr>
                <w:rFonts w:ascii="Times New Roman"/>
                <w:sz w:val="20"/>
              </w:rPr>
            </w:pPr>
          </w:p>
        </w:tc>
        <w:tc>
          <w:tcPr>
            <w:tcW w:w="7136" w:type="dxa"/>
          </w:tcPr>
          <w:p>
            <w:pPr>
              <w:pStyle w:val="TableParagraph"/>
              <w:spacing w:line="270" w:lineRule="exac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w:t>
            </w:r>
          </w:p>
          <w:p>
            <w:pPr>
              <w:pStyle w:val="TableParagraph"/>
              <w:spacing w:line="256" w:lineRule="auto" w:before="20"/>
              <w:ind w:right="134"/>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中的三项或三项以上。</w:t>
            </w:r>
          </w:p>
        </w:tc>
      </w:tr>
      <w:tr>
        <w:trPr>
          <w:trHeight w:val="1560" w:hRule="atLeast"/>
        </w:trPr>
        <w:tc>
          <w:tcPr>
            <w:tcW w:w="2775" w:type="dxa"/>
          </w:tcPr>
          <w:p>
            <w:pPr>
              <w:pStyle w:val="TableParagraph"/>
              <w:spacing w:line="256" w:lineRule="auto"/>
              <w:ind w:left="459" w:right="20" w:hanging="260"/>
              <w:rPr>
                <w:sz w:val="21"/>
              </w:rPr>
            </w:pPr>
            <w:r>
              <w:rPr>
                <w:rFonts w:ascii="Times New Roman" w:eastAsia="Times New Roman"/>
                <w:sz w:val="21"/>
              </w:rPr>
              <w:t>4. </w:t>
            </w:r>
            <w:r>
              <w:rPr>
                <w:sz w:val="21"/>
              </w:rPr>
              <w:t>重大器官移植术或造血干细胞移植术</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73" w:lineRule="auto"/>
              <w:ind w:right="202"/>
              <w:jc w:val="both"/>
              <w:rPr>
                <w:sz w:val="21"/>
              </w:rPr>
            </w:pPr>
            <w:r>
              <w:rPr>
                <w:spacing w:val="-6"/>
                <w:sz w:val="21"/>
              </w:rPr>
              <w:t>重大器官移植术，指因相应器官功能衰竭，已经实施了肾脏、肝脏、心脏或</w:t>
            </w:r>
            <w:r>
              <w:rPr>
                <w:spacing w:val="-4"/>
                <w:sz w:val="21"/>
              </w:rPr>
              <w:t>肺脏的异体移植手术。</w:t>
            </w:r>
          </w:p>
          <w:p>
            <w:pPr>
              <w:pStyle w:val="TableParagraph"/>
              <w:spacing w:line="312" w:lineRule="exact" w:before="13"/>
              <w:ind w:right="198"/>
              <w:jc w:val="both"/>
              <w:rPr>
                <w:sz w:val="21"/>
              </w:rPr>
            </w:pPr>
            <w:r>
              <w:rPr>
                <w:spacing w:val="-5"/>
                <w:sz w:val="21"/>
              </w:rPr>
              <w:t>造血干细胞移植术，指因造血功能损害或造血系统恶性肿瘤，已经实施了造</w:t>
            </w:r>
            <w:r>
              <w:rPr>
                <w:spacing w:val="-6"/>
                <w:sz w:val="21"/>
              </w:rPr>
              <w:t>血干细胞</w:t>
            </w:r>
            <w:r>
              <w:rPr>
                <w:spacing w:val="-3"/>
                <w:sz w:val="21"/>
              </w:rPr>
              <w:t>（</w:t>
            </w:r>
            <w:r>
              <w:rPr>
                <w:spacing w:val="-4"/>
                <w:sz w:val="21"/>
              </w:rPr>
              <w:t>包括骨髓造血干细胞、外周血造血干细胞和脐血造血干细胞</w:t>
            </w:r>
            <w:r>
              <w:rPr>
                <w:spacing w:val="-8"/>
                <w:sz w:val="21"/>
              </w:rPr>
              <w:t>）</w:t>
            </w:r>
            <w:r>
              <w:rPr>
                <w:sz w:val="21"/>
              </w:rPr>
              <w:t>的</w:t>
            </w:r>
            <w:r>
              <w:rPr>
                <w:spacing w:val="-2"/>
                <w:sz w:val="21"/>
              </w:rPr>
              <w:t>异体移植手术。</w:t>
            </w:r>
          </w:p>
        </w:tc>
      </w:tr>
      <w:tr>
        <w:trPr>
          <w:trHeight w:val="1248" w:hRule="atLeast"/>
        </w:trPr>
        <w:tc>
          <w:tcPr>
            <w:tcW w:w="2775" w:type="dxa"/>
          </w:tcPr>
          <w:p>
            <w:pPr>
              <w:pStyle w:val="TableParagraph"/>
              <w:spacing w:line="256" w:lineRule="auto"/>
              <w:ind w:left="459" w:right="18" w:hanging="260"/>
              <w:rPr>
                <w:sz w:val="21"/>
              </w:rPr>
            </w:pPr>
            <w:r>
              <w:rPr>
                <w:rFonts w:ascii="Times New Roman" w:eastAsia="Times New Roman"/>
                <w:sz w:val="21"/>
              </w:rPr>
              <w:t>5. </w:t>
            </w:r>
            <w:r>
              <w:rPr>
                <w:sz w:val="21"/>
              </w:rPr>
              <w:t>冠状动脉搭桥术（或称冠状动脉旁路移植术）</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73" w:lineRule="auto"/>
              <w:ind w:right="166"/>
              <w:rPr>
                <w:sz w:val="21"/>
              </w:rPr>
            </w:pPr>
            <w:r>
              <w:rPr>
                <w:sz w:val="21"/>
              </w:rPr>
              <w:t>指为治疗严重的冠心病，实际实施了开胸进行的冠状动脉血管旁路移植的手术。</w:t>
            </w:r>
          </w:p>
          <w:p>
            <w:pPr>
              <w:pStyle w:val="TableParagraph"/>
              <w:spacing w:line="312" w:lineRule="exact" w:before="13"/>
              <w:ind w:right="165"/>
              <w:rPr>
                <w:sz w:val="21"/>
              </w:rPr>
            </w:pPr>
            <w:r>
              <w:rPr>
                <w:sz w:val="21"/>
              </w:rPr>
              <w:t>冠状动脉支架植入术、心导管球囊扩张术、激光射频技术及其它非开胸的介入手术、腔镜手术不在保障范围内。</w:t>
            </w:r>
          </w:p>
        </w:tc>
      </w:tr>
      <w:tr>
        <w:trPr>
          <w:trHeight w:val="623" w:hRule="atLeast"/>
        </w:trPr>
        <w:tc>
          <w:tcPr>
            <w:tcW w:w="2775" w:type="dxa"/>
          </w:tcPr>
          <w:p>
            <w:pPr>
              <w:pStyle w:val="TableParagraph"/>
              <w:spacing w:line="256" w:lineRule="auto"/>
              <w:ind w:left="459" w:right="18" w:hanging="260"/>
              <w:rPr>
                <w:sz w:val="21"/>
              </w:rPr>
            </w:pPr>
            <w:r>
              <w:rPr>
                <w:rFonts w:ascii="Times New Roman" w:eastAsia="Times New Roman"/>
                <w:sz w:val="21"/>
              </w:rPr>
              <w:t>6. </w:t>
            </w:r>
            <w:r>
              <w:rPr>
                <w:sz w:val="21"/>
              </w:rPr>
              <w:t>终末期肾病（或称慢性肾功能衰竭尿毒症期）</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81" w:lineRule="exact"/>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天的规律性透析治疗或实施了肾脏移植手术。</w:t>
            </w:r>
          </w:p>
        </w:tc>
      </w:tr>
      <w:tr>
        <w:trPr>
          <w:trHeight w:val="623" w:hRule="atLeast"/>
        </w:trPr>
        <w:tc>
          <w:tcPr>
            <w:tcW w:w="2775" w:type="dxa"/>
          </w:tcPr>
          <w:p>
            <w:pPr>
              <w:pStyle w:val="TableParagraph"/>
              <w:spacing w:line="281" w:lineRule="exact"/>
              <w:ind w:left="200"/>
              <w:rPr>
                <w:sz w:val="21"/>
              </w:rPr>
            </w:pPr>
            <w:r>
              <w:rPr>
                <w:rFonts w:ascii="Times New Roman" w:eastAsia="Times New Roman"/>
                <w:sz w:val="21"/>
              </w:rPr>
              <w:t>7.  </w:t>
            </w:r>
            <w:r>
              <w:rPr>
                <w:sz w:val="21"/>
              </w:rPr>
              <w:t>多个肢体缺失</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65"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1880" w:hRule="atLeast"/>
        </w:trPr>
        <w:tc>
          <w:tcPr>
            <w:tcW w:w="2775" w:type="dxa"/>
          </w:tcPr>
          <w:p>
            <w:pPr>
              <w:pStyle w:val="TableParagraph"/>
              <w:spacing w:line="281" w:lineRule="exact"/>
              <w:ind w:left="200"/>
              <w:rPr>
                <w:sz w:val="21"/>
              </w:rPr>
            </w:pPr>
            <w:r>
              <w:rPr>
                <w:rFonts w:ascii="Times New Roman" w:eastAsia="Times New Roman"/>
                <w:sz w:val="21"/>
              </w:rPr>
              <w:t>8.  </w:t>
            </w:r>
            <w:r>
              <w:rPr>
                <w:sz w:val="21"/>
              </w:rPr>
              <w:t>急性或亚急性重症肝炎</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73" w:lineRule="auto"/>
              <w:ind w:right="165"/>
              <w:rPr>
                <w:sz w:val="21"/>
              </w:rPr>
            </w:pPr>
            <w:r>
              <w:rPr>
                <w:sz w:val="21"/>
              </w:rPr>
              <w:t>指因肝炎病毒感染引起肝脏组织弥漫性坏死，导致急性肝功能衰竭，且经血清学或病毒学检查证实，并须满足下列全部条件：</w:t>
            </w:r>
          </w:p>
          <w:p>
            <w:pPr>
              <w:pStyle w:val="TableParagraph"/>
              <w:spacing w:before="1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775"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252" w:type="dxa"/>
          </w:tcPr>
          <w:p>
            <w:pPr>
              <w:pStyle w:val="TableParagraph"/>
              <w:spacing w:line="243" w:lineRule="exact"/>
              <w:rPr>
                <w:sz w:val="21"/>
              </w:rPr>
            </w:pPr>
            <w:r>
              <w:rPr>
                <w:w w:val="100"/>
                <w:sz w:val="21"/>
              </w:rPr>
              <w:t>：</w:t>
            </w:r>
          </w:p>
        </w:tc>
        <w:tc>
          <w:tcPr>
            <w:tcW w:w="7136" w:type="dxa"/>
          </w:tcPr>
          <w:p>
            <w:pPr>
              <w:pStyle w:val="TableParagraph"/>
              <w:spacing w:line="257" w:lineRule="exact"/>
              <w:rPr>
                <w:sz w:val="21"/>
              </w:rPr>
            </w:pPr>
            <w:r>
              <w:rPr>
                <w:sz w:val="21"/>
              </w:rPr>
              <w:t>指脑的良性肿瘤，已经引起颅内压增高，临床表现为视神经乳头水肿、精神</w:t>
            </w:r>
          </w:p>
          <w:p>
            <w:pPr>
              <w:pStyle w:val="TableParagraph"/>
              <w:spacing w:line="256" w:lineRule="auto" w:before="37"/>
              <w:ind w:right="199"/>
              <w:jc w:val="both"/>
              <w:rPr>
                <w:sz w:val="21"/>
              </w:rPr>
            </w:pPr>
            <w:r>
              <w:rPr>
                <w:spacing w:val="-3"/>
                <w:w w:val="100"/>
                <w:sz w:val="21"/>
              </w:rPr>
              <w:t>症状、癫痫及运动感觉障碍等，并危及生命。须由头颅断层扫描</w:t>
            </w:r>
            <w:r>
              <w:rPr>
                <w:spacing w:val="-2"/>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w w:val="100"/>
                <w:sz w:val="21"/>
              </w:rPr>
              <w:t>、核</w:t>
            </w:r>
            <w:r>
              <w:rPr>
                <w:sz w:val="21"/>
              </w:rPr>
              <w:t>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w:t>
            </w:r>
            <w:r>
              <w:rPr>
                <w:spacing w:val="-3"/>
                <w:sz w:val="21"/>
              </w:rPr>
              <w:t>须满足下列至少一项条件：</w:t>
            </w:r>
          </w:p>
          <w:p>
            <w:pPr>
              <w:pStyle w:val="TableParagraph"/>
              <w:spacing w:before="22"/>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jc w:val="both"/>
              <w:rPr>
                <w:sz w:val="21"/>
              </w:rPr>
            </w:pPr>
            <w:r>
              <w:rPr>
                <w:sz w:val="21"/>
              </w:rPr>
              <w:t>脑垂体瘤、脑囊肿、脑血管性疾病不在保障范围内。</w:t>
            </w:r>
          </w:p>
        </w:tc>
      </w:tr>
      <w:tr>
        <w:trPr>
          <w:trHeight w:val="1529" w:hRule="atLeast"/>
        </w:trPr>
        <w:tc>
          <w:tcPr>
            <w:tcW w:w="2775" w:type="dxa"/>
          </w:tcPr>
          <w:p>
            <w:pPr>
              <w:pStyle w:val="TableParagraph"/>
              <w:spacing w:line="256" w:lineRule="auto"/>
              <w:ind w:left="591" w:right="18" w:hanging="392"/>
              <w:rPr>
                <w:sz w:val="21"/>
              </w:rPr>
            </w:pPr>
            <w:r>
              <w:rPr>
                <w:rFonts w:ascii="Times New Roman" w:eastAsia="Times New Roman"/>
                <w:sz w:val="21"/>
              </w:rPr>
              <w:t>10.</w:t>
            </w:r>
            <w:r>
              <w:rPr>
                <w:sz w:val="21"/>
              </w:rPr>
              <w:t>慢性肝功能衰竭失代偿期</w:t>
            </w:r>
          </w:p>
        </w:tc>
        <w:tc>
          <w:tcPr>
            <w:tcW w:w="252" w:type="dxa"/>
          </w:tcPr>
          <w:p>
            <w:pPr>
              <w:pStyle w:val="TableParagraph"/>
              <w:spacing w:line="250" w:lineRule="exact"/>
              <w:rPr>
                <w:sz w:val="21"/>
              </w:rPr>
            </w:pPr>
            <w:r>
              <w:rPr>
                <w:w w:val="100"/>
                <w:sz w:val="21"/>
              </w:rPr>
              <w:t>：</w:t>
            </w:r>
          </w:p>
        </w:tc>
        <w:tc>
          <w:tcPr>
            <w:tcW w:w="7136"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71" w:lineRule="exact" w:before="21"/>
              <w:rPr>
                <w:sz w:val="21"/>
              </w:rPr>
            </w:pPr>
            <w:r>
              <w:rPr>
                <w:sz w:val="21"/>
              </w:rPr>
              <w:t>（</w:t>
            </w:r>
            <w:r>
              <w:rPr>
                <w:rFonts w:ascii="Times New Roman" w:eastAsia="Times New Roman"/>
                <w:sz w:val="21"/>
              </w:rPr>
              <w:t>4</w:t>
            </w:r>
            <w:r>
              <w:rPr>
                <w:sz w:val="21"/>
              </w:rPr>
              <w:t>）充血性脾肿大伴脾功能亢进或食管胃底静脉曲张。</w:t>
            </w:r>
          </w:p>
        </w:tc>
      </w:tr>
    </w:tbl>
    <w:p>
      <w:pPr>
        <w:pStyle w:val="BodyText"/>
        <w:spacing w:before="6"/>
        <w:rPr>
          <w:sz w:val="14"/>
        </w:rPr>
      </w:pPr>
      <w:r>
        <w:rPr/>
        <w:pict>
          <v:line style="position:absolute;mso-position-horizontal-relative:page;mso-position-vertical-relative:paragraph;z-index:1312;mso-wrap-distance-left:0;mso-wrap-distance-right:0" from="53.880001pt,11.673643pt" to="197.930001pt,11.673643pt" stroked="true" strokeweight=".47998pt" strokecolor="#000000">
            <v:stroke dashstyle="solid"/>
            <w10:wrap type="topAndBottom"/>
          </v:line>
        </w:pict>
      </w:r>
    </w:p>
    <w:p>
      <w:pPr>
        <w:spacing w:line="321" w:lineRule="exact" w:before="0"/>
        <w:ind w:left="157" w:right="0" w:firstLine="0"/>
        <w:jc w:val="left"/>
        <w:rPr>
          <w:sz w:val="21"/>
        </w:rPr>
      </w:pPr>
      <w:r>
        <w:rPr>
          <w:rFonts w:ascii="Times New Roman" w:eastAsia="Times New Roman"/>
          <w:position w:val="10"/>
          <w:sz w:val="14"/>
        </w:rPr>
        <w:t>26</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157"/>
      </w:pPr>
      <w:r>
        <w:rPr/>
        <w:t>个上肢或包括髋关节的整个下肢。</w:t>
      </w:r>
    </w:p>
    <w:p>
      <w:pPr>
        <w:spacing w:line="317" w:lineRule="exact" w:before="0"/>
        <w:ind w:left="157" w:right="0" w:firstLine="0"/>
        <w:jc w:val="left"/>
        <w:rPr>
          <w:sz w:val="21"/>
        </w:rPr>
      </w:pPr>
      <w:r>
        <w:rPr>
          <w:rFonts w:ascii="Times New Roman" w:eastAsia="Times New Roman"/>
          <w:position w:val="10"/>
          <w:sz w:val="14"/>
        </w:rPr>
        <w:t>27</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157" w:right="3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4" w:lineRule="exact" w:before="11"/>
        <w:ind w:left="157" w:right="0" w:firstLine="0"/>
        <w:jc w:val="left"/>
        <w:rPr>
          <w:sz w:val="21"/>
        </w:rPr>
      </w:pPr>
      <w:r>
        <w:rPr>
          <w:rFonts w:ascii="Times New Roman" w:eastAsia="Times New Roman"/>
          <w:w w:val="99"/>
          <w:position w:val="10"/>
          <w:sz w:val="14"/>
        </w:rPr>
        <w:t>28</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5" w:lineRule="auto" w:before="3"/>
        <w:ind w:left="157" w:right="315"/>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5" w:lineRule="auto"/>
        <w:sectPr>
          <w:pgSz w:w="11910" w:h="16160"/>
          <w:pgMar w:header="0" w:footer="827" w:top="1380" w:bottom="1020" w:left="9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252"/>
        <w:gridCol w:w="7136"/>
      </w:tblGrid>
      <w:tr>
        <w:trPr>
          <w:trHeight w:val="268" w:hRule="atLeast"/>
        </w:trPr>
        <w:tc>
          <w:tcPr>
            <w:tcW w:w="2775" w:type="dxa"/>
          </w:tcPr>
          <w:p>
            <w:pPr>
              <w:pStyle w:val="TableParagraph"/>
              <w:ind w:left="0"/>
              <w:rPr>
                <w:rFonts w:ascii="Times New Roman"/>
                <w:sz w:val="18"/>
              </w:rPr>
            </w:pPr>
          </w:p>
        </w:tc>
        <w:tc>
          <w:tcPr>
            <w:tcW w:w="252" w:type="dxa"/>
          </w:tcPr>
          <w:p>
            <w:pPr>
              <w:pStyle w:val="TableParagraph"/>
              <w:ind w:left="0"/>
              <w:rPr>
                <w:rFonts w:ascii="Times New Roman"/>
                <w:sz w:val="18"/>
              </w:rPr>
            </w:pPr>
          </w:p>
        </w:tc>
        <w:tc>
          <w:tcPr>
            <w:tcW w:w="7136" w:type="dxa"/>
          </w:tcPr>
          <w:p>
            <w:pPr>
              <w:pStyle w:val="TableParagraph"/>
              <w:spacing w:line="202" w:lineRule="exact"/>
              <w:rPr>
                <w:sz w:val="21"/>
              </w:rPr>
            </w:pPr>
            <w:r>
              <w:rPr>
                <w:sz w:val="21"/>
              </w:rPr>
              <w:t>因酗酒或药物滥用导致的肝功能衰竭不在保障范围内。</w:t>
            </w:r>
          </w:p>
        </w:tc>
      </w:tr>
      <w:tr>
        <w:trPr>
          <w:trHeight w:val="1881" w:hRule="atLeast"/>
        </w:trPr>
        <w:tc>
          <w:tcPr>
            <w:tcW w:w="2775" w:type="dxa"/>
          </w:tcPr>
          <w:p>
            <w:pPr>
              <w:pStyle w:val="TableParagraph"/>
              <w:spacing w:line="256" w:lineRule="auto"/>
              <w:ind w:left="591" w:right="18" w:hanging="392"/>
              <w:rPr>
                <w:sz w:val="21"/>
              </w:rPr>
            </w:pPr>
            <w:r>
              <w:rPr>
                <w:rFonts w:ascii="Times New Roman" w:eastAsia="Times New Roman"/>
                <w:sz w:val="21"/>
              </w:rPr>
              <w:t>11.</w:t>
            </w:r>
            <w:r>
              <w:rPr>
                <w:sz w:val="21"/>
              </w:rPr>
              <w:t>脑炎后遗症或脑膜炎后遗症</w:t>
            </w:r>
          </w:p>
        </w:tc>
        <w:tc>
          <w:tcPr>
            <w:tcW w:w="252" w:type="dxa"/>
          </w:tcPr>
          <w:p>
            <w:pPr>
              <w:pStyle w:val="TableParagraph"/>
              <w:spacing w:line="251" w:lineRule="exact"/>
              <w:rPr>
                <w:sz w:val="21"/>
              </w:rPr>
            </w:pPr>
            <w:r>
              <w:rPr>
                <w:w w:val="100"/>
                <w:sz w:val="21"/>
              </w:rPr>
              <w:t>：</w:t>
            </w:r>
          </w:p>
        </w:tc>
        <w:tc>
          <w:tcPr>
            <w:tcW w:w="7136" w:type="dxa"/>
          </w:tcPr>
          <w:p>
            <w:pPr>
              <w:pStyle w:val="TableParagraph"/>
              <w:spacing w:line="273" w:lineRule="auto"/>
              <w:ind w:right="15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775" w:type="dxa"/>
          </w:tcPr>
          <w:p>
            <w:pPr>
              <w:pStyle w:val="TableParagraph"/>
              <w:spacing w:line="272" w:lineRule="exact"/>
              <w:ind w:left="200"/>
              <w:rPr>
                <w:sz w:val="21"/>
              </w:rPr>
            </w:pPr>
            <w:r>
              <w:rPr>
                <w:rFonts w:ascii="Times New Roman" w:eastAsia="Times New Roman"/>
                <w:sz w:val="21"/>
              </w:rPr>
              <w:t>12.</w:t>
            </w:r>
            <w:r>
              <w:rPr>
                <w:sz w:val="21"/>
              </w:rPr>
              <w:t>深度昏迷</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72" w:lineRule="exact"/>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w:t>
            </w:r>
          </w:p>
          <w:p>
            <w:pPr>
              <w:pStyle w:val="TableParagraph"/>
              <w:spacing w:line="256" w:lineRule="auto" w:before="21"/>
              <w:ind w:right="198"/>
              <w:rPr>
                <w:sz w:val="21"/>
              </w:rPr>
            </w:pPr>
            <w:r>
              <w:rPr>
                <w:sz w:val="21"/>
              </w:rPr>
              <w:t>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 且已经持续使用呼吸机及其它生命维持系统 </w:t>
            </w:r>
            <w:r>
              <w:rPr>
                <w:rFonts w:ascii="Times New Roman" w:eastAsia="Times New Roman"/>
                <w:sz w:val="21"/>
              </w:rPr>
              <w:t>96 </w:t>
            </w:r>
            <w:r>
              <w:rPr>
                <w:sz w:val="21"/>
              </w:rPr>
              <w:t>小时以上。</w:t>
            </w:r>
          </w:p>
          <w:p>
            <w:pPr>
              <w:pStyle w:val="TableParagraph"/>
              <w:spacing w:before="4"/>
              <w:rPr>
                <w:sz w:val="21"/>
              </w:rPr>
            </w:pPr>
            <w:r>
              <w:rPr>
                <w:sz w:val="21"/>
              </w:rPr>
              <w:t>因酗酒或药物滥用导致的深度昏迷不在保障范围内。</w:t>
            </w:r>
          </w:p>
        </w:tc>
      </w:tr>
      <w:tr>
        <w:trPr>
          <w:trHeight w:val="1578" w:hRule="atLeast"/>
        </w:trPr>
        <w:tc>
          <w:tcPr>
            <w:tcW w:w="2775" w:type="dxa"/>
          </w:tcPr>
          <w:p>
            <w:pPr>
              <w:pStyle w:val="TableParagraph"/>
              <w:spacing w:line="290" w:lineRule="exact"/>
              <w:ind w:left="200"/>
              <w:rPr>
                <w:b/>
                <w:sz w:val="21"/>
              </w:rPr>
            </w:pPr>
            <w:r>
              <w:rPr>
                <w:rFonts w:ascii="Times New Roman" w:eastAsia="Times New Roman"/>
                <w:sz w:val="21"/>
              </w:rPr>
              <w:t>13.</w:t>
            </w:r>
            <w:r>
              <w:rPr>
                <w:sz w:val="21"/>
              </w:rPr>
              <w:t>双耳失聪 </w:t>
            </w:r>
            <w:r>
              <w:rPr>
                <w:rFonts w:ascii="Times New Roman" w:eastAsia="Times New Roman"/>
                <w:sz w:val="21"/>
              </w:rPr>
              <w:t>-  </w:t>
            </w:r>
            <w:r>
              <w:rPr>
                <w:b/>
                <w:sz w:val="21"/>
              </w:rPr>
              <w:t>三岁始理赔</w:t>
            </w:r>
          </w:p>
        </w:tc>
        <w:tc>
          <w:tcPr>
            <w:tcW w:w="252" w:type="dxa"/>
          </w:tcPr>
          <w:p>
            <w:pPr>
              <w:pStyle w:val="TableParagraph"/>
              <w:spacing w:line="260" w:lineRule="exact"/>
              <w:rPr>
                <w:sz w:val="21"/>
              </w:rPr>
            </w:pPr>
            <w:r>
              <w:rPr>
                <w:w w:val="100"/>
                <w:sz w:val="21"/>
              </w:rPr>
              <w:t>：</w:t>
            </w:r>
          </w:p>
        </w:tc>
        <w:tc>
          <w:tcPr>
            <w:tcW w:w="7136" w:type="dxa"/>
          </w:tcPr>
          <w:p>
            <w:pPr>
              <w:pStyle w:val="TableParagraph"/>
              <w:spacing w:line="290" w:lineRule="exact"/>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2"/>
              <w:ind w:right="279"/>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273" w:lineRule="auto" w:before="22"/>
              <w:ind w:right="151"/>
              <w:rPr>
                <w:sz w:val="21"/>
              </w:rPr>
            </w:pPr>
            <w:r>
              <w:rPr>
                <w:sz w:val="21"/>
              </w:rPr>
              <w:t>被保险人申请理赔时年龄必须在三周岁以上，并且提供理赔当时的听力丧失诊断及检查证据。</w:t>
            </w:r>
          </w:p>
        </w:tc>
      </w:tr>
      <w:tr>
        <w:trPr>
          <w:trHeight w:val="2496" w:hRule="atLeast"/>
        </w:trPr>
        <w:tc>
          <w:tcPr>
            <w:tcW w:w="2775" w:type="dxa"/>
          </w:tcPr>
          <w:p>
            <w:pPr>
              <w:pStyle w:val="TableParagraph"/>
              <w:spacing w:line="272" w:lineRule="exact"/>
              <w:ind w:left="200"/>
              <w:rPr>
                <w:b/>
                <w:sz w:val="21"/>
              </w:rPr>
            </w:pPr>
            <w:r>
              <w:rPr>
                <w:rFonts w:ascii="Times New Roman" w:eastAsia="Times New Roman"/>
                <w:sz w:val="21"/>
              </w:rPr>
              <w:t>14.</w:t>
            </w:r>
            <w:r>
              <w:rPr>
                <w:sz w:val="21"/>
              </w:rPr>
              <w:t>双目失明 </w:t>
            </w:r>
            <w:r>
              <w:rPr>
                <w:rFonts w:ascii="Times New Roman" w:eastAsia="Times New Roman"/>
                <w:sz w:val="21"/>
              </w:rPr>
              <w:t>-  </w:t>
            </w:r>
            <w:r>
              <w:rPr>
                <w:b/>
                <w:sz w:val="21"/>
              </w:rPr>
              <w:t>三岁始理赔</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56" w:lineRule="exact"/>
              <w:rPr>
                <w:sz w:val="21"/>
              </w:rPr>
            </w:pPr>
            <w:r>
              <w:rPr>
                <w:sz w:val="21"/>
              </w:rPr>
              <w:t>指因疾病或意外伤害导致双眼视力永久不可逆性丧失，双眼中较好眼须满足</w:t>
            </w:r>
          </w:p>
          <w:p>
            <w:pPr>
              <w:pStyle w:val="TableParagraph"/>
              <w:spacing w:before="37"/>
              <w:rPr>
                <w:sz w:val="21"/>
              </w:rPr>
            </w:pPr>
            <w:r>
              <w:rPr>
                <w:sz w:val="21"/>
              </w:rPr>
              <w:t>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01"/>
              <w:rPr>
                <w:sz w:val="21"/>
              </w:rPr>
            </w:pPr>
            <w:r>
              <w:rPr>
                <w:sz w:val="21"/>
              </w:rPr>
              <w:t>（</w:t>
            </w:r>
            <w:r>
              <w:rPr>
                <w:rFonts w:ascii="Times New Roman" w:eastAsia="Times New Roman"/>
                <w:sz w:val="21"/>
              </w:rPr>
              <w:t>2</w:t>
            </w:r>
            <w:r>
              <w:rPr>
                <w:sz w:val="21"/>
              </w:rPr>
              <w:t>）</w:t>
            </w:r>
            <w:r>
              <w:rPr>
                <w:spacing w:val="5"/>
                <w:sz w:val="21"/>
              </w:rPr>
              <w:t>矫正视力低于 </w:t>
            </w:r>
            <w:r>
              <w:rPr>
                <w:rFonts w:ascii="Times New Roman" w:eastAsia="Times New Roman"/>
                <w:sz w:val="21"/>
              </w:rPr>
              <w:t>0.02</w:t>
            </w:r>
            <w:r>
              <w:rPr>
                <w:sz w:val="21"/>
              </w:rPr>
              <w:t>（</w:t>
            </w:r>
            <w:r>
              <w:rPr>
                <w:spacing w:val="-1"/>
                <w:sz w:val="21"/>
              </w:rPr>
              <w:t>采用国际标准视力表，如果使用其它视力表应进</w:t>
            </w:r>
            <w:r>
              <w:rPr>
                <w:spacing w:val="-2"/>
                <w:w w:val="100"/>
                <w:sz w:val="21"/>
              </w:rPr>
              <w:t>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right="151"/>
              <w:rPr>
                <w:sz w:val="21"/>
              </w:rPr>
            </w:pPr>
            <w:r>
              <w:rPr>
                <w:sz w:val="21"/>
              </w:rPr>
              <w:t>被保险人申请理赔时年龄必须在三周岁以上，并且提供理赔当时的视力丧失诊断及检查证据。</w:t>
            </w:r>
          </w:p>
        </w:tc>
      </w:tr>
      <w:tr>
        <w:trPr>
          <w:trHeight w:val="935" w:hRule="atLeast"/>
        </w:trPr>
        <w:tc>
          <w:tcPr>
            <w:tcW w:w="2775" w:type="dxa"/>
          </w:tcPr>
          <w:p>
            <w:pPr>
              <w:pStyle w:val="TableParagraph"/>
              <w:spacing w:line="272" w:lineRule="exact"/>
              <w:ind w:left="200"/>
              <w:rPr>
                <w:sz w:val="21"/>
              </w:rPr>
            </w:pPr>
            <w:r>
              <w:rPr>
                <w:rFonts w:ascii="Times New Roman" w:eastAsia="Times New Roman"/>
                <w:sz w:val="21"/>
              </w:rPr>
              <w:t>15.</w:t>
            </w:r>
            <w:r>
              <w:rPr>
                <w:sz w:val="21"/>
              </w:rPr>
              <w:t>瘫痪</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56" w:lineRule="exact"/>
              <w:rPr>
                <w:sz w:val="21"/>
              </w:rPr>
            </w:pPr>
            <w:r>
              <w:rPr>
                <w:sz w:val="21"/>
              </w:rPr>
              <w:t>指因疾病或意外伤害导致两肢或两肢以上肢体机能永久完全丧失。肢体机能</w:t>
            </w:r>
          </w:p>
          <w:p>
            <w:pPr>
              <w:pStyle w:val="TableParagraph"/>
              <w:spacing w:line="256" w:lineRule="auto" w:before="37"/>
              <w:ind w:right="197"/>
              <w:rPr>
                <w:sz w:val="21"/>
              </w:rPr>
            </w:pPr>
            <w:r>
              <w:rPr>
                <w:sz w:val="21"/>
              </w:rPr>
              <w:t>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1872" w:hRule="atLeast"/>
        </w:trPr>
        <w:tc>
          <w:tcPr>
            <w:tcW w:w="2775" w:type="dxa"/>
          </w:tcPr>
          <w:p>
            <w:pPr>
              <w:pStyle w:val="TableParagraph"/>
              <w:spacing w:line="272" w:lineRule="exact"/>
              <w:ind w:left="200"/>
              <w:rPr>
                <w:sz w:val="21"/>
              </w:rPr>
            </w:pPr>
            <w:r>
              <w:rPr>
                <w:rFonts w:ascii="Times New Roman" w:eastAsia="Times New Roman"/>
                <w:sz w:val="21"/>
              </w:rPr>
              <w:t>16.</w:t>
            </w:r>
            <w:r>
              <w:rPr>
                <w:sz w:val="21"/>
              </w:rPr>
              <w:t>严重阿尔茨海默病</w:t>
            </w:r>
          </w:p>
        </w:tc>
        <w:tc>
          <w:tcPr>
            <w:tcW w:w="252" w:type="dxa"/>
          </w:tcPr>
          <w:p>
            <w:pPr>
              <w:pStyle w:val="TableParagraph"/>
              <w:spacing w:line="242" w:lineRule="exact"/>
              <w:rPr>
                <w:sz w:val="21"/>
              </w:rPr>
            </w:pPr>
            <w:r>
              <w:rPr>
                <w:w w:val="100"/>
                <w:sz w:val="21"/>
              </w:rPr>
              <w:t>：</w:t>
            </w:r>
          </w:p>
        </w:tc>
        <w:tc>
          <w:tcPr>
            <w:tcW w:w="7136" w:type="dxa"/>
          </w:tcPr>
          <w:p>
            <w:pPr>
              <w:pStyle w:val="TableParagraph"/>
              <w:spacing w:line="256" w:lineRule="exact"/>
              <w:rPr>
                <w:sz w:val="21"/>
              </w:rPr>
            </w:pPr>
            <w:r>
              <w:rPr>
                <w:sz w:val="21"/>
              </w:rPr>
              <w:t>指因大脑进行性、不可逆性改变导致智能严重衰退或丧失，临床表现为明显</w:t>
            </w:r>
          </w:p>
          <w:p>
            <w:pPr>
              <w:pStyle w:val="TableParagraph"/>
              <w:spacing w:line="261" w:lineRule="auto" w:before="37"/>
              <w:ind w:right="198"/>
              <w:jc w:val="both"/>
              <w:rPr>
                <w:sz w:val="21"/>
              </w:rPr>
            </w:pPr>
            <w:r>
              <w:rPr>
                <w:spacing w:val="-6"/>
                <w:sz w:val="21"/>
              </w:rPr>
              <w:t>的认知能力障碍、行为异常和社交能力减退，其日常生活必须持续受到他人</w:t>
            </w:r>
            <w:r>
              <w:rPr>
                <w:spacing w:val="-2"/>
                <w:w w:val="100"/>
                <w:sz w:val="21"/>
              </w:rPr>
              <w:t>监护。须由头颅断层扫描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rFonts w:ascii="Times New Roman" w:eastAsia="Times New Roman"/>
                <w:w w:val="100"/>
                <w:sz w:val="21"/>
              </w:rPr>
              <w:t>MRI</w:t>
            </w:r>
            <w:r>
              <w:rPr>
                <w:w w:val="100"/>
                <w:sz w:val="21"/>
              </w:rPr>
              <w:t>）或正电子发射断层</w:t>
            </w:r>
            <w:r>
              <w:rPr>
                <w:sz w:val="21"/>
              </w:rPr>
              <w:t>扫描（</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18"/>
              <w:jc w:val="both"/>
              <w:rPr>
                <w:sz w:val="21"/>
              </w:rPr>
            </w:pPr>
            <w:r>
              <w:rPr>
                <w:sz w:val="21"/>
              </w:rPr>
              <w:t>神经官能症和精神疾病不在保障范围内。</w:t>
            </w:r>
          </w:p>
        </w:tc>
      </w:tr>
      <w:tr>
        <w:trPr>
          <w:trHeight w:val="2449" w:hRule="atLeast"/>
        </w:trPr>
        <w:tc>
          <w:tcPr>
            <w:tcW w:w="2775" w:type="dxa"/>
          </w:tcPr>
          <w:p>
            <w:pPr>
              <w:pStyle w:val="TableParagraph"/>
              <w:spacing w:line="272" w:lineRule="exact"/>
              <w:ind w:left="200"/>
              <w:rPr>
                <w:sz w:val="21"/>
              </w:rPr>
            </w:pPr>
            <w:r>
              <w:rPr>
                <w:rFonts w:ascii="Times New Roman" w:eastAsia="Times New Roman"/>
                <w:sz w:val="21"/>
              </w:rPr>
              <w:t>17.</w:t>
            </w:r>
            <w:r>
              <w:rPr>
                <w:sz w:val="21"/>
              </w:rPr>
              <w:t>严重脑损伤</w:t>
            </w:r>
          </w:p>
        </w:tc>
        <w:tc>
          <w:tcPr>
            <w:tcW w:w="252" w:type="dxa"/>
          </w:tcPr>
          <w:p>
            <w:pPr>
              <w:pStyle w:val="TableParagraph"/>
              <w:spacing w:line="241" w:lineRule="exact"/>
              <w:rPr>
                <w:sz w:val="21"/>
              </w:rPr>
            </w:pPr>
            <w:r>
              <w:rPr>
                <w:w w:val="100"/>
                <w:sz w:val="21"/>
              </w:rPr>
              <w:t>：</w:t>
            </w:r>
          </w:p>
        </w:tc>
        <w:tc>
          <w:tcPr>
            <w:tcW w:w="7136" w:type="dxa"/>
          </w:tcPr>
          <w:p>
            <w:pPr>
              <w:pStyle w:val="TableParagraph"/>
              <w:spacing w:line="256" w:lineRule="exact"/>
              <w:rPr>
                <w:sz w:val="21"/>
              </w:rPr>
            </w:pPr>
            <w:r>
              <w:rPr>
                <w:sz w:val="21"/>
              </w:rPr>
              <w:t>指因头部遭受机械性外力，引起脑重要部位损伤，导致神经系统永久性的功</w:t>
            </w:r>
          </w:p>
          <w:p>
            <w:pPr>
              <w:pStyle w:val="TableParagraph"/>
              <w:spacing w:line="256" w:lineRule="auto" w:before="37"/>
              <w:ind w:right="198"/>
              <w:rPr>
                <w:sz w:val="21"/>
              </w:rPr>
            </w:pPr>
            <w:r>
              <w:rPr>
                <w:w w:val="100"/>
                <w:sz w:val="21"/>
              </w:rPr>
              <w:t>能障碍。须由头颅断层扫描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w:t>
            </w:r>
            <w:r>
              <w:rPr>
                <w:spacing w:val="-1"/>
                <w:sz w:val="21"/>
              </w:rPr>
              <w:t>层扫描</w:t>
            </w:r>
            <w:r>
              <w:rPr>
                <w:sz w:val="21"/>
              </w:rPr>
              <w:t>（</w:t>
            </w:r>
            <w:r>
              <w:rPr>
                <w:rFonts w:ascii="Times New Roman" w:eastAsia="Times New Roman"/>
                <w:sz w:val="21"/>
              </w:rPr>
              <w:t>PET</w:t>
            </w:r>
            <w:r>
              <w:rPr>
                <w:sz w:val="21"/>
              </w:rPr>
              <w:t>）</w:t>
            </w:r>
            <w:r>
              <w:rPr>
                <w:spacing w:val="-3"/>
                <w:sz w:val="21"/>
              </w:rPr>
              <w:t>等影像学检查证实。神经系统永久性的功能障碍，指脑损伤</w:t>
            </w:r>
          </w:p>
          <w:p>
            <w:pPr>
              <w:pStyle w:val="TableParagraph"/>
              <w:spacing w:before="5"/>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1"/>
              <w:ind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spacing w:before="9"/>
        <w:rPr>
          <w:sz w:val="15"/>
        </w:rPr>
      </w:pPr>
      <w:r>
        <w:rPr/>
        <w:pict>
          <v:line style="position:absolute;mso-position-horizontal-relative:page;mso-position-vertical-relative:paragraph;z-index:1336;mso-wrap-distance-left:0;mso-wrap-distance-right:0" from="53.880001pt,12.47598pt" to="197.930001pt,12.47598pt" stroked="true" strokeweight=".48004pt" strokecolor="#000000">
            <v:stroke dashstyle="solid"/>
            <w10:wrap type="topAndBottom"/>
          </v:line>
        </w:pict>
      </w:r>
    </w:p>
    <w:p>
      <w:pPr>
        <w:pStyle w:val="BodyText"/>
        <w:spacing w:line="220" w:lineRule="auto"/>
        <w:ind w:left="157" w:right="363"/>
      </w:pPr>
      <w:r>
        <w:rPr>
          <w:rFonts w:ascii="Times New Roman" w:eastAsia="Times New Roman"/>
          <w:position w:val="10"/>
          <w:sz w:val="14"/>
        </w:rPr>
        <w:t>29</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footerReference w:type="default" r:id="rId10"/>
          <w:pgSz w:w="11910" w:h="16160"/>
          <w:pgMar w:footer="843" w:header="0" w:top="1440" w:bottom="1040" w:left="920" w:right="600"/>
          <w:pgNumType w:start="1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449"/>
        <w:gridCol w:w="7136"/>
      </w:tblGrid>
      <w:tr>
        <w:trPr>
          <w:trHeight w:val="2106" w:hRule="atLeast"/>
        </w:trPr>
        <w:tc>
          <w:tcPr>
            <w:tcW w:w="2578" w:type="dxa"/>
          </w:tcPr>
          <w:p>
            <w:pPr>
              <w:pStyle w:val="TableParagraph"/>
              <w:spacing w:line="234" w:lineRule="exact"/>
              <w:ind w:left="200"/>
              <w:rPr>
                <w:sz w:val="21"/>
              </w:rPr>
            </w:pPr>
            <w:r>
              <w:rPr>
                <w:rFonts w:ascii="Times New Roman" w:eastAsia="Times New Roman"/>
                <w:sz w:val="21"/>
              </w:rPr>
              <w:t>18.</w:t>
            </w:r>
            <w:r>
              <w:rPr>
                <w:sz w:val="21"/>
              </w:rPr>
              <w:t>重型再生障碍性贫血</w:t>
            </w:r>
          </w:p>
        </w:tc>
        <w:tc>
          <w:tcPr>
            <w:tcW w:w="449" w:type="dxa"/>
          </w:tcPr>
          <w:p>
            <w:pPr>
              <w:pStyle w:val="TableParagraph"/>
              <w:spacing w:line="203" w:lineRule="exact"/>
              <w:ind w:left="217"/>
              <w:rPr>
                <w:sz w:val="21"/>
              </w:rPr>
            </w:pPr>
            <w:r>
              <w:rPr>
                <w:w w:val="100"/>
                <w:sz w:val="21"/>
              </w:rPr>
              <w:t>：</w:t>
            </w:r>
          </w:p>
        </w:tc>
        <w:tc>
          <w:tcPr>
            <w:tcW w:w="7136" w:type="dxa"/>
          </w:tcPr>
          <w:p>
            <w:pPr>
              <w:pStyle w:val="TableParagraph"/>
              <w:spacing w:line="218"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440"/>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0"/>
              <w:ind w:left="440"/>
              <w:rPr>
                <w:sz w:val="21"/>
              </w:rPr>
            </w:pPr>
            <w:r>
              <w:rPr>
                <w:sz w:val="21"/>
              </w:rPr>
              <w:t>② 网织红细胞＜</w:t>
            </w:r>
            <w:r>
              <w:rPr>
                <w:rFonts w:ascii="Times New Roman" w:hAnsi="Times New Roman" w:eastAsia="Times New Roman"/>
                <w:sz w:val="21"/>
              </w:rPr>
              <w:t>1%</w:t>
            </w:r>
            <w:r>
              <w:rPr>
                <w:sz w:val="21"/>
              </w:rPr>
              <w:t>；</w:t>
            </w:r>
          </w:p>
          <w:p>
            <w:pPr>
              <w:pStyle w:val="TableParagraph"/>
              <w:spacing w:line="271" w:lineRule="exact" w:before="20"/>
              <w:ind w:left="440"/>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pStyle w:val="BodyText"/>
        <w:spacing w:before="6"/>
        <w:rPr>
          <w:sz w:val="22"/>
        </w:rPr>
      </w:pPr>
    </w:p>
    <w:p>
      <w:pPr>
        <w:pStyle w:val="Heading2"/>
        <w:spacing w:before="43"/>
        <w:ind w:left="0" w:right="3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843" w:top="1420" w:bottom="1060" w:left="9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60004pt;margin-top:753.48584pt;width:228.05pt;height:13.7pt;mso-position-horizontal-relative:page;mso-position-vertical-relative:page;z-index:-21808" type="#_x0000_t202" filled="false" stroked="false">
          <v:textbox inset="0,0,0,0">
            <w:txbxContent>
              <w:p>
                <w:pPr>
                  <w:pStyle w:val="BodyText"/>
                  <w:spacing w:line="254" w:lineRule="exact"/>
                  <w:ind w:left="20"/>
                </w:pPr>
                <w:r>
                  <w:rPr/>
                  <w:t>太平真爱定期重大疾病保险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7</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5.020004pt;margin-top:753.48584pt;width:233.3pt;height:13.7pt;mso-position-horizontal-relative:page;mso-position-vertical-relative:page;z-index:-21784" type="#_x0000_t202" filled="false" stroked="false">
          <v:textbox inset="0,0,0,0">
            <w:txbxContent>
              <w:p>
                <w:pPr>
                  <w:pStyle w:val="BodyText"/>
                  <w:spacing w:line="254" w:lineRule="exact"/>
                  <w:ind w:left="20"/>
                </w:pPr>
                <w:r>
                  <w:rPr/>
                  <w:t>太平真爱定期重大疾病保险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11</w:t>
                </w:r>
                <w:r>
                  <w:rPr/>
                  <w:fldChar w:fldCharType="end"/>
                </w:r>
                <w:r>
                  <w:rPr/>
                  <w:t>页，共</w:t>
                </w:r>
                <w:r>
                  <w:rPr>
                    <w:rFonts w:ascii="Times New Roman" w:eastAsia="Times New Roman"/>
                  </w:rPr>
                  <w:t>13</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5.020004pt;margin-top:753.48584pt;width:233.3pt;height:13.7pt;mso-position-horizontal-relative:page;mso-position-vertical-relative:page;z-index:-21760" type="#_x0000_t202" filled="false" stroked="false">
          <v:textbox inset="0,0,0,0">
            <w:txbxContent>
              <w:p>
                <w:pPr>
                  <w:pStyle w:val="BodyText"/>
                  <w:spacing w:line="254" w:lineRule="exact"/>
                  <w:ind w:left="20"/>
                </w:pPr>
                <w:r>
                  <w:rPr/>
                  <w:t>太平真爱定期重大疾病保险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360"/>
      </w:pPr>
      <w:rPr>
        <w:rFonts w:hint="default"/>
      </w:rPr>
    </w:lvl>
    <w:lvl w:ilvl="2">
      <w:start w:val="0"/>
      <w:numFmt w:val="bullet"/>
      <w:lvlText w:val="•"/>
      <w:lvlJc w:val="left"/>
      <w:pPr>
        <w:ind w:left="2145" w:hanging="360"/>
      </w:pPr>
      <w:rPr>
        <w:rFonts w:hint="default"/>
      </w:rPr>
    </w:lvl>
    <w:lvl w:ilvl="3">
      <w:start w:val="0"/>
      <w:numFmt w:val="bullet"/>
      <w:lvlText w:val="•"/>
      <w:lvlJc w:val="left"/>
      <w:pPr>
        <w:ind w:left="3157" w:hanging="360"/>
      </w:pPr>
      <w:rPr>
        <w:rFonts w:hint="default"/>
      </w:rPr>
    </w:lvl>
    <w:lvl w:ilvl="4">
      <w:start w:val="0"/>
      <w:numFmt w:val="bullet"/>
      <w:lvlText w:val="•"/>
      <w:lvlJc w:val="left"/>
      <w:pPr>
        <w:ind w:left="4170" w:hanging="360"/>
      </w:pPr>
      <w:rPr>
        <w:rFonts w:hint="default"/>
      </w:rPr>
    </w:lvl>
    <w:lvl w:ilvl="5">
      <w:start w:val="0"/>
      <w:numFmt w:val="bullet"/>
      <w:lvlText w:val="•"/>
      <w:lvlJc w:val="left"/>
      <w:pPr>
        <w:ind w:left="5183" w:hanging="360"/>
      </w:pPr>
      <w:rPr>
        <w:rFonts w:hint="default"/>
      </w:rPr>
    </w:lvl>
    <w:lvl w:ilvl="6">
      <w:start w:val="0"/>
      <w:numFmt w:val="bullet"/>
      <w:lvlText w:val="•"/>
      <w:lvlJc w:val="left"/>
      <w:pPr>
        <w:ind w:left="6195" w:hanging="360"/>
      </w:pPr>
      <w:rPr>
        <w:rFonts w:hint="default"/>
      </w:rPr>
    </w:lvl>
    <w:lvl w:ilvl="7">
      <w:start w:val="0"/>
      <w:numFmt w:val="bullet"/>
      <w:lvlText w:val="•"/>
      <w:lvlJc w:val="left"/>
      <w:pPr>
        <w:ind w:left="7208" w:hanging="360"/>
      </w:pPr>
      <w:rPr>
        <w:rFonts w:hint="default"/>
      </w:rPr>
    </w:lvl>
    <w:lvl w:ilvl="8">
      <w:start w:val="0"/>
      <w:numFmt w:val="bullet"/>
      <w:lvlText w:val="•"/>
      <w:lvlJc w:val="left"/>
      <w:pPr>
        <w:ind w:left="8221" w:hanging="360"/>
      </w:pPr>
      <w:rPr>
        <w:rFonts w:hint="default"/>
      </w:rPr>
    </w:lvl>
  </w:abstractNum>
  <w:abstractNum w:abstractNumId="5">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4">
    <w:multiLevelType w:val="hybridMultilevel"/>
    <w:lvl w:ilvl="0">
      <w:start w:val="1"/>
      <w:numFmt w:val="decimal"/>
      <w:lvlText w:val="%1."/>
      <w:lvlJc w:val="left"/>
      <w:pPr>
        <w:ind w:left="830"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3">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3"/>
      </w:pPr>
      <w:rPr>
        <w:rFonts w:hint="default"/>
      </w:rPr>
    </w:lvl>
    <w:lvl w:ilvl="2">
      <w:start w:val="0"/>
      <w:numFmt w:val="bullet"/>
      <w:lvlText w:val="•"/>
      <w:lvlJc w:val="left"/>
      <w:pPr>
        <w:ind w:left="2721" w:hanging="363"/>
      </w:pPr>
      <w:rPr>
        <w:rFonts w:hint="default"/>
      </w:rPr>
    </w:lvl>
    <w:lvl w:ilvl="3">
      <w:start w:val="0"/>
      <w:numFmt w:val="bullet"/>
      <w:lvlText w:val="•"/>
      <w:lvlJc w:val="left"/>
      <w:pPr>
        <w:ind w:left="3661" w:hanging="363"/>
      </w:pPr>
      <w:rPr>
        <w:rFonts w:hint="default"/>
      </w:rPr>
    </w:lvl>
    <w:lvl w:ilvl="4">
      <w:start w:val="0"/>
      <w:numFmt w:val="bullet"/>
      <w:lvlText w:val="•"/>
      <w:lvlJc w:val="left"/>
      <w:pPr>
        <w:ind w:left="4602" w:hanging="363"/>
      </w:pPr>
      <w:rPr>
        <w:rFonts w:hint="default"/>
      </w:rPr>
    </w:lvl>
    <w:lvl w:ilvl="5">
      <w:start w:val="0"/>
      <w:numFmt w:val="bullet"/>
      <w:lvlText w:val="•"/>
      <w:lvlJc w:val="left"/>
      <w:pPr>
        <w:ind w:left="5543" w:hanging="363"/>
      </w:pPr>
      <w:rPr>
        <w:rFonts w:hint="default"/>
      </w:rPr>
    </w:lvl>
    <w:lvl w:ilvl="6">
      <w:start w:val="0"/>
      <w:numFmt w:val="bullet"/>
      <w:lvlText w:val="•"/>
      <w:lvlJc w:val="left"/>
      <w:pPr>
        <w:ind w:left="6483" w:hanging="363"/>
      </w:pPr>
      <w:rPr>
        <w:rFonts w:hint="default"/>
      </w:rPr>
    </w:lvl>
    <w:lvl w:ilvl="7">
      <w:start w:val="0"/>
      <w:numFmt w:val="bullet"/>
      <w:lvlText w:val="•"/>
      <w:lvlJc w:val="left"/>
      <w:pPr>
        <w:ind w:left="7424" w:hanging="363"/>
      </w:pPr>
      <w:rPr>
        <w:rFonts w:hint="default"/>
      </w:rPr>
    </w:lvl>
    <w:lvl w:ilvl="8">
      <w:start w:val="0"/>
      <w:numFmt w:val="bullet"/>
      <w:lvlText w:val="•"/>
      <w:lvlJc w:val="left"/>
      <w:pPr>
        <w:ind w:left="8365" w:hanging="363"/>
      </w:pPr>
      <w:rPr>
        <w:rFonts w:hint="default"/>
      </w:rPr>
    </w:lvl>
  </w:abstractNum>
  <w:abstractNum w:abstractNumId="2">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18" w:hanging="420"/>
      </w:pPr>
      <w:rPr>
        <w:rFonts w:hint="default"/>
      </w:rPr>
    </w:lvl>
    <w:lvl w:ilvl="2">
      <w:start w:val="0"/>
      <w:numFmt w:val="bullet"/>
      <w:lvlText w:val="•"/>
      <w:lvlJc w:val="left"/>
      <w:pPr>
        <w:ind w:left="3737" w:hanging="420"/>
      </w:pPr>
      <w:rPr>
        <w:rFonts w:hint="default"/>
      </w:rPr>
    </w:lvl>
    <w:lvl w:ilvl="3">
      <w:start w:val="0"/>
      <w:numFmt w:val="bullet"/>
      <w:lvlText w:val="•"/>
      <w:lvlJc w:val="left"/>
      <w:pPr>
        <w:ind w:left="4655" w:hanging="420"/>
      </w:pPr>
      <w:rPr>
        <w:rFonts w:hint="default"/>
      </w:rPr>
    </w:lvl>
    <w:lvl w:ilvl="4">
      <w:start w:val="0"/>
      <w:numFmt w:val="bullet"/>
      <w:lvlText w:val="•"/>
      <w:lvlJc w:val="left"/>
      <w:pPr>
        <w:ind w:left="5574" w:hanging="420"/>
      </w:pPr>
      <w:rPr>
        <w:rFonts w:hint="default"/>
      </w:rPr>
    </w:lvl>
    <w:lvl w:ilvl="5">
      <w:start w:val="0"/>
      <w:numFmt w:val="bullet"/>
      <w:lvlText w:val="•"/>
      <w:lvlJc w:val="left"/>
      <w:pPr>
        <w:ind w:left="6493" w:hanging="420"/>
      </w:pPr>
      <w:rPr>
        <w:rFonts w:hint="default"/>
      </w:rPr>
    </w:lvl>
    <w:lvl w:ilvl="6">
      <w:start w:val="0"/>
      <w:numFmt w:val="bullet"/>
      <w:lvlText w:val="•"/>
      <w:lvlJc w:val="left"/>
      <w:pPr>
        <w:ind w:left="7411" w:hanging="420"/>
      </w:pPr>
      <w:rPr>
        <w:rFonts w:hint="default"/>
      </w:rPr>
    </w:lvl>
    <w:lvl w:ilvl="7">
      <w:start w:val="0"/>
      <w:numFmt w:val="bullet"/>
      <w:lvlText w:val="•"/>
      <w:lvlJc w:val="left"/>
      <w:pPr>
        <w:ind w:left="8330" w:hanging="420"/>
      </w:pPr>
      <w:rPr>
        <w:rFonts w:hint="default"/>
      </w:rPr>
    </w:lvl>
    <w:lvl w:ilvl="8">
      <w:start w:val="0"/>
      <w:numFmt w:val="bullet"/>
      <w:lvlText w:val="•"/>
      <w:lvlJc w:val="left"/>
      <w:pPr>
        <w:ind w:left="9249" w:hanging="420"/>
      </w:pPr>
      <w:rPr>
        <w:rFonts w:hint="default"/>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2"/>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830" w:hanging="360"/>
    </w:pPr>
    <w:rPr>
      <w:rFonts w:ascii="宋体" w:hAnsi="宋体" w:eastAsia="宋体" w:cs="宋体"/>
    </w:rPr>
  </w:style>
  <w:style w:styleId="TableParagraph" w:type="paragraph">
    <w:name w:val="Table Paragraph"/>
    <w:basedOn w:val="Normal"/>
    <w:uiPriority w:val="1"/>
    <w:qFormat/>
    <w:pPr>
      <w:ind w:left="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主险条款基本格式</dc:title>
  <dcterms:created xsi:type="dcterms:W3CDTF">2018-10-19T23:10:17Z</dcterms:created>
  <dcterms:modified xsi:type="dcterms:W3CDTF">2018-10-19T23:10:17Z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Microsoft® Word 2010</vt:lpwstr>
  </property>
  <property fmtid="{D5CDD505-2E9C-101B-9397-08002B2CF9AE}" pid="4" name="LastSaved">
    <vt:filetime>2018-10-19T00:00:00Z</vt:filetime>
  </property>
</Properties>
</file>