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9"/>
        <w:ind w:left="0"/>
        <w:rPr>
          <w:rFonts w:ascii="Times New Roman"/>
          <w:sz w:val="18"/>
        </w:rPr>
      </w:pPr>
    </w:p>
    <w:p>
      <w:pPr>
        <w:spacing w:line="254" w:lineRule="exact" w:before="37"/>
        <w:ind w:left="8489" w:right="0" w:firstLine="0"/>
        <w:jc w:val="left"/>
        <w:rPr>
          <w:sz w:val="20"/>
        </w:rPr>
      </w:pPr>
      <w:r>
        <w:rPr/>
        <w:drawing>
          <wp:anchor distT="0" distB="0" distL="0" distR="0" allowOverlap="1" layoutInCell="1" locked="0" behindDoc="0" simplePos="0" relativeHeight="1048">
            <wp:simplePos x="0" y="0"/>
            <wp:positionH relativeFrom="page">
              <wp:posOffset>6025896</wp:posOffset>
            </wp:positionH>
            <wp:positionV relativeFrom="paragraph">
              <wp:posOffset>-428628</wp:posOffset>
            </wp:positionV>
            <wp:extent cx="723900" cy="58216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582168"/>
                    </a:xfrm>
                    <a:prstGeom prst="rect">
                      <a:avLst/>
                    </a:prstGeom>
                  </pic:spPr>
                </pic:pic>
              </a:graphicData>
            </a:graphic>
          </wp:anchor>
        </w:drawing>
      </w:r>
      <w:r>
        <w:rPr>
          <w:w w:val="99"/>
          <w:sz w:val="20"/>
        </w:rPr>
        <w:t> </w:t>
      </w:r>
    </w:p>
    <w:p>
      <w:pPr>
        <w:spacing w:line="182" w:lineRule="auto" w:before="55"/>
        <w:ind w:left="7812" w:right="506" w:hanging="802"/>
        <w:jc w:val="right"/>
        <w:rPr>
          <w:sz w:val="20"/>
        </w:rPr>
      </w:pPr>
      <w:r>
        <w:rPr>
          <w:sz w:val="20"/>
        </w:rPr>
        <w:t>农银人寿[2012]疾病保险 089 号</w:t>
      </w:r>
      <w:r>
        <w:rPr>
          <w:w w:val="99"/>
          <w:sz w:val="20"/>
        </w:rPr>
        <w:t> </w:t>
      </w:r>
      <w:r>
        <w:rPr>
          <w:w w:val="95"/>
          <w:sz w:val="20"/>
        </w:rPr>
        <w:t>请扫描以查询验证条款 </w:t>
      </w:r>
    </w:p>
    <w:p>
      <w:pPr>
        <w:pStyle w:val="Heading1"/>
        <w:spacing w:line="517" w:lineRule="exact"/>
        <w:ind w:left="1895"/>
      </w:pPr>
      <w:r>
        <w:rPr/>
        <w:t>嘉禾爱康重大疾病保险条款</w:t>
      </w:r>
    </w:p>
    <w:p>
      <w:pPr>
        <w:spacing w:before="71"/>
        <w:ind w:left="1891" w:right="1902"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995" w:right="190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tabs>
          <w:tab w:pos="1255" w:val="left" w:leader="none"/>
        </w:tabs>
        <w:spacing w:line="520" w:lineRule="exact" w:before="48"/>
        <w:ind w:left="247"/>
      </w:pPr>
      <w:r>
        <w:rPr/>
        <w:drawing>
          <wp:anchor distT="0" distB="0" distL="0" distR="0" allowOverlap="1" layoutInCell="1" locked="0" behindDoc="1" simplePos="0" relativeHeight="268380143">
            <wp:simplePos x="0" y="0"/>
            <wp:positionH relativeFrom="page">
              <wp:posOffset>588263</wp:posOffset>
            </wp:positionH>
            <wp:positionV relativeFrom="paragraph">
              <wp:posOffset>21760</wp:posOffset>
            </wp:positionV>
            <wp:extent cx="6473952" cy="72771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3952" cy="72771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637" w:val="left" w:leader="none"/>
          <w:tab w:pos="1638" w:val="left" w:leader="none"/>
        </w:tabs>
        <w:spacing w:line="211" w:lineRule="exact" w:before="0" w:after="0"/>
        <w:ind w:left="1637" w:right="0" w:hanging="422"/>
        <w:jc w:val="left"/>
        <w:rPr>
          <w:sz w:val="21"/>
        </w:rPr>
      </w:pPr>
      <w:r>
        <w:rPr>
          <w:rFonts w:ascii="仿宋" w:hAnsi="仿宋" w:eastAsia="仿宋" w:hint="eastAsia"/>
          <w:spacing w:val="-7"/>
          <w:sz w:val="21"/>
        </w:rPr>
        <w:t>签收本主险合同之日起 </w:t>
      </w:r>
      <w:r>
        <w:rPr>
          <w:rFonts w:ascii="仿宋" w:hAnsi="仿宋" w:eastAsia="仿宋" w:hint="eastAsia"/>
          <w:sz w:val="21"/>
        </w:rPr>
        <w:t>10</w:t>
      </w:r>
      <w:r>
        <w:rPr>
          <w:rFonts w:ascii="仿宋" w:hAnsi="仿宋" w:eastAsia="仿宋" w:hint="eastAsia"/>
          <w:spacing w:val="-23"/>
          <w:sz w:val="21"/>
        </w:rPr>
        <w:t> 日</w:t>
      </w:r>
      <w:r>
        <w:rPr>
          <w:rFonts w:ascii="仿宋" w:hAnsi="仿宋" w:eastAsia="仿宋" w:hint="eastAsia"/>
          <w:sz w:val="21"/>
        </w:rPr>
        <w:t>（</w:t>
      </w:r>
      <w:r>
        <w:rPr>
          <w:rFonts w:ascii="仿宋" w:hAnsi="仿宋" w:eastAsia="仿宋" w:hint="eastAsia"/>
          <w:spacing w:val="-3"/>
          <w:sz w:val="21"/>
        </w:rPr>
        <w:t>即犹豫期）</w:t>
      </w:r>
      <w:r>
        <w:rPr>
          <w:rFonts w:ascii="仿宋" w:hAnsi="仿宋" w:eastAsia="仿宋" w:hint="eastAsia"/>
          <w:spacing w:val="-2"/>
          <w:sz w:val="21"/>
        </w:rPr>
        <w:t>内您若要求退保，我们仅扣除工本费 </w:t>
      </w:r>
      <w:r>
        <w:rPr>
          <w:sz w:val="21"/>
        </w:rPr>
        <w:t>……1.4</w:t>
      </w:r>
    </w:p>
    <w:p>
      <w:pPr>
        <w:pStyle w:val="ListParagraph"/>
        <w:numPr>
          <w:ilvl w:val="0"/>
          <w:numId w:val="1"/>
        </w:numPr>
        <w:tabs>
          <w:tab w:pos="1637" w:val="left" w:leader="none"/>
          <w:tab w:pos="1638" w:val="left" w:leader="none"/>
          <w:tab w:pos="9725" w:val="right" w:leader="dot"/>
        </w:tabs>
        <w:spacing w:line="240" w:lineRule="auto" w:before="10" w:after="0"/>
        <w:ind w:left="1637"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37" w:val="left" w:leader="none"/>
          <w:tab w:pos="1638" w:val="left" w:leader="none"/>
          <w:tab w:pos="9519" w:val="right" w:leader="dot"/>
        </w:tabs>
        <w:spacing w:line="274" w:lineRule="exact" w:before="9" w:after="0"/>
        <w:ind w:left="1637"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55" w:val="left" w:leader="none"/>
        </w:tabs>
        <w:spacing w:line="503" w:lineRule="exact"/>
        <w:ind w:left="247"/>
      </w:pPr>
      <w:r>
        <w:rPr>
          <w:rFonts w:ascii="Times New Roman" w:eastAsia="Times New Roman"/>
          <w:position w:val="-11"/>
          <w:sz w:val="52"/>
        </w:rPr>
        <w:t>C</w:t>
        <w:tab/>
      </w:r>
      <w:r>
        <w:rPr>
          <w:spacing w:val="-1"/>
        </w:rPr>
        <w:t>您应当特别注意的事项</w:t>
      </w:r>
    </w:p>
    <w:p>
      <w:pPr>
        <w:pStyle w:val="ListParagraph"/>
        <w:numPr>
          <w:ilvl w:val="0"/>
          <w:numId w:val="2"/>
        </w:numPr>
        <w:tabs>
          <w:tab w:pos="1637" w:val="left" w:leader="none"/>
          <w:tab w:pos="1638" w:val="left" w:leader="none"/>
          <w:tab w:pos="9725" w:val="right" w:leader="dot"/>
        </w:tabs>
        <w:spacing w:line="210" w:lineRule="exact" w:before="0" w:after="0"/>
        <w:ind w:left="1637"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37" w:val="left" w:leader="none"/>
          <w:tab w:pos="1638" w:val="left" w:leader="none"/>
          <w:tab w:pos="9725" w:val="right" w:leader="dot"/>
        </w:tabs>
        <w:spacing w:line="240" w:lineRule="auto" w:before="9" w:after="0"/>
        <w:ind w:left="1637"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37" w:val="left" w:leader="none"/>
          <w:tab w:pos="1638" w:val="left" w:leader="none"/>
          <w:tab w:pos="9725" w:val="right" w:leader="dot"/>
        </w:tabs>
        <w:spacing w:line="240" w:lineRule="auto" w:before="9" w:after="0"/>
        <w:ind w:left="1637"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37" w:val="left" w:leader="none"/>
          <w:tab w:pos="1638" w:val="left" w:leader="none"/>
          <w:tab w:pos="9519" w:val="right" w:leader="dot"/>
        </w:tabs>
        <w:spacing w:line="240" w:lineRule="auto" w:before="9" w:after="0"/>
        <w:ind w:left="1637"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37" w:val="left" w:leader="none"/>
          <w:tab w:pos="1638" w:val="left" w:leader="none"/>
          <w:tab w:pos="9725" w:val="right" w:leader="dot"/>
        </w:tabs>
        <w:spacing w:line="240" w:lineRule="auto" w:before="9" w:after="0"/>
        <w:ind w:left="1637"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37" w:val="left" w:leader="none"/>
          <w:tab w:pos="1638" w:val="left" w:leader="none"/>
          <w:tab w:pos="9624" w:val="right" w:leader="dot"/>
        </w:tabs>
        <w:spacing w:line="240" w:lineRule="auto" w:before="9" w:after="0"/>
        <w:ind w:left="1637" w:right="0" w:hanging="422"/>
        <w:jc w:val="left"/>
        <w:rPr>
          <w:sz w:val="21"/>
        </w:rPr>
      </w:pPr>
      <w:r>
        <w:rPr>
          <w:rFonts w:ascii="仿宋" w:eastAsia="仿宋" w:hint="eastAsia"/>
          <w:sz w:val="21"/>
        </w:rPr>
        <w:t>我们</w:t>
      </w:r>
      <w:r>
        <w:rPr>
          <w:rFonts w:ascii="仿宋" w:eastAsia="仿宋" w:hint="eastAsia"/>
          <w:spacing w:val="-3"/>
          <w:sz w:val="21"/>
        </w:rPr>
        <w:t>对</w:t>
      </w:r>
      <w:r>
        <w:rPr>
          <w:rFonts w:ascii="仿宋" w:eastAsia="仿宋" w:hint="eastAsia"/>
          <w:sz w:val="21"/>
        </w:rPr>
        <w:t>一</w:t>
      </w:r>
      <w:r>
        <w:rPr>
          <w:rFonts w:ascii="仿宋" w:eastAsia="仿宋" w:hint="eastAsia"/>
          <w:spacing w:val="-3"/>
          <w:sz w:val="21"/>
        </w:rPr>
        <w:t>些</w:t>
      </w:r>
      <w:r>
        <w:rPr>
          <w:rFonts w:ascii="仿宋" w:eastAsia="仿宋" w:hint="eastAsia"/>
          <w:sz w:val="21"/>
        </w:rPr>
        <w:t>重</w:t>
      </w:r>
      <w:r>
        <w:rPr>
          <w:rFonts w:ascii="仿宋" w:eastAsia="仿宋" w:hint="eastAsia"/>
          <w:spacing w:val="-3"/>
          <w:sz w:val="21"/>
        </w:rPr>
        <w:t>要</w:t>
      </w:r>
      <w:r>
        <w:rPr>
          <w:rFonts w:ascii="仿宋" w:eastAsia="仿宋" w:hint="eastAsia"/>
          <w:sz w:val="21"/>
        </w:rPr>
        <w:t>术</w:t>
      </w:r>
      <w:r>
        <w:rPr>
          <w:rFonts w:ascii="仿宋" w:eastAsia="仿宋" w:hint="eastAsia"/>
          <w:spacing w:val="-3"/>
          <w:sz w:val="21"/>
        </w:rPr>
        <w:t>语</w:t>
      </w:r>
      <w:r>
        <w:rPr>
          <w:rFonts w:ascii="仿宋" w:eastAsia="仿宋" w:hint="eastAsia"/>
          <w:sz w:val="21"/>
        </w:rPr>
        <w:t>进</w:t>
      </w:r>
      <w:r>
        <w:rPr>
          <w:rFonts w:ascii="仿宋" w:eastAsia="仿宋" w:hint="eastAsia"/>
          <w:spacing w:val="-3"/>
          <w:sz w:val="21"/>
        </w:rPr>
        <w:t>行</w:t>
      </w:r>
      <w:r>
        <w:rPr>
          <w:rFonts w:ascii="仿宋" w:eastAsia="仿宋" w:hint="eastAsia"/>
          <w:sz w:val="21"/>
        </w:rPr>
        <w:t>了解</w:t>
      </w:r>
      <w:r>
        <w:rPr>
          <w:rFonts w:ascii="仿宋" w:eastAsia="仿宋" w:hint="eastAsia"/>
          <w:spacing w:val="-3"/>
          <w:sz w:val="21"/>
        </w:rPr>
        <w:t>释</w:t>
      </w:r>
      <w:r>
        <w:rPr>
          <w:rFonts w:ascii="仿宋" w:eastAsia="仿宋" w:hint="eastAsia"/>
          <w:sz w:val="21"/>
        </w:rPr>
        <w:t>，</w:t>
      </w:r>
      <w:r>
        <w:rPr>
          <w:rFonts w:ascii="仿宋" w:eastAsia="仿宋" w:hint="eastAsia"/>
          <w:spacing w:val="-3"/>
          <w:sz w:val="21"/>
        </w:rPr>
        <w:t>并</w:t>
      </w:r>
      <w:r>
        <w:rPr>
          <w:rFonts w:ascii="仿宋" w:eastAsia="仿宋" w:hint="eastAsia"/>
          <w:sz w:val="21"/>
        </w:rPr>
        <w:t>作</w:t>
      </w:r>
      <w:r>
        <w:rPr>
          <w:rFonts w:ascii="仿宋" w:eastAsia="仿宋" w:hint="eastAsia"/>
          <w:spacing w:val="-3"/>
          <w:sz w:val="21"/>
        </w:rPr>
        <w:t>了</w:t>
      </w:r>
      <w:r>
        <w:rPr>
          <w:rFonts w:ascii="仿宋" w:eastAsia="仿宋" w:hint="eastAsia"/>
          <w:sz w:val="21"/>
        </w:rPr>
        <w:t>显</w:t>
      </w:r>
      <w:r>
        <w:rPr>
          <w:rFonts w:ascii="仿宋" w:eastAsia="仿宋" w:hint="eastAsia"/>
          <w:spacing w:val="-3"/>
          <w:sz w:val="21"/>
        </w:rPr>
        <w:t>著</w:t>
      </w:r>
      <w:r>
        <w:rPr>
          <w:rFonts w:ascii="仿宋" w:eastAsia="仿宋" w:hint="eastAsia"/>
          <w:sz w:val="21"/>
        </w:rPr>
        <w:t>标</w:t>
      </w:r>
      <w:r>
        <w:rPr>
          <w:rFonts w:ascii="仿宋" w:eastAsia="仿宋" w:hint="eastAsia"/>
          <w:spacing w:val="-3"/>
          <w:sz w:val="21"/>
        </w:rPr>
        <w:t>识</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tab/>
      </w:r>
      <w:r>
        <w:rPr>
          <w:sz w:val="21"/>
        </w:rPr>
        <w:t>10</w:t>
      </w:r>
    </w:p>
    <w:p>
      <w:pPr>
        <w:pStyle w:val="ListParagraph"/>
        <w:numPr>
          <w:ilvl w:val="0"/>
          <w:numId w:val="2"/>
        </w:numPr>
        <w:tabs>
          <w:tab w:pos="1637" w:val="left" w:leader="none"/>
          <w:tab w:pos="1638" w:val="left" w:leader="none"/>
          <w:tab w:pos="9833" w:val="right" w:leader="dot"/>
        </w:tabs>
        <w:spacing w:line="274" w:lineRule="exact" w:before="9" w:after="0"/>
        <w:ind w:left="1637"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Heading3"/>
        <w:tabs>
          <w:tab w:pos="1255" w:val="left" w:leader="none"/>
        </w:tabs>
        <w:spacing w:line="484" w:lineRule="exact"/>
        <w:ind w:left="247"/>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55" w:val="left" w:leader="none"/>
        </w:tabs>
        <w:spacing w:line="499" w:lineRule="exact" w:before="0"/>
        <w:ind w:left="247" w:right="0" w:firstLine="0"/>
        <w:jc w:val="left"/>
        <w:rPr>
          <w:sz w:val="21"/>
        </w:rPr>
      </w:pPr>
      <w:r>
        <w:rPr/>
        <w:pict>
          <v:shapetype id="_x0000_t202" o:spt="202" coordsize="21600,21600" path="m,l,21600r21600,l21600,xe">
            <v:stroke joinstyle="miter"/>
            <v:path gradientshapeok="t" o:connecttype="rect"/>
          </v:shapetype>
          <v:shape style="position:absolute;margin-left:61.200001pt;margin-top:17.664703pt;width:480.15pt;height:323.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3597"/>
                    <w:gridCol w:w="830"/>
                    <w:gridCol w:w="2546"/>
                  </w:tblGrid>
                  <w:tr>
                    <w:trPr>
                      <w:trHeight w:val="486" w:hRule="atLeast"/>
                    </w:trPr>
                    <w:tc>
                      <w:tcPr>
                        <w:tcW w:w="2618" w:type="dxa"/>
                        <w:tcBorders>
                          <w:top w:val="single" w:sz="4" w:space="0" w:color="000000"/>
                          <w:left w:val="single" w:sz="4" w:space="0" w:color="000000"/>
                        </w:tcBorders>
                      </w:tcPr>
                      <w:p>
                        <w:pPr>
                          <w:pStyle w:val="TableParagraph"/>
                          <w:spacing w:before="83"/>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597" w:type="dxa"/>
                        <w:tcBorders>
                          <w:top w:val="single" w:sz="4" w:space="0" w:color="000000"/>
                        </w:tcBorders>
                      </w:tcPr>
                      <w:p>
                        <w:pPr>
                          <w:pStyle w:val="TableParagraph"/>
                          <w:spacing w:before="83"/>
                          <w:ind w:left="40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830" w:type="dxa"/>
                        <w:tcBorders>
                          <w:top w:val="single" w:sz="4" w:space="0" w:color="000000"/>
                        </w:tcBorders>
                      </w:tcPr>
                      <w:p>
                        <w:pPr>
                          <w:pStyle w:val="TableParagraph"/>
                          <w:spacing w:before="150"/>
                          <w:ind w:left="257"/>
                          <w:rPr>
                            <w:rFonts w:ascii="仿宋"/>
                            <w:sz w:val="21"/>
                          </w:rPr>
                        </w:pPr>
                        <w:r>
                          <w:rPr>
                            <w:rFonts w:ascii="仿宋"/>
                            <w:sz w:val="21"/>
                          </w:rPr>
                          <w:t>10.7</w:t>
                        </w:r>
                      </w:p>
                    </w:tc>
                    <w:tc>
                      <w:tcPr>
                        <w:tcW w:w="2546" w:type="dxa"/>
                        <w:tcBorders>
                          <w:top w:val="single" w:sz="4" w:space="0" w:color="000000"/>
                          <w:right w:val="single" w:sz="4" w:space="0" w:color="000000"/>
                        </w:tcBorders>
                      </w:tcPr>
                      <w:p>
                        <w:pPr>
                          <w:pStyle w:val="TableParagraph"/>
                          <w:spacing w:before="150"/>
                          <w:ind w:left="59"/>
                          <w:rPr>
                            <w:rFonts w:ascii="仿宋" w:eastAsia="仿宋" w:hint="eastAsia"/>
                            <w:sz w:val="21"/>
                          </w:rPr>
                        </w:pPr>
                        <w:r>
                          <w:rPr>
                            <w:rFonts w:ascii="仿宋" w:eastAsia="仿宋" w:hint="eastAsia"/>
                            <w:sz w:val="21"/>
                          </w:rPr>
                          <w:t>毒品</w:t>
                        </w:r>
                      </w:p>
                    </w:tc>
                  </w:tr>
                  <w:tr>
                    <w:trPr>
                      <w:trHeight w:val="283" w:hRule="atLeast"/>
                    </w:trPr>
                    <w:tc>
                      <w:tcPr>
                        <w:tcW w:w="2618"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1.1 合同构成</w:t>
                        </w:r>
                      </w:p>
                    </w:tc>
                    <w:tc>
                      <w:tcPr>
                        <w:tcW w:w="3597" w:type="dxa"/>
                      </w:tcPr>
                      <w:p>
                        <w:pPr>
                          <w:pStyle w:val="TableParagraph"/>
                          <w:spacing w:line="239" w:lineRule="exact"/>
                          <w:ind w:left="617"/>
                          <w:rPr>
                            <w:rFonts w:ascii="仿宋" w:eastAsia="仿宋" w:hint="eastAsia"/>
                            <w:sz w:val="21"/>
                          </w:rPr>
                        </w:pPr>
                        <w:r>
                          <w:rPr>
                            <w:rFonts w:ascii="仿宋" w:eastAsia="仿宋" w:hint="eastAsia"/>
                            <w:sz w:val="21"/>
                          </w:rPr>
                          <w:t>6.1 效力中止</w:t>
                        </w:r>
                      </w:p>
                    </w:tc>
                    <w:tc>
                      <w:tcPr>
                        <w:tcW w:w="830" w:type="dxa"/>
                      </w:tcPr>
                      <w:p>
                        <w:pPr>
                          <w:pStyle w:val="TableParagraph"/>
                          <w:spacing w:line="239" w:lineRule="exact"/>
                          <w:ind w:left="257"/>
                          <w:rPr>
                            <w:rFonts w:ascii="仿宋"/>
                            <w:sz w:val="21"/>
                          </w:rPr>
                        </w:pPr>
                        <w:r>
                          <w:rPr>
                            <w:rFonts w:ascii="仿宋"/>
                            <w:sz w:val="21"/>
                          </w:rPr>
                          <w:t>10.8</w:t>
                        </w:r>
                      </w:p>
                    </w:tc>
                    <w:tc>
                      <w:tcPr>
                        <w:tcW w:w="2546" w:type="dxa"/>
                        <w:tcBorders>
                          <w:right w:val="single" w:sz="4" w:space="0" w:color="000000"/>
                        </w:tcBorders>
                      </w:tcPr>
                      <w:p>
                        <w:pPr>
                          <w:pStyle w:val="TableParagraph"/>
                          <w:spacing w:line="239" w:lineRule="exact"/>
                          <w:ind w:left="59"/>
                          <w:rPr>
                            <w:rFonts w:ascii="仿宋" w:eastAsia="仿宋" w:hint="eastAsia"/>
                            <w:sz w:val="21"/>
                          </w:rPr>
                        </w:pPr>
                        <w:r>
                          <w:rPr>
                            <w:rFonts w:ascii="仿宋" w:eastAsia="仿宋" w:hint="eastAsia"/>
                            <w:sz w:val="21"/>
                          </w:rPr>
                          <w:t>酒后驾驶</w:t>
                        </w:r>
                      </w:p>
                    </w:tc>
                  </w:tr>
                  <w:tr>
                    <w:trPr>
                      <w:trHeight w:val="300"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1.2 合同成立与生效</w:t>
                        </w:r>
                      </w:p>
                    </w:tc>
                    <w:tc>
                      <w:tcPr>
                        <w:tcW w:w="3597" w:type="dxa"/>
                      </w:tcPr>
                      <w:p>
                        <w:pPr>
                          <w:pStyle w:val="TableParagraph"/>
                          <w:spacing w:line="255" w:lineRule="exact"/>
                          <w:ind w:left="617"/>
                          <w:rPr>
                            <w:rFonts w:ascii="仿宋" w:eastAsia="仿宋" w:hint="eastAsia"/>
                            <w:sz w:val="21"/>
                          </w:rPr>
                        </w:pPr>
                        <w:r>
                          <w:rPr>
                            <w:rFonts w:ascii="仿宋" w:eastAsia="仿宋" w:hint="eastAsia"/>
                            <w:sz w:val="21"/>
                          </w:rPr>
                          <w:t>6.2 效力恢复</w:t>
                        </w:r>
                      </w:p>
                    </w:tc>
                    <w:tc>
                      <w:tcPr>
                        <w:tcW w:w="830" w:type="dxa"/>
                      </w:tcPr>
                      <w:p>
                        <w:pPr>
                          <w:pStyle w:val="TableParagraph"/>
                          <w:spacing w:line="255" w:lineRule="exact"/>
                          <w:ind w:left="257"/>
                          <w:rPr>
                            <w:rFonts w:ascii="仿宋"/>
                            <w:sz w:val="21"/>
                          </w:rPr>
                        </w:pPr>
                        <w:r>
                          <w:rPr>
                            <w:rFonts w:ascii="仿宋"/>
                            <w:sz w:val="21"/>
                          </w:rPr>
                          <w:t>10.9</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无合法有效驾驶证驾驶</w:t>
                        </w:r>
                      </w:p>
                    </w:tc>
                  </w:tr>
                  <w:tr>
                    <w:trPr>
                      <w:trHeight w:val="316"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1.3 投保年龄</w:t>
                        </w:r>
                      </w:p>
                    </w:tc>
                    <w:tc>
                      <w:tcPr>
                        <w:tcW w:w="3597" w:type="dxa"/>
                      </w:tcPr>
                      <w:p>
                        <w:pPr>
                          <w:pStyle w:val="TableParagraph"/>
                          <w:spacing w:line="279" w:lineRule="exact"/>
                          <w:ind w:left="40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830" w:type="dxa"/>
                      </w:tcPr>
                      <w:p>
                        <w:pPr>
                          <w:pStyle w:val="TableParagraph"/>
                          <w:spacing w:line="255" w:lineRule="exact"/>
                          <w:ind w:left="257"/>
                          <w:rPr>
                            <w:rFonts w:ascii="仿宋"/>
                            <w:sz w:val="21"/>
                          </w:rPr>
                        </w:pPr>
                        <w:r>
                          <w:rPr>
                            <w:rFonts w:ascii="仿宋"/>
                            <w:sz w:val="21"/>
                          </w:rPr>
                          <w:t>10.10</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无有效行驶证</w:t>
                        </w:r>
                      </w:p>
                    </w:tc>
                  </w:tr>
                  <w:tr>
                    <w:trPr>
                      <w:trHeight w:val="283" w:hRule="atLeast"/>
                    </w:trPr>
                    <w:tc>
                      <w:tcPr>
                        <w:tcW w:w="2618"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1.4 犹豫期</w:t>
                        </w:r>
                      </w:p>
                    </w:tc>
                    <w:tc>
                      <w:tcPr>
                        <w:tcW w:w="3597" w:type="dxa"/>
                      </w:tcPr>
                      <w:p>
                        <w:pPr>
                          <w:pStyle w:val="TableParagraph"/>
                          <w:spacing w:line="239" w:lineRule="exact"/>
                          <w:ind w:right="244"/>
                          <w:jc w:val="right"/>
                          <w:rPr>
                            <w:rFonts w:ascii="仿宋" w:eastAsia="仿宋" w:hint="eastAsia"/>
                            <w:sz w:val="21"/>
                          </w:rPr>
                        </w:pPr>
                        <w:r>
                          <w:rPr>
                            <w:rFonts w:ascii="仿宋" w:eastAsia="仿宋" w:hint="eastAsia"/>
                            <w:sz w:val="21"/>
                          </w:rPr>
                          <w:t>投保人解除合同的手续及风险</w:t>
                        </w:r>
                      </w:p>
                    </w:tc>
                    <w:tc>
                      <w:tcPr>
                        <w:tcW w:w="830" w:type="dxa"/>
                      </w:tcPr>
                      <w:p>
                        <w:pPr>
                          <w:pStyle w:val="TableParagraph"/>
                          <w:spacing w:line="239" w:lineRule="exact"/>
                          <w:ind w:left="257"/>
                          <w:rPr>
                            <w:rFonts w:ascii="仿宋"/>
                            <w:sz w:val="21"/>
                          </w:rPr>
                        </w:pPr>
                        <w:r>
                          <w:rPr>
                            <w:rFonts w:ascii="仿宋"/>
                            <w:sz w:val="21"/>
                          </w:rPr>
                          <w:t>10.11</w:t>
                        </w:r>
                      </w:p>
                    </w:tc>
                    <w:tc>
                      <w:tcPr>
                        <w:tcW w:w="2546" w:type="dxa"/>
                        <w:tcBorders>
                          <w:right w:val="single" w:sz="4" w:space="0" w:color="000000"/>
                        </w:tcBorders>
                      </w:tcPr>
                      <w:p>
                        <w:pPr>
                          <w:pStyle w:val="TableParagraph"/>
                          <w:spacing w:line="239" w:lineRule="exact"/>
                          <w:ind w:left="59"/>
                          <w:rPr>
                            <w:rFonts w:ascii="仿宋" w:eastAsia="仿宋" w:hint="eastAsia"/>
                            <w:sz w:val="21"/>
                          </w:rPr>
                        </w:pPr>
                        <w:r>
                          <w:rPr>
                            <w:rFonts w:ascii="仿宋" w:eastAsia="仿宋" w:hint="eastAsia"/>
                            <w:sz w:val="21"/>
                          </w:rPr>
                          <w:t>机动车</w:t>
                        </w:r>
                      </w:p>
                    </w:tc>
                  </w:tr>
                  <w:tr>
                    <w:trPr>
                      <w:trHeight w:val="600" w:hRule="atLeast"/>
                    </w:trPr>
                    <w:tc>
                      <w:tcPr>
                        <w:tcW w:w="2618" w:type="dxa"/>
                        <w:tcBorders>
                          <w:left w:val="single" w:sz="4" w:space="0" w:color="000000"/>
                        </w:tcBorders>
                      </w:tcPr>
                      <w:p>
                        <w:pPr>
                          <w:pStyle w:val="TableParagraph"/>
                          <w:spacing w:line="279"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p>
                        <w:pPr>
                          <w:pStyle w:val="TableParagraph"/>
                          <w:spacing w:before="1"/>
                          <w:ind w:left="316"/>
                          <w:rPr>
                            <w:rFonts w:ascii="仿宋" w:eastAsia="仿宋" w:hint="eastAsia"/>
                            <w:sz w:val="21"/>
                          </w:rPr>
                        </w:pPr>
                        <w:r>
                          <w:rPr>
                            <w:rFonts w:ascii="仿宋" w:eastAsia="仿宋" w:hint="eastAsia"/>
                            <w:sz w:val="21"/>
                          </w:rPr>
                          <w:t>2.1 保险金额</w:t>
                        </w:r>
                      </w:p>
                    </w:tc>
                    <w:tc>
                      <w:tcPr>
                        <w:tcW w:w="3597" w:type="dxa"/>
                      </w:tcPr>
                      <w:p>
                        <w:pPr>
                          <w:pStyle w:val="TableParagraph"/>
                          <w:spacing w:line="279" w:lineRule="exact"/>
                          <w:ind w:left="40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p>
                        <w:pPr>
                          <w:pStyle w:val="TableParagraph"/>
                          <w:spacing w:before="1"/>
                          <w:ind w:left="617"/>
                          <w:rPr>
                            <w:rFonts w:ascii="仿宋" w:eastAsia="仿宋" w:hint="eastAsia"/>
                            <w:sz w:val="21"/>
                          </w:rPr>
                        </w:pPr>
                        <w:r>
                          <w:rPr>
                            <w:rFonts w:ascii="仿宋" w:eastAsia="仿宋" w:hint="eastAsia"/>
                            <w:sz w:val="21"/>
                          </w:rPr>
                          <w:t>8.1 明确说明和如实告知</w:t>
                        </w:r>
                      </w:p>
                    </w:tc>
                    <w:tc>
                      <w:tcPr>
                        <w:tcW w:w="830" w:type="dxa"/>
                      </w:tcPr>
                      <w:p>
                        <w:pPr>
                          <w:pStyle w:val="TableParagraph"/>
                          <w:spacing w:line="255" w:lineRule="exact"/>
                          <w:ind w:left="257"/>
                          <w:rPr>
                            <w:rFonts w:ascii="仿宋"/>
                            <w:sz w:val="21"/>
                          </w:rPr>
                        </w:pPr>
                        <w:r>
                          <w:rPr>
                            <w:rFonts w:ascii="仿宋"/>
                            <w:sz w:val="21"/>
                          </w:rPr>
                          <w:t>10.12</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先天性畸形、变形或染色</w:t>
                        </w:r>
                      </w:p>
                      <w:p>
                        <w:pPr>
                          <w:pStyle w:val="TableParagraph"/>
                          <w:spacing w:before="25"/>
                          <w:ind w:left="56"/>
                          <w:rPr>
                            <w:rFonts w:ascii="仿宋" w:eastAsia="仿宋" w:hint="eastAsia"/>
                            <w:sz w:val="21"/>
                          </w:rPr>
                        </w:pPr>
                        <w:r>
                          <w:rPr>
                            <w:rFonts w:ascii="仿宋" w:eastAsia="仿宋" w:hint="eastAsia"/>
                            <w:sz w:val="21"/>
                          </w:rPr>
                          <w:t>体异常</w:t>
                        </w:r>
                      </w:p>
                    </w:tc>
                  </w:tr>
                  <w:tr>
                    <w:trPr>
                      <w:trHeight w:val="300"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2.2 保险期间</w:t>
                        </w:r>
                      </w:p>
                    </w:tc>
                    <w:tc>
                      <w:tcPr>
                        <w:tcW w:w="3597" w:type="dxa"/>
                      </w:tcPr>
                      <w:p>
                        <w:pPr>
                          <w:pStyle w:val="TableParagraph"/>
                          <w:spacing w:line="255" w:lineRule="exact"/>
                          <w:ind w:right="246"/>
                          <w:jc w:val="right"/>
                          <w:rPr>
                            <w:rFonts w:ascii="仿宋" w:eastAsia="仿宋" w:hint="eastAsia"/>
                            <w:sz w:val="21"/>
                          </w:rPr>
                        </w:pPr>
                        <w:r>
                          <w:rPr>
                            <w:rFonts w:ascii="仿宋" w:eastAsia="仿宋" w:hint="eastAsia"/>
                            <w:sz w:val="21"/>
                          </w:rPr>
                          <w:t>8.2 本公司合同解除权的限制</w:t>
                        </w:r>
                      </w:p>
                    </w:tc>
                    <w:tc>
                      <w:tcPr>
                        <w:tcW w:w="830" w:type="dxa"/>
                      </w:tcPr>
                      <w:p>
                        <w:pPr>
                          <w:pStyle w:val="TableParagraph"/>
                          <w:spacing w:line="255" w:lineRule="exact"/>
                          <w:ind w:left="257"/>
                          <w:rPr>
                            <w:rFonts w:ascii="仿宋"/>
                            <w:sz w:val="21"/>
                          </w:rPr>
                        </w:pPr>
                        <w:r>
                          <w:rPr>
                            <w:rFonts w:ascii="仿宋"/>
                            <w:sz w:val="21"/>
                          </w:rPr>
                          <w:t>10.13</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遗传性疾病</w:t>
                        </w:r>
                      </w:p>
                    </w:tc>
                  </w:tr>
                  <w:tr>
                    <w:trPr>
                      <w:trHeight w:val="316"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2.3 保险责任</w:t>
                        </w:r>
                      </w:p>
                    </w:tc>
                    <w:tc>
                      <w:tcPr>
                        <w:tcW w:w="3597" w:type="dxa"/>
                      </w:tcPr>
                      <w:p>
                        <w:pPr>
                          <w:pStyle w:val="TableParagraph"/>
                          <w:spacing w:line="279" w:lineRule="exact"/>
                          <w:ind w:left="40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830" w:type="dxa"/>
                      </w:tcPr>
                      <w:p>
                        <w:pPr>
                          <w:pStyle w:val="TableParagraph"/>
                          <w:spacing w:line="255" w:lineRule="exact"/>
                          <w:ind w:left="257"/>
                          <w:rPr>
                            <w:rFonts w:ascii="仿宋"/>
                            <w:sz w:val="21"/>
                          </w:rPr>
                        </w:pPr>
                        <w:r>
                          <w:rPr>
                            <w:rFonts w:ascii="仿宋"/>
                            <w:sz w:val="21"/>
                          </w:rPr>
                          <w:t>10.14</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现金价值</w:t>
                        </w:r>
                      </w:p>
                    </w:tc>
                  </w:tr>
                  <w:tr>
                    <w:trPr>
                      <w:trHeight w:val="283" w:hRule="atLeast"/>
                    </w:trPr>
                    <w:tc>
                      <w:tcPr>
                        <w:tcW w:w="2618"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2.4 责任免除</w:t>
                        </w:r>
                      </w:p>
                    </w:tc>
                    <w:tc>
                      <w:tcPr>
                        <w:tcW w:w="3597" w:type="dxa"/>
                      </w:tcPr>
                      <w:p>
                        <w:pPr>
                          <w:pStyle w:val="TableParagraph"/>
                          <w:spacing w:line="239" w:lineRule="exact"/>
                          <w:ind w:left="617"/>
                          <w:rPr>
                            <w:rFonts w:ascii="仿宋" w:eastAsia="仿宋" w:hint="eastAsia"/>
                            <w:sz w:val="21"/>
                          </w:rPr>
                        </w:pPr>
                        <w:r>
                          <w:rPr>
                            <w:rFonts w:ascii="仿宋" w:eastAsia="仿宋" w:hint="eastAsia"/>
                            <w:sz w:val="21"/>
                          </w:rPr>
                          <w:t>9.1 年龄错误</w:t>
                        </w:r>
                      </w:p>
                    </w:tc>
                    <w:tc>
                      <w:tcPr>
                        <w:tcW w:w="830" w:type="dxa"/>
                      </w:tcPr>
                      <w:p>
                        <w:pPr>
                          <w:pStyle w:val="TableParagraph"/>
                          <w:spacing w:line="239" w:lineRule="exact"/>
                          <w:ind w:left="257"/>
                          <w:rPr>
                            <w:rFonts w:ascii="仿宋"/>
                            <w:sz w:val="21"/>
                          </w:rPr>
                        </w:pPr>
                        <w:r>
                          <w:rPr>
                            <w:rFonts w:ascii="仿宋"/>
                            <w:sz w:val="21"/>
                          </w:rPr>
                          <w:t>10.15</w:t>
                        </w:r>
                      </w:p>
                    </w:tc>
                    <w:tc>
                      <w:tcPr>
                        <w:tcW w:w="2546" w:type="dxa"/>
                        <w:tcBorders>
                          <w:right w:val="single" w:sz="4" w:space="0" w:color="000000"/>
                        </w:tcBorders>
                      </w:tcPr>
                      <w:p>
                        <w:pPr>
                          <w:pStyle w:val="TableParagraph"/>
                          <w:spacing w:line="239" w:lineRule="exact"/>
                          <w:ind w:left="59"/>
                          <w:rPr>
                            <w:rFonts w:ascii="仿宋" w:eastAsia="仿宋" w:hint="eastAsia"/>
                            <w:sz w:val="21"/>
                          </w:rPr>
                        </w:pPr>
                        <w:r>
                          <w:rPr>
                            <w:rFonts w:ascii="仿宋" w:eastAsia="仿宋" w:hint="eastAsia"/>
                            <w:sz w:val="21"/>
                          </w:rPr>
                          <w:t>保单周年日</w:t>
                        </w:r>
                      </w:p>
                    </w:tc>
                  </w:tr>
                  <w:tr>
                    <w:trPr>
                      <w:trHeight w:val="316" w:hRule="atLeast"/>
                    </w:trPr>
                    <w:tc>
                      <w:tcPr>
                        <w:tcW w:w="2618" w:type="dxa"/>
                        <w:tcBorders>
                          <w:left w:val="single" w:sz="4" w:space="0" w:color="000000"/>
                        </w:tcBorders>
                      </w:tcPr>
                      <w:p>
                        <w:pPr>
                          <w:pStyle w:val="TableParagraph"/>
                          <w:spacing w:line="279"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597" w:type="dxa"/>
                      </w:tcPr>
                      <w:p>
                        <w:pPr>
                          <w:pStyle w:val="TableParagraph"/>
                          <w:spacing w:line="255" w:lineRule="exact"/>
                          <w:ind w:left="617"/>
                          <w:rPr>
                            <w:rFonts w:ascii="仿宋" w:eastAsia="仿宋" w:hint="eastAsia"/>
                            <w:sz w:val="21"/>
                          </w:rPr>
                        </w:pPr>
                        <w:r>
                          <w:rPr>
                            <w:rFonts w:ascii="仿宋" w:eastAsia="仿宋" w:hint="eastAsia"/>
                            <w:sz w:val="21"/>
                          </w:rPr>
                          <w:t>9.2 未还款项</w:t>
                        </w:r>
                      </w:p>
                    </w:tc>
                    <w:tc>
                      <w:tcPr>
                        <w:tcW w:w="830" w:type="dxa"/>
                      </w:tcPr>
                      <w:p>
                        <w:pPr>
                          <w:pStyle w:val="TableParagraph"/>
                          <w:spacing w:line="255" w:lineRule="exact"/>
                          <w:ind w:left="257"/>
                          <w:rPr>
                            <w:rFonts w:ascii="仿宋"/>
                            <w:sz w:val="21"/>
                          </w:rPr>
                        </w:pPr>
                        <w:r>
                          <w:rPr>
                            <w:rFonts w:ascii="仿宋"/>
                            <w:sz w:val="21"/>
                          </w:rPr>
                          <w:t>10.16</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专科医生</w:t>
                        </w:r>
                      </w:p>
                    </w:tc>
                  </w:tr>
                  <w:tr>
                    <w:trPr>
                      <w:trHeight w:val="283" w:hRule="atLeast"/>
                    </w:trPr>
                    <w:tc>
                      <w:tcPr>
                        <w:tcW w:w="2618"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3.1 受益人</w:t>
                        </w:r>
                      </w:p>
                    </w:tc>
                    <w:tc>
                      <w:tcPr>
                        <w:tcW w:w="3597" w:type="dxa"/>
                      </w:tcPr>
                      <w:p>
                        <w:pPr>
                          <w:pStyle w:val="TableParagraph"/>
                          <w:spacing w:line="239" w:lineRule="exact"/>
                          <w:ind w:left="617"/>
                          <w:rPr>
                            <w:rFonts w:ascii="仿宋" w:eastAsia="仿宋" w:hint="eastAsia"/>
                            <w:sz w:val="21"/>
                          </w:rPr>
                        </w:pPr>
                        <w:r>
                          <w:rPr>
                            <w:rFonts w:ascii="仿宋" w:eastAsia="仿宋" w:hint="eastAsia"/>
                            <w:sz w:val="21"/>
                          </w:rPr>
                          <w:t>9.3 合同内容变更</w:t>
                        </w:r>
                      </w:p>
                    </w:tc>
                    <w:tc>
                      <w:tcPr>
                        <w:tcW w:w="830" w:type="dxa"/>
                      </w:tcPr>
                      <w:p>
                        <w:pPr>
                          <w:pStyle w:val="TableParagraph"/>
                          <w:spacing w:line="239" w:lineRule="exact"/>
                          <w:ind w:left="257"/>
                          <w:rPr>
                            <w:rFonts w:ascii="仿宋"/>
                            <w:sz w:val="21"/>
                          </w:rPr>
                        </w:pPr>
                        <w:r>
                          <w:rPr>
                            <w:rFonts w:ascii="仿宋"/>
                            <w:sz w:val="21"/>
                          </w:rPr>
                          <w:t>10.17</w:t>
                        </w:r>
                      </w:p>
                    </w:tc>
                    <w:tc>
                      <w:tcPr>
                        <w:tcW w:w="2546" w:type="dxa"/>
                        <w:tcBorders>
                          <w:right w:val="single" w:sz="4" w:space="0" w:color="000000"/>
                        </w:tcBorders>
                      </w:tcPr>
                      <w:p>
                        <w:pPr>
                          <w:pStyle w:val="TableParagraph"/>
                          <w:spacing w:line="239" w:lineRule="exact"/>
                          <w:ind w:left="59"/>
                          <w:rPr>
                            <w:rFonts w:ascii="仿宋" w:eastAsia="仿宋" w:hint="eastAsia"/>
                            <w:sz w:val="21"/>
                          </w:rPr>
                        </w:pPr>
                        <w:r>
                          <w:rPr>
                            <w:rFonts w:ascii="仿宋" w:eastAsia="仿宋" w:hint="eastAsia"/>
                            <w:sz w:val="21"/>
                          </w:rPr>
                          <w:t>肢体机能完全丧失</w:t>
                        </w:r>
                      </w:p>
                    </w:tc>
                  </w:tr>
                  <w:tr>
                    <w:trPr>
                      <w:trHeight w:val="300"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3.2 保险事故通知</w:t>
                        </w:r>
                      </w:p>
                    </w:tc>
                    <w:tc>
                      <w:tcPr>
                        <w:tcW w:w="3597" w:type="dxa"/>
                      </w:tcPr>
                      <w:p>
                        <w:pPr>
                          <w:pStyle w:val="TableParagraph"/>
                          <w:spacing w:line="255" w:lineRule="exact"/>
                          <w:ind w:left="617"/>
                          <w:rPr>
                            <w:rFonts w:ascii="仿宋" w:eastAsia="仿宋" w:hint="eastAsia"/>
                            <w:sz w:val="21"/>
                          </w:rPr>
                        </w:pPr>
                        <w:r>
                          <w:rPr>
                            <w:rFonts w:ascii="仿宋" w:eastAsia="仿宋" w:hint="eastAsia"/>
                            <w:sz w:val="21"/>
                          </w:rPr>
                          <w:t>9.4 联系方式变更</w:t>
                        </w:r>
                      </w:p>
                    </w:tc>
                    <w:tc>
                      <w:tcPr>
                        <w:tcW w:w="830" w:type="dxa"/>
                      </w:tcPr>
                      <w:p>
                        <w:pPr>
                          <w:pStyle w:val="TableParagraph"/>
                          <w:spacing w:line="255" w:lineRule="exact"/>
                          <w:ind w:left="257"/>
                          <w:rPr>
                            <w:rFonts w:ascii="仿宋"/>
                            <w:sz w:val="21"/>
                          </w:rPr>
                        </w:pPr>
                        <w:r>
                          <w:rPr>
                            <w:rFonts w:ascii="仿宋"/>
                            <w:sz w:val="21"/>
                          </w:rPr>
                          <w:t>10.18</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语言能力或咀嚼吞咽能力</w:t>
                        </w:r>
                      </w:p>
                    </w:tc>
                  </w:tr>
                  <w:tr>
                    <w:trPr>
                      <w:trHeight w:val="300"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3.3 保险金申请</w:t>
                        </w:r>
                      </w:p>
                    </w:tc>
                    <w:tc>
                      <w:tcPr>
                        <w:tcW w:w="3597" w:type="dxa"/>
                      </w:tcPr>
                      <w:p>
                        <w:pPr>
                          <w:pStyle w:val="TableParagraph"/>
                          <w:spacing w:line="255" w:lineRule="exact"/>
                          <w:ind w:left="617"/>
                          <w:rPr>
                            <w:rFonts w:ascii="仿宋" w:eastAsia="仿宋" w:hint="eastAsia"/>
                            <w:sz w:val="21"/>
                          </w:rPr>
                        </w:pPr>
                        <w:r>
                          <w:rPr>
                            <w:rFonts w:ascii="仿宋" w:eastAsia="仿宋" w:hint="eastAsia"/>
                            <w:sz w:val="21"/>
                          </w:rPr>
                          <w:t>9.5 争议处理</w:t>
                        </w:r>
                      </w:p>
                    </w:tc>
                    <w:tc>
                      <w:tcPr>
                        <w:tcW w:w="830" w:type="dxa"/>
                      </w:tcPr>
                      <w:p>
                        <w:pPr>
                          <w:pStyle w:val="TableParagraph"/>
                          <w:rPr>
                            <w:rFonts w:ascii="Times New Roman"/>
                            <w:sz w:val="20"/>
                          </w:rPr>
                        </w:pPr>
                      </w:p>
                    </w:tc>
                    <w:tc>
                      <w:tcPr>
                        <w:tcW w:w="2546" w:type="dxa"/>
                        <w:tcBorders>
                          <w:right w:val="single" w:sz="4" w:space="0" w:color="000000"/>
                        </w:tcBorders>
                      </w:tcPr>
                      <w:p>
                        <w:pPr>
                          <w:pStyle w:val="TableParagraph"/>
                          <w:spacing w:line="255" w:lineRule="exact"/>
                          <w:ind w:left="56"/>
                          <w:rPr>
                            <w:rFonts w:ascii="仿宋" w:eastAsia="仿宋" w:hint="eastAsia"/>
                            <w:sz w:val="21"/>
                          </w:rPr>
                        </w:pPr>
                        <w:r>
                          <w:rPr>
                            <w:rFonts w:ascii="仿宋" w:eastAsia="仿宋" w:hint="eastAsia"/>
                            <w:sz w:val="21"/>
                          </w:rPr>
                          <w:t>完全丧失</w:t>
                        </w:r>
                      </w:p>
                    </w:tc>
                  </w:tr>
                  <w:tr>
                    <w:trPr>
                      <w:trHeight w:val="316"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3.4 保险金给付</w:t>
                        </w:r>
                      </w:p>
                    </w:tc>
                    <w:tc>
                      <w:tcPr>
                        <w:tcW w:w="3597" w:type="dxa"/>
                      </w:tcPr>
                      <w:p>
                        <w:pPr>
                          <w:pStyle w:val="TableParagraph"/>
                          <w:spacing w:line="279" w:lineRule="exact"/>
                          <w:ind w:left="40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830" w:type="dxa"/>
                      </w:tcPr>
                      <w:p>
                        <w:pPr>
                          <w:pStyle w:val="TableParagraph"/>
                          <w:spacing w:line="255" w:lineRule="exact"/>
                          <w:ind w:left="257"/>
                          <w:rPr>
                            <w:rFonts w:ascii="仿宋"/>
                            <w:sz w:val="21"/>
                          </w:rPr>
                        </w:pPr>
                        <w:r>
                          <w:rPr>
                            <w:rFonts w:ascii="仿宋"/>
                            <w:sz w:val="21"/>
                          </w:rPr>
                          <w:t>10.19</w:t>
                        </w:r>
                      </w:p>
                    </w:tc>
                    <w:tc>
                      <w:tcPr>
                        <w:tcW w:w="2546" w:type="dxa"/>
                        <w:tcBorders>
                          <w:right w:val="single" w:sz="4" w:space="0" w:color="000000"/>
                        </w:tcBorders>
                      </w:tcPr>
                      <w:p>
                        <w:pPr>
                          <w:pStyle w:val="TableParagraph"/>
                          <w:spacing w:line="255" w:lineRule="exact"/>
                          <w:ind w:left="59"/>
                          <w:rPr>
                            <w:rFonts w:ascii="仿宋" w:eastAsia="仿宋" w:hint="eastAsia"/>
                            <w:sz w:val="21"/>
                          </w:rPr>
                        </w:pPr>
                        <w:r>
                          <w:rPr>
                            <w:rFonts w:ascii="仿宋" w:eastAsia="仿宋" w:hint="eastAsia"/>
                            <w:sz w:val="21"/>
                          </w:rPr>
                          <w:t>六项基本日常生活活动</w:t>
                        </w:r>
                      </w:p>
                    </w:tc>
                  </w:tr>
                  <w:tr>
                    <w:trPr>
                      <w:trHeight w:val="283" w:hRule="atLeast"/>
                    </w:trPr>
                    <w:tc>
                      <w:tcPr>
                        <w:tcW w:w="2618" w:type="dxa"/>
                        <w:tcBorders>
                          <w:left w:val="single" w:sz="4" w:space="0" w:color="000000"/>
                        </w:tcBorders>
                      </w:tcPr>
                      <w:p>
                        <w:pPr>
                          <w:pStyle w:val="TableParagraph"/>
                          <w:spacing w:line="239" w:lineRule="exact"/>
                          <w:ind w:left="316"/>
                          <w:rPr>
                            <w:rFonts w:ascii="仿宋" w:eastAsia="仿宋" w:hint="eastAsia"/>
                            <w:sz w:val="21"/>
                          </w:rPr>
                        </w:pPr>
                        <w:r>
                          <w:rPr>
                            <w:rFonts w:ascii="仿宋" w:eastAsia="仿宋" w:hint="eastAsia"/>
                            <w:sz w:val="21"/>
                          </w:rPr>
                          <w:t>3.5 诉讼时效</w:t>
                        </w:r>
                      </w:p>
                    </w:tc>
                    <w:tc>
                      <w:tcPr>
                        <w:tcW w:w="3597" w:type="dxa"/>
                      </w:tcPr>
                      <w:p>
                        <w:pPr>
                          <w:pStyle w:val="TableParagraph"/>
                          <w:spacing w:line="239" w:lineRule="exact"/>
                          <w:ind w:left="617"/>
                          <w:rPr>
                            <w:rFonts w:ascii="仿宋" w:eastAsia="仿宋" w:hint="eastAsia"/>
                            <w:sz w:val="21"/>
                          </w:rPr>
                        </w:pPr>
                        <w:r>
                          <w:rPr>
                            <w:rFonts w:ascii="仿宋" w:eastAsia="仿宋" w:hint="eastAsia"/>
                            <w:sz w:val="21"/>
                          </w:rPr>
                          <w:t>10.1 保单年度</w:t>
                        </w:r>
                      </w:p>
                    </w:tc>
                    <w:tc>
                      <w:tcPr>
                        <w:tcW w:w="830" w:type="dxa"/>
                      </w:tcPr>
                      <w:p>
                        <w:pPr>
                          <w:pStyle w:val="TableParagraph"/>
                          <w:spacing w:line="239" w:lineRule="exact"/>
                          <w:ind w:left="257"/>
                          <w:rPr>
                            <w:rFonts w:ascii="仿宋"/>
                            <w:sz w:val="21"/>
                          </w:rPr>
                        </w:pPr>
                        <w:r>
                          <w:rPr>
                            <w:rFonts w:ascii="仿宋"/>
                            <w:sz w:val="21"/>
                          </w:rPr>
                          <w:t>10.20</w:t>
                        </w:r>
                      </w:p>
                    </w:tc>
                    <w:tc>
                      <w:tcPr>
                        <w:tcW w:w="2546" w:type="dxa"/>
                        <w:tcBorders>
                          <w:right w:val="single" w:sz="4" w:space="0" w:color="000000"/>
                        </w:tcBorders>
                      </w:tcPr>
                      <w:p>
                        <w:pPr>
                          <w:pStyle w:val="TableParagraph"/>
                          <w:spacing w:line="239" w:lineRule="exact"/>
                          <w:ind w:left="59"/>
                          <w:rPr>
                            <w:rFonts w:ascii="仿宋" w:eastAsia="仿宋" w:hint="eastAsia"/>
                            <w:sz w:val="21"/>
                          </w:rPr>
                        </w:pPr>
                        <w:r>
                          <w:rPr>
                            <w:rFonts w:ascii="仿宋" w:eastAsia="仿宋" w:hint="eastAsia"/>
                            <w:sz w:val="21"/>
                          </w:rPr>
                          <w:t>永久不可逆</w:t>
                        </w:r>
                      </w:p>
                    </w:tc>
                  </w:tr>
                  <w:tr>
                    <w:trPr>
                      <w:trHeight w:val="600" w:hRule="atLeast"/>
                    </w:trPr>
                    <w:tc>
                      <w:tcPr>
                        <w:tcW w:w="2618" w:type="dxa"/>
                        <w:tcBorders>
                          <w:left w:val="single" w:sz="4" w:space="0" w:color="000000"/>
                        </w:tcBorders>
                      </w:tcPr>
                      <w:p>
                        <w:pPr>
                          <w:pStyle w:val="TableParagraph"/>
                          <w:spacing w:line="279"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TableParagraph"/>
                          <w:spacing w:before="1"/>
                          <w:ind w:left="316"/>
                          <w:rPr>
                            <w:rFonts w:ascii="仿宋" w:eastAsia="仿宋" w:hint="eastAsia"/>
                            <w:sz w:val="21"/>
                          </w:rPr>
                        </w:pPr>
                        <w:r>
                          <w:rPr>
                            <w:rFonts w:ascii="仿宋" w:eastAsia="仿宋" w:hint="eastAsia"/>
                            <w:sz w:val="21"/>
                          </w:rPr>
                          <w:t>4.1 保险费的支付</w:t>
                        </w:r>
                      </w:p>
                    </w:tc>
                    <w:tc>
                      <w:tcPr>
                        <w:tcW w:w="3597" w:type="dxa"/>
                      </w:tcPr>
                      <w:p>
                        <w:pPr>
                          <w:pStyle w:val="TableParagraph"/>
                          <w:numPr>
                            <w:ilvl w:val="1"/>
                            <w:numId w:val="3"/>
                          </w:numPr>
                          <w:tabs>
                            <w:tab w:pos="1143" w:val="left" w:leader="none"/>
                          </w:tabs>
                          <w:spacing w:line="255" w:lineRule="exact" w:before="0" w:after="0"/>
                          <w:ind w:left="1142" w:right="0" w:hanging="525"/>
                          <w:jc w:val="left"/>
                          <w:rPr>
                            <w:rFonts w:ascii="仿宋" w:eastAsia="仿宋" w:hint="eastAsia"/>
                            <w:sz w:val="21"/>
                          </w:rPr>
                        </w:pPr>
                        <w:r>
                          <w:rPr>
                            <w:rFonts w:ascii="仿宋" w:eastAsia="仿宋" w:hint="eastAsia"/>
                            <w:spacing w:val="-3"/>
                            <w:sz w:val="21"/>
                          </w:rPr>
                          <w:t>保险费约定支付日</w:t>
                        </w:r>
                      </w:p>
                      <w:p>
                        <w:pPr>
                          <w:pStyle w:val="TableParagraph"/>
                          <w:numPr>
                            <w:ilvl w:val="1"/>
                            <w:numId w:val="3"/>
                          </w:numPr>
                          <w:tabs>
                            <w:tab w:pos="1143" w:val="left" w:leader="none"/>
                          </w:tabs>
                          <w:spacing w:line="240" w:lineRule="auto" w:before="25" w:after="0"/>
                          <w:ind w:left="1142" w:right="0" w:hanging="525"/>
                          <w:jc w:val="left"/>
                          <w:rPr>
                            <w:rFonts w:ascii="仿宋" w:eastAsia="仿宋" w:hint="eastAsia"/>
                            <w:sz w:val="21"/>
                          </w:rPr>
                        </w:pPr>
                        <w:r>
                          <w:rPr>
                            <w:rFonts w:ascii="仿宋" w:eastAsia="仿宋" w:hint="eastAsia"/>
                            <w:sz w:val="21"/>
                          </w:rPr>
                          <w:t>周岁</w:t>
                        </w:r>
                      </w:p>
                    </w:tc>
                    <w:tc>
                      <w:tcPr>
                        <w:tcW w:w="830" w:type="dxa"/>
                      </w:tcPr>
                      <w:p>
                        <w:pPr>
                          <w:pStyle w:val="TableParagraph"/>
                          <w:rPr>
                            <w:rFonts w:ascii="Times New Roman"/>
                            <w:sz w:val="20"/>
                          </w:rPr>
                        </w:pPr>
                      </w:p>
                    </w:tc>
                    <w:tc>
                      <w:tcPr>
                        <w:tcW w:w="2546" w:type="dxa"/>
                        <w:tcBorders>
                          <w:right w:val="single" w:sz="4" w:space="0" w:color="000000"/>
                        </w:tcBorders>
                      </w:tcPr>
                      <w:p>
                        <w:pPr>
                          <w:pStyle w:val="TableParagraph"/>
                          <w:rPr>
                            <w:rFonts w:ascii="Times New Roman"/>
                            <w:sz w:val="20"/>
                          </w:rPr>
                        </w:pPr>
                      </w:p>
                    </w:tc>
                  </w:tr>
                  <w:tr>
                    <w:trPr>
                      <w:trHeight w:val="300" w:hRule="atLeast"/>
                    </w:trPr>
                    <w:tc>
                      <w:tcPr>
                        <w:tcW w:w="2618" w:type="dxa"/>
                        <w:tcBorders>
                          <w:left w:val="single" w:sz="4" w:space="0" w:color="000000"/>
                        </w:tcBorders>
                      </w:tcPr>
                      <w:p>
                        <w:pPr>
                          <w:pStyle w:val="TableParagraph"/>
                          <w:spacing w:line="255" w:lineRule="exact"/>
                          <w:ind w:left="316"/>
                          <w:rPr>
                            <w:rFonts w:ascii="仿宋" w:eastAsia="仿宋" w:hint="eastAsia"/>
                            <w:sz w:val="21"/>
                          </w:rPr>
                        </w:pPr>
                        <w:r>
                          <w:rPr>
                            <w:rFonts w:ascii="仿宋" w:eastAsia="仿宋" w:hint="eastAsia"/>
                            <w:sz w:val="21"/>
                          </w:rPr>
                          <w:t>4.2 宽限期</w:t>
                        </w:r>
                      </w:p>
                    </w:tc>
                    <w:tc>
                      <w:tcPr>
                        <w:tcW w:w="3597" w:type="dxa"/>
                      </w:tcPr>
                      <w:p>
                        <w:pPr>
                          <w:pStyle w:val="TableParagraph"/>
                          <w:spacing w:line="255" w:lineRule="exact"/>
                          <w:ind w:left="617"/>
                          <w:rPr>
                            <w:rFonts w:ascii="仿宋" w:eastAsia="仿宋" w:hint="eastAsia"/>
                            <w:sz w:val="21"/>
                          </w:rPr>
                        </w:pPr>
                        <w:r>
                          <w:rPr>
                            <w:rFonts w:ascii="仿宋" w:eastAsia="仿宋" w:hint="eastAsia"/>
                            <w:sz w:val="21"/>
                          </w:rPr>
                          <w:t>10.4 有效身份证件</w:t>
                        </w:r>
                      </w:p>
                    </w:tc>
                    <w:tc>
                      <w:tcPr>
                        <w:tcW w:w="830" w:type="dxa"/>
                      </w:tcPr>
                      <w:p>
                        <w:pPr>
                          <w:pStyle w:val="TableParagraph"/>
                          <w:rPr>
                            <w:rFonts w:ascii="Times New Roman"/>
                            <w:sz w:val="20"/>
                          </w:rPr>
                        </w:pPr>
                      </w:p>
                    </w:tc>
                    <w:tc>
                      <w:tcPr>
                        <w:tcW w:w="2546" w:type="dxa"/>
                        <w:tcBorders>
                          <w:right w:val="single" w:sz="4" w:space="0" w:color="000000"/>
                        </w:tcBorders>
                      </w:tcPr>
                      <w:p>
                        <w:pPr>
                          <w:pStyle w:val="TableParagraph"/>
                          <w:rPr>
                            <w:rFonts w:ascii="Times New Roman"/>
                            <w:sz w:val="20"/>
                          </w:rPr>
                        </w:pPr>
                      </w:p>
                    </w:tc>
                  </w:tr>
                  <w:tr>
                    <w:trPr>
                      <w:trHeight w:val="585" w:hRule="atLeast"/>
                    </w:trPr>
                    <w:tc>
                      <w:tcPr>
                        <w:tcW w:w="2618" w:type="dxa"/>
                        <w:tcBorders>
                          <w:left w:val="single" w:sz="4" w:space="0" w:color="000000"/>
                          <w:bottom w:val="single" w:sz="4" w:space="0" w:color="000000"/>
                        </w:tcBorders>
                      </w:tcPr>
                      <w:p>
                        <w:pPr>
                          <w:pStyle w:val="TableParagraph"/>
                          <w:spacing w:line="279"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before="1"/>
                          <w:ind w:left="316"/>
                          <w:rPr>
                            <w:rFonts w:ascii="仿宋" w:eastAsia="仿宋" w:hint="eastAsia"/>
                            <w:sz w:val="21"/>
                          </w:rPr>
                        </w:pPr>
                        <w:r>
                          <w:rPr>
                            <w:rFonts w:ascii="仿宋" w:eastAsia="仿宋" w:hint="eastAsia"/>
                            <w:sz w:val="21"/>
                          </w:rPr>
                          <w:t>现金价值</w:t>
                        </w:r>
                      </w:p>
                    </w:tc>
                    <w:tc>
                      <w:tcPr>
                        <w:tcW w:w="3597" w:type="dxa"/>
                        <w:tcBorders>
                          <w:bottom w:val="single" w:sz="4" w:space="0" w:color="000000"/>
                        </w:tcBorders>
                      </w:tcPr>
                      <w:p>
                        <w:pPr>
                          <w:pStyle w:val="TableParagraph"/>
                          <w:numPr>
                            <w:ilvl w:val="1"/>
                            <w:numId w:val="4"/>
                          </w:numPr>
                          <w:tabs>
                            <w:tab w:pos="1143" w:val="left" w:leader="none"/>
                          </w:tabs>
                          <w:spacing w:line="255" w:lineRule="exact" w:before="0" w:after="0"/>
                          <w:ind w:left="1142" w:right="0" w:hanging="525"/>
                          <w:jc w:val="left"/>
                          <w:rPr>
                            <w:rFonts w:ascii="仿宋" w:eastAsia="仿宋" w:hint="eastAsia"/>
                            <w:sz w:val="21"/>
                          </w:rPr>
                        </w:pPr>
                        <w:r>
                          <w:rPr>
                            <w:rFonts w:ascii="仿宋" w:eastAsia="仿宋" w:hint="eastAsia"/>
                            <w:spacing w:val="-2"/>
                            <w:sz w:val="21"/>
                          </w:rPr>
                          <w:t>医疗机构</w:t>
                        </w:r>
                      </w:p>
                      <w:p>
                        <w:pPr>
                          <w:pStyle w:val="TableParagraph"/>
                          <w:numPr>
                            <w:ilvl w:val="1"/>
                            <w:numId w:val="4"/>
                          </w:numPr>
                          <w:tabs>
                            <w:tab w:pos="1143" w:val="left" w:leader="none"/>
                          </w:tabs>
                          <w:spacing w:line="240" w:lineRule="auto" w:before="25" w:after="0"/>
                          <w:ind w:left="1142" w:right="0" w:hanging="525"/>
                          <w:jc w:val="left"/>
                          <w:rPr>
                            <w:rFonts w:ascii="仿宋" w:eastAsia="仿宋" w:hint="eastAsia"/>
                            <w:sz w:val="21"/>
                          </w:rPr>
                        </w:pPr>
                        <w:r>
                          <w:rPr>
                            <w:rFonts w:ascii="仿宋" w:eastAsia="仿宋" w:hint="eastAsia"/>
                            <w:spacing w:val="-2"/>
                            <w:sz w:val="21"/>
                          </w:rPr>
                          <w:t>重大疾病</w:t>
                        </w:r>
                      </w:p>
                    </w:tc>
                    <w:tc>
                      <w:tcPr>
                        <w:tcW w:w="830" w:type="dxa"/>
                        <w:tcBorders>
                          <w:bottom w:val="single" w:sz="4" w:space="0" w:color="000000"/>
                        </w:tcBorders>
                      </w:tcPr>
                      <w:p>
                        <w:pPr>
                          <w:pStyle w:val="TableParagraph"/>
                          <w:rPr>
                            <w:rFonts w:ascii="Times New Roman"/>
                            <w:sz w:val="20"/>
                          </w:rPr>
                        </w:pPr>
                      </w:p>
                    </w:tc>
                    <w:tc>
                      <w:tcPr>
                        <w:tcW w:w="2546" w:type="dxa"/>
                        <w:tcBorders>
                          <w:bottom w:val="single" w:sz="4" w:space="0" w:color="000000"/>
                          <w:right w:val="single" w:sz="4"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9" w:lineRule="exact"/>
        <w:jc w:val="left"/>
        <w:rPr>
          <w:sz w:val="21"/>
        </w:rPr>
        <w:sectPr>
          <w:type w:val="continuous"/>
          <w:pgSz w:w="11900" w:h="16840"/>
          <w:pgMar w:top="360" w:bottom="280" w:left="820" w:right="660"/>
        </w:sectPr>
      </w:pPr>
    </w:p>
    <w:p>
      <w:pPr>
        <w:pStyle w:val="Heading1"/>
        <w:spacing w:line="485" w:lineRule="exact"/>
        <w:ind w:left="2964" w:right="0"/>
        <w:jc w:val="left"/>
      </w:pPr>
      <w:r>
        <w:rPr/>
        <w:t>嘉禾爱康重大疾病保险条款</w:t>
      </w:r>
    </w:p>
    <w:p>
      <w:pPr>
        <w:pStyle w:val="BodyText"/>
        <w:spacing w:line="273" w:lineRule="auto" w:before="107"/>
        <w:ind w:left="100" w:right="206" w:firstLine="420"/>
      </w:pPr>
      <w:r>
        <w:rPr>
          <w:spacing w:val="-7"/>
          <w:w w:val="100"/>
        </w:rPr>
        <w:t>在本条款中，“您”指投保人，“我们”指嘉禾人寿保险股份有限公司，“本主险合同”指您与我</w:t>
      </w:r>
      <w:r>
        <w:rPr>
          <w:spacing w:val="-5"/>
        </w:rPr>
        <w:t>们之间订立的“嘉禾爱康重大疾病保险合同”。</w:t>
      </w:r>
      <w:r>
        <w:rPr/>
        <w:t> </w:t>
      </w:r>
    </w:p>
    <w:p>
      <w:pPr>
        <w:pStyle w:val="BodyText"/>
        <w:spacing w:before="7"/>
        <w:ind w:left="278"/>
      </w:pPr>
      <w:r>
        <w:rPr>
          <w:w w:val="100"/>
        </w:rPr>
        <w:t> </w:t>
      </w:r>
    </w:p>
    <w:p>
      <w:pPr>
        <w:pStyle w:val="Heading2"/>
        <w:tabs>
          <w:tab w:pos="1101" w:val="left" w:leader="none"/>
        </w:tabs>
        <w:ind w:left="358" w:firstLine="0"/>
      </w:pPr>
      <w:r>
        <w:rPr/>
        <w:pict>
          <v:group style="position:absolute;margin-left:69.360001pt;margin-top:37.513622pt;width:463.8pt;height:1pt;mso-position-horizontal-relative:page;mso-position-vertical-relative:paragraph;z-index:1096;mso-wrap-distance-left:0;mso-wrap-distance-right:0" coordorigin="1387,750" coordsize="9276,20">
            <v:line style="position:absolute" from="1387,760" to="2134,760" stroked="true" strokeweight=".96pt" strokecolor="#000000">
              <v:stroke dashstyle="solid"/>
            </v:line>
            <v:rect style="position:absolute;left:2133;top:750;width:20;height:20" filled="true" fillcolor="#000000" stroked="false">
              <v:fill type="solid"/>
            </v:rect>
            <v:line style="position:absolute" from="2153,760" to="3538,760" stroked="true" strokeweight=".96pt" strokecolor="#000000">
              <v:stroke dashstyle="solid"/>
            </v:line>
            <v:rect style="position:absolute;left:3537;top:750;width:20;height:20" filled="true" fillcolor="#000000" stroked="false">
              <v:fill type="solid"/>
            </v:rect>
            <v:line style="position:absolute" from="3557,760" to="10663,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1101" w:val="left" w:leader="none"/>
          <w:tab w:pos="2505" w:val="left" w:leader="none"/>
        </w:tabs>
        <w:spacing w:before="39"/>
        <w:ind w:left="355"/>
      </w:pPr>
      <w:r>
        <w:rPr>
          <w:w w:val="100"/>
        </w:rPr>
        <w:t> </w:t>
      </w:r>
      <w:r>
        <w:rPr/>
        <w:tab/>
      </w:r>
      <w:r>
        <w:rPr>
          <w:w w:val="100"/>
        </w:rPr>
        <w:t> </w:t>
      </w:r>
      <w:r>
        <w:rPr/>
        <w:tab/>
      </w:r>
      <w:r>
        <w:rPr>
          <w:w w:val="100"/>
        </w:rPr>
        <w:t> </w:t>
      </w:r>
    </w:p>
    <w:p>
      <w:pPr>
        <w:pStyle w:val="ListParagraph"/>
        <w:numPr>
          <w:ilvl w:val="1"/>
          <w:numId w:val="5"/>
        </w:numPr>
        <w:tabs>
          <w:tab w:pos="1102" w:val="left" w:leader="none"/>
          <w:tab w:pos="2505" w:val="left" w:leader="none"/>
        </w:tabs>
        <w:spacing w:line="259" w:lineRule="auto" w:before="46" w:after="0"/>
        <w:ind w:left="2505" w:right="239" w:hanging="2150"/>
        <w:jc w:val="both"/>
        <w:rPr>
          <w:sz w:val="21"/>
        </w:rPr>
      </w:pPr>
      <w:r>
        <w:rPr>
          <w:rFonts w:ascii="Microsoft JhengHei" w:eastAsia="Microsoft JhengHei" w:hint="eastAsia"/>
          <w:b/>
          <w:sz w:val="21"/>
        </w:rPr>
        <w:t>1     </w:t>
      </w:r>
      <w:r>
        <w:rPr>
          <w:rFonts w:ascii="Microsoft JhengHei" w:eastAsia="Microsoft JhengHei" w:hint="eastAsia"/>
          <w:b/>
          <w:spacing w:val="15"/>
          <w:sz w:val="21"/>
        </w:rPr>
        <w:t> </w:t>
      </w:r>
      <w:r>
        <w:rPr>
          <w:rFonts w:ascii="Microsoft JhengHei" w:eastAsia="Microsoft JhengHei" w:hint="eastAsia"/>
          <w:b/>
          <w:sz w:val="21"/>
        </w:rPr>
        <w:t>合 同 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12"/>
          <w:sz w:val="21"/>
        </w:rPr>
        <w:t>，</w:t>
      </w:r>
      <w:r>
        <w:rPr>
          <w:sz w:val="21"/>
        </w:rPr>
        <w:t>包</w:t>
      </w:r>
      <w:r>
        <w:rPr>
          <w:spacing w:val="-3"/>
          <w:sz w:val="21"/>
        </w:rPr>
        <w:t>括</w:t>
      </w:r>
      <w:r>
        <w:rPr>
          <w:sz w:val="21"/>
        </w:rPr>
        <w:t>本</w:t>
      </w:r>
      <w:r>
        <w:rPr>
          <w:spacing w:val="-3"/>
          <w:sz w:val="21"/>
        </w:rPr>
        <w:t>保</w:t>
      </w:r>
      <w:r>
        <w:rPr>
          <w:sz w:val="21"/>
        </w:rPr>
        <w:t>险</w:t>
      </w:r>
      <w:r>
        <w:rPr>
          <w:spacing w:val="-3"/>
          <w:sz w:val="21"/>
        </w:rPr>
        <w:t>条款</w:t>
      </w:r>
      <w:r>
        <w:rPr>
          <w:spacing w:val="-10"/>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pacing w:val="-8"/>
          <w:sz w:val="21"/>
        </w:rPr>
        <w:t>、</w:t>
      </w:r>
      <w:r>
        <w:rPr>
          <w:spacing w:val="-3"/>
          <w:sz w:val="21"/>
        </w:rPr>
        <w:t>投</w:t>
      </w:r>
      <w:r>
        <w:rPr>
          <w:sz w:val="21"/>
        </w:rPr>
        <w:t>保单</w:t>
      </w:r>
      <w:r>
        <w:rPr>
          <w:spacing w:val="-10"/>
          <w:sz w:val="21"/>
        </w:rPr>
        <w:t>、</w:t>
      </w:r>
      <w:r>
        <w:rPr>
          <w:sz w:val="21"/>
        </w:rPr>
        <w:t>与</w:t>
      </w:r>
      <w:r>
        <w:rPr>
          <w:spacing w:val="-3"/>
          <w:sz w:val="21"/>
        </w:rPr>
        <w:t>本</w:t>
      </w:r>
      <w:r>
        <w:rPr>
          <w:sz w:val="21"/>
        </w:rPr>
        <w:t>主</w:t>
      </w:r>
      <w:r>
        <w:rPr>
          <w:spacing w:val="-3"/>
          <w:sz w:val="21"/>
        </w:rPr>
        <w:t>险</w:t>
      </w:r>
      <w:r>
        <w:rPr>
          <w:sz w:val="21"/>
        </w:rPr>
        <w:t>合</w:t>
      </w:r>
      <w:r>
        <w:rPr>
          <w:spacing w:val="-3"/>
          <w:sz w:val="21"/>
        </w:rPr>
        <w:t>同</w:t>
      </w:r>
      <w:r>
        <w:rPr>
          <w:sz w:val="21"/>
        </w:rPr>
        <w:t>有</w:t>
      </w:r>
      <w:r>
        <w:rPr>
          <w:spacing w:val="-3"/>
          <w:sz w:val="21"/>
        </w:rPr>
        <w:t>关</w:t>
      </w:r>
      <w:r>
        <w:rPr>
          <w:sz w:val="21"/>
        </w:rPr>
        <w:t>的投</w:t>
      </w:r>
      <w:r>
        <w:rPr>
          <w:spacing w:val="-3"/>
          <w:sz w:val="21"/>
        </w:rPr>
        <w:t>保</w:t>
      </w:r>
      <w:r>
        <w:rPr>
          <w:sz w:val="21"/>
        </w:rPr>
        <w:t>文</w:t>
      </w:r>
      <w:r>
        <w:rPr>
          <w:spacing w:val="-3"/>
          <w:sz w:val="21"/>
        </w:rPr>
        <w:t>件</w:t>
      </w:r>
      <w:r>
        <w:rPr>
          <w:spacing w:val="-8"/>
          <w:sz w:val="21"/>
        </w:rPr>
        <w:t>、</w:t>
      </w:r>
      <w:r>
        <w:rPr>
          <w:spacing w:val="-3"/>
          <w:sz w:val="21"/>
        </w:rPr>
        <w:t>合</w:t>
      </w:r>
      <w:r>
        <w:rPr>
          <w:sz w:val="21"/>
        </w:rPr>
        <w:t>法</w:t>
      </w:r>
      <w:r>
        <w:rPr>
          <w:spacing w:val="-3"/>
          <w:sz w:val="21"/>
        </w:rPr>
        <w:t>有</w:t>
      </w:r>
      <w:r>
        <w:rPr>
          <w:sz w:val="21"/>
        </w:rPr>
        <w:t>效的声明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tabs>
          <w:tab w:pos="1101" w:val="left" w:leader="none"/>
          <w:tab w:pos="2505" w:val="left" w:leader="none"/>
        </w:tabs>
        <w:spacing w:before="99"/>
        <w:ind w:left="355"/>
      </w:pPr>
      <w:r>
        <w:rPr>
          <w:w w:val="100"/>
        </w:rPr>
        <w:t> </w:t>
      </w:r>
      <w:r>
        <w:rPr/>
        <w:tab/>
      </w:r>
      <w:r>
        <w:rPr>
          <w:w w:val="100"/>
        </w:rPr>
        <w:t> </w:t>
      </w:r>
      <w:r>
        <w:rPr/>
        <w:tab/>
      </w:r>
      <w:r>
        <w:rPr>
          <w:w w:val="100"/>
        </w:rPr>
        <w:t> </w:t>
      </w:r>
    </w:p>
    <w:p>
      <w:pPr>
        <w:spacing w:after="0"/>
        <w:sectPr>
          <w:footerReference w:type="default" r:id="rId7"/>
          <w:pgSz w:w="11900" w:h="16840"/>
          <w:pgMar w:footer="724" w:header="0" w:top="1100" w:bottom="920" w:left="1140" w:right="1100"/>
          <w:pgNumType w:start="2"/>
        </w:sectPr>
      </w:pPr>
    </w:p>
    <w:p>
      <w:pPr>
        <w:pStyle w:val="Heading3"/>
        <w:numPr>
          <w:ilvl w:val="1"/>
          <w:numId w:val="5"/>
        </w:numPr>
        <w:tabs>
          <w:tab w:pos="1101" w:val="left" w:leader="none"/>
          <w:tab w:pos="1102" w:val="left" w:leader="none"/>
        </w:tabs>
        <w:spacing w:line="204" w:lineRule="auto" w:before="102" w:after="0"/>
        <w:ind w:left="1101" w:right="0" w:hanging="746"/>
        <w:jc w:val="left"/>
      </w:pPr>
      <w:r>
        <w:rPr>
          <w:w w:val="95"/>
        </w:rPr>
        <w:t>2</w:t>
        <w:tab/>
        <w:t>合同成立 </w:t>
      </w:r>
      <w:r>
        <w:rPr/>
        <w:t>与生效</w:t>
      </w: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6"/>
        <w:ind w:left="0"/>
        <w:rPr>
          <w:rFonts w:ascii="Microsoft JhengHei"/>
          <w:b/>
          <w:sz w:val="19"/>
        </w:rPr>
      </w:pPr>
    </w:p>
    <w:p>
      <w:pPr>
        <w:pStyle w:val="BodyText"/>
        <w:tabs>
          <w:tab w:pos="1101" w:val="left" w:leader="none"/>
        </w:tabs>
        <w:spacing w:before="0"/>
        <w:ind w:left="355"/>
      </w:pPr>
      <w:r>
        <w:rPr>
          <w:w w:val="100"/>
        </w:rPr>
        <w:t> </w:t>
      </w:r>
      <w:r>
        <w:rPr/>
        <w:tab/>
      </w:r>
      <w:r>
        <w:rPr>
          <w:w w:val="100"/>
        </w:rPr>
        <w:t> </w:t>
      </w:r>
    </w:p>
    <w:p>
      <w:pPr>
        <w:pStyle w:val="BodyText"/>
        <w:spacing w:line="312" w:lineRule="exact" w:before="109"/>
        <w:ind w:left="307" w:right="239"/>
        <w:jc w:val="both"/>
      </w:pPr>
      <w:r>
        <w:rPr/>
        <w:br w:type="column"/>
      </w:r>
      <w:r>
        <w:rPr>
          <w:spacing w:val="-6"/>
        </w:rPr>
        <w:t>您提出保险申请、我们同意承保，本主险合同成立，本主险合同的成立日以保险单上载明的为准。自本主险合同成立、我们签发保险单的次日零时起本主险合同生效，本主险合同的生效日以保险单上载明的为准。</w:t>
      </w:r>
      <w:r>
        <w:rPr>
          <w:rFonts w:ascii="Microsoft JhengHei" w:eastAsia="Microsoft JhengHei" w:hint="eastAsia"/>
          <w:b/>
          <w:spacing w:val="-2"/>
        </w:rPr>
        <w:t>保单年度</w:t>
      </w:r>
      <w:r>
        <w:rPr>
          <w:spacing w:val="-3"/>
        </w:rPr>
        <w:t>（见</w:t>
      </w:r>
    </w:p>
    <w:p>
      <w:pPr>
        <w:spacing w:line="303" w:lineRule="exact" w:before="0"/>
        <w:ind w:left="307" w:right="0" w:firstLine="0"/>
        <w:jc w:val="left"/>
        <w:rPr>
          <w:sz w:val="21"/>
        </w:rPr>
      </w:pPr>
      <w:r>
        <w:rPr>
          <w:w w:val="100"/>
          <w:sz w:val="21"/>
        </w:rPr>
        <w:t>10.1</w:t>
      </w:r>
      <w:r>
        <w:rPr>
          <w:spacing w:val="-108"/>
          <w:w w:val="100"/>
          <w:sz w:val="21"/>
        </w:rPr>
        <w:t>）</w:t>
      </w:r>
      <w:r>
        <w:rPr>
          <w:spacing w:val="-3"/>
          <w:w w:val="100"/>
          <w:sz w:val="21"/>
        </w:rPr>
        <w:t>、</w:t>
      </w:r>
      <w:r>
        <w:rPr>
          <w:rFonts w:ascii="Microsoft JhengHei" w:eastAsia="Microsoft JhengHei" w:hint="eastAsia"/>
          <w:b/>
          <w:spacing w:val="-1"/>
          <w:w w:val="100"/>
          <w:sz w:val="21"/>
        </w:rPr>
        <w:t>保险费约定支付日</w:t>
      </w:r>
      <w:r>
        <w:rPr>
          <w:w w:val="100"/>
          <w:sz w:val="21"/>
        </w:rPr>
        <w:t>（见</w:t>
      </w:r>
      <w:r>
        <w:rPr>
          <w:spacing w:val="-53"/>
          <w:sz w:val="21"/>
        </w:rPr>
        <w:t> </w:t>
      </w:r>
      <w:r>
        <w:rPr>
          <w:spacing w:val="-3"/>
          <w:w w:val="100"/>
          <w:sz w:val="21"/>
        </w:rPr>
        <w:t>1</w:t>
      </w:r>
      <w:r>
        <w:rPr>
          <w:w w:val="100"/>
          <w:sz w:val="21"/>
        </w:rPr>
        <w:t>0.</w:t>
      </w:r>
      <w:r>
        <w:rPr>
          <w:spacing w:val="-3"/>
          <w:w w:val="100"/>
          <w:sz w:val="21"/>
        </w:rPr>
        <w:t>2</w:t>
      </w:r>
      <w:r>
        <w:rPr>
          <w:w w:val="100"/>
          <w:sz w:val="21"/>
        </w:rPr>
        <w:t>）</w:t>
      </w:r>
      <w:r>
        <w:rPr>
          <w:spacing w:val="-3"/>
          <w:w w:val="100"/>
          <w:sz w:val="21"/>
        </w:rPr>
        <w:t>均以该日期计算。</w:t>
      </w:r>
    </w:p>
    <w:p>
      <w:pPr>
        <w:pStyle w:val="BodyText"/>
        <w:spacing w:line="271" w:lineRule="auto" w:before="93"/>
        <w:ind w:left="307" w:right="239"/>
      </w:pPr>
      <w:r>
        <w:rPr>
          <w:spacing w:val="-5"/>
        </w:rPr>
        <w:t>我们自本主险合同生效、且收到您支付的首期保险费的次日零时开始承担本</w:t>
      </w:r>
      <w:r>
        <w:rPr>
          <w:spacing w:val="-6"/>
        </w:rPr>
        <w:t>主险合同的保险责任。自本主险合同生效日起 </w:t>
      </w:r>
      <w:r>
        <w:rPr/>
        <w:t>15</w:t>
      </w:r>
      <w:r>
        <w:rPr>
          <w:spacing w:val="-8"/>
        </w:rPr>
        <w:t> 日内，如果我们未收到首</w:t>
      </w:r>
      <w:r>
        <w:rPr>
          <w:spacing w:val="-5"/>
        </w:rPr>
        <w:t>期保险费，则本主险合同于生效日起第 </w:t>
      </w:r>
      <w:r>
        <w:rPr/>
        <w:t>16</w:t>
      </w:r>
      <w:r>
        <w:rPr>
          <w:spacing w:val="-8"/>
        </w:rPr>
        <w:t> 日零时起自动终止。</w:t>
      </w:r>
      <w:r>
        <w:rPr/>
        <w:t> </w:t>
      </w:r>
    </w:p>
    <w:p>
      <w:pPr>
        <w:spacing w:after="0" w:line="271" w:lineRule="auto"/>
        <w:sectPr>
          <w:type w:val="continuous"/>
          <w:pgSz w:w="11900" w:h="16840"/>
          <w:pgMar w:top="360" w:bottom="280" w:left="1140" w:right="1100"/>
          <w:cols w:num="2" w:equalWidth="0">
            <w:col w:w="2158" w:space="40"/>
            <w:col w:w="7462"/>
          </w:cols>
        </w:sectPr>
      </w:pPr>
    </w:p>
    <w:p>
      <w:pPr>
        <w:pStyle w:val="ListParagraph"/>
        <w:numPr>
          <w:ilvl w:val="1"/>
          <w:numId w:val="6"/>
        </w:numPr>
        <w:tabs>
          <w:tab w:pos="1101" w:val="left" w:leader="none"/>
          <w:tab w:pos="1102" w:val="left" w:leader="none"/>
          <w:tab w:pos="2505" w:val="left" w:leader="none"/>
        </w:tabs>
        <w:spacing w:line="247" w:lineRule="auto" w:before="49" w:after="0"/>
        <w:ind w:left="2505" w:right="240" w:hanging="2150"/>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0"/>
          <w:sz w:val="21"/>
        </w:rPr>
        <w:t>，</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w:t>
      </w:r>
      <w:r>
        <w:rPr>
          <w:rFonts w:ascii="Microsoft JhengHei" w:eastAsia="Microsoft JhengHei" w:hint="eastAsia"/>
          <w:b/>
          <w:spacing w:val="-17"/>
          <w:sz w:val="21"/>
        </w:rPr>
        <w:t>岁</w:t>
      </w:r>
      <w:r>
        <w:rPr>
          <w:spacing w:val="-3"/>
          <w:sz w:val="21"/>
        </w:rPr>
        <w:t>（</w:t>
      </w:r>
      <w:r>
        <w:rPr>
          <w:sz w:val="21"/>
        </w:rPr>
        <w:t>见</w:t>
      </w:r>
      <w:r>
        <w:rPr>
          <w:spacing w:val="-39"/>
          <w:sz w:val="21"/>
        </w:rPr>
        <w:t> </w:t>
      </w:r>
      <w:r>
        <w:rPr>
          <w:spacing w:val="-6"/>
          <w:sz w:val="21"/>
        </w:rPr>
        <w:t>10.3）</w:t>
      </w:r>
      <w:r>
        <w:rPr>
          <w:spacing w:val="-3"/>
          <w:sz w:val="21"/>
        </w:rPr>
        <w:t>计</w:t>
      </w:r>
      <w:r>
        <w:rPr>
          <w:sz w:val="21"/>
        </w:rPr>
        <w:t>算</w:t>
      </w:r>
      <w:r>
        <w:rPr>
          <w:spacing w:val="-20"/>
          <w:sz w:val="21"/>
        </w:rPr>
        <w:t>，</w:t>
      </w:r>
      <w:r>
        <w:rPr>
          <w:spacing w:val="-3"/>
          <w:sz w:val="21"/>
        </w:rPr>
        <w:t>本</w:t>
      </w:r>
      <w:r>
        <w:rPr>
          <w:sz w:val="21"/>
        </w:rPr>
        <w:t>主</w:t>
      </w:r>
      <w:r>
        <w:rPr>
          <w:spacing w:val="-3"/>
          <w:sz w:val="21"/>
        </w:rPr>
        <w:t>险</w:t>
      </w:r>
      <w:r>
        <w:rPr>
          <w:sz w:val="21"/>
        </w:rPr>
        <w:t>合</w:t>
      </w:r>
      <w:r>
        <w:rPr>
          <w:spacing w:val="-3"/>
          <w:sz w:val="21"/>
        </w:rPr>
        <w:t>同</w:t>
      </w:r>
      <w:r>
        <w:rPr>
          <w:sz w:val="21"/>
        </w:rPr>
        <w:t>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50</w:t>
      </w:r>
      <w:r>
        <w:rPr>
          <w:spacing w:val="-50"/>
          <w:sz w:val="21"/>
        </w:rPr>
        <w:t> </w:t>
      </w:r>
      <w:r>
        <w:rPr>
          <w:sz w:val="21"/>
        </w:rPr>
        <w:t>周</w:t>
      </w:r>
      <w:r>
        <w:rPr>
          <w:spacing w:val="-3"/>
          <w:sz w:val="21"/>
        </w:rPr>
        <w:t>岁。</w:t>
      </w:r>
      <w:r>
        <w:rPr>
          <w:sz w:val="21"/>
        </w:rPr>
        <w:t> </w:t>
      </w:r>
    </w:p>
    <w:p>
      <w:pPr>
        <w:pStyle w:val="BodyText"/>
        <w:tabs>
          <w:tab w:pos="1101" w:val="left" w:leader="none"/>
        </w:tabs>
        <w:spacing w:before="110"/>
        <w:ind w:left="355"/>
      </w:pPr>
      <w:r>
        <w:rPr>
          <w:w w:val="100"/>
        </w:rPr>
        <w:t> </w:t>
      </w:r>
      <w:r>
        <w:rPr/>
        <w:tab/>
      </w:r>
      <w:r>
        <w:rPr>
          <w:w w:val="100"/>
        </w:rPr>
        <w:t> </w:t>
      </w:r>
    </w:p>
    <w:p>
      <w:pPr>
        <w:pStyle w:val="ListParagraph"/>
        <w:numPr>
          <w:ilvl w:val="1"/>
          <w:numId w:val="6"/>
        </w:numPr>
        <w:tabs>
          <w:tab w:pos="1101" w:val="left" w:leader="none"/>
          <w:tab w:pos="1102" w:val="left" w:leader="none"/>
          <w:tab w:pos="2505" w:val="left" w:leader="none"/>
        </w:tabs>
        <w:spacing w:line="259" w:lineRule="auto" w:before="49" w:after="0"/>
        <w:ind w:left="2505" w:right="115" w:hanging="2150"/>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12"/>
          <w:sz w:val="21"/>
        </w:rPr>
        <w:t>，</w:t>
      </w:r>
      <w:r>
        <w:rPr>
          <w:sz w:val="21"/>
        </w:rPr>
        <w:t>有</w:t>
      </w:r>
      <w:r>
        <w:rPr>
          <w:spacing w:val="-35"/>
          <w:sz w:val="21"/>
        </w:rPr>
        <w:t> </w:t>
      </w:r>
      <w:r>
        <w:rPr>
          <w:sz w:val="21"/>
        </w:rPr>
        <w:t>10</w:t>
      </w:r>
      <w:r>
        <w:rPr>
          <w:spacing w:val="-35"/>
          <w:sz w:val="21"/>
        </w:rPr>
        <w:t> </w:t>
      </w:r>
      <w:r>
        <w:rPr>
          <w:spacing w:val="-3"/>
          <w:sz w:val="21"/>
        </w:rPr>
        <w:t>日</w:t>
      </w:r>
      <w:r>
        <w:rPr>
          <w:sz w:val="21"/>
        </w:rPr>
        <w:t>的</w:t>
      </w:r>
      <w:r>
        <w:rPr>
          <w:spacing w:val="-3"/>
          <w:sz w:val="21"/>
        </w:rPr>
        <w:t>犹</w:t>
      </w:r>
      <w:r>
        <w:rPr>
          <w:sz w:val="21"/>
        </w:rPr>
        <w:t>豫</w:t>
      </w:r>
      <w:r>
        <w:rPr>
          <w:spacing w:val="-3"/>
          <w:sz w:val="21"/>
        </w:rPr>
        <w:t>期</w:t>
      </w:r>
      <w:r>
        <w:rPr>
          <w:spacing w:val="-10"/>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同，如果</w:t>
      </w:r>
      <w:r>
        <w:rPr>
          <w:spacing w:val="-3"/>
          <w:sz w:val="21"/>
        </w:rPr>
        <w:t>您</w:t>
      </w:r>
      <w:r>
        <w:rPr>
          <w:sz w:val="21"/>
        </w:rPr>
        <w:t>认</w:t>
      </w:r>
      <w:r>
        <w:rPr>
          <w:spacing w:val="-3"/>
          <w:sz w:val="21"/>
        </w:rPr>
        <w:t>为</w:t>
      </w:r>
      <w:r>
        <w:rPr>
          <w:sz w:val="21"/>
        </w:rPr>
        <w:t>本</w:t>
      </w:r>
      <w:r>
        <w:rPr>
          <w:spacing w:val="-3"/>
          <w:sz w:val="21"/>
        </w:rPr>
        <w:t>主</w:t>
      </w:r>
      <w:r>
        <w:rPr>
          <w:sz w:val="21"/>
        </w:rPr>
        <w:t>险</w:t>
      </w:r>
      <w:r>
        <w:rPr>
          <w:spacing w:val="-3"/>
          <w:sz w:val="21"/>
        </w:rPr>
        <w:t>合</w:t>
      </w:r>
      <w:r>
        <w:rPr>
          <w:sz w:val="21"/>
        </w:rPr>
        <w:t>同</w:t>
      </w:r>
      <w:r>
        <w:rPr>
          <w:spacing w:val="-3"/>
          <w:sz w:val="21"/>
        </w:rPr>
        <w:t>与</w:t>
      </w:r>
      <w:r>
        <w:rPr>
          <w:sz w:val="21"/>
        </w:rPr>
        <w:t>您的</w:t>
      </w:r>
      <w:r>
        <w:rPr>
          <w:spacing w:val="-3"/>
          <w:sz w:val="21"/>
        </w:rPr>
        <w:t>需</w:t>
      </w:r>
      <w:r>
        <w:rPr>
          <w:sz w:val="21"/>
        </w:rPr>
        <w:t>求</w:t>
      </w:r>
      <w:r>
        <w:rPr>
          <w:spacing w:val="-3"/>
          <w:sz w:val="21"/>
        </w:rPr>
        <w:t>不</w:t>
      </w:r>
      <w:r>
        <w:rPr>
          <w:sz w:val="21"/>
        </w:rPr>
        <w:t>相</w:t>
      </w:r>
      <w:r>
        <w:rPr>
          <w:spacing w:val="-3"/>
          <w:sz w:val="21"/>
        </w:rPr>
        <w:t>符</w:t>
      </w:r>
      <w:r>
        <w:rPr>
          <w:spacing w:val="-22"/>
          <w:sz w:val="21"/>
        </w:rPr>
        <w:t>，</w:t>
      </w:r>
      <w:r>
        <w:rPr>
          <w:spacing w:val="-3"/>
          <w:sz w:val="21"/>
        </w:rPr>
        <w:t>您</w:t>
      </w:r>
      <w:r>
        <w:rPr>
          <w:sz w:val="21"/>
        </w:rPr>
        <w:t>可</w:t>
      </w:r>
      <w:r>
        <w:rPr>
          <w:spacing w:val="-3"/>
          <w:sz w:val="21"/>
        </w:rPr>
        <w:t>以</w:t>
      </w:r>
      <w:r>
        <w:rPr>
          <w:sz w:val="21"/>
        </w:rPr>
        <w:t>在此</w:t>
      </w:r>
      <w:r>
        <w:rPr>
          <w:spacing w:val="-3"/>
          <w:sz w:val="21"/>
        </w:rPr>
        <w:t>期</w:t>
      </w:r>
      <w:r>
        <w:rPr>
          <w:sz w:val="21"/>
        </w:rPr>
        <w:t>间</w:t>
      </w:r>
      <w:r>
        <w:rPr>
          <w:spacing w:val="-3"/>
          <w:sz w:val="21"/>
        </w:rPr>
        <w:t>提</w:t>
      </w:r>
      <w:r>
        <w:rPr>
          <w:sz w:val="21"/>
        </w:rPr>
        <w:t>出</w:t>
      </w:r>
      <w:r>
        <w:rPr>
          <w:spacing w:val="-3"/>
          <w:sz w:val="21"/>
        </w:rPr>
        <w:t>解</w:t>
      </w:r>
      <w:r>
        <w:rPr>
          <w:sz w:val="21"/>
        </w:rPr>
        <w:t>除</w:t>
      </w:r>
      <w:r>
        <w:rPr>
          <w:spacing w:val="-3"/>
          <w:sz w:val="21"/>
        </w:rPr>
        <w:t>本</w:t>
      </w:r>
      <w:r>
        <w:rPr>
          <w:sz w:val="21"/>
        </w:rPr>
        <w:t>主险合同</w:t>
      </w:r>
      <w:r>
        <w:rPr>
          <w:spacing w:val="-3"/>
          <w:sz w:val="21"/>
        </w:rPr>
        <w:t>，</w:t>
      </w:r>
      <w:r>
        <w:rPr>
          <w:sz w:val="21"/>
        </w:rPr>
        <w:t>我</w:t>
      </w:r>
      <w:r>
        <w:rPr>
          <w:spacing w:val="-3"/>
          <w:sz w:val="21"/>
        </w:rPr>
        <w:t>们</w:t>
      </w:r>
      <w:r>
        <w:rPr>
          <w:sz w:val="21"/>
        </w:rPr>
        <w:t>将</w:t>
      </w:r>
      <w:r>
        <w:rPr>
          <w:spacing w:val="-3"/>
          <w:sz w:val="21"/>
        </w:rPr>
        <w:t>在扣</w:t>
      </w:r>
      <w:r>
        <w:rPr>
          <w:sz w:val="21"/>
        </w:rPr>
        <w:t>除</w:t>
      </w:r>
      <w:r>
        <w:rPr>
          <w:spacing w:val="-34"/>
          <w:sz w:val="21"/>
        </w:rPr>
        <w:t> </w:t>
      </w:r>
      <w:r>
        <w:rPr>
          <w:sz w:val="21"/>
        </w:rPr>
        <w:t>10</w:t>
      </w:r>
      <w:r>
        <w:rPr>
          <w:spacing w:val="-37"/>
          <w:sz w:val="21"/>
        </w:rPr>
        <w:t> </w:t>
      </w:r>
      <w:r>
        <w:rPr>
          <w:spacing w:val="-3"/>
          <w:sz w:val="21"/>
        </w:rPr>
        <w:t>元</w:t>
      </w:r>
      <w:r>
        <w:rPr>
          <w:sz w:val="21"/>
        </w:rPr>
        <w:t>的工</w:t>
      </w:r>
      <w:r>
        <w:rPr>
          <w:spacing w:val="-3"/>
          <w:sz w:val="21"/>
        </w:rPr>
        <w:t>本</w:t>
      </w:r>
      <w:r>
        <w:rPr>
          <w:sz w:val="21"/>
        </w:rPr>
        <w:t>费</w:t>
      </w:r>
      <w:r>
        <w:rPr>
          <w:spacing w:val="-3"/>
          <w:sz w:val="21"/>
        </w:rPr>
        <w:t>后</w:t>
      </w:r>
      <w:r>
        <w:rPr>
          <w:sz w:val="21"/>
        </w:rPr>
        <w:t>退</w:t>
      </w:r>
      <w:r>
        <w:rPr>
          <w:spacing w:val="-3"/>
          <w:sz w:val="21"/>
        </w:rPr>
        <w:t>还</w:t>
      </w:r>
      <w:r>
        <w:rPr>
          <w:sz w:val="21"/>
        </w:rPr>
        <w:t>您</w:t>
      </w:r>
      <w:r>
        <w:rPr>
          <w:spacing w:val="-3"/>
          <w:sz w:val="21"/>
        </w:rPr>
        <w:t>所</w:t>
      </w:r>
      <w:r>
        <w:rPr>
          <w:sz w:val="21"/>
        </w:rPr>
        <w:t>支</w:t>
      </w:r>
      <w:r>
        <w:rPr>
          <w:spacing w:val="-3"/>
          <w:sz w:val="21"/>
        </w:rPr>
        <w:t>付</w:t>
      </w:r>
      <w:r>
        <w:rPr>
          <w:sz w:val="21"/>
        </w:rPr>
        <w:t>的全</w:t>
      </w:r>
      <w:r>
        <w:rPr>
          <w:spacing w:val="-3"/>
          <w:sz w:val="21"/>
        </w:rPr>
        <w:t>部</w:t>
      </w:r>
      <w:r>
        <w:rPr>
          <w:sz w:val="21"/>
        </w:rPr>
        <w:t>保</w:t>
      </w:r>
      <w:r>
        <w:rPr>
          <w:spacing w:val="-3"/>
          <w:sz w:val="21"/>
        </w:rPr>
        <w:t>险</w:t>
      </w:r>
      <w:r>
        <w:rPr>
          <w:sz w:val="21"/>
        </w:rPr>
        <w:t>费</w:t>
      </w:r>
      <w:r>
        <w:rPr>
          <w:spacing w:val="-3"/>
          <w:sz w:val="21"/>
        </w:rPr>
        <w:t>。</w:t>
      </w:r>
      <w:r>
        <w:rPr>
          <w:sz w:val="21"/>
        </w:rPr>
        <w:t>   </w:t>
      </w:r>
      <w:r>
        <w:rPr>
          <w:spacing w:val="-3"/>
          <w:sz w:val="21"/>
        </w:rPr>
        <w:t> </w:t>
      </w:r>
      <w:r>
        <w:rPr>
          <w:sz w:val="21"/>
        </w:rPr>
        <w:t>   </w:t>
      </w:r>
      <w:r>
        <w:rPr>
          <w:spacing w:val="-3"/>
          <w:sz w:val="21"/>
        </w:rPr>
        <w:t> </w:t>
      </w:r>
    </w:p>
    <w:p>
      <w:pPr>
        <w:spacing w:line="204" w:lineRule="auto" w:before="7"/>
        <w:ind w:left="2505" w:right="242" w:firstLine="0"/>
        <w:jc w:val="both"/>
        <w:rPr>
          <w:sz w:val="21"/>
        </w:rPr>
      </w:pPr>
      <w:r>
        <w:rPr>
          <w:spacing w:val="-5"/>
          <w:sz w:val="21"/>
        </w:rPr>
        <w:t>解除本主险合同时，您需要填写申请书，并提供您的保险合同及</w:t>
      </w:r>
      <w:r>
        <w:rPr>
          <w:rFonts w:ascii="Microsoft JhengHei" w:eastAsia="Microsoft JhengHei" w:hint="eastAsia"/>
          <w:b/>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10.4</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自我们收到您解除合同的书面申请时起，本主险合同即被解</w:t>
      </w:r>
      <w:r>
        <w:rPr>
          <w:rFonts w:ascii="Microsoft JhengHei" w:eastAsia="Microsoft JhengHei" w:hint="eastAsia"/>
          <w:b/>
          <w:spacing w:val="-3"/>
          <w:sz w:val="21"/>
        </w:rPr>
        <w:t>除，合同解除前发生的保险事故我们不承担保险责任。</w:t>
      </w:r>
      <w:r>
        <w:rPr>
          <w:spacing w:val="-3"/>
          <w:sz w:val="21"/>
        </w:rPr>
        <w:t> </w:t>
      </w:r>
    </w:p>
    <w:p>
      <w:pPr>
        <w:pStyle w:val="BodyText"/>
        <w:tabs>
          <w:tab w:pos="1101" w:val="left" w:leader="none"/>
          <w:tab w:pos="2505" w:val="left" w:leader="none"/>
        </w:tabs>
        <w:spacing w:before="92"/>
        <w:ind w:left="355"/>
      </w:pPr>
      <w:r>
        <w:rPr>
          <w:w w:val="100"/>
        </w:rPr>
        <w:t> </w:t>
      </w:r>
      <w:r>
        <w:rPr/>
        <w:tab/>
      </w:r>
      <w:r>
        <w:rPr>
          <w:w w:val="100"/>
        </w:rPr>
        <w:t> </w:t>
      </w:r>
      <w:r>
        <w:rPr/>
        <w:tab/>
      </w:r>
      <w:r>
        <w:rPr>
          <w:w w:val="100"/>
        </w:rPr>
        <w:t> </w:t>
      </w:r>
    </w:p>
    <w:p>
      <w:pPr>
        <w:tabs>
          <w:tab w:pos="1101" w:val="left" w:leader="none"/>
        </w:tabs>
        <w:spacing w:before="168"/>
        <w:ind w:left="359" w:right="0" w:firstLine="0"/>
        <w:jc w:val="left"/>
        <w:rPr>
          <w:rFonts w:ascii="Microsoft JhengHei" w:eastAsia="Microsoft JhengHei" w:hint="eastAsia"/>
          <w:b/>
          <w:sz w:val="24"/>
        </w:rPr>
      </w:pPr>
      <w:r>
        <w:rPr/>
        <w:pict>
          <v:group style="position:absolute;margin-left:69.360001pt;margin-top:37.513653pt;width:463.8pt;height:1pt;mso-position-horizontal-relative:page;mso-position-vertical-relative:paragraph;z-index:1120;mso-wrap-distance-left:0;mso-wrap-distance-right:0" coordorigin="1387,750" coordsize="9276,20">
            <v:line style="position:absolute" from="1387,760" to="2134,760" stroked="true" strokeweight=".96pt" strokecolor="#000000">
              <v:stroke dashstyle="solid"/>
            </v:line>
            <v:rect style="position:absolute;left:2133;top:750;width:20;height:20" filled="true" fillcolor="#000000" stroked="false">
              <v:fill type="solid"/>
            </v:rect>
            <v:line style="position:absolute" from="2153,760" to="3538,760" stroked="true" strokeweight=".96pt" strokecolor="#000000">
              <v:stroke dashstyle="solid"/>
            </v:line>
            <v:rect style="position:absolute;left:3537;top:750;width:20;height:20" filled="true" fillcolor="#000000" stroked="false">
              <v:fill type="solid"/>
            </v:rect>
            <v:line style="position:absolute" from="3557,760" to="10663,760"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505"/>
        <w:jc w:val="both"/>
      </w:pPr>
      <w:r>
        <w:rPr>
          <w:w w:val="100"/>
        </w:rPr>
        <w:t> </w:t>
      </w:r>
    </w:p>
    <w:p>
      <w:pPr>
        <w:pStyle w:val="ListParagraph"/>
        <w:numPr>
          <w:ilvl w:val="1"/>
          <w:numId w:val="7"/>
        </w:numPr>
        <w:tabs>
          <w:tab w:pos="1101" w:val="left" w:leader="none"/>
          <w:tab w:pos="1102" w:val="left" w:leader="none"/>
          <w:tab w:pos="2505" w:val="left" w:leader="none"/>
        </w:tabs>
        <w:spacing w:line="240" w:lineRule="auto" w:before="46" w:after="0"/>
        <w:ind w:left="1101" w:right="0" w:hanging="74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505" w:right="191"/>
      </w:pPr>
      <w:r>
        <w:rPr/>
        <w:t>本主险合同的基本保险金额由您在投保时与我们约定并在保险单上载明。若该金额发生变更，则以变更后的金额为基本保险金额。 </w:t>
      </w:r>
    </w:p>
    <w:p>
      <w:pPr>
        <w:pStyle w:val="BodyText"/>
        <w:spacing w:before="89"/>
        <w:ind w:left="2505"/>
        <w:jc w:val="both"/>
      </w:pPr>
      <w:r>
        <w:rPr/>
        <w:t>（2）保险金额 </w:t>
      </w:r>
    </w:p>
    <w:p>
      <w:pPr>
        <w:pStyle w:val="BodyText"/>
        <w:spacing w:before="116"/>
        <w:ind w:left="2505"/>
        <w:jc w:val="both"/>
      </w:pPr>
      <w:r>
        <w:rPr/>
        <w:t>保险金额是指我们根据本主险合同承担赔偿或者给付保险金责任的最高限</w:t>
      </w:r>
    </w:p>
    <w:p>
      <w:pPr>
        <w:pStyle w:val="BodyText"/>
        <w:spacing w:before="34"/>
        <w:ind w:left="2505"/>
        <w:jc w:val="both"/>
      </w:pPr>
      <w:r>
        <w:rPr/>
        <w:t>额。 </w:t>
      </w:r>
    </w:p>
    <w:p>
      <w:pPr>
        <w:pStyle w:val="BodyText"/>
        <w:tabs>
          <w:tab w:pos="1101" w:val="left" w:leader="none"/>
          <w:tab w:pos="2505" w:val="left" w:leader="none"/>
        </w:tabs>
        <w:spacing w:before="116"/>
        <w:ind w:left="355"/>
      </w:pPr>
      <w:r>
        <w:rPr>
          <w:w w:val="100"/>
        </w:rPr>
        <w:t> </w:t>
      </w:r>
      <w:r>
        <w:rPr/>
        <w:tab/>
      </w:r>
      <w:r>
        <w:rPr>
          <w:w w:val="100"/>
        </w:rPr>
        <w:t> </w:t>
      </w:r>
      <w:r>
        <w:rPr/>
        <w:tab/>
      </w:r>
      <w:r>
        <w:rPr>
          <w:w w:val="100"/>
        </w:rPr>
        <w:t> </w:t>
      </w:r>
    </w:p>
    <w:p>
      <w:pPr>
        <w:pStyle w:val="ListParagraph"/>
        <w:numPr>
          <w:ilvl w:val="1"/>
          <w:numId w:val="7"/>
        </w:numPr>
        <w:tabs>
          <w:tab w:pos="1101" w:val="left" w:leader="none"/>
          <w:tab w:pos="1102" w:val="left" w:leader="none"/>
          <w:tab w:pos="2505" w:val="left" w:leader="none"/>
        </w:tabs>
        <w:spacing w:line="240" w:lineRule="auto" w:before="49" w:after="0"/>
        <w:ind w:left="1101" w:right="0" w:hanging="746"/>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24"/>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 </w:t>
      </w:r>
      <w:r>
        <w:rPr>
          <w:spacing w:val="-3"/>
          <w:sz w:val="21"/>
        </w:rPr>
        <w:t>险</w:t>
      </w:r>
      <w:r>
        <w:rPr>
          <w:sz w:val="21"/>
        </w:rPr>
        <w:t>单上</w:t>
      </w:r>
    </w:p>
    <w:p>
      <w:pPr>
        <w:spacing w:after="0" w:line="240" w:lineRule="auto"/>
        <w:jc w:val="left"/>
        <w:rPr>
          <w:sz w:val="21"/>
        </w:rPr>
        <w:sectPr>
          <w:type w:val="continuous"/>
          <w:pgSz w:w="11900" w:h="16840"/>
          <w:pgMar w:top="360" w:bottom="280" w:left="1140" w:right="1100"/>
        </w:sect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4"/>
        <w:gridCol w:w="7140"/>
      </w:tblGrid>
      <w:tr>
        <w:trPr>
          <w:trHeight w:val="301" w:hRule="atLeast"/>
        </w:trPr>
        <w:tc>
          <w:tcPr>
            <w:tcW w:w="2025" w:type="dxa"/>
            <w:gridSpan w:val="2"/>
          </w:tcPr>
          <w:p>
            <w:pPr>
              <w:pStyle w:val="TableParagraph"/>
              <w:rPr>
                <w:rFonts w:ascii="Times New Roman"/>
                <w:sz w:val="20"/>
              </w:rPr>
            </w:pPr>
          </w:p>
        </w:tc>
        <w:tc>
          <w:tcPr>
            <w:tcW w:w="7140" w:type="dxa"/>
          </w:tcPr>
          <w:p>
            <w:pPr>
              <w:pStyle w:val="TableParagraph"/>
              <w:spacing w:line="204" w:lineRule="exact"/>
              <w:ind w:left="175"/>
              <w:rPr>
                <w:sz w:val="21"/>
              </w:rPr>
            </w:pPr>
            <w:r>
              <w:rPr>
                <w:sz w:val="21"/>
              </w:rPr>
              <w:t>载明。 </w:t>
            </w:r>
          </w:p>
        </w:tc>
      </w:tr>
      <w:tr>
        <w:trPr>
          <w:trHeight w:val="385" w:hRule="atLeast"/>
        </w:trPr>
        <w:tc>
          <w:tcPr>
            <w:tcW w:w="571" w:type="dxa"/>
          </w:tcPr>
          <w:p>
            <w:pPr>
              <w:pStyle w:val="TableParagraph"/>
              <w:spacing w:before="19"/>
              <w:ind w:left="50"/>
              <w:rPr>
                <w:sz w:val="21"/>
              </w:rPr>
            </w:pPr>
            <w:r>
              <w:rPr>
                <w:w w:val="100"/>
                <w:sz w:val="21"/>
              </w:rPr>
              <w:t> </w:t>
            </w:r>
          </w:p>
        </w:tc>
        <w:tc>
          <w:tcPr>
            <w:tcW w:w="1454" w:type="dxa"/>
          </w:tcPr>
          <w:p>
            <w:pPr>
              <w:pStyle w:val="TableParagraph"/>
              <w:spacing w:before="19"/>
              <w:ind w:left="225"/>
              <w:rPr>
                <w:sz w:val="21"/>
              </w:rPr>
            </w:pPr>
            <w:r>
              <w:rPr>
                <w:w w:val="100"/>
                <w:sz w:val="21"/>
              </w:rPr>
              <w:t> </w:t>
            </w:r>
          </w:p>
        </w:tc>
        <w:tc>
          <w:tcPr>
            <w:tcW w:w="7140" w:type="dxa"/>
          </w:tcPr>
          <w:p>
            <w:pPr>
              <w:pStyle w:val="TableParagraph"/>
              <w:spacing w:before="19"/>
              <w:ind w:left="175"/>
              <w:rPr>
                <w:sz w:val="21"/>
              </w:rPr>
            </w:pPr>
            <w:r>
              <w:rPr>
                <w:w w:val="100"/>
                <w:sz w:val="21"/>
              </w:rPr>
              <w:t> </w:t>
            </w:r>
          </w:p>
        </w:tc>
      </w:tr>
      <w:tr>
        <w:trPr>
          <w:trHeight w:val="402" w:hRule="atLeast"/>
        </w:trPr>
        <w:tc>
          <w:tcPr>
            <w:tcW w:w="571" w:type="dxa"/>
          </w:tcPr>
          <w:p>
            <w:pPr>
              <w:pStyle w:val="TableParagraph"/>
              <w:spacing w:line="321" w:lineRule="exact"/>
              <w:ind w:left="50"/>
              <w:rPr>
                <w:rFonts w:ascii="Microsoft JhengHei"/>
                <w:b/>
                <w:sz w:val="21"/>
              </w:rPr>
            </w:pPr>
            <w:r>
              <w:rPr>
                <w:rFonts w:ascii="Microsoft JhengHei"/>
                <w:b/>
                <w:w w:val="90"/>
                <w:sz w:val="21"/>
              </w:rPr>
              <w:t>2. 3</w:t>
            </w:r>
          </w:p>
        </w:tc>
        <w:tc>
          <w:tcPr>
            <w:tcW w:w="1454" w:type="dxa"/>
          </w:tcPr>
          <w:p>
            <w:pPr>
              <w:pStyle w:val="TableParagraph"/>
              <w:spacing w:line="321" w:lineRule="exact"/>
              <w:ind w:left="225"/>
              <w:rPr>
                <w:rFonts w:ascii="Microsoft JhengHei" w:eastAsia="Microsoft JhengHei" w:hint="eastAsia"/>
                <w:b/>
                <w:sz w:val="21"/>
              </w:rPr>
            </w:pPr>
            <w:r>
              <w:rPr>
                <w:rFonts w:ascii="Microsoft JhengHei" w:eastAsia="Microsoft JhengHei" w:hint="eastAsia"/>
                <w:b/>
                <w:sz w:val="21"/>
              </w:rPr>
              <w:t>保险责任</w:t>
            </w:r>
          </w:p>
        </w:tc>
        <w:tc>
          <w:tcPr>
            <w:tcW w:w="7140" w:type="dxa"/>
          </w:tcPr>
          <w:p>
            <w:pPr>
              <w:pStyle w:val="TableParagraph"/>
              <w:spacing w:before="22"/>
              <w:ind w:left="175"/>
              <w:rPr>
                <w:sz w:val="21"/>
              </w:rPr>
            </w:pPr>
            <w:r>
              <w:rPr>
                <w:sz w:val="21"/>
              </w:rPr>
              <w:t>在保险期间内，我们承担下列保险责任： </w:t>
            </w:r>
          </w:p>
        </w:tc>
      </w:tr>
      <w:tr>
        <w:trPr>
          <w:trHeight w:val="379" w:hRule="atLeast"/>
        </w:trPr>
        <w:tc>
          <w:tcPr>
            <w:tcW w:w="571" w:type="dxa"/>
          </w:tcPr>
          <w:p>
            <w:pPr>
              <w:pStyle w:val="TableParagraph"/>
              <w:spacing w:before="11"/>
              <w:ind w:left="50"/>
              <w:rPr>
                <w:sz w:val="21"/>
              </w:rPr>
            </w:pPr>
            <w:r>
              <w:rPr>
                <w:w w:val="100"/>
                <w:sz w:val="21"/>
              </w:rPr>
              <w:t> </w:t>
            </w:r>
          </w:p>
        </w:tc>
        <w:tc>
          <w:tcPr>
            <w:tcW w:w="1454" w:type="dxa"/>
          </w:tcPr>
          <w:p>
            <w:pPr>
              <w:pStyle w:val="TableParagraph"/>
              <w:spacing w:before="11"/>
              <w:ind w:left="225"/>
              <w:rPr>
                <w:sz w:val="21"/>
              </w:rPr>
            </w:pPr>
            <w:r>
              <w:rPr>
                <w:w w:val="100"/>
                <w:sz w:val="21"/>
              </w:rPr>
              <w:t> </w:t>
            </w:r>
          </w:p>
        </w:tc>
        <w:tc>
          <w:tcPr>
            <w:tcW w:w="7140" w:type="dxa"/>
          </w:tcPr>
          <w:p>
            <w:pPr>
              <w:pStyle w:val="TableParagraph"/>
              <w:spacing w:before="11"/>
              <w:ind w:left="175"/>
              <w:rPr>
                <w:sz w:val="21"/>
              </w:rPr>
            </w:pPr>
            <w:r>
              <w:rPr>
                <w:w w:val="100"/>
                <w:sz w:val="21"/>
              </w:rPr>
              <w:t> </w:t>
            </w:r>
          </w:p>
        </w:tc>
      </w:tr>
      <w:tr>
        <w:trPr>
          <w:trHeight w:val="350" w:hRule="atLeast"/>
        </w:trPr>
        <w:tc>
          <w:tcPr>
            <w:tcW w:w="571" w:type="dxa"/>
          </w:tcPr>
          <w:p>
            <w:pPr>
              <w:pStyle w:val="TableParagraph"/>
              <w:rPr>
                <w:rFonts w:ascii="Times New Roman"/>
                <w:sz w:val="20"/>
              </w:rPr>
            </w:pPr>
          </w:p>
        </w:tc>
        <w:tc>
          <w:tcPr>
            <w:tcW w:w="1454" w:type="dxa"/>
          </w:tcPr>
          <w:p>
            <w:pPr>
              <w:pStyle w:val="TableParagraph"/>
              <w:spacing w:line="301" w:lineRule="exact"/>
              <w:ind w:left="225"/>
              <w:rPr>
                <w:rFonts w:ascii="Microsoft JhengHei" w:eastAsia="Microsoft JhengHei" w:hint="eastAsia"/>
                <w:b/>
                <w:sz w:val="21"/>
              </w:rPr>
            </w:pPr>
            <w:r>
              <w:rPr>
                <w:rFonts w:ascii="Microsoft JhengHei" w:eastAsia="Microsoft JhengHei" w:hint="eastAsia"/>
                <w:b/>
                <w:sz w:val="21"/>
              </w:rPr>
              <w:t>重大疾病保</w:t>
            </w:r>
          </w:p>
        </w:tc>
        <w:tc>
          <w:tcPr>
            <w:tcW w:w="7140" w:type="dxa"/>
          </w:tcPr>
          <w:p>
            <w:pPr>
              <w:pStyle w:val="TableParagraph"/>
              <w:spacing w:before="21"/>
              <w:ind w:left="175"/>
              <w:rPr>
                <w:sz w:val="21"/>
              </w:rPr>
            </w:pPr>
            <w:r>
              <w:rPr>
                <w:spacing w:val="-3"/>
                <w:sz w:val="21"/>
              </w:rPr>
              <w:t>自本主险合同生效日或最后复效日（以较迟者为准</w:t>
            </w:r>
            <w:r>
              <w:rPr>
                <w:sz w:val="21"/>
              </w:rPr>
              <w:t>）</w:t>
            </w:r>
            <w:r>
              <w:rPr>
                <w:spacing w:val="-15"/>
                <w:sz w:val="21"/>
              </w:rPr>
              <w:t>起 </w:t>
            </w:r>
            <w:r>
              <w:rPr>
                <w:sz w:val="21"/>
              </w:rPr>
              <w:t>180</w:t>
            </w:r>
            <w:r>
              <w:rPr>
                <w:spacing w:val="-13"/>
                <w:sz w:val="21"/>
              </w:rPr>
              <w:t> 日内</w:t>
            </w:r>
            <w:r>
              <w:rPr>
                <w:sz w:val="21"/>
              </w:rPr>
              <w:t>（</w:t>
            </w:r>
            <w:r>
              <w:rPr>
                <w:spacing w:val="-11"/>
                <w:sz w:val="21"/>
              </w:rPr>
              <w:t>含第 </w:t>
            </w:r>
            <w:r>
              <w:rPr>
                <w:sz w:val="21"/>
              </w:rPr>
              <w:t>180</w:t>
            </w:r>
          </w:p>
        </w:tc>
      </w:tr>
      <w:tr>
        <w:trPr>
          <w:trHeight w:val="313" w:hRule="atLeast"/>
        </w:trPr>
        <w:tc>
          <w:tcPr>
            <w:tcW w:w="571" w:type="dxa"/>
          </w:tcPr>
          <w:p>
            <w:pPr>
              <w:pStyle w:val="TableParagraph"/>
              <w:rPr>
                <w:rFonts w:ascii="Times New Roman"/>
                <w:sz w:val="20"/>
              </w:rPr>
            </w:pPr>
          </w:p>
        </w:tc>
        <w:tc>
          <w:tcPr>
            <w:tcW w:w="1454" w:type="dxa"/>
          </w:tcPr>
          <w:p>
            <w:pPr>
              <w:pStyle w:val="TableParagraph"/>
              <w:spacing w:line="262" w:lineRule="exact"/>
              <w:ind w:left="225"/>
              <w:rPr>
                <w:rFonts w:ascii="Microsoft JhengHei" w:eastAsia="Microsoft JhengHei" w:hint="eastAsia"/>
                <w:b/>
                <w:sz w:val="21"/>
              </w:rPr>
            </w:pPr>
            <w:r>
              <w:rPr>
                <w:rFonts w:ascii="Microsoft JhengHei" w:eastAsia="Microsoft JhengHei" w:hint="eastAsia"/>
                <w:b/>
                <w:sz w:val="21"/>
              </w:rPr>
              <w:t>险金</w:t>
            </w:r>
          </w:p>
        </w:tc>
        <w:tc>
          <w:tcPr>
            <w:tcW w:w="7140" w:type="dxa"/>
          </w:tcPr>
          <w:p>
            <w:pPr>
              <w:pStyle w:val="TableParagraph"/>
              <w:spacing w:line="281" w:lineRule="exact"/>
              <w:ind w:left="175"/>
              <w:rPr>
                <w:sz w:val="21"/>
              </w:rPr>
            </w:pPr>
            <w:r>
              <w:rPr>
                <w:w w:val="100"/>
                <w:sz w:val="21"/>
              </w:rPr>
              <w:t>日</w:t>
            </w:r>
            <w:r>
              <w:rPr>
                <w:spacing w:val="-106"/>
                <w:w w:val="100"/>
                <w:sz w:val="21"/>
              </w:rPr>
              <w:t>）</w:t>
            </w:r>
            <w:r>
              <w:rPr>
                <w:spacing w:val="-3"/>
                <w:w w:val="100"/>
                <w:sz w:val="21"/>
              </w:rPr>
              <w:t>，若被保险人经</w:t>
            </w:r>
            <w:r>
              <w:rPr>
                <w:rFonts w:ascii="Microsoft JhengHei" w:eastAsia="Microsoft JhengHei" w:hint="eastAsia"/>
                <w:b/>
                <w:spacing w:val="-1"/>
                <w:w w:val="100"/>
                <w:sz w:val="21"/>
              </w:rPr>
              <w:t>医疗机构</w:t>
            </w:r>
            <w:r>
              <w:rPr>
                <w:spacing w:val="-3"/>
                <w:w w:val="100"/>
                <w:sz w:val="21"/>
              </w:rPr>
              <w:t>（</w:t>
            </w:r>
            <w:r>
              <w:rPr>
                <w:w w:val="100"/>
                <w:sz w:val="21"/>
              </w:rPr>
              <w:t>见</w:t>
            </w:r>
            <w:r>
              <w:rPr>
                <w:spacing w:val="-24"/>
                <w:sz w:val="21"/>
              </w:rPr>
              <w:t> </w:t>
            </w:r>
            <w:r>
              <w:rPr>
                <w:w w:val="100"/>
                <w:sz w:val="21"/>
              </w:rPr>
              <w:t>10.</w:t>
            </w:r>
            <w:r>
              <w:rPr>
                <w:spacing w:val="-3"/>
                <w:w w:val="100"/>
                <w:sz w:val="21"/>
              </w:rPr>
              <w:t>5</w:t>
            </w:r>
            <w:r>
              <w:rPr>
                <w:w w:val="100"/>
                <w:sz w:val="21"/>
              </w:rPr>
              <w:t>）</w:t>
            </w:r>
            <w:r>
              <w:rPr>
                <w:spacing w:val="-3"/>
                <w:w w:val="100"/>
                <w:sz w:val="21"/>
              </w:rPr>
              <w:t>确诊，首次患上符合本主险合同定</w:t>
            </w:r>
          </w:p>
        </w:tc>
      </w:tr>
      <w:tr>
        <w:trPr>
          <w:trHeight w:val="313"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80" w:lineRule="exact"/>
              <w:ind w:left="175"/>
              <w:rPr>
                <w:sz w:val="21"/>
              </w:rPr>
            </w:pPr>
            <w:r>
              <w:rPr>
                <w:spacing w:val="-2"/>
                <w:w w:val="100"/>
                <w:sz w:val="21"/>
              </w:rPr>
              <w:t>义的</w:t>
            </w:r>
            <w:r>
              <w:rPr>
                <w:rFonts w:ascii="Microsoft JhengHei" w:eastAsia="Microsoft JhengHei" w:hint="eastAsia"/>
                <w:b/>
                <w:w w:val="100"/>
                <w:sz w:val="21"/>
              </w:rPr>
              <w:t>重大疾病</w:t>
            </w:r>
            <w:r>
              <w:rPr>
                <w:spacing w:val="-3"/>
                <w:w w:val="100"/>
                <w:sz w:val="21"/>
              </w:rPr>
              <w:t>（</w:t>
            </w:r>
            <w:r>
              <w:rPr>
                <w:w w:val="100"/>
                <w:sz w:val="21"/>
              </w:rPr>
              <w:t>见</w:t>
            </w:r>
            <w:r>
              <w:rPr>
                <w:spacing w:val="-24"/>
                <w:sz w:val="21"/>
              </w:rPr>
              <w:t> </w:t>
            </w:r>
            <w:r>
              <w:rPr>
                <w:w w:val="100"/>
                <w:sz w:val="21"/>
              </w:rPr>
              <w:t>1</w:t>
            </w:r>
            <w:r>
              <w:rPr>
                <w:spacing w:val="-3"/>
                <w:w w:val="100"/>
                <w:sz w:val="21"/>
              </w:rPr>
              <w:t>0</w:t>
            </w:r>
            <w:r>
              <w:rPr>
                <w:w w:val="100"/>
                <w:sz w:val="21"/>
              </w:rPr>
              <w:t>.6</w:t>
            </w:r>
            <w:r>
              <w:rPr>
                <w:spacing w:val="-108"/>
                <w:w w:val="100"/>
                <w:sz w:val="21"/>
              </w:rPr>
              <w:t>）</w:t>
            </w:r>
            <w:r>
              <w:rPr>
                <w:spacing w:val="-3"/>
                <w:w w:val="100"/>
                <w:sz w:val="21"/>
              </w:rPr>
              <w:t>，我们将按您所支付的全部保险费给付重大疾病保</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4" w:lineRule="exact"/>
              <w:ind w:left="175"/>
              <w:rPr>
                <w:sz w:val="21"/>
              </w:rPr>
            </w:pPr>
            <w:r>
              <w:rPr>
                <w:sz w:val="21"/>
              </w:rPr>
              <w:t>险金，本主险合同终止。 </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before="19"/>
              <w:ind w:left="175"/>
              <w:rPr>
                <w:sz w:val="21"/>
              </w:rPr>
            </w:pPr>
            <w:r>
              <w:rPr>
                <w:spacing w:val="-7"/>
                <w:sz w:val="21"/>
              </w:rPr>
              <w:t>自本主险合同生效日或最后复效日</w:t>
            </w:r>
            <w:r>
              <w:rPr>
                <w:spacing w:val="-3"/>
                <w:sz w:val="21"/>
              </w:rPr>
              <w:t>（以较迟者为准</w:t>
            </w:r>
            <w:r>
              <w:rPr>
                <w:spacing w:val="-63"/>
                <w:sz w:val="21"/>
              </w:rPr>
              <w:t>）</w:t>
            </w:r>
            <w:r>
              <w:rPr>
                <w:spacing w:val="-20"/>
                <w:sz w:val="21"/>
              </w:rPr>
              <w:t>起 </w:t>
            </w:r>
            <w:r>
              <w:rPr>
                <w:sz w:val="21"/>
              </w:rPr>
              <w:t>180</w:t>
            </w:r>
            <w:r>
              <w:rPr>
                <w:spacing w:val="-35"/>
                <w:sz w:val="21"/>
              </w:rPr>
              <w:t> 日后</w:t>
            </w:r>
            <w:r>
              <w:rPr>
                <w:sz w:val="21"/>
              </w:rPr>
              <w:t>（</w:t>
            </w:r>
            <w:r>
              <w:rPr>
                <w:spacing w:val="-12"/>
                <w:sz w:val="21"/>
              </w:rPr>
              <w:t>不含第 </w:t>
            </w:r>
            <w:r>
              <w:rPr>
                <w:sz w:val="21"/>
              </w:rPr>
              <w:t>180</w:t>
            </w:r>
          </w:p>
        </w:tc>
      </w:tr>
      <w:tr>
        <w:trPr>
          <w:trHeight w:val="31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3" w:lineRule="exact"/>
              <w:ind w:left="175"/>
              <w:rPr>
                <w:sz w:val="21"/>
              </w:rPr>
            </w:pPr>
            <w:r>
              <w:rPr>
                <w:spacing w:val="1"/>
                <w:w w:val="100"/>
                <w:sz w:val="21"/>
              </w:rPr>
              <w:t>日</w:t>
            </w:r>
            <w:r>
              <w:rPr>
                <w:spacing w:val="-104"/>
                <w:w w:val="100"/>
                <w:sz w:val="21"/>
              </w:rPr>
              <w:t>）</w:t>
            </w:r>
            <w:r>
              <w:rPr>
                <w:w w:val="100"/>
                <w:sz w:val="21"/>
              </w:rPr>
              <w:t>，若被保险人经医疗机构确诊，首次患上符合本主险合同定义的重大疾</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4" w:lineRule="exact"/>
              <w:ind w:left="175"/>
              <w:rPr>
                <w:sz w:val="21"/>
              </w:rPr>
            </w:pPr>
            <w:r>
              <w:rPr>
                <w:sz w:val="21"/>
              </w:rPr>
              <w:t>病，我们将按基本保险金额给付重大疾病保险金，本主险合同终止。 </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before="19"/>
              <w:ind w:left="175"/>
              <w:rPr>
                <w:sz w:val="21"/>
              </w:rPr>
            </w:pPr>
            <w:r>
              <w:rPr>
                <w:sz w:val="21"/>
              </w:rPr>
              <w:t>被保险人经医疗机构确诊首次患上多种重大疾病的，重大疾病保险金的给付</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4" w:lineRule="exact"/>
              <w:ind w:left="175"/>
              <w:rPr>
                <w:sz w:val="21"/>
              </w:rPr>
            </w:pPr>
            <w:r>
              <w:rPr>
                <w:sz w:val="21"/>
              </w:rPr>
              <w:t>以基本保险金额为限。 </w:t>
            </w:r>
          </w:p>
        </w:tc>
      </w:tr>
      <w:tr>
        <w:trPr>
          <w:trHeight w:val="386" w:hRule="atLeast"/>
        </w:trPr>
        <w:tc>
          <w:tcPr>
            <w:tcW w:w="571" w:type="dxa"/>
          </w:tcPr>
          <w:p>
            <w:pPr>
              <w:pStyle w:val="TableParagraph"/>
              <w:spacing w:before="19"/>
              <w:ind w:left="50"/>
              <w:rPr>
                <w:sz w:val="21"/>
              </w:rPr>
            </w:pPr>
            <w:r>
              <w:rPr>
                <w:w w:val="100"/>
                <w:sz w:val="21"/>
              </w:rPr>
              <w:t> </w:t>
            </w:r>
          </w:p>
        </w:tc>
        <w:tc>
          <w:tcPr>
            <w:tcW w:w="1454" w:type="dxa"/>
          </w:tcPr>
          <w:p>
            <w:pPr>
              <w:pStyle w:val="TableParagraph"/>
              <w:rPr>
                <w:rFonts w:ascii="Times New Roman"/>
                <w:sz w:val="20"/>
              </w:rPr>
            </w:pPr>
          </w:p>
        </w:tc>
        <w:tc>
          <w:tcPr>
            <w:tcW w:w="7140" w:type="dxa"/>
          </w:tcPr>
          <w:p>
            <w:pPr>
              <w:pStyle w:val="TableParagraph"/>
              <w:spacing w:before="19"/>
              <w:ind w:left="175"/>
              <w:rPr>
                <w:sz w:val="21"/>
              </w:rPr>
            </w:pPr>
            <w:r>
              <w:rPr>
                <w:w w:val="100"/>
                <w:sz w:val="21"/>
              </w:rPr>
              <w:t> </w:t>
            </w:r>
          </w:p>
        </w:tc>
      </w:tr>
      <w:tr>
        <w:trPr>
          <w:trHeight w:val="350" w:hRule="atLeast"/>
        </w:trPr>
        <w:tc>
          <w:tcPr>
            <w:tcW w:w="571" w:type="dxa"/>
          </w:tcPr>
          <w:p>
            <w:pPr>
              <w:pStyle w:val="TableParagraph"/>
              <w:rPr>
                <w:rFonts w:ascii="Times New Roman"/>
                <w:sz w:val="20"/>
              </w:rPr>
            </w:pPr>
          </w:p>
        </w:tc>
        <w:tc>
          <w:tcPr>
            <w:tcW w:w="1454" w:type="dxa"/>
          </w:tcPr>
          <w:p>
            <w:pPr>
              <w:pStyle w:val="TableParagraph"/>
              <w:spacing w:line="301" w:lineRule="exact"/>
              <w:ind w:left="225"/>
              <w:rPr>
                <w:rFonts w:ascii="Microsoft JhengHei" w:eastAsia="Microsoft JhengHei" w:hint="eastAsia"/>
                <w:b/>
                <w:sz w:val="21"/>
              </w:rPr>
            </w:pPr>
            <w:r>
              <w:rPr>
                <w:rFonts w:ascii="Microsoft JhengHei" w:eastAsia="Microsoft JhengHei" w:hint="eastAsia"/>
                <w:b/>
                <w:sz w:val="21"/>
              </w:rPr>
              <w:t>恶性肿瘤特</w:t>
            </w:r>
          </w:p>
        </w:tc>
        <w:tc>
          <w:tcPr>
            <w:tcW w:w="7140" w:type="dxa"/>
          </w:tcPr>
          <w:p>
            <w:pPr>
              <w:pStyle w:val="TableParagraph"/>
              <w:spacing w:before="21"/>
              <w:ind w:left="175"/>
              <w:rPr>
                <w:sz w:val="21"/>
              </w:rPr>
            </w:pPr>
            <w:r>
              <w:rPr>
                <w:spacing w:val="-7"/>
                <w:sz w:val="21"/>
              </w:rPr>
              <w:t>自本主险合同生效日或最后复效日</w:t>
            </w:r>
            <w:r>
              <w:rPr>
                <w:spacing w:val="-3"/>
                <w:sz w:val="21"/>
              </w:rPr>
              <w:t>（以较迟者为准</w:t>
            </w:r>
            <w:r>
              <w:rPr>
                <w:spacing w:val="-63"/>
                <w:sz w:val="21"/>
              </w:rPr>
              <w:t>）</w:t>
            </w:r>
            <w:r>
              <w:rPr>
                <w:spacing w:val="-20"/>
                <w:sz w:val="21"/>
              </w:rPr>
              <w:t>起 </w:t>
            </w:r>
            <w:r>
              <w:rPr>
                <w:sz w:val="21"/>
              </w:rPr>
              <w:t>180</w:t>
            </w:r>
            <w:r>
              <w:rPr>
                <w:spacing w:val="-35"/>
                <w:sz w:val="21"/>
              </w:rPr>
              <w:t> 日后</w:t>
            </w:r>
            <w:r>
              <w:rPr>
                <w:sz w:val="21"/>
              </w:rPr>
              <w:t>（</w:t>
            </w:r>
            <w:r>
              <w:rPr>
                <w:spacing w:val="-12"/>
                <w:sz w:val="21"/>
              </w:rPr>
              <w:t>不含第 </w:t>
            </w:r>
            <w:r>
              <w:rPr>
                <w:sz w:val="21"/>
              </w:rPr>
              <w:t>180</w:t>
            </w:r>
          </w:p>
        </w:tc>
      </w:tr>
      <w:tr>
        <w:trPr>
          <w:trHeight w:val="315" w:hRule="atLeast"/>
        </w:trPr>
        <w:tc>
          <w:tcPr>
            <w:tcW w:w="571" w:type="dxa"/>
          </w:tcPr>
          <w:p>
            <w:pPr>
              <w:pStyle w:val="TableParagraph"/>
              <w:rPr>
                <w:rFonts w:ascii="Times New Roman"/>
                <w:sz w:val="20"/>
              </w:rPr>
            </w:pPr>
          </w:p>
        </w:tc>
        <w:tc>
          <w:tcPr>
            <w:tcW w:w="1454" w:type="dxa"/>
          </w:tcPr>
          <w:p>
            <w:pPr>
              <w:pStyle w:val="TableParagraph"/>
              <w:spacing w:line="262" w:lineRule="exact"/>
              <w:ind w:left="225"/>
              <w:rPr>
                <w:rFonts w:ascii="Microsoft JhengHei" w:eastAsia="Microsoft JhengHei" w:hint="eastAsia"/>
                <w:b/>
                <w:sz w:val="21"/>
              </w:rPr>
            </w:pPr>
            <w:r>
              <w:rPr>
                <w:rFonts w:ascii="Microsoft JhengHei" w:eastAsia="Microsoft JhengHei" w:hint="eastAsia"/>
                <w:b/>
                <w:sz w:val="21"/>
              </w:rPr>
              <w:t>别保险金</w:t>
            </w:r>
          </w:p>
        </w:tc>
        <w:tc>
          <w:tcPr>
            <w:tcW w:w="7140" w:type="dxa"/>
          </w:tcPr>
          <w:p>
            <w:pPr>
              <w:pStyle w:val="TableParagraph"/>
              <w:spacing w:line="257" w:lineRule="exact"/>
              <w:ind w:left="175"/>
              <w:rPr>
                <w:sz w:val="21"/>
              </w:rPr>
            </w:pPr>
            <w:r>
              <w:rPr>
                <w:sz w:val="21"/>
              </w:rPr>
              <w:t>日）,若被保险人经医疗机构确诊，首次患上本主险合同定义的第 1 种重大</w:t>
            </w:r>
          </w:p>
        </w:tc>
      </w:tr>
      <w:tr>
        <w:trPr>
          <w:trHeight w:val="31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4" w:lineRule="exact"/>
              <w:ind w:left="175"/>
              <w:rPr>
                <w:sz w:val="21"/>
              </w:rPr>
            </w:pPr>
            <w:r>
              <w:rPr>
                <w:spacing w:val="1"/>
                <w:w w:val="100"/>
                <w:sz w:val="21"/>
              </w:rPr>
              <w:t>疾病</w:t>
            </w:r>
            <w:r>
              <w:rPr>
                <w:w w:val="100"/>
                <w:sz w:val="21"/>
              </w:rPr>
              <w:t>（恶性肿瘤</w:t>
            </w:r>
            <w:r>
              <w:rPr>
                <w:spacing w:val="-104"/>
                <w:w w:val="100"/>
                <w:sz w:val="21"/>
              </w:rPr>
              <w:t>）</w:t>
            </w:r>
            <w:r>
              <w:rPr>
                <w:w w:val="100"/>
                <w:sz w:val="21"/>
              </w:rPr>
              <w:t>，我们除给付重大疾病保险金外，还将按基本保险金额给</w:t>
            </w:r>
          </w:p>
        </w:tc>
      </w:tr>
      <w:tr>
        <w:trPr>
          <w:trHeight w:val="351"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4" w:lineRule="exact"/>
              <w:ind w:left="175"/>
              <w:rPr>
                <w:sz w:val="21"/>
              </w:rPr>
            </w:pPr>
            <w:r>
              <w:rPr>
                <w:sz w:val="21"/>
              </w:rPr>
              <w:t>付恶性肿瘤特别保险金。 </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before="19"/>
              <w:ind w:left="175"/>
              <w:rPr>
                <w:sz w:val="21"/>
              </w:rPr>
            </w:pPr>
            <w:r>
              <w:rPr>
                <w:sz w:val="21"/>
              </w:rPr>
              <w:t>被保险人经医疗机构确诊首次患上多种恶性肿瘤的，恶性肿瘤特别保险金的</w:t>
            </w:r>
          </w:p>
        </w:tc>
      </w:tr>
      <w:tr>
        <w:trPr>
          <w:trHeight w:val="35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53" w:lineRule="exact"/>
              <w:ind w:left="175"/>
              <w:rPr>
                <w:sz w:val="21"/>
              </w:rPr>
            </w:pPr>
            <w:r>
              <w:rPr>
                <w:sz w:val="21"/>
              </w:rPr>
              <w:t>给付以基本保险金额为限。 </w:t>
            </w:r>
          </w:p>
        </w:tc>
      </w:tr>
      <w:tr>
        <w:trPr>
          <w:trHeight w:val="386" w:hRule="atLeast"/>
        </w:trPr>
        <w:tc>
          <w:tcPr>
            <w:tcW w:w="571" w:type="dxa"/>
          </w:tcPr>
          <w:p>
            <w:pPr>
              <w:pStyle w:val="TableParagraph"/>
              <w:spacing w:before="19"/>
              <w:ind w:left="50"/>
              <w:rPr>
                <w:sz w:val="21"/>
              </w:rPr>
            </w:pPr>
            <w:r>
              <w:rPr>
                <w:w w:val="100"/>
                <w:sz w:val="21"/>
              </w:rPr>
              <w:t> </w:t>
            </w:r>
          </w:p>
        </w:tc>
        <w:tc>
          <w:tcPr>
            <w:tcW w:w="1454" w:type="dxa"/>
          </w:tcPr>
          <w:p>
            <w:pPr>
              <w:pStyle w:val="TableParagraph"/>
              <w:spacing w:before="19"/>
              <w:ind w:left="225"/>
              <w:rPr>
                <w:sz w:val="21"/>
              </w:rPr>
            </w:pPr>
            <w:r>
              <w:rPr>
                <w:w w:val="100"/>
                <w:sz w:val="21"/>
              </w:rPr>
              <w:t> </w:t>
            </w:r>
          </w:p>
        </w:tc>
        <w:tc>
          <w:tcPr>
            <w:tcW w:w="7140" w:type="dxa"/>
          </w:tcPr>
          <w:p>
            <w:pPr>
              <w:pStyle w:val="TableParagraph"/>
              <w:spacing w:before="19"/>
              <w:ind w:left="175"/>
              <w:rPr>
                <w:sz w:val="21"/>
              </w:rPr>
            </w:pPr>
            <w:r>
              <w:rPr>
                <w:w w:val="100"/>
                <w:sz w:val="21"/>
              </w:rPr>
              <w:t> </w:t>
            </w:r>
          </w:p>
        </w:tc>
      </w:tr>
      <w:tr>
        <w:trPr>
          <w:trHeight w:val="700" w:hRule="atLeast"/>
        </w:trPr>
        <w:tc>
          <w:tcPr>
            <w:tcW w:w="571" w:type="dxa"/>
          </w:tcPr>
          <w:p>
            <w:pPr>
              <w:pStyle w:val="TableParagraph"/>
              <w:spacing w:line="323" w:lineRule="exact"/>
              <w:ind w:left="50"/>
              <w:rPr>
                <w:rFonts w:ascii="Microsoft JhengHei"/>
                <w:b/>
                <w:sz w:val="21"/>
              </w:rPr>
            </w:pPr>
            <w:r>
              <w:rPr>
                <w:rFonts w:ascii="Microsoft JhengHei"/>
                <w:b/>
                <w:w w:val="90"/>
                <w:sz w:val="21"/>
              </w:rPr>
              <w:t>2. 4</w:t>
            </w:r>
          </w:p>
        </w:tc>
        <w:tc>
          <w:tcPr>
            <w:tcW w:w="1454" w:type="dxa"/>
          </w:tcPr>
          <w:p>
            <w:pPr>
              <w:pStyle w:val="TableParagraph"/>
              <w:spacing w:line="323" w:lineRule="exact"/>
              <w:ind w:left="225"/>
              <w:rPr>
                <w:sz w:val="21"/>
              </w:rPr>
            </w:pPr>
            <w:r>
              <w:rPr>
                <w:rFonts w:ascii="Microsoft JhengHei" w:eastAsia="Microsoft JhengHei" w:hint="eastAsia"/>
                <w:b/>
                <w:sz w:val="21"/>
              </w:rPr>
              <w:t>责任免除</w:t>
            </w:r>
            <w:r>
              <w:rPr>
                <w:sz w:val="21"/>
              </w:rPr>
              <w:t> </w:t>
            </w:r>
          </w:p>
        </w:tc>
        <w:tc>
          <w:tcPr>
            <w:tcW w:w="7140" w:type="dxa"/>
          </w:tcPr>
          <w:p>
            <w:pPr>
              <w:pStyle w:val="TableParagraph"/>
              <w:spacing w:line="204" w:lineRule="auto" w:before="12"/>
              <w:ind w:left="175" w:right="17"/>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因下列情形之一导致被保险人发生疾病、达到疾病状态或进行手术的，我们不承担给付保险金的责任：</w:t>
            </w:r>
          </w:p>
        </w:tc>
      </w:tr>
      <w:tr>
        <w:trPr>
          <w:trHeight w:val="398"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323" w:lineRule="exact"/>
              <w:ind w:left="175"/>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315" w:lineRule="exact"/>
              <w:ind w:left="175"/>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90"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314" w:lineRule="exact"/>
              <w:ind w:left="175"/>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7 </w:t>
            </w:r>
            <w:r>
              <w:rPr>
                <w:rFonts w:ascii="Microsoft JhengHei" w:eastAsia="Microsoft JhengHei" w:hint="eastAsia"/>
                <w:b/>
                <w:spacing w:val="-106"/>
                <w:sz w:val="21"/>
              </w:rPr>
              <w:t>）；</w:t>
            </w:r>
          </w:p>
        </w:tc>
      </w:tr>
      <w:tr>
        <w:trPr>
          <w:trHeight w:val="313" w:hRule="atLeast"/>
        </w:trPr>
        <w:tc>
          <w:tcPr>
            <w:tcW w:w="571" w:type="dxa"/>
          </w:tcPr>
          <w:p>
            <w:pPr>
              <w:pStyle w:val="TableParagraph"/>
              <w:rPr>
                <w:rFonts w:ascii="Times New Roman"/>
                <w:sz w:val="20"/>
              </w:rPr>
            </w:pPr>
          </w:p>
        </w:tc>
        <w:tc>
          <w:tcPr>
            <w:tcW w:w="1454" w:type="dxa"/>
          </w:tcPr>
          <w:p>
            <w:pPr>
              <w:pStyle w:val="TableParagraph"/>
              <w:rPr>
                <w:rFonts w:ascii="Times New Roman"/>
                <w:sz w:val="20"/>
              </w:rPr>
            </w:pPr>
          </w:p>
        </w:tc>
        <w:tc>
          <w:tcPr>
            <w:tcW w:w="7140" w:type="dxa"/>
          </w:tcPr>
          <w:p>
            <w:pPr>
              <w:pStyle w:val="TableParagraph"/>
              <w:spacing w:line="294" w:lineRule="exact"/>
              <w:ind w:left="175"/>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10"/>
                <w:w w:val="100"/>
                <w:sz w:val="21"/>
              </w:rPr>
              <w:t>）</w:t>
            </w:r>
            <w:r>
              <w:rPr>
                <w:rFonts w:ascii="Microsoft JhengHei" w:eastAsia="Microsoft JhengHei" w:hint="eastAsia"/>
                <w:b/>
                <w:spacing w:val="-3"/>
                <w:w w:val="100"/>
                <w:sz w:val="21"/>
              </w:rPr>
              <w:t>被保险人酒后驾驶（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6"/>
                <w:w w:val="100"/>
                <w:sz w:val="21"/>
              </w:rPr>
              <w:t>，或</w:t>
            </w:r>
          </w:p>
        </w:tc>
      </w:tr>
    </w:tbl>
    <w:p>
      <w:pPr>
        <w:pStyle w:val="Heading3"/>
        <w:spacing w:line="311" w:lineRule="exact"/>
        <w:ind w:left="2871"/>
      </w:pPr>
      <w:r>
        <w:rPr/>
        <w:t>驾驶无有效行驶证</w:t>
      </w:r>
      <w:r>
        <w:rPr>
          <w:spacing w:val="-3"/>
        </w:rPr>
        <w:t>（</w:t>
      </w:r>
      <w:r>
        <w:rPr>
          <w:spacing w:val="-17"/>
        </w:rPr>
        <w:t>见 </w:t>
      </w:r>
      <w:r>
        <w:rPr/>
        <w:t>10</w:t>
      </w:r>
      <w:r>
        <w:rPr>
          <w:spacing w:val="-22"/>
        </w:rPr>
        <w:t>. </w:t>
      </w:r>
      <w:r>
        <w:rPr/>
        <w:t>10 ）的机动车（</w:t>
      </w:r>
      <w:r>
        <w:rPr>
          <w:spacing w:val="-17"/>
        </w:rPr>
        <w:t>见 </w:t>
      </w:r>
      <w:r>
        <w:rPr/>
        <w:t>10</w:t>
      </w:r>
      <w:r>
        <w:rPr>
          <w:spacing w:val="-22"/>
        </w:rPr>
        <w:t>. </w:t>
      </w:r>
      <w:r>
        <w:rPr/>
        <w:t>11 </w:t>
      </w:r>
      <w:r>
        <w:rPr>
          <w:spacing w:val="-106"/>
        </w:rPr>
        <w:t>）；</w:t>
      </w:r>
    </w:p>
    <w:p>
      <w:pPr>
        <w:spacing w:before="25"/>
        <w:ind w:left="2365" w:right="0" w:firstLine="0"/>
        <w:jc w:val="left"/>
        <w:rPr>
          <w:rFonts w:ascii="Microsoft JhengHei" w:eastAsia="Microsoft JhengHei" w:hint="eastAsia"/>
          <w:b/>
          <w:sz w:val="21"/>
        </w:rPr>
      </w:pPr>
      <w:r>
        <w:rPr>
          <w:rFonts w:ascii="Microsoft JhengHei" w:eastAsia="Microsoft JhengHei" w:hint="eastAsia"/>
          <w:b/>
          <w:spacing w:val="-11"/>
          <w:sz w:val="21"/>
        </w:rPr>
        <w:t>（5）</w:t>
      </w:r>
      <w:r>
        <w:rPr>
          <w:rFonts w:ascii="Microsoft JhengHei" w:eastAsia="Microsoft JhengHei" w:hint="eastAsia"/>
          <w:b/>
          <w:spacing w:val="-8"/>
          <w:sz w:val="21"/>
        </w:rPr>
        <w:t>先天性畸形、变形和染色体异常</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12 </w:t>
      </w:r>
      <w:r>
        <w:rPr>
          <w:rFonts w:ascii="Microsoft JhengHei" w:eastAsia="Microsoft JhengHei" w:hint="eastAsia"/>
          <w:b/>
          <w:spacing w:val="-70"/>
          <w:sz w:val="21"/>
        </w:rPr>
        <w:t>）</w:t>
      </w:r>
      <w:r>
        <w:rPr>
          <w:rFonts w:ascii="Microsoft JhengHei" w:eastAsia="Microsoft JhengHei" w:hint="eastAsia"/>
          <w:b/>
          <w:spacing w:val="-18"/>
          <w:sz w:val="21"/>
        </w:rPr>
        <w:t>，遗传性疾病</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13 </w:t>
      </w:r>
      <w:r>
        <w:rPr>
          <w:rFonts w:ascii="Microsoft JhengHei" w:eastAsia="Microsoft JhengHei" w:hint="eastAsia"/>
          <w:b/>
          <w:spacing w:val="-106"/>
          <w:sz w:val="21"/>
        </w:rPr>
        <w:t>）；</w:t>
      </w:r>
    </w:p>
    <w:p>
      <w:pPr>
        <w:spacing w:before="25"/>
        <w:ind w:left="2365" w:right="0" w:firstLine="0"/>
        <w:jc w:val="left"/>
        <w:rPr>
          <w:rFonts w:ascii="Microsoft JhengHei" w:eastAsia="Microsoft JhengHei" w:hint="eastAsia"/>
          <w:b/>
          <w:sz w:val="21"/>
        </w:rPr>
      </w:pPr>
      <w:r>
        <w:rPr>
          <w:rFonts w:ascii="Microsoft JhengHei" w:eastAsia="Microsoft JhengHei" w:hint="eastAsia"/>
          <w:b/>
          <w:sz w:val="21"/>
        </w:rPr>
        <w:t>（6）战争、军事冲突、暴乱或武装叛乱；</w:t>
      </w:r>
    </w:p>
    <w:p>
      <w:pPr>
        <w:spacing w:before="23"/>
        <w:ind w:left="2365"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204" w:lineRule="auto" w:before="80"/>
        <w:ind w:left="2365" w:right="222" w:firstLine="0"/>
        <w:jc w:val="left"/>
        <w:rPr>
          <w:sz w:val="21"/>
        </w:rPr>
      </w:pPr>
      <w:r>
        <w:rPr>
          <w:rFonts w:ascii="Microsoft JhengHei" w:eastAsia="Microsoft JhengHei" w:hint="eastAsia"/>
          <w:b/>
          <w:spacing w:val="-5"/>
          <w:sz w:val="21"/>
        </w:rPr>
        <w:t>发生上述情形导致被保险人发生疾病、达到疾病状态或进行手术的，本主险合同终止，我们退还本主险合同的现金价值</w:t>
      </w:r>
      <w:r>
        <w:rPr>
          <w:rFonts w:ascii="Microsoft JhengHei" w:eastAsia="Microsoft JhengHei" w:hint="eastAsia"/>
          <w:b/>
          <w:spacing w:val="-3"/>
          <w:sz w:val="21"/>
        </w:rPr>
        <w:t>（</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14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BodyText"/>
        <w:tabs>
          <w:tab w:pos="961" w:val="left" w:leader="none"/>
          <w:tab w:pos="2365" w:val="left" w:leader="none"/>
        </w:tabs>
        <w:spacing w:before="92"/>
        <w:ind w:left="215"/>
      </w:pPr>
      <w:r>
        <w:rPr>
          <w:w w:val="100"/>
        </w:rPr>
        <w:t> </w:t>
      </w:r>
      <w:r>
        <w:rPr/>
        <w:tab/>
      </w:r>
      <w:r>
        <w:rPr>
          <w:w w:val="100"/>
        </w:rPr>
        <w:t> </w:t>
      </w:r>
      <w:r>
        <w:rPr/>
        <w:tab/>
      </w:r>
      <w:r>
        <w:rPr>
          <w:w w:val="100"/>
        </w:rPr>
        <w:t> </w:t>
      </w:r>
    </w:p>
    <w:p>
      <w:pPr>
        <w:pStyle w:val="Heading2"/>
        <w:numPr>
          <w:ilvl w:val="0"/>
          <w:numId w:val="8"/>
        </w:numPr>
        <w:tabs>
          <w:tab w:pos="961" w:val="left" w:leader="none"/>
          <w:tab w:pos="962" w:val="left" w:leader="none"/>
        </w:tabs>
        <w:spacing w:line="240" w:lineRule="auto" w:before="168" w:after="0"/>
        <w:ind w:left="961" w:right="0" w:hanging="745"/>
        <w:jc w:val="left"/>
      </w:pPr>
      <w:r>
        <w:rPr/>
        <w:pict>
          <v:group style="position:absolute;margin-left:69.360001pt;margin-top:37.513641pt;width:463.8pt;height:1pt;mso-position-horizontal-relative:page;mso-position-vertical-relative:paragraph;z-index:1144;mso-wrap-distance-left:0;mso-wrap-distance-right:0" coordorigin="1387,750" coordsize="9276,20">
            <v:line style="position:absolute" from="1387,760" to="2134,760" stroked="true" strokeweight=".96pt" strokecolor="#000000">
              <v:stroke dashstyle="solid"/>
            </v:line>
            <v:rect style="position:absolute;left:2133;top:750;width:20;height:20" filled="true" fillcolor="#000000" stroked="false">
              <v:fill type="solid"/>
            </v:rect>
            <v:line style="position:absolute" from="2153,760" to="3538,760" stroked="true" strokeweight=".96pt" strokecolor="#000000">
              <v:stroke dashstyle="solid"/>
            </v:line>
            <v:rect style="position:absolute;left:3537;top:750;width:20;height:20" filled="true" fillcolor="#000000" stroked="false">
              <v:fill type="solid"/>
            </v:rect>
            <v:line style="position:absolute" from="3557,760" to="10663,760" stroked="true" strokeweight=".96pt" strokecolor="#000000">
              <v:stroke dashstyle="solid"/>
            </v:line>
            <w10:wrap type="topAndBottom"/>
          </v:group>
        </w:pict>
      </w:r>
      <w:r>
        <w:rPr/>
        <w:t>保险金的申请</w:t>
      </w:r>
    </w:p>
    <w:p>
      <w:pPr>
        <w:pStyle w:val="BodyText"/>
        <w:tabs>
          <w:tab w:pos="961" w:val="left" w:leader="none"/>
          <w:tab w:pos="2365" w:val="left" w:leader="none"/>
        </w:tabs>
        <w:spacing w:before="39"/>
        <w:ind w:left="215"/>
      </w:pPr>
      <w:r>
        <w:rPr>
          <w:w w:val="100"/>
        </w:rPr>
        <w:t> </w:t>
      </w:r>
      <w:r>
        <w:rPr/>
        <w:tab/>
      </w:r>
      <w:r>
        <w:rPr>
          <w:w w:val="100"/>
        </w:rPr>
        <w:t> </w:t>
      </w:r>
      <w:r>
        <w:rPr/>
        <w:tab/>
      </w:r>
      <w:r>
        <w:rPr>
          <w:w w:val="100"/>
        </w:rPr>
        <w:t> </w:t>
      </w:r>
    </w:p>
    <w:p>
      <w:pPr>
        <w:pStyle w:val="BodyText"/>
        <w:tabs>
          <w:tab w:pos="961" w:val="left" w:leader="none"/>
          <w:tab w:pos="2365" w:val="left" w:leader="none"/>
        </w:tabs>
        <w:spacing w:line="249" w:lineRule="auto" w:before="46"/>
        <w:ind w:left="2365" w:right="219" w:hanging="2151"/>
      </w:pPr>
      <w:r>
        <w:rPr>
          <w:rFonts w:ascii="Microsoft JhengHei" w:eastAsia="Microsoft JhengHei" w:hint="eastAsia"/>
          <w:b/>
        </w:rPr>
        <w:t>3.</w:t>
      </w:r>
      <w:r>
        <w:rPr>
          <w:rFonts w:ascii="Microsoft JhengHei" w:eastAsia="Microsoft JhengHei" w:hint="eastAsia"/>
          <w:b/>
          <w:spacing w:val="-33"/>
        </w:rPr>
        <w:t> </w:t>
      </w:r>
      <w:r>
        <w:rPr>
          <w:rFonts w:ascii="Microsoft JhengHei" w:eastAsia="Microsoft JhengHei" w:hint="eastAsia"/>
          <w:b/>
        </w:rPr>
        <w:t>1</w:t>
        <w:tab/>
        <w:t>受益人</w:t>
        <w:tab/>
      </w:r>
      <w:r>
        <w:rPr/>
        <w:t>除本</w:t>
      </w:r>
      <w:r>
        <w:rPr>
          <w:spacing w:val="-3"/>
        </w:rPr>
        <w:t>主</w:t>
      </w:r>
      <w:r>
        <w:rPr/>
        <w:t>险</w:t>
      </w:r>
      <w:r>
        <w:rPr>
          <w:spacing w:val="-3"/>
        </w:rPr>
        <w:t>合</w:t>
      </w:r>
      <w:r>
        <w:rPr/>
        <w:t>同</w:t>
      </w:r>
      <w:r>
        <w:rPr>
          <w:spacing w:val="-3"/>
        </w:rPr>
        <w:t>另</w:t>
      </w:r>
      <w:r>
        <w:rPr/>
        <w:t>有</w:t>
      </w:r>
      <w:r>
        <w:rPr>
          <w:spacing w:val="-3"/>
        </w:rPr>
        <w:t>指</w:t>
      </w:r>
      <w:r>
        <w:rPr/>
        <w:t>定</w:t>
      </w:r>
      <w:r>
        <w:rPr>
          <w:spacing w:val="-3"/>
        </w:rPr>
        <w:t>外</w:t>
      </w:r>
      <w:r>
        <w:rPr>
          <w:spacing w:val="-22"/>
        </w:rPr>
        <w:t>，</w:t>
      </w:r>
      <w:r>
        <w:rPr/>
        <w:t>重</w:t>
      </w:r>
      <w:r>
        <w:rPr>
          <w:spacing w:val="-3"/>
        </w:rPr>
        <w:t>大</w:t>
      </w:r>
      <w:r>
        <w:rPr/>
        <w:t>疾</w:t>
      </w:r>
      <w:r>
        <w:rPr>
          <w:spacing w:val="-3"/>
        </w:rPr>
        <w:t>病</w:t>
      </w:r>
      <w:r>
        <w:rPr/>
        <w:t>保</w:t>
      </w:r>
      <w:r>
        <w:rPr>
          <w:spacing w:val="-3"/>
        </w:rPr>
        <w:t>险</w:t>
      </w:r>
      <w:r>
        <w:rPr/>
        <w:t>金</w:t>
      </w:r>
      <w:r>
        <w:rPr>
          <w:spacing w:val="-3"/>
        </w:rPr>
        <w:t>及</w:t>
      </w:r>
      <w:r>
        <w:rPr/>
        <w:t>恶</w:t>
      </w:r>
      <w:r>
        <w:rPr>
          <w:spacing w:val="-3"/>
        </w:rPr>
        <w:t>性</w:t>
      </w:r>
      <w:r>
        <w:rPr/>
        <w:t>肿瘤</w:t>
      </w:r>
      <w:r>
        <w:rPr>
          <w:spacing w:val="-3"/>
        </w:rPr>
        <w:t>特</w:t>
      </w:r>
      <w:r>
        <w:rPr/>
        <w:t>别</w:t>
      </w:r>
      <w:r>
        <w:rPr>
          <w:spacing w:val="-3"/>
        </w:rPr>
        <w:t>保</w:t>
      </w:r>
      <w:r>
        <w:rPr/>
        <w:t>险</w:t>
      </w:r>
      <w:r>
        <w:rPr>
          <w:spacing w:val="-3"/>
        </w:rPr>
        <w:t>金</w:t>
      </w:r>
      <w:r>
        <w:rPr/>
        <w:t>的</w:t>
      </w:r>
      <w:r>
        <w:rPr>
          <w:spacing w:val="-3"/>
        </w:rPr>
        <w:t>受</w:t>
      </w:r>
      <w:r>
        <w:rPr/>
        <w:t>益人 为被</w:t>
      </w:r>
      <w:r>
        <w:rPr>
          <w:spacing w:val="-3"/>
        </w:rPr>
        <w:t>保</w:t>
      </w:r>
      <w:r>
        <w:rPr/>
        <w:t>险</w:t>
      </w:r>
      <w:r>
        <w:rPr>
          <w:spacing w:val="-3"/>
        </w:rPr>
        <w:t>人</w:t>
      </w:r>
      <w:r>
        <w:rPr/>
        <w:t>本</w:t>
      </w:r>
      <w:r>
        <w:rPr>
          <w:spacing w:val="-3"/>
        </w:rPr>
        <w:t>人。</w:t>
      </w:r>
    </w:p>
    <w:p>
      <w:pPr>
        <w:spacing w:after="0" w:line="249" w:lineRule="auto"/>
        <w:sectPr>
          <w:pgSz w:w="11900" w:h="16840"/>
          <w:pgMar w:header="0" w:footer="724" w:top="1140" w:bottom="920" w:left="1280" w:right="11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92"/>
        <w:gridCol w:w="7239"/>
      </w:tblGrid>
      <w:tr>
        <w:trPr>
          <w:trHeight w:val="260" w:hRule="atLeast"/>
        </w:trPr>
        <w:tc>
          <w:tcPr>
            <w:tcW w:w="2026" w:type="dxa"/>
            <w:gridSpan w:val="2"/>
            <w:vMerge w:val="restart"/>
          </w:tcPr>
          <w:p>
            <w:pPr>
              <w:pStyle w:val="TableParagraph"/>
              <w:rPr>
                <w:rFonts w:ascii="Times New Roman"/>
                <w:sz w:val="20"/>
              </w:rPr>
            </w:pPr>
          </w:p>
        </w:tc>
        <w:tc>
          <w:tcPr>
            <w:tcW w:w="7239" w:type="dxa"/>
          </w:tcPr>
          <w:p>
            <w:pPr>
              <w:pStyle w:val="TableParagraph"/>
              <w:spacing w:line="203" w:lineRule="exact"/>
              <w:ind w:left="174"/>
              <w:rPr>
                <w:sz w:val="21"/>
              </w:rPr>
            </w:pPr>
            <w:r>
              <w:rPr>
                <w:sz w:val="21"/>
              </w:rPr>
              <w:t>被保险人为无民事行为能力人或限制民事行为能力人的，可以由其监护人指</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line="252" w:lineRule="exact"/>
              <w:ind w:left="174"/>
              <w:rPr>
                <w:sz w:val="21"/>
              </w:rPr>
            </w:pPr>
            <w:r>
              <w:rPr>
                <w:sz w:val="21"/>
              </w:rPr>
              <w:t>定受益人。</w:t>
            </w:r>
          </w:p>
        </w:tc>
      </w:tr>
      <w:tr>
        <w:trPr>
          <w:trHeight w:val="351"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受益人为数人的，被保险人或者投保人可以确定受益顺序和受益份额；未确</w:t>
            </w:r>
          </w:p>
        </w:tc>
      </w:tr>
      <w:tr>
        <w:trPr>
          <w:trHeight w:val="351" w:hRule="atLeast"/>
        </w:trPr>
        <w:tc>
          <w:tcPr>
            <w:tcW w:w="2026" w:type="dxa"/>
            <w:gridSpan w:val="2"/>
            <w:vMerge/>
            <w:tcBorders>
              <w:top w:val="nil"/>
            </w:tcBorders>
          </w:tcPr>
          <w:p>
            <w:pPr>
              <w:rPr>
                <w:sz w:val="2"/>
                <w:szCs w:val="2"/>
              </w:rPr>
            </w:pPr>
          </w:p>
        </w:tc>
        <w:tc>
          <w:tcPr>
            <w:tcW w:w="7239" w:type="dxa"/>
          </w:tcPr>
          <w:p>
            <w:pPr>
              <w:pStyle w:val="TableParagraph"/>
              <w:spacing w:line="254" w:lineRule="exact"/>
              <w:ind w:left="174"/>
              <w:rPr>
                <w:sz w:val="21"/>
              </w:rPr>
            </w:pPr>
            <w:r>
              <w:rPr>
                <w:sz w:val="21"/>
              </w:rPr>
              <w:t>定受益份额的，受益人按照相等份额享有受益权。 </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您或者被保险人可以变更受益人并书面通知我们。我们收到变更受益人的书</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line="252" w:lineRule="exact"/>
              <w:ind w:left="174"/>
              <w:rPr>
                <w:sz w:val="21"/>
              </w:rPr>
            </w:pPr>
            <w:r>
              <w:rPr>
                <w:sz w:val="21"/>
              </w:rPr>
              <w:t>面通知后，在保险单或者其他保险凭证上批注或者附贴批单。 </w:t>
            </w:r>
          </w:p>
        </w:tc>
      </w:tr>
      <w:tr>
        <w:trPr>
          <w:trHeight w:val="391"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您指定或变更受益人时须经被保险人同意。 </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被保险人身故后，遇有下列情形之一的，保险金作为被保险人的遗产，由我</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line="252" w:lineRule="exact"/>
              <w:ind w:left="174"/>
              <w:rPr>
                <w:sz w:val="21"/>
              </w:rPr>
            </w:pPr>
            <w:r>
              <w:rPr>
                <w:sz w:val="21"/>
              </w:rPr>
              <w:t>们依照《中华人民共和国继承法》的规定履行给付保险金的义务： </w:t>
            </w:r>
          </w:p>
        </w:tc>
      </w:tr>
      <w:tr>
        <w:trPr>
          <w:trHeight w:val="391"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（1）没有指定受益人，或者受益人指定不明无法确定的；  </w:t>
            </w:r>
          </w:p>
        </w:tc>
      </w:tr>
      <w:tr>
        <w:trPr>
          <w:trHeight w:val="390"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（2）受益人先于被保险人身故，没有其他受益人的； </w:t>
            </w:r>
          </w:p>
        </w:tc>
      </w:tr>
      <w:tr>
        <w:trPr>
          <w:trHeight w:val="390" w:hRule="atLeast"/>
        </w:trPr>
        <w:tc>
          <w:tcPr>
            <w:tcW w:w="2026" w:type="dxa"/>
            <w:gridSpan w:val="2"/>
            <w:vMerge/>
            <w:tcBorders>
              <w:top w:val="nil"/>
            </w:tcBorders>
          </w:tcPr>
          <w:p>
            <w:pPr>
              <w:rPr>
                <w:sz w:val="2"/>
                <w:szCs w:val="2"/>
              </w:rPr>
            </w:pPr>
          </w:p>
        </w:tc>
        <w:tc>
          <w:tcPr>
            <w:tcW w:w="7239" w:type="dxa"/>
          </w:tcPr>
          <w:p>
            <w:pPr>
              <w:pStyle w:val="TableParagraph"/>
              <w:spacing w:before="17"/>
              <w:ind w:left="174"/>
              <w:rPr>
                <w:sz w:val="21"/>
              </w:rPr>
            </w:pPr>
            <w:r>
              <w:rPr>
                <w:sz w:val="21"/>
              </w:rPr>
              <w:t>（3）受益人依法丧失受益权或者放弃受益权，没有其他受益人的。 </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before="18"/>
              <w:ind w:left="174"/>
              <w:rPr>
                <w:sz w:val="21"/>
              </w:rPr>
            </w:pPr>
            <w:r>
              <w:rPr>
                <w:sz w:val="21"/>
              </w:rPr>
              <w:t>受益人与被保险人在同一事件中身故，且不能确定身故顺序的，推定受益人</w:t>
            </w:r>
          </w:p>
        </w:tc>
      </w:tr>
      <w:tr>
        <w:trPr>
          <w:trHeight w:val="350" w:hRule="atLeast"/>
        </w:trPr>
        <w:tc>
          <w:tcPr>
            <w:tcW w:w="2026" w:type="dxa"/>
            <w:gridSpan w:val="2"/>
            <w:vMerge/>
            <w:tcBorders>
              <w:top w:val="nil"/>
            </w:tcBorders>
          </w:tcPr>
          <w:p>
            <w:pPr>
              <w:rPr>
                <w:sz w:val="2"/>
                <w:szCs w:val="2"/>
              </w:rPr>
            </w:pPr>
          </w:p>
        </w:tc>
        <w:tc>
          <w:tcPr>
            <w:tcW w:w="7239" w:type="dxa"/>
          </w:tcPr>
          <w:p>
            <w:pPr>
              <w:pStyle w:val="TableParagraph"/>
              <w:spacing w:line="252" w:lineRule="exact"/>
              <w:ind w:left="174"/>
              <w:rPr>
                <w:sz w:val="21"/>
              </w:rPr>
            </w:pPr>
            <w:r>
              <w:rPr>
                <w:sz w:val="21"/>
              </w:rPr>
              <w:t>身故在先。 </w:t>
            </w:r>
          </w:p>
        </w:tc>
      </w:tr>
      <w:tr>
        <w:trPr>
          <w:trHeight w:val="351" w:hRule="atLeast"/>
        </w:trPr>
        <w:tc>
          <w:tcPr>
            <w:tcW w:w="2026" w:type="dxa"/>
            <w:gridSpan w:val="2"/>
            <w:vMerge/>
            <w:tcBorders>
              <w:top w:val="nil"/>
            </w:tcBorders>
          </w:tcPr>
          <w:p>
            <w:pPr>
              <w:rPr>
                <w:sz w:val="2"/>
                <w:szCs w:val="2"/>
              </w:rPr>
            </w:pPr>
          </w:p>
        </w:tc>
        <w:tc>
          <w:tcPr>
            <w:tcW w:w="7239" w:type="dxa"/>
          </w:tcPr>
          <w:p>
            <w:pPr>
              <w:pStyle w:val="TableParagraph"/>
              <w:spacing w:line="317" w:lineRule="exact"/>
              <w:ind w:left="17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w:t>
            </w:r>
          </w:p>
        </w:tc>
      </w:tr>
      <w:tr>
        <w:trPr>
          <w:trHeight w:val="351" w:hRule="atLeast"/>
        </w:trPr>
        <w:tc>
          <w:tcPr>
            <w:tcW w:w="2026" w:type="dxa"/>
            <w:gridSpan w:val="2"/>
            <w:vMerge/>
            <w:tcBorders>
              <w:top w:val="nil"/>
            </w:tcBorders>
          </w:tcPr>
          <w:p>
            <w:pPr>
              <w:rPr>
                <w:sz w:val="2"/>
                <w:szCs w:val="2"/>
              </w:rPr>
            </w:pPr>
          </w:p>
        </w:tc>
        <w:tc>
          <w:tcPr>
            <w:tcW w:w="7239" w:type="dxa"/>
          </w:tcPr>
          <w:p>
            <w:pPr>
              <w:pStyle w:val="TableParagraph"/>
              <w:spacing w:line="277" w:lineRule="exact"/>
              <w:ind w:left="174"/>
              <w:rPr>
                <w:rFonts w:ascii="Microsoft JhengHei" w:eastAsia="Microsoft JhengHei" w:hint="eastAsia"/>
                <w:b/>
                <w:sz w:val="21"/>
              </w:rPr>
            </w:pPr>
            <w:r>
              <w:rPr>
                <w:rFonts w:ascii="Microsoft JhengHei" w:eastAsia="Microsoft JhengHei" w:hint="eastAsia"/>
                <w:b/>
                <w:sz w:val="21"/>
              </w:rPr>
              <w:t>的，该受益人丧失受益权。</w:t>
            </w:r>
          </w:p>
        </w:tc>
      </w:tr>
      <w:tr>
        <w:trPr>
          <w:trHeight w:val="385" w:hRule="atLeast"/>
        </w:trPr>
        <w:tc>
          <w:tcPr>
            <w:tcW w:w="634" w:type="dxa"/>
          </w:tcPr>
          <w:p>
            <w:pPr>
              <w:pStyle w:val="TableParagraph"/>
              <w:spacing w:before="18"/>
              <w:ind w:left="50"/>
              <w:rPr>
                <w:sz w:val="21"/>
              </w:rPr>
            </w:pPr>
            <w:r>
              <w:rPr>
                <w:w w:val="100"/>
                <w:sz w:val="21"/>
              </w:rPr>
              <w:t> </w:t>
            </w:r>
          </w:p>
        </w:tc>
        <w:tc>
          <w:tcPr>
            <w:tcW w:w="1392" w:type="dxa"/>
          </w:tcPr>
          <w:p>
            <w:pPr>
              <w:pStyle w:val="TableParagraph"/>
              <w:spacing w:before="18"/>
              <w:ind w:left="162"/>
              <w:rPr>
                <w:sz w:val="21"/>
              </w:rPr>
            </w:pPr>
            <w:r>
              <w:rPr>
                <w:w w:val="100"/>
                <w:sz w:val="21"/>
              </w:rPr>
              <w:t> </w:t>
            </w:r>
          </w:p>
        </w:tc>
        <w:tc>
          <w:tcPr>
            <w:tcW w:w="7239" w:type="dxa"/>
          </w:tcPr>
          <w:p>
            <w:pPr>
              <w:pStyle w:val="TableParagraph"/>
              <w:spacing w:before="18"/>
              <w:ind w:left="174"/>
              <w:rPr>
                <w:sz w:val="21"/>
              </w:rPr>
            </w:pPr>
            <w:r>
              <w:rPr>
                <w:w w:val="100"/>
                <w:sz w:val="21"/>
              </w:rPr>
              <w:t> </w:t>
            </w:r>
          </w:p>
        </w:tc>
      </w:tr>
      <w:tr>
        <w:trPr>
          <w:trHeight w:val="402" w:hRule="atLeast"/>
        </w:trPr>
        <w:tc>
          <w:tcPr>
            <w:tcW w:w="634" w:type="dxa"/>
          </w:tcPr>
          <w:p>
            <w:pPr>
              <w:pStyle w:val="TableParagraph"/>
              <w:spacing w:line="321" w:lineRule="exact"/>
              <w:ind w:left="50"/>
              <w:rPr>
                <w:rFonts w:ascii="Microsoft JhengHei"/>
                <w:b/>
                <w:sz w:val="21"/>
              </w:rPr>
            </w:pPr>
            <w:r>
              <w:rPr>
                <w:rFonts w:ascii="Microsoft JhengHei"/>
                <w:b/>
                <w:w w:val="90"/>
                <w:sz w:val="21"/>
              </w:rPr>
              <w:t>3. 2</w:t>
            </w:r>
          </w:p>
        </w:tc>
        <w:tc>
          <w:tcPr>
            <w:tcW w:w="1392" w:type="dxa"/>
          </w:tcPr>
          <w:p>
            <w:pPr>
              <w:pStyle w:val="TableParagraph"/>
              <w:spacing w:line="321" w:lineRule="exact"/>
              <w:ind w:left="162"/>
              <w:rPr>
                <w:rFonts w:ascii="Microsoft JhengHei" w:eastAsia="Microsoft JhengHei" w:hint="eastAsia"/>
                <w:b/>
                <w:sz w:val="21"/>
              </w:rPr>
            </w:pPr>
            <w:r>
              <w:rPr>
                <w:rFonts w:ascii="Microsoft JhengHei" w:eastAsia="Microsoft JhengHei" w:hint="eastAsia"/>
                <w:b/>
                <w:sz w:val="21"/>
              </w:rPr>
              <w:t>保险事故通</w:t>
            </w:r>
          </w:p>
        </w:tc>
        <w:tc>
          <w:tcPr>
            <w:tcW w:w="7239" w:type="dxa"/>
          </w:tcPr>
          <w:p>
            <w:pPr>
              <w:pStyle w:val="TableParagraph"/>
              <w:spacing w:before="22"/>
              <w:ind w:left="174"/>
              <w:rPr>
                <w:sz w:val="21"/>
              </w:rPr>
            </w:pPr>
            <w:r>
              <w:rPr>
                <w:sz w:val="21"/>
              </w:rPr>
              <w:t>请您或受益人在知道保险事故发生后 10 日内通知我们。 </w:t>
            </w:r>
          </w:p>
        </w:tc>
      </w:tr>
      <w:tr>
        <w:trPr>
          <w:trHeight w:val="342" w:hRule="atLeast"/>
        </w:trPr>
        <w:tc>
          <w:tcPr>
            <w:tcW w:w="634" w:type="dxa"/>
          </w:tcPr>
          <w:p>
            <w:pPr>
              <w:pStyle w:val="TableParagraph"/>
              <w:rPr>
                <w:rFonts w:ascii="Times New Roman"/>
                <w:sz w:val="20"/>
              </w:rPr>
            </w:pPr>
          </w:p>
        </w:tc>
        <w:tc>
          <w:tcPr>
            <w:tcW w:w="1392" w:type="dxa"/>
          </w:tcPr>
          <w:p>
            <w:pPr>
              <w:pStyle w:val="TableParagraph"/>
              <w:spacing w:line="230" w:lineRule="exact"/>
              <w:ind w:left="162"/>
              <w:rPr>
                <w:rFonts w:ascii="Microsoft JhengHei" w:eastAsia="Microsoft JhengHei" w:hint="eastAsia"/>
                <w:b/>
                <w:sz w:val="21"/>
              </w:rPr>
            </w:pPr>
            <w:r>
              <w:rPr>
                <w:rFonts w:ascii="Microsoft JhengHei" w:eastAsia="Microsoft JhengHei" w:hint="eastAsia"/>
                <w:b/>
                <w:w w:val="100"/>
                <w:sz w:val="21"/>
              </w:rPr>
              <w:t>知</w:t>
            </w:r>
          </w:p>
        </w:tc>
        <w:tc>
          <w:tcPr>
            <w:tcW w:w="7239" w:type="dxa"/>
          </w:tcPr>
          <w:p>
            <w:pPr>
              <w:pStyle w:val="TableParagraph"/>
              <w:spacing w:line="309" w:lineRule="exact"/>
              <w:ind w:left="174"/>
              <w:rPr>
                <w:rFonts w:ascii="Microsoft JhengHei" w:eastAsia="Microsoft JhengHei" w:hint="eastAsia"/>
                <w:b/>
                <w:sz w:val="21"/>
              </w:rPr>
            </w:pPr>
            <w:r>
              <w:rPr>
                <w:rFonts w:ascii="Microsoft JhengHei" w:eastAsia="Microsoft JhengHei" w:hint="eastAsia"/>
                <w:b/>
                <w:sz w:val="21"/>
              </w:rPr>
              <w:t>如果您或受益人故意或者因重大过失未及时通知，致使保险事故的性质、原</w:t>
            </w:r>
          </w:p>
        </w:tc>
      </w:tr>
      <w:tr>
        <w:trPr>
          <w:trHeight w:val="31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6" w:lineRule="exact"/>
              <w:ind w:left="174"/>
              <w:rPr>
                <w:rFonts w:ascii="Microsoft JhengHei" w:eastAsia="Microsoft JhengHei" w:hint="eastAsia"/>
                <w:b/>
                <w:sz w:val="21"/>
              </w:rPr>
            </w:pPr>
            <w:r>
              <w:rPr>
                <w:rFonts w:ascii="Microsoft JhengHei" w:eastAsia="Microsoft JhengHei" w:hint="eastAsia"/>
                <w:b/>
                <w:sz w:val="21"/>
              </w:rPr>
              <w:t>因、损失程度等难以确定的，我们对无法确定的部分，不承担给付保险金的</w:t>
            </w:r>
          </w:p>
        </w:tc>
      </w:tr>
      <w:tr>
        <w:trPr>
          <w:trHeight w:val="31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7" w:lineRule="exact"/>
              <w:ind w:left="174"/>
              <w:rPr>
                <w:sz w:val="21"/>
              </w:rPr>
            </w:pPr>
            <w:r>
              <w:rPr>
                <w:rFonts w:ascii="Microsoft JhengHei" w:eastAsia="Microsoft JhengHei" w:hint="eastAsia"/>
                <w:b/>
                <w:sz w:val="21"/>
              </w:rPr>
              <w:t>责任，</w:t>
            </w:r>
            <w:r>
              <w:rPr>
                <w:sz w:val="21"/>
              </w:rPr>
              <w:t>但我们通过其他途径已经及时知道或者应当及时知道保险事故发生的</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54" w:lineRule="exact"/>
              <w:ind w:left="174"/>
              <w:rPr>
                <w:sz w:val="21"/>
              </w:rPr>
            </w:pPr>
            <w:r>
              <w:rPr>
                <w:spacing w:val="-12"/>
                <w:sz w:val="21"/>
              </w:rPr>
              <w:t>或者虽未及时通知但不影响我们确定保险事故的性质、原因、损失程度除外。</w:t>
            </w:r>
            <w:r>
              <w:rPr>
                <w:sz w:val="21"/>
              </w:rPr>
              <w:t> </w:t>
            </w:r>
          </w:p>
        </w:tc>
      </w:tr>
      <w:tr>
        <w:trPr>
          <w:trHeight w:val="379" w:hRule="atLeast"/>
        </w:trPr>
        <w:tc>
          <w:tcPr>
            <w:tcW w:w="634" w:type="dxa"/>
          </w:tcPr>
          <w:p>
            <w:pPr>
              <w:pStyle w:val="TableParagraph"/>
              <w:spacing w:before="18"/>
              <w:ind w:left="50"/>
              <w:rPr>
                <w:sz w:val="21"/>
              </w:rPr>
            </w:pPr>
            <w:r>
              <w:rPr>
                <w:w w:val="100"/>
                <w:sz w:val="21"/>
              </w:rPr>
              <w:t> </w:t>
            </w:r>
          </w:p>
        </w:tc>
        <w:tc>
          <w:tcPr>
            <w:tcW w:w="1392" w:type="dxa"/>
          </w:tcPr>
          <w:p>
            <w:pPr>
              <w:pStyle w:val="TableParagraph"/>
              <w:spacing w:before="18"/>
              <w:ind w:left="162"/>
              <w:rPr>
                <w:sz w:val="21"/>
              </w:rPr>
            </w:pPr>
            <w:r>
              <w:rPr>
                <w:w w:val="100"/>
                <w:sz w:val="21"/>
              </w:rPr>
              <w:t> </w:t>
            </w:r>
          </w:p>
        </w:tc>
        <w:tc>
          <w:tcPr>
            <w:tcW w:w="7239" w:type="dxa"/>
          </w:tcPr>
          <w:p>
            <w:pPr>
              <w:pStyle w:val="TableParagraph"/>
              <w:spacing w:before="18"/>
              <w:ind w:left="174"/>
              <w:rPr>
                <w:sz w:val="21"/>
              </w:rPr>
            </w:pPr>
            <w:r>
              <w:rPr>
                <w:w w:val="100"/>
                <w:sz w:val="21"/>
              </w:rPr>
              <w:t> </w:t>
            </w:r>
          </w:p>
        </w:tc>
      </w:tr>
      <w:tr>
        <w:trPr>
          <w:trHeight w:val="397" w:hRule="atLeast"/>
        </w:trPr>
        <w:tc>
          <w:tcPr>
            <w:tcW w:w="634" w:type="dxa"/>
          </w:tcPr>
          <w:p>
            <w:pPr>
              <w:pStyle w:val="TableParagraph"/>
              <w:spacing w:line="329" w:lineRule="exact"/>
              <w:ind w:left="50"/>
              <w:rPr>
                <w:sz w:val="21"/>
              </w:rPr>
            </w:pPr>
            <w:r>
              <w:rPr>
                <w:rFonts w:ascii="Microsoft JhengHei"/>
                <w:b/>
                <w:w w:val="90"/>
                <w:sz w:val="21"/>
              </w:rPr>
              <w:t>3. 3</w:t>
            </w:r>
            <w:r>
              <w:rPr>
                <w:rFonts w:ascii="Microsoft JhengHei"/>
                <w:b/>
                <w:sz w:val="21"/>
              </w:rPr>
              <w:t> </w:t>
            </w:r>
            <w:r>
              <w:rPr>
                <w:w w:val="100"/>
                <w:sz w:val="21"/>
              </w:rPr>
              <w:t> </w:t>
            </w:r>
          </w:p>
        </w:tc>
        <w:tc>
          <w:tcPr>
            <w:tcW w:w="1392" w:type="dxa"/>
          </w:tcPr>
          <w:p>
            <w:pPr>
              <w:pStyle w:val="TableParagraph"/>
              <w:spacing w:line="329" w:lineRule="exact"/>
              <w:ind w:left="162"/>
              <w:rPr>
                <w:rFonts w:ascii="Microsoft JhengHei" w:eastAsia="Microsoft JhengHei" w:hint="eastAsia"/>
                <w:b/>
                <w:sz w:val="21"/>
              </w:rPr>
            </w:pPr>
            <w:r>
              <w:rPr>
                <w:rFonts w:ascii="Microsoft JhengHei" w:eastAsia="Microsoft JhengHei" w:hint="eastAsia"/>
                <w:b/>
                <w:sz w:val="21"/>
              </w:rPr>
              <w:t>保险金申请</w:t>
            </w:r>
          </w:p>
        </w:tc>
        <w:tc>
          <w:tcPr>
            <w:tcW w:w="7239" w:type="dxa"/>
          </w:tcPr>
          <w:p>
            <w:pPr>
              <w:pStyle w:val="TableParagraph"/>
              <w:spacing w:before="6"/>
              <w:ind w:left="188"/>
              <w:rPr>
                <w:sz w:val="21"/>
              </w:rPr>
            </w:pPr>
            <w:r>
              <w:rPr>
                <w:sz w:val="21"/>
              </w:rPr>
              <w:t>在申请保险金时，请按照下列方式办理： </w:t>
            </w:r>
          </w:p>
        </w:tc>
      </w:tr>
      <w:tr>
        <w:trPr>
          <w:trHeight w:val="379"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2" w:lineRule="exact"/>
              <w:ind w:left="188"/>
              <w:rPr>
                <w:sz w:val="21"/>
              </w:rPr>
            </w:pPr>
            <w:r>
              <w:rPr>
                <w:w w:val="100"/>
                <w:sz w:val="21"/>
              </w:rPr>
              <w:t> </w:t>
            </w:r>
          </w:p>
        </w:tc>
      </w:tr>
      <w:tr>
        <w:trPr>
          <w:trHeight w:val="627" w:hRule="atLeast"/>
        </w:trPr>
        <w:tc>
          <w:tcPr>
            <w:tcW w:w="634" w:type="dxa"/>
          </w:tcPr>
          <w:p>
            <w:pPr>
              <w:pStyle w:val="TableParagraph"/>
              <w:rPr>
                <w:rFonts w:ascii="Times New Roman"/>
                <w:sz w:val="20"/>
              </w:rPr>
            </w:pPr>
          </w:p>
        </w:tc>
        <w:tc>
          <w:tcPr>
            <w:tcW w:w="1392" w:type="dxa"/>
          </w:tcPr>
          <w:p>
            <w:pPr>
              <w:pStyle w:val="TableParagraph"/>
              <w:spacing w:line="310" w:lineRule="exact" w:before="11"/>
              <w:ind w:left="162" w:right="175"/>
              <w:rPr>
                <w:rFonts w:ascii="Microsoft JhengHei" w:eastAsia="Microsoft JhengHei" w:hint="eastAsia"/>
                <w:b/>
                <w:sz w:val="21"/>
              </w:rPr>
            </w:pPr>
            <w:r>
              <w:rPr>
                <w:rFonts w:ascii="Microsoft JhengHei" w:eastAsia="Microsoft JhengHei" w:hint="eastAsia"/>
                <w:b/>
                <w:sz w:val="21"/>
              </w:rPr>
              <w:t>重大疾病保险金及恶性</w:t>
            </w:r>
          </w:p>
        </w:tc>
        <w:tc>
          <w:tcPr>
            <w:tcW w:w="7239" w:type="dxa"/>
          </w:tcPr>
          <w:p>
            <w:pPr>
              <w:pStyle w:val="TableParagraph"/>
              <w:spacing w:line="310" w:lineRule="exact" w:before="31"/>
              <w:ind w:left="174" w:right="101"/>
              <w:rPr>
                <w:sz w:val="21"/>
              </w:rPr>
            </w:pPr>
            <w:r>
              <w:rPr>
                <w:sz w:val="21"/>
              </w:rPr>
              <w:t>在申请重大疾病保险金及恶性肿瘤特别保险金时，申请人须填写保险金给付申请书，并提供下列证明和资料： </w:t>
            </w:r>
          </w:p>
        </w:tc>
      </w:tr>
    </w:tbl>
    <w:p>
      <w:pPr>
        <w:spacing w:after="0" w:line="310" w:lineRule="exact"/>
        <w:rPr>
          <w:sz w:val="21"/>
        </w:rPr>
        <w:sectPr>
          <w:pgSz w:w="11900" w:h="16840"/>
          <w:pgMar w:header="0" w:footer="724" w:top="1220" w:bottom="920" w:left="1340" w:right="1080"/>
        </w:sectPr>
      </w:pPr>
    </w:p>
    <w:p>
      <w:pPr>
        <w:pStyle w:val="Heading3"/>
        <w:spacing w:line="204" w:lineRule="auto"/>
        <w:ind w:left="901"/>
      </w:pPr>
      <w:r>
        <w:rPr/>
        <w:t>肿瘤特别保险金申请</w:t>
      </w:r>
    </w:p>
    <w:p>
      <w:pPr>
        <w:pStyle w:val="BodyText"/>
        <w:spacing w:before="107"/>
        <w:ind w:left="310"/>
      </w:pPr>
      <w:r>
        <w:rPr/>
        <w:br w:type="column"/>
      </w:r>
      <w:r>
        <w:rPr/>
        <w:t>（1）保险合同； </w:t>
      </w:r>
    </w:p>
    <w:p>
      <w:pPr>
        <w:pStyle w:val="BodyText"/>
        <w:spacing w:before="116"/>
        <w:ind w:left="310"/>
      </w:pPr>
      <w:r>
        <w:rPr/>
        <w:t>（2）申请人的有效身份证件； </w:t>
      </w:r>
    </w:p>
    <w:p>
      <w:pPr>
        <w:pStyle w:val="BodyText"/>
        <w:spacing w:line="273" w:lineRule="auto" w:before="114"/>
        <w:ind w:left="814" w:right="157" w:hanging="504"/>
      </w:pPr>
      <w:r>
        <w:rPr/>
        <w:t>（3）</w:t>
      </w:r>
      <w:r>
        <w:rPr>
          <w:spacing w:val="-3"/>
        </w:rPr>
        <w:t>医疗机构根据本主险合同释义中</w:t>
      </w:r>
      <w:r>
        <w:rPr/>
        <w:t>“10.6</w:t>
      </w:r>
      <w:r>
        <w:rPr>
          <w:spacing w:val="-8"/>
        </w:rPr>
        <w:t> 重大疾病”定义，出具的被保</w:t>
      </w:r>
      <w:r>
        <w:rPr>
          <w:spacing w:val="-21"/>
        </w:rPr>
        <w:t>险人的病历、必要病理检验、血液检验及其他科学诊断报告或手术证明；</w:t>
      </w:r>
      <w:r>
        <w:rPr/>
        <w:t> </w:t>
      </w:r>
    </w:p>
    <w:p>
      <w:pPr>
        <w:pStyle w:val="BodyText"/>
        <w:spacing w:line="271" w:lineRule="auto" w:before="87"/>
        <w:ind w:left="814" w:right="346" w:hanging="504"/>
      </w:pPr>
      <w:r>
        <w:rPr/>
        <w:t>（4）所能够提供的与确认保险事故的性质、原因、伤害程度等有关的其他证明和资料。 </w:t>
      </w:r>
    </w:p>
    <w:p>
      <w:pPr>
        <w:spacing w:after="0" w:line="271" w:lineRule="auto"/>
        <w:sectPr>
          <w:type w:val="continuous"/>
          <w:pgSz w:w="11900" w:h="16840"/>
          <w:pgMar w:top="360" w:bottom="280" w:left="1340" w:right="1080"/>
          <w:cols w:num="2" w:equalWidth="0">
            <w:col w:w="1956" w:space="40"/>
            <w:col w:w="7484"/>
          </w:cols>
        </w:sectPr>
      </w:pPr>
    </w:p>
    <w:p>
      <w:pPr>
        <w:pStyle w:val="BodyText"/>
        <w:spacing w:before="8" w:after="1"/>
        <w:ind w:left="0"/>
        <w:rPr>
          <w:sz w:val="11"/>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239"/>
      </w:tblGrid>
      <w:tr>
        <w:trPr>
          <w:trHeight w:val="297" w:hRule="atLeast"/>
        </w:trPr>
        <w:tc>
          <w:tcPr>
            <w:tcW w:w="571" w:type="dxa"/>
          </w:tcPr>
          <w:p>
            <w:pPr>
              <w:pStyle w:val="TableParagraph"/>
              <w:spacing w:line="211" w:lineRule="exact"/>
              <w:ind w:left="50"/>
              <w:rPr>
                <w:sz w:val="21"/>
              </w:rPr>
            </w:pPr>
            <w:r>
              <w:rPr>
                <w:w w:val="100"/>
                <w:sz w:val="21"/>
              </w:rPr>
              <w:t> </w:t>
            </w:r>
          </w:p>
        </w:tc>
        <w:tc>
          <w:tcPr>
            <w:tcW w:w="1455" w:type="dxa"/>
          </w:tcPr>
          <w:p>
            <w:pPr>
              <w:pStyle w:val="TableParagraph"/>
              <w:rPr>
                <w:rFonts w:ascii="Times New Roman"/>
                <w:sz w:val="20"/>
              </w:rPr>
            </w:pPr>
          </w:p>
        </w:tc>
        <w:tc>
          <w:tcPr>
            <w:tcW w:w="7239" w:type="dxa"/>
          </w:tcPr>
          <w:p>
            <w:pPr>
              <w:pStyle w:val="TableParagraph"/>
              <w:spacing w:line="211" w:lineRule="exact"/>
              <w:ind w:left="174"/>
              <w:rPr>
                <w:sz w:val="21"/>
              </w:rPr>
            </w:pPr>
            <w:r>
              <w:rPr>
                <w:w w:val="100"/>
                <w:sz w:val="21"/>
              </w:rPr>
              <w:t> </w:t>
            </w:r>
          </w:p>
        </w:tc>
      </w:tr>
      <w:tr>
        <w:trPr>
          <w:trHeight w:val="393" w:hRule="atLeast"/>
        </w:trPr>
        <w:tc>
          <w:tcPr>
            <w:tcW w:w="571" w:type="dxa"/>
          </w:tcPr>
          <w:p>
            <w:pPr>
              <w:pStyle w:val="TableParagraph"/>
              <w:spacing w:before="29"/>
              <w:ind w:left="50"/>
              <w:rPr>
                <w:sz w:val="21"/>
              </w:rPr>
            </w:pPr>
            <w:r>
              <w:rPr>
                <w:w w:val="100"/>
                <w:sz w:val="21"/>
              </w:rPr>
              <w:t> </w:t>
            </w:r>
          </w:p>
        </w:tc>
        <w:tc>
          <w:tcPr>
            <w:tcW w:w="1455" w:type="dxa"/>
          </w:tcPr>
          <w:p>
            <w:pPr>
              <w:pStyle w:val="TableParagraph"/>
              <w:spacing w:line="309" w:lineRule="exact"/>
              <w:ind w:left="225"/>
              <w:rPr>
                <w:rFonts w:ascii="Microsoft JhengHei" w:eastAsia="Microsoft JhengHei" w:hint="eastAsia"/>
                <w:b/>
                <w:sz w:val="21"/>
              </w:rPr>
            </w:pPr>
            <w:r>
              <w:rPr>
                <w:rFonts w:ascii="Microsoft JhengHei" w:eastAsia="Microsoft JhengHei" w:hint="eastAsia"/>
                <w:b/>
                <w:sz w:val="21"/>
              </w:rPr>
              <w:t>特别注意事</w:t>
            </w:r>
          </w:p>
        </w:tc>
        <w:tc>
          <w:tcPr>
            <w:tcW w:w="7239" w:type="dxa"/>
          </w:tcPr>
          <w:p>
            <w:pPr>
              <w:pStyle w:val="TableParagraph"/>
              <w:spacing w:before="29"/>
              <w:ind w:left="174"/>
              <w:rPr>
                <w:sz w:val="21"/>
              </w:rPr>
            </w:pPr>
            <w:r>
              <w:rPr>
                <w:sz w:val="21"/>
              </w:rPr>
              <w:t>保险金作为被保险人遗产时，必须提供可证明合法继承权的相关权利文件。 </w:t>
            </w:r>
          </w:p>
        </w:tc>
      </w:tr>
      <w:tr>
        <w:trPr>
          <w:trHeight w:val="701" w:hRule="atLeast"/>
        </w:trPr>
        <w:tc>
          <w:tcPr>
            <w:tcW w:w="571" w:type="dxa"/>
          </w:tcPr>
          <w:p>
            <w:pPr>
              <w:pStyle w:val="TableParagraph"/>
              <w:rPr>
                <w:rFonts w:ascii="Times New Roman"/>
                <w:sz w:val="20"/>
              </w:rPr>
            </w:pPr>
          </w:p>
        </w:tc>
        <w:tc>
          <w:tcPr>
            <w:tcW w:w="1455" w:type="dxa"/>
          </w:tcPr>
          <w:p>
            <w:pPr>
              <w:pStyle w:val="TableParagraph"/>
              <w:spacing w:line="225" w:lineRule="exact"/>
              <w:ind w:left="225"/>
              <w:rPr>
                <w:rFonts w:ascii="Microsoft JhengHei" w:eastAsia="Microsoft JhengHei" w:hint="eastAsia"/>
                <w:b/>
                <w:sz w:val="21"/>
              </w:rPr>
            </w:pPr>
            <w:r>
              <w:rPr>
                <w:rFonts w:ascii="Microsoft JhengHei" w:eastAsia="Microsoft JhengHei" w:hint="eastAsia"/>
                <w:b/>
                <w:w w:val="100"/>
                <w:sz w:val="21"/>
              </w:rPr>
              <w:t>项</w:t>
            </w:r>
          </w:p>
        </w:tc>
        <w:tc>
          <w:tcPr>
            <w:tcW w:w="7239" w:type="dxa"/>
          </w:tcPr>
          <w:p>
            <w:pPr>
              <w:pStyle w:val="TableParagraph"/>
              <w:spacing w:before="24"/>
              <w:ind w:left="174"/>
              <w:rPr>
                <w:sz w:val="21"/>
              </w:rPr>
            </w:pPr>
            <w:r>
              <w:rPr>
                <w:sz w:val="21"/>
              </w:rPr>
              <w:t>以上证明和资料不完整的，我们将及时一次性通知申请人补充提供有关证明</w:t>
            </w:r>
          </w:p>
          <w:p>
            <w:pPr>
              <w:pStyle w:val="TableParagraph"/>
              <w:spacing w:before="36"/>
              <w:ind w:left="174"/>
              <w:rPr>
                <w:sz w:val="21"/>
              </w:rPr>
            </w:pPr>
            <w:r>
              <w:rPr>
                <w:sz w:val="21"/>
              </w:rPr>
              <w:t>和资料。</w:t>
            </w:r>
          </w:p>
        </w:tc>
      </w:tr>
      <w:tr>
        <w:trPr>
          <w:trHeight w:val="385"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239" w:type="dxa"/>
          </w:tcPr>
          <w:p>
            <w:pPr>
              <w:pStyle w:val="TableParagraph"/>
              <w:spacing w:before="26"/>
              <w:ind w:left="174"/>
              <w:rPr>
                <w:sz w:val="21"/>
              </w:rPr>
            </w:pPr>
            <w:r>
              <w:rPr>
                <w:w w:val="100"/>
                <w:sz w:val="21"/>
              </w:rPr>
              <w:t> </w:t>
            </w:r>
          </w:p>
        </w:tc>
      </w:tr>
      <w:tr>
        <w:trPr>
          <w:trHeight w:val="319" w:hRule="atLeast"/>
        </w:trPr>
        <w:tc>
          <w:tcPr>
            <w:tcW w:w="571" w:type="dxa"/>
          </w:tcPr>
          <w:p>
            <w:pPr>
              <w:pStyle w:val="TableParagraph"/>
              <w:spacing w:line="300" w:lineRule="exact"/>
              <w:ind w:left="50"/>
              <w:rPr>
                <w:rFonts w:ascii="Microsoft JhengHei"/>
                <w:b/>
                <w:sz w:val="21"/>
              </w:rPr>
            </w:pPr>
            <w:r>
              <w:rPr>
                <w:rFonts w:ascii="Microsoft JhengHei"/>
                <w:b/>
                <w:w w:val="90"/>
                <w:sz w:val="21"/>
              </w:rPr>
              <w:t>3. 4</w:t>
            </w:r>
          </w:p>
        </w:tc>
        <w:tc>
          <w:tcPr>
            <w:tcW w:w="1455" w:type="dxa"/>
          </w:tcPr>
          <w:p>
            <w:pPr>
              <w:pStyle w:val="TableParagraph"/>
              <w:spacing w:line="300" w:lineRule="exact"/>
              <w:ind w:left="225"/>
              <w:rPr>
                <w:rFonts w:ascii="Microsoft JhengHei" w:eastAsia="Microsoft JhengHei" w:hint="eastAsia"/>
                <w:b/>
                <w:sz w:val="21"/>
              </w:rPr>
            </w:pPr>
            <w:r>
              <w:rPr>
                <w:rFonts w:ascii="Microsoft JhengHei" w:eastAsia="Microsoft JhengHei" w:hint="eastAsia"/>
                <w:b/>
                <w:sz w:val="21"/>
              </w:rPr>
              <w:t>保险金给付</w:t>
            </w:r>
          </w:p>
        </w:tc>
        <w:tc>
          <w:tcPr>
            <w:tcW w:w="7239" w:type="dxa"/>
          </w:tcPr>
          <w:p>
            <w:pPr>
              <w:pStyle w:val="TableParagraph"/>
              <w:spacing w:line="270" w:lineRule="exact" w:before="30"/>
              <w:ind w:left="174"/>
              <w:rPr>
                <w:sz w:val="21"/>
              </w:rPr>
            </w:pPr>
            <w:r>
              <w:rPr>
                <w:sz w:val="21"/>
              </w:rPr>
              <w:t>我们在收到保险金给付申请书及本主险合同约定的证明和资料后，将在 5 日</w:t>
            </w:r>
          </w:p>
        </w:tc>
      </w:tr>
    </w:tbl>
    <w:p>
      <w:pPr>
        <w:spacing w:after="0" w:line="270" w:lineRule="exact"/>
        <w:rPr>
          <w:sz w:val="21"/>
        </w:rPr>
        <w:sectPr>
          <w:type w:val="continuous"/>
          <w:pgSz w:w="11900" w:h="16840"/>
          <w:pgMar w:top="360" w:bottom="280" w:left="1340" w:right="1080"/>
        </w:sectPr>
      </w:pPr>
    </w:p>
    <w:p>
      <w:pPr>
        <w:pStyle w:val="BodyText"/>
        <w:spacing w:line="273" w:lineRule="auto" w:before="9"/>
        <w:ind w:left="2365" w:right="219"/>
        <w:jc w:val="both"/>
      </w:pPr>
      <w:r>
        <w:rPr>
          <w:spacing w:val="-3"/>
        </w:rPr>
        <w:t>内做出核定；情形复杂的，在 </w:t>
      </w:r>
      <w:r>
        <w:rPr/>
        <w:t>30</w:t>
      </w:r>
      <w:r>
        <w:rPr>
          <w:spacing w:val="-3"/>
        </w:rPr>
        <w:t> 日内做出核定。对属于保险责任的，我们</w:t>
      </w:r>
      <w:r>
        <w:rPr>
          <w:spacing w:val="-5"/>
        </w:rPr>
        <w:t>在与受益人达成给付保险金的协议后 </w:t>
      </w:r>
      <w:r>
        <w:rPr/>
        <w:t>10</w:t>
      </w:r>
      <w:r>
        <w:rPr>
          <w:spacing w:val="-7"/>
        </w:rPr>
        <w:t> 日内，履行给付保险金义务。</w:t>
      </w:r>
      <w:r>
        <w:rPr/>
        <w:t> </w:t>
      </w:r>
    </w:p>
    <w:p>
      <w:pPr>
        <w:pStyle w:val="BodyText"/>
        <w:spacing w:line="271" w:lineRule="auto" w:before="87"/>
        <w:ind w:left="2365" w:right="222"/>
        <w:jc w:val="both"/>
      </w:pPr>
      <w:r>
        <w:rPr>
          <w:spacing w:val="-5"/>
        </w:rPr>
        <w:t>我们未及时履行前款规定义务的，除支付保险金外，应当赔偿受益人因此受</w:t>
      </w:r>
      <w:r>
        <w:rPr>
          <w:spacing w:val="-2"/>
        </w:rPr>
        <w:t>到的损失。</w:t>
      </w:r>
      <w:r>
        <w:rPr/>
        <w:t> </w:t>
      </w:r>
    </w:p>
    <w:p>
      <w:pPr>
        <w:pStyle w:val="Heading3"/>
        <w:spacing w:line="339" w:lineRule="exact" w:before="22"/>
      </w:pPr>
      <w:r>
        <w:rPr/>
        <w:t>对不属于保险责任的，我们自做出核定之日起 3 日内向受益人发出拒绝给付</w:t>
      </w:r>
    </w:p>
    <w:p>
      <w:pPr>
        <w:spacing w:line="339" w:lineRule="exact" w:before="0"/>
        <w:ind w:left="2365" w:right="0" w:firstLine="0"/>
        <w:jc w:val="left"/>
        <w:rPr>
          <w:rFonts w:ascii="Microsoft JhengHei" w:eastAsia="Microsoft JhengHei" w:hint="eastAsia"/>
          <w:b/>
          <w:sz w:val="21"/>
        </w:rPr>
      </w:pPr>
      <w:r>
        <w:rPr>
          <w:rFonts w:ascii="Microsoft JhengHei" w:eastAsia="Microsoft JhengHei" w:hint="eastAsia"/>
          <w:b/>
          <w:sz w:val="21"/>
        </w:rPr>
        <w:t>保险金通知书并说明理由。</w:t>
      </w:r>
    </w:p>
    <w:p>
      <w:pPr>
        <w:pStyle w:val="BodyText"/>
        <w:spacing w:line="271" w:lineRule="auto" w:before="93"/>
        <w:ind w:left="2365" w:right="219"/>
        <w:jc w:val="both"/>
      </w:pPr>
      <w:r>
        <w:rPr>
          <w:spacing w:val="-3"/>
        </w:rPr>
        <w:t>我们在收到保险金给付申请书及有关证明和资料之日起 </w:t>
      </w:r>
      <w:r>
        <w:rPr/>
        <w:t>60</w:t>
      </w:r>
      <w:r>
        <w:rPr>
          <w:spacing w:val="-2"/>
        </w:rPr>
        <w:t> 日内，对给付保</w:t>
      </w:r>
      <w:r>
        <w:rPr>
          <w:spacing w:val="-5"/>
        </w:rPr>
        <w:t>险金的数额不能确定的，根据已有证明和资料可以确定的数额先予支付；我</w:t>
      </w:r>
      <w:r>
        <w:rPr>
          <w:spacing w:val="-4"/>
        </w:rPr>
        <w:t>们最终确定给付保险金的数额后，将支付相应的差额。</w:t>
      </w:r>
      <w:r>
        <w:rPr/>
        <w:t> </w:t>
      </w:r>
    </w:p>
    <w:p>
      <w:pPr>
        <w:pStyle w:val="BodyText"/>
        <w:tabs>
          <w:tab w:pos="961" w:val="left" w:leader="none"/>
          <w:tab w:pos="2365" w:val="left" w:leader="none"/>
        </w:tabs>
        <w:spacing w:before="89"/>
        <w:ind w:left="215"/>
      </w:pPr>
      <w:r>
        <w:rPr>
          <w:w w:val="100"/>
        </w:rPr>
        <w:t> </w:t>
      </w:r>
      <w:r>
        <w:rPr/>
        <w:tab/>
      </w:r>
      <w:r>
        <w:rPr>
          <w:w w:val="100"/>
        </w:rPr>
        <w:t> </w:t>
      </w:r>
      <w:r>
        <w:rPr/>
        <w:tab/>
      </w:r>
      <w:r>
        <w:rPr>
          <w:w w:val="100"/>
        </w:rPr>
        <w:t> </w:t>
      </w:r>
    </w:p>
    <w:p>
      <w:pPr>
        <w:pStyle w:val="BodyText"/>
        <w:tabs>
          <w:tab w:pos="961" w:val="left" w:leader="none"/>
          <w:tab w:pos="2365" w:val="left" w:leader="none"/>
        </w:tabs>
        <w:spacing w:line="247" w:lineRule="auto" w:before="49"/>
        <w:ind w:left="2365" w:right="219" w:hanging="2151"/>
      </w:pPr>
      <w:r>
        <w:rPr>
          <w:rFonts w:ascii="Microsoft JhengHei" w:eastAsia="Microsoft JhengHei" w:hint="eastAsia"/>
          <w:b/>
        </w:rPr>
        <w:t>3.</w:t>
      </w:r>
      <w:r>
        <w:rPr>
          <w:rFonts w:ascii="Microsoft JhengHei" w:eastAsia="Microsoft JhengHei" w:hint="eastAsia"/>
          <w:b/>
          <w:spacing w:val="-33"/>
        </w:rPr>
        <w:t> </w:t>
      </w:r>
      <w:r>
        <w:rPr>
          <w:rFonts w:ascii="Microsoft JhengHei" w:eastAsia="Microsoft JhengHei" w:hint="eastAsia"/>
          <w:b/>
        </w:rPr>
        <w:t>5</w:t>
        <w:tab/>
        <w:t>诉讼时效</w:t>
        <w:tab/>
      </w:r>
      <w:r>
        <w:rPr/>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4"/>
        </w:rPr>
        <w:t> </w:t>
      </w:r>
      <w:r>
        <w:rPr/>
        <w:t>2</w:t>
      </w:r>
      <w:r>
        <w:rPr>
          <w:spacing w:val="-36"/>
        </w:rPr>
        <w:t> </w:t>
      </w:r>
      <w:r>
        <w:rPr/>
        <w:t>年</w:t>
      </w:r>
      <w:r>
        <w:rPr>
          <w:spacing w:val="-22"/>
        </w:rPr>
        <w:t>，</w:t>
      </w:r>
      <w:r>
        <w:rPr>
          <w:spacing w:val="-3"/>
        </w:rPr>
        <w:t>自</w:t>
      </w:r>
      <w:r>
        <w:rPr/>
        <w:t>其</w:t>
      </w:r>
      <w:r>
        <w:rPr>
          <w:spacing w:val="-3"/>
        </w:rPr>
        <w:t>知</w:t>
      </w:r>
      <w:r>
        <w:rPr/>
        <w:t>道</w:t>
      </w:r>
      <w:r>
        <w:rPr>
          <w:spacing w:val="-3"/>
        </w:rPr>
        <w:t>或</w:t>
      </w:r>
      <w:r>
        <w:rPr/>
        <w:t>者</w:t>
      </w:r>
      <w:r>
        <w:rPr>
          <w:spacing w:val="-3"/>
        </w:rPr>
        <w:t>应</w:t>
      </w:r>
      <w:r>
        <w:rPr/>
        <w:t>当知道保</w:t>
      </w:r>
      <w:r>
        <w:rPr>
          <w:spacing w:val="-3"/>
        </w:rPr>
        <w:t>险</w:t>
      </w:r>
      <w:r>
        <w:rPr/>
        <w:t>事</w:t>
      </w:r>
      <w:r>
        <w:rPr>
          <w:spacing w:val="-3"/>
        </w:rPr>
        <w:t>故</w:t>
      </w:r>
      <w:r>
        <w:rPr/>
        <w:t>发</w:t>
      </w:r>
      <w:r>
        <w:rPr>
          <w:spacing w:val="-3"/>
        </w:rPr>
        <w:t>生</w:t>
      </w:r>
      <w:r>
        <w:rPr/>
        <w:t>之</w:t>
      </w:r>
      <w:r>
        <w:rPr>
          <w:spacing w:val="-3"/>
        </w:rPr>
        <w:t>日</w:t>
      </w:r>
      <w:r>
        <w:rPr/>
        <w:t>起</w:t>
      </w:r>
      <w:r>
        <w:rPr>
          <w:spacing w:val="-3"/>
        </w:rPr>
        <w:t>计</w:t>
      </w:r>
      <w:r>
        <w:rPr/>
        <w:t>算。</w:t>
      </w:r>
    </w:p>
    <w:p>
      <w:pPr>
        <w:pStyle w:val="BodyText"/>
        <w:tabs>
          <w:tab w:pos="961" w:val="left" w:leader="none"/>
          <w:tab w:pos="2365" w:val="left" w:leader="none"/>
        </w:tabs>
        <w:spacing w:before="109"/>
        <w:ind w:left="215"/>
      </w:pPr>
      <w:r>
        <w:rPr>
          <w:w w:val="100"/>
        </w:rPr>
        <w:t> </w:t>
      </w:r>
      <w:r>
        <w:rPr/>
        <w:tab/>
      </w:r>
      <w:r>
        <w:rPr>
          <w:w w:val="100"/>
        </w:rPr>
        <w:t> </w:t>
      </w:r>
      <w:r>
        <w:rPr/>
        <w:tab/>
      </w:r>
      <w:r>
        <w:rPr>
          <w:w w:val="100"/>
        </w:rPr>
        <w:t> </w:t>
      </w:r>
    </w:p>
    <w:p>
      <w:pPr>
        <w:pStyle w:val="Heading2"/>
        <w:numPr>
          <w:ilvl w:val="0"/>
          <w:numId w:val="8"/>
        </w:numPr>
        <w:tabs>
          <w:tab w:pos="961" w:val="left" w:leader="none"/>
          <w:tab w:pos="962" w:val="left" w:leader="none"/>
        </w:tabs>
        <w:spacing w:line="240" w:lineRule="auto" w:before="167" w:after="0"/>
        <w:ind w:left="961" w:right="0" w:hanging="742"/>
        <w:jc w:val="left"/>
      </w:pPr>
      <w:r>
        <w:rPr/>
        <w:pict>
          <v:group style="position:absolute;margin-left:69.360001pt;margin-top:37.463669pt;width:463.8pt;height:1pt;mso-position-horizontal-relative:page;mso-position-vertical-relative:paragraph;z-index:1168;mso-wrap-distance-left:0;mso-wrap-distance-right:0" coordorigin="1387,749" coordsize="9276,20">
            <v:line style="position:absolute" from="1387,759" to="2134,759" stroked="true" strokeweight=".96pt" strokecolor="#000000">
              <v:stroke dashstyle="solid"/>
            </v:line>
            <v:rect style="position:absolute;left:2133;top:749;width:20;height:20" filled="true" fillcolor="#000000" stroked="false">
              <v:fill type="solid"/>
            </v:rect>
            <v:line style="position:absolute" from="2153,759" to="3538,759" stroked="true" strokeweight=".96pt" strokecolor="#000000">
              <v:stroke dashstyle="solid"/>
            </v:line>
            <v:rect style="position:absolute;left:3537;top:749;width:20;height:20" filled="true" fillcolor="#000000" stroked="false">
              <v:fill type="solid"/>
            </v:rect>
            <v:line style="position:absolute" from="3557,759" to="10663,759" stroked="true" strokeweight=".96pt" strokecolor="#000000">
              <v:stroke dashstyle="solid"/>
            </v:line>
            <w10:wrap type="topAndBottom"/>
          </v:group>
        </w:pict>
      </w:r>
      <w:r>
        <w:rPr/>
        <w:t>保险费的支付</w:t>
      </w:r>
    </w:p>
    <w:p>
      <w:pPr>
        <w:pStyle w:val="BodyText"/>
        <w:spacing w:before="17"/>
        <w:ind w:left="0"/>
        <w:rPr>
          <w:rFonts w:ascii="Microsoft JhengHei"/>
          <w:b/>
        </w:rPr>
      </w:pPr>
    </w:p>
    <w:p>
      <w:pPr>
        <w:spacing w:after="0"/>
        <w:rPr>
          <w:rFonts w:ascii="Microsoft JhengHei"/>
        </w:rPr>
        <w:sectPr>
          <w:pgSz w:w="11900" w:h="16840"/>
          <w:pgMar w:header="0" w:footer="724" w:top="1060" w:bottom="920" w:left="1280" w:right="1120"/>
        </w:sectPr>
      </w:pPr>
    </w:p>
    <w:p>
      <w:pPr>
        <w:pStyle w:val="Heading3"/>
        <w:numPr>
          <w:ilvl w:val="1"/>
          <w:numId w:val="9"/>
        </w:numPr>
        <w:tabs>
          <w:tab w:pos="961" w:val="left" w:leader="none"/>
          <w:tab w:pos="962" w:val="left" w:leader="none"/>
        </w:tabs>
        <w:spacing w:line="318" w:lineRule="exact" w:before="0" w:after="0"/>
        <w:ind w:left="2365" w:right="0" w:hanging="2150"/>
        <w:jc w:val="left"/>
      </w:pPr>
      <w:r>
        <w:rPr>
          <w:w w:val="84"/>
        </w:rPr>
        <w:t>1</w:t>
      </w:r>
      <w:r>
        <w:rPr/>
        <w:tab/>
      </w:r>
      <w:r>
        <w:rPr>
          <w:w w:val="100"/>
        </w:rPr>
        <w:t>保险费的支</w:t>
      </w:r>
    </w:p>
    <w:p>
      <w:pPr>
        <w:spacing w:line="339" w:lineRule="exact" w:before="0"/>
        <w:ind w:left="116" w:right="0" w:firstLine="0"/>
        <w:jc w:val="center"/>
        <w:rPr>
          <w:rFonts w:ascii="Microsoft JhengHei" w:eastAsia="Microsoft JhengHei" w:hint="eastAsia"/>
          <w:b/>
          <w:sz w:val="21"/>
        </w:rPr>
      </w:pPr>
      <w:r>
        <w:rPr>
          <w:rFonts w:ascii="Microsoft JhengHei" w:eastAsia="Microsoft JhengHei" w:hint="eastAsia"/>
          <w:b/>
          <w:w w:val="100"/>
          <w:sz w:val="21"/>
        </w:rPr>
        <w:t>付</w:t>
      </w:r>
    </w:p>
    <w:p>
      <w:pPr>
        <w:pStyle w:val="BodyText"/>
        <w:spacing w:before="46"/>
        <w:ind w:left="215"/>
      </w:pPr>
      <w:r>
        <w:rPr/>
        <w:br w:type="column"/>
      </w:r>
      <w:r>
        <w:rPr/>
        <w:t>本主险合同的交费方式和交费期间由您和我们约定并在保险单上载明。 </w:t>
      </w:r>
    </w:p>
    <w:p>
      <w:pPr>
        <w:pStyle w:val="BodyText"/>
        <w:spacing w:before="116"/>
        <w:ind w:left="215"/>
      </w:pPr>
      <w:r>
        <w:rPr/>
        <w:t>分期支付保险费的，在支付首期保险费后，您应当按照约定，在保险费约定</w:t>
      </w:r>
    </w:p>
    <w:p>
      <w:pPr>
        <w:pStyle w:val="BodyText"/>
        <w:spacing w:before="34"/>
        <w:ind w:left="215"/>
      </w:pPr>
      <w:r>
        <w:rPr/>
        <w:t>支付日支付其余各期的保险费。 </w:t>
      </w:r>
    </w:p>
    <w:p>
      <w:pPr>
        <w:pStyle w:val="BodyText"/>
        <w:spacing w:before="116"/>
        <w:ind w:left="215"/>
      </w:pPr>
      <w:r>
        <w:rPr/>
        <w:t>本主险合同及项下的附加险合同的保险费必须一同支付。 </w:t>
      </w:r>
    </w:p>
    <w:p>
      <w:pPr>
        <w:pStyle w:val="BodyText"/>
        <w:spacing w:line="271" w:lineRule="auto" w:before="116"/>
        <w:ind w:left="215" w:right="117"/>
      </w:pPr>
      <w:r>
        <w:rPr>
          <w:spacing w:val="-5"/>
        </w:rPr>
        <w:t>我们保留提高和降低保险费率的权利，并在提高和降低保险费率前 </w:t>
      </w:r>
      <w:r>
        <w:rPr/>
        <w:t>30</w:t>
      </w:r>
      <w:r>
        <w:rPr>
          <w:spacing w:val="-12"/>
        </w:rPr>
        <w:t> 日书面</w:t>
      </w:r>
      <w:r>
        <w:rPr>
          <w:spacing w:val="-9"/>
        </w:rPr>
        <w:t>通知您。保险费率的调整针对所有被保险人或同一投保年龄的所有被保险人。</w:t>
      </w:r>
      <w:r>
        <w:rPr>
          <w:spacing w:val="-12"/>
        </w:rPr>
        <w:t>我们进行保险费率调整后，请您按调整后的保险费交付以后各期保险费。</w:t>
      </w:r>
      <w:r>
        <w:rPr/>
        <w:t> </w:t>
      </w:r>
    </w:p>
    <w:p>
      <w:pPr>
        <w:spacing w:after="0" w:line="271" w:lineRule="auto"/>
        <w:sectPr>
          <w:type w:val="continuous"/>
          <w:pgSz w:w="11900" w:h="16840"/>
          <w:pgMar w:top="360" w:bottom="280" w:left="1280" w:right="1120"/>
          <w:cols w:num="2" w:equalWidth="0">
            <w:col w:w="2018" w:space="132"/>
            <w:col w:w="7350"/>
          </w:cols>
        </w:sectPr>
      </w:pPr>
    </w:p>
    <w:p>
      <w:pPr>
        <w:pStyle w:val="BodyText"/>
        <w:tabs>
          <w:tab w:pos="961" w:val="left" w:leader="none"/>
          <w:tab w:pos="2365" w:val="left" w:leader="none"/>
        </w:tabs>
        <w:spacing w:before="88"/>
        <w:ind w:left="215"/>
      </w:pPr>
      <w:r>
        <w:rPr>
          <w:w w:val="100"/>
        </w:rPr>
        <w:t> </w:t>
      </w:r>
      <w:r>
        <w:rPr/>
        <w:tab/>
      </w:r>
      <w:r>
        <w:rPr>
          <w:w w:val="100"/>
        </w:rPr>
        <w:t> </w:t>
      </w:r>
      <w:r>
        <w:rPr/>
        <w:tab/>
      </w:r>
      <w:r>
        <w:rPr>
          <w:w w:val="100"/>
        </w:rPr>
        <w:t> </w:t>
      </w:r>
    </w:p>
    <w:p>
      <w:pPr>
        <w:pStyle w:val="ListParagraph"/>
        <w:numPr>
          <w:ilvl w:val="1"/>
          <w:numId w:val="9"/>
        </w:numPr>
        <w:tabs>
          <w:tab w:pos="961" w:val="left" w:leader="none"/>
          <w:tab w:pos="962" w:val="left" w:leader="none"/>
          <w:tab w:pos="2365" w:val="left" w:leader="none"/>
        </w:tabs>
        <w:spacing w:line="261" w:lineRule="auto" w:before="49" w:after="0"/>
        <w:ind w:left="2365" w:right="219" w:hanging="2150"/>
        <w:jc w:val="left"/>
        <w:rPr>
          <w:sz w:val="21"/>
        </w:rPr>
      </w:pPr>
      <w:r>
        <w:rPr>
          <w:rFonts w:ascii="Microsoft JhengHei" w:eastAsia="Microsoft JhengHei" w:hint="eastAsia"/>
          <w:b/>
          <w:sz w:val="21"/>
        </w:rPr>
        <w:t>2</w:t>
        <w:tab/>
        <w:t>宽限期</w:t>
        <w:tab/>
      </w: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10"/>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pacing w:val="-8"/>
          <w:sz w:val="21"/>
        </w:rPr>
        <w:t>，</w:t>
      </w:r>
      <w:r>
        <w:rPr>
          <w:spacing w:val="-3"/>
          <w:sz w:val="21"/>
        </w:rPr>
        <w:t>除</w:t>
      </w:r>
      <w:r>
        <w:rPr>
          <w:sz w:val="21"/>
        </w:rPr>
        <w:t>本</w:t>
      </w:r>
      <w:r>
        <w:rPr>
          <w:spacing w:val="-3"/>
          <w:sz w:val="21"/>
        </w:rPr>
        <w:t>主</w:t>
      </w:r>
      <w:r>
        <w:rPr>
          <w:sz w:val="21"/>
        </w:rPr>
        <w:t>险合</w:t>
      </w:r>
      <w:r>
        <w:rPr>
          <w:spacing w:val="-3"/>
          <w:sz w:val="21"/>
        </w:rPr>
        <w:t>同</w:t>
      </w:r>
      <w:r>
        <w:rPr>
          <w:sz w:val="21"/>
        </w:rPr>
        <w:t>另</w:t>
      </w:r>
      <w:r>
        <w:rPr>
          <w:spacing w:val="-3"/>
          <w:sz w:val="21"/>
        </w:rPr>
        <w:t>有</w:t>
      </w:r>
      <w:r>
        <w:rPr>
          <w:sz w:val="21"/>
        </w:rPr>
        <w:t>约</w:t>
      </w:r>
      <w:r>
        <w:rPr>
          <w:spacing w:val="-3"/>
          <w:sz w:val="21"/>
        </w:rPr>
        <w:t>定 </w:t>
      </w:r>
      <w:r>
        <w:rPr>
          <w:sz w:val="21"/>
        </w:rPr>
        <w:t>外</w:t>
      </w:r>
      <w:r>
        <w:rPr>
          <w:spacing w:val="-10"/>
          <w:sz w:val="21"/>
        </w:rPr>
        <w:t>，</w:t>
      </w:r>
      <w:r>
        <w:rPr>
          <w:sz w:val="21"/>
        </w:rPr>
        <w:t>如果您到</w:t>
      </w:r>
      <w:r>
        <w:rPr>
          <w:spacing w:val="-3"/>
          <w:sz w:val="21"/>
        </w:rPr>
        <w:t>期</w:t>
      </w:r>
      <w:r>
        <w:rPr>
          <w:sz w:val="21"/>
        </w:rPr>
        <w:t>未</w:t>
      </w:r>
      <w:r>
        <w:rPr>
          <w:spacing w:val="-3"/>
          <w:sz w:val="21"/>
        </w:rPr>
        <w:t>支</w:t>
      </w:r>
      <w:r>
        <w:rPr>
          <w:sz w:val="21"/>
        </w:rPr>
        <w:t>付</w:t>
      </w:r>
      <w:r>
        <w:rPr>
          <w:spacing w:val="-3"/>
          <w:sz w:val="21"/>
        </w:rPr>
        <w:t>保</w:t>
      </w:r>
      <w:r>
        <w:rPr>
          <w:sz w:val="21"/>
        </w:rPr>
        <w:t>险</w:t>
      </w:r>
      <w:r>
        <w:rPr>
          <w:spacing w:val="-3"/>
          <w:sz w:val="21"/>
        </w:rPr>
        <w:t>费</w:t>
      </w:r>
      <w:r>
        <w:rPr>
          <w:sz w:val="21"/>
        </w:rPr>
        <w:t>，</w:t>
      </w:r>
      <w:r>
        <w:rPr>
          <w:spacing w:val="-3"/>
          <w:sz w:val="21"/>
        </w:rPr>
        <w:t>自</w:t>
      </w:r>
      <w:r>
        <w:rPr>
          <w:sz w:val="21"/>
        </w:rPr>
        <w:t>保险</w:t>
      </w:r>
      <w:r>
        <w:rPr>
          <w:spacing w:val="-3"/>
          <w:sz w:val="21"/>
        </w:rPr>
        <w:t>费</w:t>
      </w:r>
      <w:r>
        <w:rPr>
          <w:sz w:val="21"/>
        </w:rPr>
        <w:t>约</w:t>
      </w:r>
      <w:r>
        <w:rPr>
          <w:spacing w:val="-3"/>
          <w:sz w:val="21"/>
        </w:rPr>
        <w:t>定</w:t>
      </w:r>
      <w:r>
        <w:rPr>
          <w:sz w:val="21"/>
        </w:rPr>
        <w:t>支</w:t>
      </w:r>
      <w:r>
        <w:rPr>
          <w:spacing w:val="-3"/>
          <w:sz w:val="21"/>
        </w:rPr>
        <w:t>付</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44"/>
          <w:sz w:val="21"/>
        </w:rPr>
        <w:t> </w:t>
      </w:r>
      <w:r>
        <w:rPr>
          <w:sz w:val="21"/>
        </w:rPr>
        <w:t>60</w:t>
      </w:r>
      <w:r>
        <w:rPr>
          <w:spacing w:val="-46"/>
          <w:sz w:val="21"/>
        </w:rPr>
        <w:t> </w:t>
      </w:r>
      <w:r>
        <w:rPr>
          <w:sz w:val="21"/>
        </w:rPr>
        <w:t>日</w:t>
      </w:r>
      <w:r>
        <w:rPr>
          <w:spacing w:val="-3"/>
          <w:sz w:val="21"/>
        </w:rPr>
        <w:t>为</w:t>
      </w:r>
      <w:r>
        <w:rPr>
          <w:sz w:val="21"/>
        </w:rPr>
        <w:t>宽</w:t>
      </w:r>
      <w:r>
        <w:rPr>
          <w:spacing w:val="-3"/>
          <w:sz w:val="21"/>
        </w:rPr>
        <w:t>限</w:t>
      </w:r>
      <w:r>
        <w:rPr>
          <w:sz w:val="21"/>
        </w:rPr>
        <w:t>期。宽限</w:t>
      </w:r>
      <w:r>
        <w:rPr>
          <w:spacing w:val="-3"/>
          <w:sz w:val="21"/>
        </w:rPr>
        <w:t>期</w:t>
      </w:r>
      <w:r>
        <w:rPr>
          <w:sz w:val="21"/>
        </w:rPr>
        <w:t>内</w:t>
      </w:r>
      <w:r>
        <w:rPr>
          <w:spacing w:val="-3"/>
          <w:sz w:val="21"/>
        </w:rPr>
        <w:t>发</w:t>
      </w:r>
      <w:r>
        <w:rPr>
          <w:sz w:val="21"/>
        </w:rPr>
        <w:t>生</w:t>
      </w:r>
      <w:r>
        <w:rPr>
          <w:spacing w:val="-3"/>
          <w:sz w:val="21"/>
        </w:rPr>
        <w:t>的</w:t>
      </w:r>
      <w:r>
        <w:rPr>
          <w:sz w:val="21"/>
        </w:rPr>
        <w:t>保</w:t>
      </w:r>
      <w:r>
        <w:rPr>
          <w:spacing w:val="-3"/>
          <w:sz w:val="21"/>
        </w:rPr>
        <w:t>险</w:t>
      </w:r>
      <w:r>
        <w:rPr>
          <w:sz w:val="21"/>
        </w:rPr>
        <w:t>事</w:t>
      </w:r>
      <w:r>
        <w:rPr>
          <w:spacing w:val="-3"/>
          <w:sz w:val="21"/>
        </w:rPr>
        <w:t>故</w:t>
      </w:r>
      <w:r>
        <w:rPr>
          <w:spacing w:val="-10"/>
          <w:sz w:val="21"/>
        </w:rPr>
        <w:t>，</w:t>
      </w:r>
      <w:r>
        <w:rPr>
          <w:spacing w:val="-3"/>
          <w:sz w:val="21"/>
        </w:rPr>
        <w:t>我</w:t>
      </w:r>
      <w:r>
        <w:rPr>
          <w:sz w:val="21"/>
        </w:rPr>
        <w:t>们</w:t>
      </w:r>
      <w:r>
        <w:rPr>
          <w:spacing w:val="-3"/>
          <w:sz w:val="21"/>
        </w:rPr>
        <w:t>仍</w:t>
      </w:r>
      <w:r>
        <w:rPr>
          <w:sz w:val="21"/>
        </w:rPr>
        <w:t>会</w:t>
      </w:r>
      <w:r>
        <w:rPr>
          <w:spacing w:val="-3"/>
          <w:sz w:val="21"/>
        </w:rPr>
        <w:t>承</w:t>
      </w:r>
      <w:r>
        <w:rPr>
          <w:sz w:val="21"/>
        </w:rPr>
        <w:t>担</w:t>
      </w:r>
      <w:r>
        <w:rPr>
          <w:spacing w:val="-3"/>
          <w:sz w:val="21"/>
        </w:rPr>
        <w:t>保</w:t>
      </w:r>
      <w:r>
        <w:rPr>
          <w:sz w:val="21"/>
        </w:rPr>
        <w:t>险</w:t>
      </w:r>
      <w:r>
        <w:rPr>
          <w:spacing w:val="-3"/>
          <w:sz w:val="21"/>
        </w:rPr>
        <w:t>责任</w:t>
      </w:r>
      <w:r>
        <w:rPr>
          <w:spacing w:val="-10"/>
          <w:sz w:val="21"/>
        </w:rPr>
        <w:t>，</w:t>
      </w:r>
      <w:r>
        <w:rPr>
          <w:spacing w:val="-3"/>
          <w:sz w:val="21"/>
        </w:rPr>
        <w:t>但</w:t>
      </w:r>
      <w:r>
        <w:rPr>
          <w:sz w:val="21"/>
        </w:rPr>
        <w:t>在</w:t>
      </w:r>
      <w:r>
        <w:rPr>
          <w:spacing w:val="-3"/>
          <w:sz w:val="21"/>
        </w:rPr>
        <w:t>给</w:t>
      </w:r>
      <w:r>
        <w:rPr>
          <w:sz w:val="21"/>
        </w:rPr>
        <w:t>付</w:t>
      </w:r>
      <w:r>
        <w:rPr>
          <w:spacing w:val="-3"/>
          <w:sz w:val="21"/>
        </w:rPr>
        <w:t>保</w:t>
      </w:r>
      <w:r>
        <w:rPr>
          <w:sz w:val="21"/>
        </w:rPr>
        <w:t>险</w:t>
      </w:r>
      <w:r>
        <w:rPr>
          <w:spacing w:val="-3"/>
          <w:sz w:val="21"/>
        </w:rPr>
        <w:t>金</w:t>
      </w:r>
      <w:r>
        <w:rPr>
          <w:sz w:val="21"/>
        </w:rPr>
        <w:t>时</w:t>
      </w:r>
      <w:r>
        <w:rPr>
          <w:spacing w:val="-3"/>
          <w:sz w:val="21"/>
        </w:rPr>
        <w:t>会</w:t>
      </w:r>
      <w:r>
        <w:rPr>
          <w:sz w:val="21"/>
        </w:rPr>
        <w:t>扣减您</w:t>
      </w:r>
      <w:r>
        <w:rPr>
          <w:spacing w:val="-3"/>
          <w:sz w:val="21"/>
        </w:rPr>
        <w:t>欠</w:t>
      </w:r>
      <w:r>
        <w:rPr>
          <w:sz w:val="21"/>
        </w:rPr>
        <w:t>交</w:t>
      </w:r>
      <w:r>
        <w:rPr>
          <w:spacing w:val="-3"/>
          <w:sz w:val="21"/>
        </w:rPr>
        <w:t>的</w:t>
      </w:r>
      <w:r>
        <w:rPr>
          <w:sz w:val="21"/>
        </w:rPr>
        <w:t>保</w:t>
      </w:r>
      <w:r>
        <w:rPr>
          <w:spacing w:val="-3"/>
          <w:sz w:val="21"/>
        </w:rPr>
        <w:t>险</w:t>
      </w:r>
      <w:r>
        <w:rPr>
          <w:sz w:val="21"/>
        </w:rPr>
        <w:t>费</w:t>
      </w:r>
      <w:r>
        <w:rPr>
          <w:spacing w:val="-3"/>
          <w:sz w:val="21"/>
        </w:rPr>
        <w:t>。</w:t>
      </w:r>
      <w:r>
        <w:rPr>
          <w:sz w:val="21"/>
        </w:rPr>
        <w:t> </w:t>
      </w:r>
    </w:p>
    <w:p>
      <w:pPr>
        <w:pStyle w:val="Heading3"/>
        <w:spacing w:line="339" w:lineRule="exact" w:before="30"/>
      </w:pPr>
      <w:r>
        <w:rPr/>
        <w:t>若您在宽限期结束之后仍未支付保险费，则本主险合同自宽限期满的次日零</w:t>
      </w:r>
    </w:p>
    <w:p>
      <w:pPr>
        <w:spacing w:line="339" w:lineRule="exact" w:before="0"/>
        <w:ind w:left="2365" w:right="0" w:firstLine="0"/>
        <w:jc w:val="left"/>
        <w:rPr>
          <w:rFonts w:ascii="Microsoft JhengHei" w:eastAsia="Microsoft JhengHei" w:hint="eastAsia"/>
          <w:b/>
          <w:sz w:val="21"/>
        </w:rPr>
      </w:pPr>
      <w:r>
        <w:rPr>
          <w:rFonts w:ascii="Microsoft JhengHei" w:eastAsia="Microsoft JhengHei" w:hint="eastAsia"/>
          <w:b/>
          <w:sz w:val="21"/>
        </w:rPr>
        <w:t>时起效力中止。</w:t>
      </w:r>
    </w:p>
    <w:p>
      <w:pPr>
        <w:pStyle w:val="BodyText"/>
        <w:tabs>
          <w:tab w:pos="961" w:val="left" w:leader="none"/>
          <w:tab w:pos="2365" w:val="left" w:leader="none"/>
        </w:tabs>
        <w:spacing w:before="93"/>
        <w:ind w:left="215"/>
      </w:pPr>
      <w:r>
        <w:rPr>
          <w:w w:val="100"/>
        </w:rPr>
        <w:t> </w:t>
      </w:r>
      <w:r>
        <w:rPr/>
        <w:tab/>
      </w:r>
      <w:r>
        <w:rPr>
          <w:w w:val="100"/>
        </w:rPr>
        <w:t> </w:t>
      </w:r>
      <w:r>
        <w:rPr/>
        <w:tab/>
      </w:r>
      <w:r>
        <w:rPr>
          <w:w w:val="100"/>
        </w:rPr>
        <w:t> </w:t>
      </w:r>
    </w:p>
    <w:p>
      <w:pPr>
        <w:pStyle w:val="Heading2"/>
        <w:numPr>
          <w:ilvl w:val="0"/>
          <w:numId w:val="10"/>
        </w:numPr>
        <w:tabs>
          <w:tab w:pos="961" w:val="left" w:leader="none"/>
          <w:tab w:pos="962" w:val="left" w:leader="none"/>
        </w:tabs>
        <w:spacing w:line="240" w:lineRule="auto" w:before="165" w:after="0"/>
        <w:ind w:left="961" w:right="0" w:hanging="742"/>
        <w:jc w:val="left"/>
      </w:pPr>
      <w:r>
        <w:rPr/>
        <w:pict>
          <v:group style="position:absolute;margin-left:69.360001pt;margin-top:37.483646pt;width:463.8pt;height:1pt;mso-position-horizontal-relative:page;mso-position-vertical-relative:paragraph;z-index:1192;mso-wrap-distance-left:0;mso-wrap-distance-right:0" coordorigin="1387,750" coordsize="9276,20">
            <v:line style="position:absolute" from="1387,759" to="2134,759" stroked="true" strokeweight=".96pt" strokecolor="#000000">
              <v:stroke dashstyle="solid"/>
            </v:line>
            <v:rect style="position:absolute;left:2133;top:749;width:20;height:20" filled="true" fillcolor="#000000" stroked="false">
              <v:fill type="solid"/>
            </v:rect>
            <v:line style="position:absolute" from="2153,759" to="3538,759" stroked="true" strokeweight=".96pt" strokecolor="#000000">
              <v:stroke dashstyle="solid"/>
            </v:line>
            <v:rect style="position:absolute;left:3537;top:749;width:20;height:20" filled="true" fillcolor="#000000" stroked="false">
              <v:fill type="solid"/>
            </v:rect>
            <v:line style="position:absolute" from="3557,759" to="10663,759" stroked="true" strokeweight=".96pt" strokecolor="#000000">
              <v:stroke dashstyle="solid"/>
            </v:line>
            <w10:wrap type="topAndBottom"/>
          </v:group>
        </w:pict>
      </w:r>
      <w:r>
        <w:rPr/>
        <w:t>现金价值权益</w:t>
      </w:r>
    </w:p>
    <w:p>
      <w:pPr>
        <w:pStyle w:val="BodyText"/>
        <w:tabs>
          <w:tab w:pos="961" w:val="left" w:leader="none"/>
          <w:tab w:pos="2365" w:val="left" w:leader="none"/>
        </w:tabs>
        <w:spacing w:before="37"/>
        <w:ind w:left="215"/>
      </w:pPr>
      <w:r>
        <w:rPr>
          <w:w w:val="100"/>
        </w:rPr>
        <w:t> </w:t>
      </w:r>
      <w:r>
        <w:rPr/>
        <w:tab/>
      </w:r>
      <w:r>
        <w:rPr>
          <w:w w:val="100"/>
        </w:rPr>
        <w:t> </w:t>
      </w:r>
      <w:r>
        <w:rPr/>
        <w:tab/>
      </w:r>
      <w:r>
        <w:rPr>
          <w:w w:val="100"/>
        </w:rPr>
        <w:t> </w:t>
      </w:r>
    </w:p>
    <w:p>
      <w:pPr>
        <w:pStyle w:val="BodyText"/>
        <w:tabs>
          <w:tab w:pos="2365" w:val="left" w:leader="none"/>
        </w:tabs>
        <w:spacing w:line="247" w:lineRule="auto" w:before="49"/>
        <w:ind w:left="2365" w:right="219" w:hanging="1404"/>
      </w:pPr>
      <w:r>
        <w:rPr>
          <w:rFonts w:ascii="Microsoft JhengHei" w:eastAsia="Microsoft JhengHei" w:hint="eastAsia"/>
          <w:b/>
        </w:rPr>
        <w:t>现金价值</w:t>
        <w:tab/>
      </w:r>
      <w:r>
        <w:rPr/>
        <w:t>本主</w:t>
      </w:r>
      <w:r>
        <w:rPr>
          <w:spacing w:val="-3"/>
        </w:rPr>
        <w:t>险</w:t>
      </w:r>
      <w:r>
        <w:rPr/>
        <w:t>合</w:t>
      </w:r>
      <w:r>
        <w:rPr>
          <w:spacing w:val="-3"/>
        </w:rPr>
        <w:t>同</w:t>
      </w:r>
      <w:r>
        <w:rPr/>
        <w:t>保</w:t>
      </w:r>
      <w:r>
        <w:rPr>
          <w:spacing w:val="-3"/>
        </w:rPr>
        <w:t>单</w:t>
      </w:r>
      <w:r>
        <w:rPr/>
        <w:t>年</w:t>
      </w:r>
      <w:r>
        <w:rPr>
          <w:spacing w:val="-3"/>
        </w:rPr>
        <w:t>度</w:t>
      </w:r>
      <w:r>
        <w:rPr/>
        <w:t>末</w:t>
      </w:r>
      <w:r>
        <w:rPr>
          <w:spacing w:val="-3"/>
        </w:rPr>
        <w:t>的</w:t>
      </w:r>
      <w:r>
        <w:rPr/>
        <w:t>现金</w:t>
      </w:r>
      <w:r>
        <w:rPr>
          <w:spacing w:val="-3"/>
        </w:rPr>
        <w:t>价</w:t>
      </w:r>
      <w:r>
        <w:rPr/>
        <w:t>值</w:t>
      </w:r>
      <w:r>
        <w:rPr>
          <w:spacing w:val="-3"/>
        </w:rPr>
        <w:t>会</w:t>
      </w:r>
      <w:r>
        <w:rPr/>
        <w:t>在</w:t>
      </w:r>
      <w:r>
        <w:rPr>
          <w:spacing w:val="-3"/>
        </w:rPr>
        <w:t>保</w:t>
      </w:r>
      <w:r>
        <w:rPr/>
        <w:t>险</w:t>
      </w:r>
      <w:r>
        <w:rPr>
          <w:spacing w:val="-3"/>
        </w:rPr>
        <w:t>单</w:t>
      </w:r>
      <w:r>
        <w:rPr/>
        <w:t>上</w:t>
      </w:r>
      <w:r>
        <w:rPr>
          <w:spacing w:val="-3"/>
        </w:rPr>
        <w:t>载</w:t>
      </w:r>
      <w:r>
        <w:rPr/>
        <w:t>明</w:t>
      </w:r>
      <w:r>
        <w:rPr>
          <w:spacing w:val="-22"/>
        </w:rPr>
        <w:t>。</w:t>
      </w:r>
      <w:r>
        <w:rPr>
          <w:spacing w:val="-3"/>
        </w:rPr>
        <w:t>保</w:t>
      </w:r>
      <w:r>
        <w:rPr/>
        <w:t>单</w:t>
      </w:r>
      <w:r>
        <w:rPr>
          <w:spacing w:val="-3"/>
        </w:rPr>
        <w:t>年</w:t>
      </w:r>
      <w:r>
        <w:rPr/>
        <w:t>度</w:t>
      </w:r>
      <w:r>
        <w:rPr>
          <w:spacing w:val="-3"/>
        </w:rPr>
        <w:t>内</w:t>
      </w:r>
      <w:r>
        <w:rPr/>
        <w:t>的</w:t>
      </w:r>
      <w:r>
        <w:rPr>
          <w:spacing w:val="-3"/>
        </w:rPr>
        <w:t>现</w:t>
      </w:r>
      <w:r>
        <w:rPr/>
        <w:t>金价 值，</w:t>
      </w:r>
      <w:r>
        <w:rPr>
          <w:spacing w:val="-3"/>
        </w:rPr>
        <w:t>您</w:t>
      </w:r>
      <w:r>
        <w:rPr/>
        <w:t>可</w:t>
      </w:r>
      <w:r>
        <w:rPr>
          <w:spacing w:val="-3"/>
        </w:rPr>
        <w:t>以</w:t>
      </w:r>
      <w:r>
        <w:rPr/>
        <w:t>向</w:t>
      </w:r>
      <w:r>
        <w:rPr>
          <w:spacing w:val="-3"/>
        </w:rPr>
        <w:t>我</w:t>
      </w:r>
      <w:r>
        <w:rPr/>
        <w:t>们</w:t>
      </w:r>
      <w:r>
        <w:rPr>
          <w:spacing w:val="-3"/>
        </w:rPr>
        <w:t>咨</w:t>
      </w:r>
      <w:r>
        <w:rPr/>
        <w:t>询</w:t>
      </w:r>
      <w:r>
        <w:rPr>
          <w:spacing w:val="-3"/>
        </w:rPr>
        <w:t>。</w:t>
      </w:r>
      <w:r>
        <w:rPr/>
        <w:t> </w:t>
      </w:r>
    </w:p>
    <w:p>
      <w:pPr>
        <w:pStyle w:val="BodyText"/>
        <w:tabs>
          <w:tab w:pos="961" w:val="left" w:leader="none"/>
          <w:tab w:pos="2365" w:val="left" w:leader="none"/>
        </w:tabs>
        <w:spacing w:before="110"/>
        <w:ind w:left="215"/>
      </w:pPr>
      <w:r>
        <w:rPr>
          <w:w w:val="100"/>
        </w:rPr>
        <w:t> </w:t>
      </w:r>
      <w:r>
        <w:rPr/>
        <w:tab/>
      </w:r>
      <w:r>
        <w:rPr>
          <w:w w:val="100"/>
        </w:rPr>
        <w:t> </w:t>
      </w:r>
      <w:r>
        <w:rPr/>
        <w:tab/>
      </w:r>
      <w:r>
        <w:rPr>
          <w:w w:val="100"/>
        </w:rPr>
        <w:t> </w:t>
      </w:r>
    </w:p>
    <w:p>
      <w:pPr>
        <w:pStyle w:val="Heading2"/>
        <w:numPr>
          <w:ilvl w:val="0"/>
          <w:numId w:val="10"/>
        </w:numPr>
        <w:tabs>
          <w:tab w:pos="961" w:val="left" w:leader="none"/>
          <w:tab w:pos="962" w:val="left" w:leader="none"/>
        </w:tabs>
        <w:spacing w:line="240" w:lineRule="auto" w:before="168" w:after="0"/>
        <w:ind w:left="961" w:right="0" w:hanging="742"/>
        <w:jc w:val="left"/>
      </w:pPr>
      <w:r>
        <w:rPr/>
        <w:pict>
          <v:group style="position:absolute;margin-left:69.360001pt;margin-top:37.513645pt;width:463.8pt;height:1pt;mso-position-horizontal-relative:page;mso-position-vertical-relative:paragraph;z-index:1216;mso-wrap-distance-left:0;mso-wrap-distance-right:0" coordorigin="1387,750" coordsize="9276,20">
            <v:line style="position:absolute" from="1387,760" to="2134,760" stroked="true" strokeweight=".96pt" strokecolor="#000000">
              <v:stroke dashstyle="solid"/>
            </v:line>
            <v:rect style="position:absolute;left:2133;top:750;width:20;height:20" filled="true" fillcolor="#000000" stroked="false">
              <v:fill type="solid"/>
            </v:rect>
            <v:line style="position:absolute" from="2153,760" to="3538,760" stroked="true" strokeweight=".96pt" strokecolor="#000000">
              <v:stroke dashstyle="solid"/>
            </v:line>
            <v:rect style="position:absolute;left:3537;top:750;width:20;height:20" filled="true" fillcolor="#000000" stroked="false">
              <v:fill type="solid"/>
            </v:rect>
            <v:line style="position:absolute" from="3557,760" to="10663,760" stroked="true" strokeweight=".96pt" strokecolor="#000000">
              <v:stroke dashstyle="solid"/>
            </v:line>
            <w10:wrap type="topAndBottom"/>
          </v:group>
        </w:pict>
      </w:r>
      <w:r>
        <w:rPr/>
        <w:t>合同效力的中止及恢复</w:t>
      </w:r>
    </w:p>
    <w:p>
      <w:pPr>
        <w:pStyle w:val="BodyText"/>
        <w:tabs>
          <w:tab w:pos="961" w:val="left" w:leader="none"/>
          <w:tab w:pos="2365" w:val="left" w:leader="none"/>
        </w:tabs>
        <w:spacing w:before="37"/>
        <w:ind w:left="215"/>
      </w:pPr>
      <w:r>
        <w:rPr>
          <w:w w:val="100"/>
        </w:rPr>
        <w:t> </w:t>
      </w:r>
      <w:r>
        <w:rPr/>
        <w:tab/>
      </w:r>
      <w:r>
        <w:rPr>
          <w:w w:val="100"/>
        </w:rPr>
        <w:t> </w:t>
      </w:r>
      <w:r>
        <w:rPr/>
        <w:tab/>
      </w:r>
      <w:r>
        <w:rPr>
          <w:w w:val="100"/>
        </w:rPr>
        <w:t> </w:t>
      </w:r>
    </w:p>
    <w:p>
      <w:pPr>
        <w:spacing w:after="0"/>
        <w:sectPr>
          <w:type w:val="continuous"/>
          <w:pgSz w:w="11900" w:h="16840"/>
          <w:pgMar w:top="360" w:bottom="280" w:left="1280" w:right="11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55"/>
        <w:gridCol w:w="7191"/>
      </w:tblGrid>
      <w:tr>
        <w:trPr>
          <w:trHeight w:val="331" w:hRule="atLeast"/>
        </w:trPr>
        <w:tc>
          <w:tcPr>
            <w:tcW w:w="629" w:type="dxa"/>
          </w:tcPr>
          <w:p>
            <w:pPr>
              <w:pStyle w:val="TableParagraph"/>
              <w:spacing w:line="259" w:lineRule="exact"/>
              <w:ind w:left="108"/>
              <w:rPr>
                <w:rFonts w:ascii="Microsoft JhengHei"/>
                <w:b/>
                <w:sz w:val="21"/>
              </w:rPr>
            </w:pPr>
            <w:r>
              <w:rPr>
                <w:rFonts w:ascii="Microsoft JhengHei"/>
                <w:b/>
                <w:w w:val="90"/>
                <w:sz w:val="21"/>
              </w:rPr>
              <w:t>6. 1</w:t>
            </w:r>
          </w:p>
        </w:tc>
        <w:tc>
          <w:tcPr>
            <w:tcW w:w="1455" w:type="dxa"/>
          </w:tcPr>
          <w:p>
            <w:pPr>
              <w:pStyle w:val="TableParagraph"/>
              <w:spacing w:line="259" w:lineRule="exact"/>
              <w:ind w:left="225"/>
              <w:rPr>
                <w:rFonts w:ascii="Microsoft JhengHei" w:eastAsia="Microsoft JhengHei" w:hint="eastAsia"/>
                <w:b/>
                <w:sz w:val="21"/>
              </w:rPr>
            </w:pPr>
            <w:r>
              <w:rPr>
                <w:rFonts w:ascii="Microsoft JhengHei" w:eastAsia="Microsoft JhengHei" w:hint="eastAsia"/>
                <w:b/>
                <w:sz w:val="21"/>
              </w:rPr>
              <w:t>效力中止</w:t>
            </w:r>
          </w:p>
        </w:tc>
        <w:tc>
          <w:tcPr>
            <w:tcW w:w="7191" w:type="dxa"/>
          </w:tcPr>
          <w:p>
            <w:pPr>
              <w:pStyle w:val="TableParagraph"/>
              <w:spacing w:line="235" w:lineRule="exact"/>
              <w:ind w:left="18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377" w:hRule="atLeast"/>
        </w:trPr>
        <w:tc>
          <w:tcPr>
            <w:tcW w:w="629" w:type="dxa"/>
          </w:tcPr>
          <w:p>
            <w:pPr>
              <w:pStyle w:val="TableParagraph"/>
              <w:spacing w:before="17"/>
              <w:ind w:left="107"/>
              <w:rPr>
                <w:sz w:val="21"/>
              </w:rPr>
            </w:pPr>
            <w:r>
              <w:rPr>
                <w:w w:val="100"/>
                <w:sz w:val="21"/>
              </w:rPr>
              <w:t> </w:t>
            </w:r>
          </w:p>
        </w:tc>
        <w:tc>
          <w:tcPr>
            <w:tcW w:w="1455" w:type="dxa"/>
          </w:tcPr>
          <w:p>
            <w:pPr>
              <w:pStyle w:val="TableParagraph"/>
              <w:spacing w:before="17"/>
              <w:ind w:left="225"/>
              <w:rPr>
                <w:sz w:val="21"/>
              </w:rPr>
            </w:pPr>
            <w:r>
              <w:rPr>
                <w:w w:val="100"/>
                <w:sz w:val="21"/>
              </w:rPr>
              <w:t> </w:t>
            </w:r>
          </w:p>
        </w:tc>
        <w:tc>
          <w:tcPr>
            <w:tcW w:w="7191" w:type="dxa"/>
          </w:tcPr>
          <w:p>
            <w:pPr>
              <w:pStyle w:val="TableParagraph"/>
              <w:spacing w:before="17"/>
              <w:ind w:left="174"/>
              <w:rPr>
                <w:sz w:val="21"/>
              </w:rPr>
            </w:pPr>
            <w:r>
              <w:rPr>
                <w:w w:val="100"/>
                <w:sz w:val="21"/>
              </w:rPr>
              <w:t> </w:t>
            </w:r>
          </w:p>
        </w:tc>
      </w:tr>
      <w:tr>
        <w:trPr>
          <w:trHeight w:val="700" w:hRule="atLeast"/>
        </w:trPr>
        <w:tc>
          <w:tcPr>
            <w:tcW w:w="629" w:type="dxa"/>
          </w:tcPr>
          <w:p>
            <w:pPr>
              <w:pStyle w:val="TableParagraph"/>
              <w:spacing w:line="330" w:lineRule="exact"/>
              <w:ind w:left="107"/>
              <w:rPr>
                <w:rFonts w:ascii="Microsoft JhengHei"/>
                <w:b/>
                <w:sz w:val="21"/>
              </w:rPr>
            </w:pPr>
            <w:r>
              <w:rPr>
                <w:rFonts w:ascii="Microsoft JhengHei"/>
                <w:b/>
                <w:w w:val="90"/>
                <w:sz w:val="21"/>
              </w:rPr>
              <w:t>6. 2</w:t>
            </w:r>
          </w:p>
        </w:tc>
        <w:tc>
          <w:tcPr>
            <w:tcW w:w="1455" w:type="dxa"/>
          </w:tcPr>
          <w:p>
            <w:pPr>
              <w:pStyle w:val="TableParagraph"/>
              <w:spacing w:line="330" w:lineRule="exact"/>
              <w:ind w:left="225"/>
              <w:rPr>
                <w:rFonts w:ascii="Microsoft JhengHei" w:eastAsia="Microsoft JhengHei" w:hint="eastAsia"/>
                <w:b/>
                <w:sz w:val="21"/>
              </w:rPr>
            </w:pPr>
            <w:r>
              <w:rPr>
                <w:rFonts w:ascii="Microsoft JhengHei" w:eastAsia="Microsoft JhengHei" w:hint="eastAsia"/>
                <w:b/>
                <w:sz w:val="21"/>
              </w:rPr>
              <w:t>效力恢复</w:t>
            </w:r>
          </w:p>
        </w:tc>
        <w:tc>
          <w:tcPr>
            <w:tcW w:w="7191" w:type="dxa"/>
          </w:tcPr>
          <w:p>
            <w:pPr>
              <w:pStyle w:val="TableParagraph"/>
              <w:spacing w:line="271" w:lineRule="auto" w:before="31"/>
              <w:ind w:left="174" w:right="106"/>
              <w:rPr>
                <w:sz w:val="21"/>
              </w:rPr>
            </w:pPr>
            <w:r>
              <w:rPr>
                <w:spacing w:val="-6"/>
                <w:sz w:val="21"/>
              </w:rPr>
              <w:t>本主险合同效力中止后 </w:t>
            </w:r>
            <w:r>
              <w:rPr>
                <w:sz w:val="21"/>
              </w:rPr>
              <w:t>2</w:t>
            </w:r>
            <w:r>
              <w:rPr>
                <w:spacing w:val="-9"/>
                <w:sz w:val="21"/>
              </w:rPr>
              <w:t> 年内，您可以申请恢复本主险合同效力。经我们与</w:t>
            </w:r>
            <w:r>
              <w:rPr>
                <w:spacing w:val="-3"/>
                <w:sz w:val="21"/>
              </w:rPr>
              <w:t>您协商并达成协议，自您补交保险费之日起，本主险合同效力恢复。</w:t>
            </w:r>
          </w:p>
        </w:tc>
      </w:tr>
      <w:tr>
        <w:trPr>
          <w:trHeight w:val="363"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330" w:lineRule="exact"/>
              <w:ind w:left="174"/>
              <w:rPr>
                <w:rFonts w:ascii="Microsoft JhengHei" w:eastAsia="Microsoft JhengHei" w:hint="eastAsia"/>
                <w:b/>
                <w:sz w:val="21"/>
              </w:rPr>
            </w:pPr>
            <w:r>
              <w:rPr>
                <w:rFonts w:ascii="Microsoft JhengHei" w:eastAsia="Microsoft JhengHei" w:hint="eastAsia"/>
                <w:b/>
                <w:sz w:val="21"/>
              </w:rPr>
              <w:t>自本主险合同效力中止之日起满 2 年您和我们未达成协议的，我们有权解除</w:t>
            </w:r>
          </w:p>
        </w:tc>
      </w:tr>
      <w:tr>
        <w:trPr>
          <w:trHeight w:val="344"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78" w:lineRule="exact"/>
              <w:ind w:left="174" w:right="-15"/>
              <w:rPr>
                <w:rFonts w:ascii="Microsoft JhengHei" w:eastAsia="Microsoft JhengHei" w:hint="eastAsia"/>
                <w:b/>
                <w:sz w:val="21"/>
              </w:rPr>
            </w:pPr>
            <w:r>
              <w:rPr>
                <w:rFonts w:ascii="Microsoft JhengHei" w:eastAsia="Microsoft JhengHei" w:hint="eastAsia"/>
                <w:b/>
                <w:spacing w:val="-14"/>
                <w:sz w:val="21"/>
              </w:rPr>
              <w:t>本主险合同。我们解除合同的，向您退还本主险合同效力中止时的现金价值。</w:t>
            </w:r>
          </w:p>
        </w:tc>
      </w:tr>
      <w:tr>
        <w:trPr>
          <w:trHeight w:val="405"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645" w:hRule="atLeast"/>
        </w:trPr>
        <w:tc>
          <w:tcPr>
            <w:tcW w:w="629" w:type="dxa"/>
            <w:tcBorders>
              <w:bottom w:val="single" w:sz="8" w:space="0" w:color="000000"/>
            </w:tcBorders>
          </w:tcPr>
          <w:p>
            <w:pPr>
              <w:pStyle w:val="TableParagraph"/>
              <w:spacing w:before="88"/>
              <w:ind w:left="112"/>
              <w:rPr>
                <w:rFonts w:ascii="Times New Roman"/>
                <w:b/>
                <w:sz w:val="40"/>
              </w:rPr>
            </w:pPr>
            <w:r>
              <w:rPr>
                <w:rFonts w:ascii="Times New Roman"/>
                <w:b/>
                <w:w w:val="100"/>
                <w:sz w:val="40"/>
              </w:rPr>
              <w:t>{</w:t>
            </w:r>
          </w:p>
        </w:tc>
        <w:tc>
          <w:tcPr>
            <w:tcW w:w="1455" w:type="dxa"/>
            <w:tcBorders>
              <w:bottom w:val="single" w:sz="8" w:space="0" w:color="000000"/>
            </w:tcBorders>
          </w:tcPr>
          <w:p>
            <w:pPr>
              <w:pStyle w:val="TableParagraph"/>
              <w:spacing w:before="61"/>
              <w:ind w:left="225"/>
              <w:rPr>
                <w:rFonts w:ascii="Microsoft JhengHei" w:eastAsia="Microsoft JhengHei" w:hint="eastAsia"/>
                <w:b/>
                <w:sz w:val="24"/>
              </w:rPr>
            </w:pPr>
            <w:r>
              <w:rPr>
                <w:rFonts w:ascii="Microsoft JhengHei" w:eastAsia="Microsoft JhengHei" w:hint="eastAsia"/>
                <w:b/>
                <w:sz w:val="24"/>
              </w:rPr>
              <w:t>合同解除</w:t>
            </w:r>
          </w:p>
        </w:tc>
        <w:tc>
          <w:tcPr>
            <w:tcW w:w="7191" w:type="dxa"/>
            <w:tcBorders>
              <w:bottom w:val="single" w:sz="8" w:space="0" w:color="000000"/>
            </w:tcBorders>
          </w:tcPr>
          <w:p>
            <w:pPr>
              <w:pStyle w:val="TableParagraph"/>
              <w:rPr>
                <w:rFonts w:ascii="Times New Roman"/>
                <w:sz w:val="20"/>
              </w:rPr>
            </w:pPr>
          </w:p>
        </w:tc>
      </w:tr>
      <w:tr>
        <w:trPr>
          <w:trHeight w:val="431" w:hRule="atLeast"/>
        </w:trPr>
        <w:tc>
          <w:tcPr>
            <w:tcW w:w="629" w:type="dxa"/>
            <w:tcBorders>
              <w:top w:val="single" w:sz="8" w:space="0" w:color="000000"/>
            </w:tcBorders>
          </w:tcPr>
          <w:p>
            <w:pPr>
              <w:pStyle w:val="TableParagraph"/>
              <w:spacing w:before="66"/>
              <w:ind w:left="108"/>
              <w:rPr>
                <w:sz w:val="21"/>
              </w:rPr>
            </w:pPr>
            <w:r>
              <w:rPr>
                <w:w w:val="100"/>
                <w:sz w:val="21"/>
              </w:rPr>
              <w:t> </w:t>
            </w:r>
          </w:p>
        </w:tc>
        <w:tc>
          <w:tcPr>
            <w:tcW w:w="1455" w:type="dxa"/>
            <w:tcBorders>
              <w:top w:val="single" w:sz="8" w:space="0" w:color="000000"/>
            </w:tcBorders>
          </w:tcPr>
          <w:p>
            <w:pPr>
              <w:pStyle w:val="TableParagraph"/>
              <w:spacing w:before="66"/>
              <w:ind w:left="225"/>
              <w:rPr>
                <w:sz w:val="21"/>
              </w:rPr>
            </w:pPr>
            <w:r>
              <w:rPr>
                <w:w w:val="100"/>
                <w:sz w:val="21"/>
              </w:rPr>
              <w:t> </w:t>
            </w:r>
          </w:p>
        </w:tc>
        <w:tc>
          <w:tcPr>
            <w:tcW w:w="7191" w:type="dxa"/>
            <w:tcBorders>
              <w:top w:val="single" w:sz="8" w:space="0" w:color="000000"/>
            </w:tcBorders>
          </w:tcPr>
          <w:p>
            <w:pPr>
              <w:pStyle w:val="TableParagraph"/>
              <w:spacing w:before="66"/>
              <w:ind w:left="174"/>
              <w:rPr>
                <w:sz w:val="21"/>
              </w:rPr>
            </w:pPr>
            <w:r>
              <w:rPr>
                <w:w w:val="100"/>
                <w:sz w:val="21"/>
              </w:rPr>
              <w:t> </w:t>
            </w:r>
          </w:p>
        </w:tc>
      </w:tr>
      <w:tr>
        <w:trPr>
          <w:trHeight w:val="350" w:hRule="atLeast"/>
        </w:trPr>
        <w:tc>
          <w:tcPr>
            <w:tcW w:w="629" w:type="dxa"/>
          </w:tcPr>
          <w:p>
            <w:pPr>
              <w:pStyle w:val="TableParagraph"/>
              <w:rPr>
                <w:rFonts w:ascii="Times New Roman"/>
                <w:sz w:val="20"/>
              </w:rPr>
            </w:pPr>
          </w:p>
        </w:tc>
        <w:tc>
          <w:tcPr>
            <w:tcW w:w="1455" w:type="dxa"/>
          </w:tcPr>
          <w:p>
            <w:pPr>
              <w:pStyle w:val="TableParagraph"/>
              <w:spacing w:line="325" w:lineRule="exact"/>
              <w:ind w:left="225"/>
              <w:rPr>
                <w:rFonts w:ascii="Microsoft JhengHei" w:eastAsia="Microsoft JhengHei" w:hint="eastAsia"/>
                <w:b/>
                <w:sz w:val="21"/>
              </w:rPr>
            </w:pPr>
            <w:r>
              <w:rPr>
                <w:rFonts w:ascii="Microsoft JhengHei" w:eastAsia="Microsoft JhengHei" w:hint="eastAsia"/>
                <w:b/>
                <w:sz w:val="21"/>
              </w:rPr>
              <w:t>投保人解除</w:t>
            </w:r>
          </w:p>
        </w:tc>
        <w:tc>
          <w:tcPr>
            <w:tcW w:w="7191" w:type="dxa"/>
          </w:tcPr>
          <w:p>
            <w:pPr>
              <w:pStyle w:val="TableParagraph"/>
              <w:spacing w:before="26"/>
              <w:ind w:left="174"/>
              <w:rPr>
                <w:sz w:val="21"/>
              </w:rPr>
            </w:pPr>
            <w:r>
              <w:rPr>
                <w:sz w:val="21"/>
              </w:rPr>
              <w:t>如您在犹豫期后申请解除本主险合同，请填写保险合同变更申请书并提供下</w:t>
            </w:r>
          </w:p>
        </w:tc>
      </w:tr>
      <w:tr>
        <w:trPr>
          <w:trHeight w:val="350" w:hRule="atLeast"/>
        </w:trPr>
        <w:tc>
          <w:tcPr>
            <w:tcW w:w="629" w:type="dxa"/>
          </w:tcPr>
          <w:p>
            <w:pPr>
              <w:pStyle w:val="TableParagraph"/>
              <w:rPr>
                <w:rFonts w:ascii="Times New Roman"/>
                <w:sz w:val="20"/>
              </w:rPr>
            </w:pPr>
          </w:p>
        </w:tc>
        <w:tc>
          <w:tcPr>
            <w:tcW w:w="1455" w:type="dxa"/>
          </w:tcPr>
          <w:p>
            <w:pPr>
              <w:pStyle w:val="TableParagraph"/>
              <w:spacing w:line="284" w:lineRule="exact"/>
              <w:ind w:left="225"/>
              <w:rPr>
                <w:rFonts w:ascii="Microsoft JhengHei" w:eastAsia="Microsoft JhengHei" w:hint="eastAsia"/>
                <w:b/>
                <w:sz w:val="21"/>
              </w:rPr>
            </w:pPr>
            <w:r>
              <w:rPr>
                <w:rFonts w:ascii="Microsoft JhengHei" w:eastAsia="Microsoft JhengHei" w:hint="eastAsia"/>
                <w:b/>
                <w:sz w:val="21"/>
              </w:rPr>
              <w:t>合同的手续</w:t>
            </w:r>
          </w:p>
        </w:tc>
        <w:tc>
          <w:tcPr>
            <w:tcW w:w="7191" w:type="dxa"/>
          </w:tcPr>
          <w:p>
            <w:pPr>
              <w:pStyle w:val="TableParagraph"/>
              <w:spacing w:line="260" w:lineRule="exact"/>
              <w:ind w:left="174"/>
              <w:rPr>
                <w:sz w:val="21"/>
              </w:rPr>
            </w:pPr>
            <w:r>
              <w:rPr>
                <w:sz w:val="21"/>
              </w:rPr>
              <w:t>列资料： </w:t>
            </w:r>
          </w:p>
        </w:tc>
      </w:tr>
      <w:tr>
        <w:trPr>
          <w:trHeight w:val="391" w:hRule="atLeast"/>
        </w:trPr>
        <w:tc>
          <w:tcPr>
            <w:tcW w:w="629" w:type="dxa"/>
          </w:tcPr>
          <w:p>
            <w:pPr>
              <w:pStyle w:val="TableParagraph"/>
              <w:rPr>
                <w:rFonts w:ascii="Times New Roman"/>
                <w:sz w:val="20"/>
              </w:rPr>
            </w:pPr>
          </w:p>
        </w:tc>
        <w:tc>
          <w:tcPr>
            <w:tcW w:w="1455" w:type="dxa"/>
          </w:tcPr>
          <w:p>
            <w:pPr>
              <w:pStyle w:val="TableParagraph"/>
              <w:spacing w:line="246" w:lineRule="exact"/>
              <w:ind w:left="225"/>
              <w:rPr>
                <w:rFonts w:ascii="Microsoft JhengHei" w:eastAsia="Microsoft JhengHei" w:hint="eastAsia"/>
                <w:b/>
                <w:sz w:val="21"/>
              </w:rPr>
            </w:pPr>
            <w:r>
              <w:rPr>
                <w:rFonts w:ascii="Microsoft JhengHei" w:eastAsia="Microsoft JhengHei" w:hint="eastAsia"/>
                <w:b/>
                <w:sz w:val="21"/>
              </w:rPr>
              <w:t>及风险</w:t>
            </w:r>
          </w:p>
        </w:tc>
        <w:tc>
          <w:tcPr>
            <w:tcW w:w="7191" w:type="dxa"/>
          </w:tcPr>
          <w:p>
            <w:pPr>
              <w:pStyle w:val="TableParagraph"/>
              <w:spacing w:before="26"/>
              <w:ind w:left="174"/>
              <w:rPr>
                <w:sz w:val="21"/>
              </w:rPr>
            </w:pPr>
            <w:r>
              <w:rPr>
                <w:sz w:val="21"/>
              </w:rPr>
              <w:t>（1）保险合同； </w:t>
            </w:r>
          </w:p>
        </w:tc>
      </w:tr>
      <w:tr>
        <w:trPr>
          <w:trHeight w:val="39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before="26"/>
              <w:ind w:left="174"/>
              <w:rPr>
                <w:sz w:val="21"/>
              </w:rPr>
            </w:pPr>
            <w:r>
              <w:rPr>
                <w:sz w:val="21"/>
              </w:rPr>
              <w:t>（2）您的有效身份证件。 </w:t>
            </w:r>
          </w:p>
        </w:tc>
      </w:tr>
      <w:tr>
        <w:trPr>
          <w:trHeight w:val="35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before="25"/>
              <w:ind w:left="174"/>
              <w:rPr>
                <w:sz w:val="21"/>
              </w:rPr>
            </w:pPr>
            <w:r>
              <w:rPr>
                <w:sz w:val="21"/>
              </w:rPr>
              <w:t>自我们收到保险合同变更申请书时起，本主险合同终止。我们自收到保险合</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61" w:lineRule="exact"/>
              <w:ind w:left="174"/>
              <w:rPr>
                <w:sz w:val="21"/>
              </w:rPr>
            </w:pPr>
            <w:r>
              <w:rPr>
                <w:sz w:val="21"/>
              </w:rPr>
              <w:t>同变更申请书之日起 30 日内向您退还本主险合同的现金价值。 </w:t>
            </w:r>
          </w:p>
        </w:tc>
      </w:tr>
      <w:tr>
        <w:trPr>
          <w:trHeight w:val="39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325" w:lineRule="exact"/>
              <w:ind w:left="17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405" w:hRule="atLeast"/>
        </w:trPr>
        <w:tc>
          <w:tcPr>
            <w:tcW w:w="629" w:type="dxa"/>
          </w:tcPr>
          <w:p>
            <w:pPr>
              <w:pStyle w:val="TableParagraph"/>
              <w:spacing w:before="25"/>
              <w:ind w:left="107"/>
              <w:rPr>
                <w:sz w:val="21"/>
              </w:rPr>
            </w:pPr>
            <w:r>
              <w:rPr>
                <w:w w:val="100"/>
                <w:sz w:val="21"/>
              </w:rPr>
              <w:t> </w:t>
            </w:r>
          </w:p>
        </w:tc>
        <w:tc>
          <w:tcPr>
            <w:tcW w:w="1455" w:type="dxa"/>
          </w:tcPr>
          <w:p>
            <w:pPr>
              <w:pStyle w:val="TableParagraph"/>
              <w:spacing w:before="25"/>
              <w:ind w:left="225"/>
              <w:rPr>
                <w:sz w:val="21"/>
              </w:rPr>
            </w:pPr>
            <w:r>
              <w:rPr>
                <w:w w:val="100"/>
                <w:sz w:val="21"/>
              </w:rPr>
              <w:t> </w:t>
            </w:r>
          </w:p>
        </w:tc>
        <w:tc>
          <w:tcPr>
            <w:tcW w:w="7191" w:type="dxa"/>
          </w:tcPr>
          <w:p>
            <w:pPr>
              <w:pStyle w:val="TableParagraph"/>
              <w:spacing w:before="25"/>
              <w:ind w:left="174"/>
              <w:rPr>
                <w:sz w:val="21"/>
              </w:rPr>
            </w:pPr>
            <w:r>
              <w:rPr>
                <w:w w:val="100"/>
                <w:sz w:val="21"/>
              </w:rPr>
              <w:t> </w:t>
            </w:r>
          </w:p>
        </w:tc>
      </w:tr>
      <w:tr>
        <w:trPr>
          <w:trHeight w:val="644" w:hRule="atLeast"/>
        </w:trPr>
        <w:tc>
          <w:tcPr>
            <w:tcW w:w="629" w:type="dxa"/>
            <w:tcBorders>
              <w:bottom w:val="single" w:sz="8" w:space="0" w:color="000000"/>
            </w:tcBorders>
          </w:tcPr>
          <w:p>
            <w:pPr>
              <w:pStyle w:val="TableParagraph"/>
              <w:spacing w:before="89"/>
              <w:ind w:left="114"/>
              <w:rPr>
                <w:rFonts w:ascii="Times New Roman"/>
                <w:b/>
                <w:sz w:val="40"/>
              </w:rPr>
            </w:pPr>
            <w:r>
              <w:rPr>
                <w:rFonts w:ascii="Times New Roman"/>
                <w:b/>
                <w:w w:val="100"/>
                <w:sz w:val="40"/>
              </w:rPr>
              <w:t>|</w:t>
            </w:r>
          </w:p>
        </w:tc>
        <w:tc>
          <w:tcPr>
            <w:tcW w:w="1455" w:type="dxa"/>
            <w:tcBorders>
              <w:bottom w:val="single" w:sz="8" w:space="0" w:color="000000"/>
            </w:tcBorders>
          </w:tcPr>
          <w:p>
            <w:pPr>
              <w:pStyle w:val="TableParagraph"/>
              <w:spacing w:before="62"/>
              <w:ind w:left="225"/>
              <w:rPr>
                <w:rFonts w:ascii="Microsoft JhengHei" w:eastAsia="Microsoft JhengHei" w:hint="eastAsia"/>
                <w:b/>
                <w:sz w:val="24"/>
              </w:rPr>
            </w:pPr>
            <w:r>
              <w:rPr>
                <w:rFonts w:ascii="Microsoft JhengHei" w:eastAsia="Microsoft JhengHei" w:hint="eastAsia"/>
                <w:b/>
                <w:sz w:val="24"/>
              </w:rPr>
              <w:t>如实告知</w:t>
            </w:r>
          </w:p>
        </w:tc>
        <w:tc>
          <w:tcPr>
            <w:tcW w:w="7191" w:type="dxa"/>
            <w:tcBorders>
              <w:bottom w:val="single" w:sz="8" w:space="0" w:color="000000"/>
            </w:tcBorders>
          </w:tcPr>
          <w:p>
            <w:pPr>
              <w:pStyle w:val="TableParagraph"/>
              <w:spacing w:before="174"/>
              <w:ind w:right="241"/>
              <w:jc w:val="right"/>
              <w:rPr>
                <w:sz w:val="21"/>
              </w:rPr>
            </w:pPr>
            <w:r>
              <w:rPr>
                <w:w w:val="100"/>
                <w:sz w:val="21"/>
              </w:rPr>
              <w:t> </w:t>
            </w:r>
          </w:p>
        </w:tc>
      </w:tr>
      <w:tr>
        <w:trPr>
          <w:trHeight w:val="427" w:hRule="atLeast"/>
        </w:trPr>
        <w:tc>
          <w:tcPr>
            <w:tcW w:w="629" w:type="dxa"/>
            <w:tcBorders>
              <w:top w:val="single" w:sz="8" w:space="0" w:color="000000"/>
            </w:tcBorders>
          </w:tcPr>
          <w:p>
            <w:pPr>
              <w:pStyle w:val="TableParagraph"/>
              <w:spacing w:before="68"/>
              <w:ind w:left="107"/>
              <w:rPr>
                <w:sz w:val="21"/>
              </w:rPr>
            </w:pPr>
            <w:r>
              <w:rPr>
                <w:w w:val="100"/>
                <w:sz w:val="21"/>
              </w:rPr>
              <w:t> </w:t>
            </w:r>
          </w:p>
        </w:tc>
        <w:tc>
          <w:tcPr>
            <w:tcW w:w="1455" w:type="dxa"/>
            <w:tcBorders>
              <w:top w:val="single" w:sz="8" w:space="0" w:color="000000"/>
            </w:tcBorders>
          </w:tcPr>
          <w:p>
            <w:pPr>
              <w:pStyle w:val="TableParagraph"/>
              <w:spacing w:before="68"/>
              <w:ind w:left="225"/>
              <w:rPr>
                <w:sz w:val="21"/>
              </w:rPr>
            </w:pPr>
            <w:r>
              <w:rPr>
                <w:w w:val="100"/>
                <w:sz w:val="21"/>
              </w:rPr>
              <w:t> </w:t>
            </w:r>
          </w:p>
        </w:tc>
        <w:tc>
          <w:tcPr>
            <w:tcW w:w="7191" w:type="dxa"/>
            <w:tcBorders>
              <w:top w:val="single" w:sz="8" w:space="0" w:color="000000"/>
            </w:tcBorders>
          </w:tcPr>
          <w:p>
            <w:pPr>
              <w:pStyle w:val="TableParagraph"/>
              <w:spacing w:before="68"/>
              <w:ind w:left="174"/>
              <w:rPr>
                <w:sz w:val="21"/>
              </w:rPr>
            </w:pPr>
            <w:r>
              <w:rPr>
                <w:w w:val="100"/>
                <w:sz w:val="21"/>
              </w:rPr>
              <w:t> </w:t>
            </w:r>
          </w:p>
        </w:tc>
      </w:tr>
      <w:tr>
        <w:trPr>
          <w:trHeight w:val="362" w:hRule="atLeast"/>
        </w:trPr>
        <w:tc>
          <w:tcPr>
            <w:tcW w:w="629" w:type="dxa"/>
          </w:tcPr>
          <w:p>
            <w:pPr>
              <w:pStyle w:val="TableParagraph"/>
              <w:spacing w:line="329" w:lineRule="exact"/>
              <w:ind w:left="108"/>
              <w:rPr>
                <w:rFonts w:ascii="Microsoft JhengHei"/>
                <w:b/>
                <w:sz w:val="21"/>
              </w:rPr>
            </w:pPr>
            <w:r>
              <w:rPr>
                <w:rFonts w:ascii="Microsoft JhengHei"/>
                <w:b/>
                <w:w w:val="90"/>
                <w:sz w:val="21"/>
              </w:rPr>
              <w:t>8. 1</w:t>
            </w:r>
          </w:p>
        </w:tc>
        <w:tc>
          <w:tcPr>
            <w:tcW w:w="1455" w:type="dxa"/>
          </w:tcPr>
          <w:p>
            <w:pPr>
              <w:pStyle w:val="TableParagraph"/>
              <w:spacing w:line="329" w:lineRule="exact"/>
              <w:ind w:left="225"/>
              <w:rPr>
                <w:rFonts w:ascii="Microsoft JhengHei" w:eastAsia="Microsoft JhengHei" w:hint="eastAsia"/>
                <w:b/>
                <w:sz w:val="21"/>
              </w:rPr>
            </w:pPr>
            <w:r>
              <w:rPr>
                <w:rFonts w:ascii="Microsoft JhengHei" w:eastAsia="Microsoft JhengHei" w:hint="eastAsia"/>
                <w:b/>
                <w:sz w:val="21"/>
              </w:rPr>
              <w:t>明确说明和</w:t>
            </w:r>
          </w:p>
        </w:tc>
        <w:tc>
          <w:tcPr>
            <w:tcW w:w="7191" w:type="dxa"/>
          </w:tcPr>
          <w:p>
            <w:pPr>
              <w:pStyle w:val="TableParagraph"/>
              <w:spacing w:before="30"/>
              <w:ind w:left="174"/>
              <w:rPr>
                <w:sz w:val="21"/>
              </w:rPr>
            </w:pPr>
            <w:r>
              <w:rPr>
                <w:sz w:val="21"/>
              </w:rPr>
              <w:t>订立本主险合同时，我们应向您说明本主险合同的内容。对保险条款中免除</w:t>
            </w:r>
          </w:p>
        </w:tc>
      </w:tr>
      <w:tr>
        <w:trPr>
          <w:trHeight w:val="304" w:hRule="atLeast"/>
        </w:trPr>
        <w:tc>
          <w:tcPr>
            <w:tcW w:w="629" w:type="dxa"/>
          </w:tcPr>
          <w:p>
            <w:pPr>
              <w:pStyle w:val="TableParagraph"/>
              <w:rPr>
                <w:rFonts w:ascii="Times New Roman"/>
                <w:sz w:val="20"/>
              </w:rPr>
            </w:pPr>
          </w:p>
        </w:tc>
        <w:tc>
          <w:tcPr>
            <w:tcW w:w="1455" w:type="dxa"/>
          </w:tcPr>
          <w:p>
            <w:pPr>
              <w:pStyle w:val="TableParagraph"/>
              <w:spacing w:line="278" w:lineRule="exact"/>
              <w:ind w:left="225"/>
              <w:rPr>
                <w:rFonts w:ascii="Microsoft JhengHei" w:eastAsia="Microsoft JhengHei" w:hint="eastAsia"/>
                <w:b/>
                <w:sz w:val="21"/>
              </w:rPr>
            </w:pPr>
            <w:r>
              <w:rPr>
                <w:rFonts w:ascii="Microsoft JhengHei" w:eastAsia="Microsoft JhengHei" w:hint="eastAsia"/>
                <w:b/>
                <w:sz w:val="21"/>
              </w:rPr>
              <w:t>如实告知</w:t>
            </w:r>
          </w:p>
        </w:tc>
        <w:tc>
          <w:tcPr>
            <w:tcW w:w="7191" w:type="dxa"/>
          </w:tcPr>
          <w:p>
            <w:pPr>
              <w:pStyle w:val="TableParagraph"/>
              <w:spacing w:line="254" w:lineRule="exact"/>
              <w:ind w:left="174"/>
              <w:rPr>
                <w:sz w:val="21"/>
              </w:rPr>
            </w:pPr>
            <w:r>
              <w:rPr>
                <w:sz w:val="21"/>
              </w:rPr>
              <w:t>我们责任的条款，我们在订立合同时应当在投保单、保险单或者其他保险凭</w:t>
            </w:r>
          </w:p>
        </w:tc>
      </w:tr>
      <w:tr>
        <w:trPr>
          <w:trHeight w:val="31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61" w:lineRule="exact"/>
              <w:ind w:left="174"/>
              <w:rPr>
                <w:sz w:val="21"/>
              </w:rPr>
            </w:pPr>
            <w:r>
              <w:rPr>
                <w:sz w:val="21"/>
              </w:rPr>
              <w:t>证上做出足以引起您注意的提示，并对该条款的内容以书面或者口头形式向</w:t>
            </w:r>
          </w:p>
        </w:tc>
      </w:tr>
      <w:tr>
        <w:trPr>
          <w:trHeight w:val="312"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61" w:lineRule="exact"/>
              <w:ind w:left="174"/>
              <w:rPr>
                <w:sz w:val="21"/>
              </w:rPr>
            </w:pPr>
            <w:r>
              <w:rPr>
                <w:sz w:val="21"/>
              </w:rPr>
              <w:t>您做出明确说明，未作提示或者明确说明的，该条款不产生效力。我们会就</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61" w:lineRule="exact"/>
              <w:ind w:left="174"/>
              <w:rPr>
                <w:sz w:val="21"/>
              </w:rPr>
            </w:pPr>
            <w:r>
              <w:rPr>
                <w:sz w:val="21"/>
              </w:rPr>
              <w:t>您和被保险人的有关情况提出询问，您应当如实告知。 </w:t>
            </w:r>
          </w:p>
        </w:tc>
      </w:tr>
      <w:tr>
        <w:trPr>
          <w:trHeight w:val="35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325" w:lineRule="exact"/>
              <w:ind w:left="17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w:t>
            </w:r>
          </w:p>
        </w:tc>
      </w:tr>
      <w:tr>
        <w:trPr>
          <w:trHeight w:val="35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84" w:lineRule="exact"/>
              <w:ind w:left="174"/>
              <w:rPr>
                <w:rFonts w:ascii="Microsoft JhengHei" w:eastAsia="Microsoft JhengHei" w:hint="eastAsia"/>
                <w:b/>
                <w:sz w:val="21"/>
              </w:rPr>
            </w:pPr>
            <w:r>
              <w:rPr>
                <w:rFonts w:ascii="Microsoft JhengHei" w:eastAsia="Microsoft JhengHei" w:hint="eastAsia"/>
                <w:b/>
                <w:sz w:val="21"/>
              </w:rPr>
              <w:t>承保或者提高保险费率的，我们有权解除本主险合同。</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325" w:lineRule="exact"/>
              <w:ind w:left="17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85" w:lineRule="exact"/>
              <w:ind w:left="17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35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325" w:lineRule="exact"/>
              <w:ind w:left="17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w:t>
            </w:r>
          </w:p>
        </w:tc>
      </w:tr>
      <w:tr>
        <w:trPr>
          <w:trHeight w:val="310"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84" w:lineRule="exact"/>
              <w:ind w:left="174"/>
              <w:rPr>
                <w:rFonts w:ascii="Microsoft JhengHei" w:eastAsia="Microsoft JhengHei" w:hint="eastAsia"/>
                <w:b/>
                <w:sz w:val="21"/>
              </w:rPr>
            </w:pPr>
            <w:r>
              <w:rPr>
                <w:rFonts w:ascii="Microsoft JhengHei" w:eastAsia="Microsoft JhengHei" w:hint="eastAsia"/>
                <w:b/>
                <w:sz w:val="21"/>
              </w:rPr>
              <w:t>对于本主险合同解除前发生的保险事故，我们不承担给付保险金的责任，但</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85" w:lineRule="exact"/>
              <w:ind w:left="174"/>
              <w:rPr>
                <w:rFonts w:ascii="Microsoft JhengHei" w:eastAsia="Microsoft JhengHei" w:hint="eastAsia"/>
                <w:b/>
                <w:sz w:val="21"/>
              </w:rPr>
            </w:pPr>
            <w:r>
              <w:rPr>
                <w:rFonts w:ascii="Microsoft JhengHei" w:eastAsia="Microsoft JhengHei" w:hint="eastAsia"/>
                <w:b/>
                <w:sz w:val="21"/>
              </w:rPr>
              <w:t>退还保险费。</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before="26"/>
              <w:ind w:left="174"/>
              <w:rPr>
                <w:sz w:val="21"/>
              </w:rPr>
            </w:pPr>
            <w:r>
              <w:rPr>
                <w:sz w:val="21"/>
              </w:rPr>
              <w:t>我们在本主险合同订立时已经知道您未如实告知的情况的，我们不得解除本</w:t>
            </w:r>
          </w:p>
        </w:tc>
      </w:tr>
      <w:tr>
        <w:trPr>
          <w:trHeight w:val="351"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line="261" w:lineRule="exact"/>
              <w:ind w:left="174"/>
              <w:rPr>
                <w:sz w:val="21"/>
              </w:rPr>
            </w:pPr>
            <w:r>
              <w:rPr>
                <w:sz w:val="21"/>
              </w:rPr>
              <w:t>主险合同；发生保险事故的，我们承担给付保险金的责任。 </w:t>
            </w:r>
          </w:p>
        </w:tc>
      </w:tr>
      <w:tr>
        <w:trPr>
          <w:trHeight w:val="385" w:hRule="atLeast"/>
        </w:trPr>
        <w:tc>
          <w:tcPr>
            <w:tcW w:w="629" w:type="dxa"/>
          </w:tcPr>
          <w:p>
            <w:pPr>
              <w:pStyle w:val="TableParagraph"/>
              <w:rPr>
                <w:rFonts w:ascii="Times New Roman"/>
                <w:sz w:val="20"/>
              </w:rPr>
            </w:pPr>
          </w:p>
        </w:tc>
        <w:tc>
          <w:tcPr>
            <w:tcW w:w="1455"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674" w:hRule="atLeast"/>
        </w:trPr>
        <w:tc>
          <w:tcPr>
            <w:tcW w:w="629" w:type="dxa"/>
          </w:tcPr>
          <w:p>
            <w:pPr>
              <w:pStyle w:val="TableParagraph"/>
              <w:spacing w:line="329" w:lineRule="exact"/>
              <w:ind w:left="108"/>
              <w:rPr>
                <w:rFonts w:ascii="Microsoft JhengHei"/>
                <w:b/>
                <w:sz w:val="21"/>
              </w:rPr>
            </w:pPr>
            <w:r>
              <w:rPr>
                <w:rFonts w:ascii="Microsoft JhengHei"/>
                <w:b/>
                <w:w w:val="90"/>
                <w:sz w:val="21"/>
              </w:rPr>
              <w:t>8. 2</w:t>
            </w:r>
          </w:p>
        </w:tc>
        <w:tc>
          <w:tcPr>
            <w:tcW w:w="1455" w:type="dxa"/>
          </w:tcPr>
          <w:p>
            <w:pPr>
              <w:pStyle w:val="TableParagraph"/>
              <w:spacing w:line="204" w:lineRule="auto" w:before="18"/>
              <w:ind w:left="225" w:right="171"/>
              <w:rPr>
                <w:rFonts w:ascii="Microsoft JhengHei" w:eastAsia="Microsoft JhengHei" w:hint="eastAsia"/>
                <w:b/>
                <w:sz w:val="21"/>
              </w:rPr>
            </w:pPr>
            <w:r>
              <w:rPr>
                <w:rFonts w:ascii="Microsoft JhengHei" w:eastAsia="Microsoft JhengHei" w:hint="eastAsia"/>
                <w:b/>
                <w:sz w:val="21"/>
              </w:rPr>
              <w:t>本公司合同解除权的限</w:t>
            </w:r>
          </w:p>
        </w:tc>
        <w:tc>
          <w:tcPr>
            <w:tcW w:w="7191" w:type="dxa"/>
          </w:tcPr>
          <w:p>
            <w:pPr>
              <w:pStyle w:val="TableParagraph"/>
              <w:spacing w:line="302" w:lineRule="exact"/>
              <w:ind w:left="17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w:t>
            </w:r>
          </w:p>
          <w:p>
            <w:pPr>
              <w:pStyle w:val="TableParagraph"/>
              <w:spacing w:line="339" w:lineRule="exact"/>
              <w:ind w:left="174"/>
              <w:rPr>
                <w:rFonts w:ascii="Microsoft JhengHei" w:eastAsia="Microsoft JhengHei" w:hint="eastAsia"/>
                <w:b/>
                <w:sz w:val="21"/>
              </w:rPr>
            </w:pPr>
            <w:r>
              <w:rPr>
                <w:rFonts w:ascii="Microsoft JhengHei" w:eastAsia="Microsoft JhengHei" w:hint="eastAsia"/>
                <w:b/>
                <w:sz w:val="21"/>
              </w:rPr>
              <w:t>日起，超过 30 日不行使而消灭。自本主险合同成立之日起超过 2 年的，我</w:t>
            </w:r>
          </w:p>
        </w:tc>
      </w:tr>
      <w:tr>
        <w:trPr>
          <w:trHeight w:val="344" w:hRule="atLeast"/>
        </w:trPr>
        <w:tc>
          <w:tcPr>
            <w:tcW w:w="629" w:type="dxa"/>
          </w:tcPr>
          <w:p>
            <w:pPr>
              <w:pStyle w:val="TableParagraph"/>
              <w:rPr>
                <w:rFonts w:ascii="Times New Roman"/>
                <w:sz w:val="20"/>
              </w:rPr>
            </w:pPr>
          </w:p>
        </w:tc>
        <w:tc>
          <w:tcPr>
            <w:tcW w:w="1455" w:type="dxa"/>
          </w:tcPr>
          <w:p>
            <w:pPr>
              <w:pStyle w:val="TableParagraph"/>
              <w:spacing w:line="278" w:lineRule="exact"/>
              <w:ind w:left="225"/>
              <w:rPr>
                <w:rFonts w:ascii="Microsoft JhengHei" w:eastAsia="Microsoft JhengHei" w:hint="eastAsia"/>
                <w:b/>
                <w:sz w:val="21"/>
              </w:rPr>
            </w:pPr>
            <w:r>
              <w:rPr>
                <w:rFonts w:ascii="Microsoft JhengHei" w:eastAsia="Microsoft JhengHei" w:hint="eastAsia"/>
                <w:b/>
                <w:w w:val="100"/>
                <w:sz w:val="21"/>
              </w:rPr>
              <w:t>制</w:t>
            </w:r>
          </w:p>
        </w:tc>
        <w:tc>
          <w:tcPr>
            <w:tcW w:w="7191" w:type="dxa"/>
          </w:tcPr>
          <w:p>
            <w:pPr>
              <w:pStyle w:val="TableParagraph"/>
              <w:spacing w:line="278" w:lineRule="exact"/>
              <w:ind w:left="174"/>
              <w:rPr>
                <w:rFonts w:ascii="Microsoft JhengHei" w:eastAsia="Microsoft JhengHei" w:hint="eastAsia"/>
                <w:b/>
                <w:sz w:val="21"/>
              </w:rPr>
            </w:pPr>
            <w:r>
              <w:rPr>
                <w:rFonts w:ascii="Microsoft JhengHei" w:eastAsia="Microsoft JhengHei" w:hint="eastAsia"/>
                <w:b/>
                <w:sz w:val="21"/>
              </w:rPr>
              <w:t>们不得解除本主险合同；发生保险事故的，我们承担给付保险金的责任。</w:t>
            </w:r>
          </w:p>
        </w:tc>
      </w:tr>
      <w:tr>
        <w:trPr>
          <w:trHeight w:val="301" w:hRule="atLeast"/>
        </w:trPr>
        <w:tc>
          <w:tcPr>
            <w:tcW w:w="629" w:type="dxa"/>
          </w:tcPr>
          <w:p>
            <w:pPr>
              <w:pStyle w:val="TableParagraph"/>
              <w:spacing w:line="255" w:lineRule="exact" w:before="26"/>
              <w:ind w:left="107"/>
              <w:rPr>
                <w:sz w:val="21"/>
              </w:rPr>
            </w:pPr>
            <w:r>
              <w:rPr>
                <w:w w:val="100"/>
                <w:sz w:val="21"/>
              </w:rPr>
              <w:t> </w:t>
            </w:r>
          </w:p>
        </w:tc>
        <w:tc>
          <w:tcPr>
            <w:tcW w:w="1455" w:type="dxa"/>
          </w:tcPr>
          <w:p>
            <w:pPr>
              <w:pStyle w:val="TableParagraph"/>
              <w:spacing w:line="255" w:lineRule="exact" w:before="26"/>
              <w:ind w:left="225"/>
              <w:rPr>
                <w:sz w:val="21"/>
              </w:rPr>
            </w:pPr>
            <w:r>
              <w:rPr>
                <w:w w:val="100"/>
                <w:sz w:val="21"/>
              </w:rPr>
              <w:t> </w:t>
            </w:r>
          </w:p>
        </w:tc>
        <w:tc>
          <w:tcPr>
            <w:tcW w:w="7191" w:type="dxa"/>
          </w:tcPr>
          <w:p>
            <w:pPr>
              <w:pStyle w:val="TableParagraph"/>
              <w:spacing w:line="255" w:lineRule="exact" w:before="26"/>
              <w:ind w:left="174"/>
              <w:rPr>
                <w:sz w:val="21"/>
              </w:rPr>
            </w:pPr>
            <w:r>
              <w:rPr>
                <w:w w:val="100"/>
                <w:sz w:val="21"/>
              </w:rPr>
              <w:t> </w:t>
            </w:r>
          </w:p>
        </w:tc>
      </w:tr>
    </w:tbl>
    <w:p>
      <w:pPr>
        <w:spacing w:after="0" w:line="255" w:lineRule="exact"/>
        <w:rPr>
          <w:sz w:val="21"/>
        </w:rPr>
        <w:sectPr>
          <w:pgSz w:w="11900" w:h="16840"/>
          <w:pgMar w:header="0" w:footer="724" w:top="1180" w:bottom="920" w:left="1280" w:right="1120"/>
        </w:sectPr>
      </w:pPr>
    </w:p>
    <w:p>
      <w:pPr>
        <w:pStyle w:val="Heading2"/>
        <w:tabs>
          <w:tab w:pos="961" w:val="left" w:leader="none"/>
        </w:tabs>
        <w:spacing w:before="40"/>
        <w:ind w:left="220" w:firstLine="0"/>
      </w:pPr>
      <w:r>
        <w:rPr/>
        <w:pict>
          <v:group style="position:absolute;margin-left:69.360001pt;margin-top:31.113623pt;width:463.8pt;height:1pt;mso-position-horizontal-relative:page;mso-position-vertical-relative:paragraph;z-index:1240;mso-wrap-distance-left:0;mso-wrap-distance-right:0" coordorigin="1387,622" coordsize="9276,20">
            <v:line style="position:absolute" from="1387,632" to="2134,632" stroked="true" strokeweight=".96pt" strokecolor="#000000">
              <v:stroke dashstyle="solid"/>
            </v:line>
            <v:rect style="position:absolute;left:2133;top:622;width:20;height:20" filled="true" fillcolor="#000000" stroked="false">
              <v:fill type="solid"/>
            </v:rect>
            <v:line style="position:absolute" from="2153,632" to="3538,632" stroked="true" strokeweight=".96pt" strokecolor="#000000">
              <v:stroke dashstyle="solid"/>
            </v:line>
            <v:rect style="position:absolute;left:3537;top:622;width:20;height:20" filled="true" fillcolor="#000000" stroked="false">
              <v:fill type="solid"/>
            </v:rect>
            <v:line style="position:absolute" from="3557,632" to="10663,632"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61" w:val="left" w:leader="none"/>
          <w:tab w:pos="2365" w:val="left" w:leader="none"/>
        </w:tabs>
        <w:spacing w:before="39"/>
        <w:ind w:left="215"/>
      </w:pPr>
      <w:r>
        <w:rPr>
          <w:w w:val="100"/>
        </w:rPr>
        <w:t> </w:t>
      </w:r>
      <w:r>
        <w:rPr/>
        <w:tab/>
      </w:r>
      <w:r>
        <w:rPr>
          <w:w w:val="100"/>
        </w:rPr>
        <w:t> </w:t>
      </w:r>
      <w:r>
        <w:rPr/>
        <w:tab/>
      </w:r>
      <w:r>
        <w:rPr>
          <w:w w:val="100"/>
        </w:rPr>
        <w:t> </w:t>
      </w:r>
    </w:p>
    <w:p>
      <w:pPr>
        <w:tabs>
          <w:tab w:pos="961" w:val="left" w:leader="none"/>
          <w:tab w:pos="2367" w:val="left" w:leader="none"/>
        </w:tabs>
        <w:spacing w:before="46"/>
        <w:ind w:left="215" w:right="0" w:firstLine="0"/>
        <w:jc w:val="left"/>
        <w:rPr>
          <w:sz w:val="21"/>
        </w:rPr>
      </w:pPr>
      <w:r>
        <w:rPr>
          <w:rFonts w:ascii="Microsoft JhengHei" w:eastAsia="Microsoft JhengHei" w:hint="eastAsia"/>
          <w:b/>
          <w:sz w:val="21"/>
        </w:rPr>
        <w:t>9.</w:t>
      </w:r>
      <w:r>
        <w:rPr>
          <w:rFonts w:ascii="Microsoft JhengHei" w:eastAsia="Microsoft JhengHei" w:hint="eastAsia"/>
          <w:b/>
          <w:spacing w:val="-33"/>
          <w:sz w:val="21"/>
        </w:rPr>
        <w:t> </w:t>
      </w:r>
      <w:r>
        <w:rPr>
          <w:rFonts w:ascii="Microsoft JhengHei" w:eastAsia="Microsoft JhengHei" w:hint="eastAsia"/>
          <w:b/>
          <w:sz w:val="21"/>
        </w:rPr>
        <w:t>1</w:t>
        <w:tab/>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24"/>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保单</w:t>
      </w:r>
    </w:p>
    <w:p>
      <w:pPr>
        <w:pStyle w:val="BodyText"/>
        <w:spacing w:before="13"/>
        <w:ind w:left="2365"/>
      </w:pPr>
      <w:r>
        <w:rPr/>
        <w:t>上填明，如果发生错误按照下列方式办理： </w:t>
      </w:r>
    </w:p>
    <w:p>
      <w:pPr>
        <w:pStyle w:val="Heading3"/>
        <w:spacing w:line="204" w:lineRule="auto" w:before="104"/>
        <w:ind w:left="2891" w:right="280" w:hanging="524"/>
        <w:rPr>
          <w:rFonts w:ascii="宋体" w:hAnsi="宋体" w:eastAsia="宋体" w:hint="eastAsia"/>
          <w:b w:val="0"/>
        </w:rPr>
      </w:pPr>
      <w:r>
        <w:rPr>
          <w:rFonts w:ascii="宋体" w:hAnsi="宋体" w:eastAsia="宋体" w:hint="eastAsia"/>
          <w:b w:val="0"/>
        </w:rPr>
        <w:t>（1）</w:t>
      </w:r>
      <w:r>
        <w:rPr/>
        <w:t>您申报的被保险人年龄不真实，并且其真实年龄不符合本主险合同约定投保年龄限制的，在保险事故发生之前我们有权解除本主险合同， 并向您退还本主险合同的现金价值。我们行使合同解除权适用“8. 2 本公司合同解除权的限制”的规定。</w:t>
      </w:r>
      <w:r>
        <w:rPr>
          <w:rFonts w:ascii="宋体" w:hAnsi="宋体" w:eastAsia="宋体" w:hint="eastAsia"/>
          <w:b w:val="0"/>
        </w:rPr>
        <w:t> </w:t>
      </w:r>
    </w:p>
    <w:p>
      <w:pPr>
        <w:spacing w:line="204" w:lineRule="auto" w:before="80"/>
        <w:ind w:left="2891" w:right="69" w:hanging="524"/>
        <w:jc w:val="left"/>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1" w:lineRule="auto" w:before="92"/>
        <w:ind w:left="2891" w:right="64" w:hanging="524"/>
      </w:pPr>
      <w:r>
        <w:rPr/>
        <w:t>（3）您申报的被保险人年龄不真实，致使您实付保险费多于应付保险费的， 我们会将多收的保险费退还给您。 </w:t>
      </w:r>
    </w:p>
    <w:p>
      <w:pPr>
        <w:pStyle w:val="BodyText"/>
        <w:spacing w:before="8"/>
        <w:ind w:left="0"/>
        <w:rPr>
          <w:sz w:val="11"/>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138"/>
      </w:tblGrid>
      <w:tr>
        <w:trPr>
          <w:trHeight w:val="1002" w:hRule="atLeast"/>
        </w:trPr>
        <w:tc>
          <w:tcPr>
            <w:tcW w:w="571"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1455" w:type="dxa"/>
          </w:tcPr>
          <w:p>
            <w:pPr>
              <w:pStyle w:val="TableParagraph"/>
              <w:spacing w:line="211" w:lineRule="exact"/>
              <w:ind w:left="225"/>
              <w:rPr>
                <w:sz w:val="21"/>
              </w:rPr>
            </w:pPr>
            <w:r>
              <w:rPr>
                <w:w w:val="100"/>
                <w:sz w:val="21"/>
              </w:rPr>
              <w:t> </w:t>
            </w:r>
          </w:p>
          <w:p>
            <w:pPr>
              <w:pStyle w:val="TableParagraph"/>
              <w:spacing w:before="49"/>
              <w:ind w:left="225"/>
              <w:rPr>
                <w:rFonts w:ascii="Microsoft JhengHei" w:eastAsia="Microsoft JhengHei" w:hint="eastAsia"/>
                <w:b/>
                <w:sz w:val="21"/>
              </w:rPr>
            </w:pPr>
            <w:r>
              <w:rPr>
                <w:rFonts w:ascii="Microsoft JhengHei" w:eastAsia="Microsoft JhengHei" w:hint="eastAsia"/>
                <w:b/>
                <w:sz w:val="21"/>
              </w:rPr>
              <w:t>未还款项</w:t>
            </w:r>
          </w:p>
        </w:tc>
        <w:tc>
          <w:tcPr>
            <w:tcW w:w="7138" w:type="dxa"/>
          </w:tcPr>
          <w:p>
            <w:pPr>
              <w:pStyle w:val="TableParagraph"/>
              <w:spacing w:line="211" w:lineRule="exact"/>
              <w:ind w:left="174"/>
              <w:rPr>
                <w:sz w:val="21"/>
              </w:rPr>
            </w:pPr>
            <w:r>
              <w:rPr>
                <w:w w:val="100"/>
                <w:sz w:val="21"/>
              </w:rPr>
              <w:t> </w:t>
            </w:r>
          </w:p>
          <w:p>
            <w:pPr>
              <w:pStyle w:val="TableParagraph"/>
              <w:spacing w:line="271" w:lineRule="auto" w:before="116"/>
              <w:ind w:left="174" w:right="17"/>
              <w:rPr>
                <w:sz w:val="21"/>
              </w:rPr>
            </w:pPr>
            <w:r>
              <w:rPr>
                <w:sz w:val="21"/>
              </w:rPr>
              <w:t>未还款项包括欠交的保险费以及其他欠款。我们在给付各项保险金、退还现金价值或返还保险费时，会在扣除上述各项欠款后给付。 </w:t>
            </w:r>
          </w:p>
        </w:tc>
      </w:tr>
      <w:tr>
        <w:trPr>
          <w:trHeight w:val="386"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8" w:type="dxa"/>
          </w:tcPr>
          <w:p>
            <w:pPr>
              <w:pStyle w:val="TableParagraph"/>
              <w:spacing w:before="26"/>
              <w:ind w:left="174"/>
              <w:rPr>
                <w:sz w:val="21"/>
              </w:rPr>
            </w:pPr>
            <w:r>
              <w:rPr>
                <w:w w:val="100"/>
                <w:sz w:val="21"/>
              </w:rPr>
              <w:t> </w:t>
            </w:r>
          </w:p>
        </w:tc>
      </w:tr>
      <w:tr>
        <w:trPr>
          <w:trHeight w:val="666" w:hRule="atLeast"/>
        </w:trPr>
        <w:tc>
          <w:tcPr>
            <w:tcW w:w="571" w:type="dxa"/>
          </w:tcPr>
          <w:p>
            <w:pPr>
              <w:pStyle w:val="TableParagraph"/>
              <w:spacing w:line="330" w:lineRule="exact"/>
              <w:ind w:left="50"/>
              <w:rPr>
                <w:rFonts w:ascii="Microsoft JhengHei"/>
                <w:b/>
                <w:sz w:val="21"/>
              </w:rPr>
            </w:pPr>
            <w:r>
              <w:rPr>
                <w:rFonts w:ascii="Microsoft JhengHei"/>
                <w:b/>
                <w:w w:val="90"/>
                <w:sz w:val="21"/>
              </w:rPr>
              <w:t>9. 3</w:t>
            </w:r>
          </w:p>
        </w:tc>
        <w:tc>
          <w:tcPr>
            <w:tcW w:w="1455" w:type="dxa"/>
          </w:tcPr>
          <w:p>
            <w:pPr>
              <w:pStyle w:val="TableParagraph"/>
              <w:spacing w:line="204" w:lineRule="auto" w:before="19"/>
              <w:ind w:left="225" w:right="171"/>
              <w:rPr>
                <w:rFonts w:ascii="Microsoft JhengHei" w:eastAsia="Microsoft JhengHei" w:hint="eastAsia"/>
                <w:b/>
                <w:sz w:val="21"/>
              </w:rPr>
            </w:pPr>
            <w:r>
              <w:rPr>
                <w:rFonts w:ascii="Microsoft JhengHei" w:eastAsia="Microsoft JhengHei" w:hint="eastAsia"/>
                <w:b/>
                <w:sz w:val="21"/>
              </w:rPr>
              <w:t>合同内容变更</w:t>
            </w:r>
          </w:p>
        </w:tc>
        <w:tc>
          <w:tcPr>
            <w:tcW w:w="7138" w:type="dxa"/>
          </w:tcPr>
          <w:p>
            <w:pPr>
              <w:pStyle w:val="TableParagraph"/>
              <w:spacing w:line="271" w:lineRule="auto" w:before="31"/>
              <w:ind w:left="174" w:right="16"/>
              <w:rPr>
                <w:sz w:val="21"/>
              </w:rPr>
            </w:pPr>
            <w:r>
              <w:rPr>
                <w:sz w:val="21"/>
              </w:rPr>
              <w:t>在本主险合同有效期内，经您与我们协商一致，可以变更本主险合同的有关内容。变更本主险合同的，应当由我们在保险单或者其他保险凭证上批注或</w:t>
            </w:r>
          </w:p>
        </w:tc>
      </w:tr>
      <w:tr>
        <w:trPr>
          <w:trHeight w:val="35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者附贴批单，也可以由您与我们订立书面的变更协议。 </w:t>
            </w:r>
          </w:p>
        </w:tc>
      </w:tr>
      <w:tr>
        <w:trPr>
          <w:trHeight w:val="386"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8" w:type="dxa"/>
          </w:tcPr>
          <w:p>
            <w:pPr>
              <w:pStyle w:val="TableParagraph"/>
              <w:spacing w:before="26"/>
              <w:ind w:left="174"/>
              <w:rPr>
                <w:sz w:val="21"/>
              </w:rPr>
            </w:pPr>
            <w:r>
              <w:rPr>
                <w:w w:val="100"/>
                <w:sz w:val="21"/>
              </w:rPr>
              <w:t> </w:t>
            </w:r>
          </w:p>
        </w:tc>
      </w:tr>
      <w:tr>
        <w:trPr>
          <w:trHeight w:val="666" w:hRule="atLeast"/>
        </w:trPr>
        <w:tc>
          <w:tcPr>
            <w:tcW w:w="571" w:type="dxa"/>
          </w:tcPr>
          <w:p>
            <w:pPr>
              <w:pStyle w:val="TableParagraph"/>
              <w:spacing w:line="330" w:lineRule="exact"/>
              <w:ind w:left="50"/>
              <w:rPr>
                <w:rFonts w:ascii="Microsoft JhengHei"/>
                <w:b/>
                <w:sz w:val="21"/>
              </w:rPr>
            </w:pPr>
            <w:r>
              <w:rPr>
                <w:rFonts w:ascii="Microsoft JhengHei"/>
                <w:b/>
                <w:w w:val="90"/>
                <w:sz w:val="21"/>
              </w:rPr>
              <w:t>9. 4</w:t>
            </w:r>
          </w:p>
        </w:tc>
        <w:tc>
          <w:tcPr>
            <w:tcW w:w="1455" w:type="dxa"/>
          </w:tcPr>
          <w:p>
            <w:pPr>
              <w:pStyle w:val="TableParagraph"/>
              <w:spacing w:line="204" w:lineRule="auto" w:before="19"/>
              <w:ind w:left="225" w:right="171"/>
              <w:rPr>
                <w:rFonts w:ascii="Microsoft JhengHei" w:eastAsia="Microsoft JhengHei" w:hint="eastAsia"/>
                <w:b/>
                <w:sz w:val="21"/>
              </w:rPr>
            </w:pPr>
            <w:r>
              <w:rPr>
                <w:rFonts w:ascii="Microsoft JhengHei" w:eastAsia="Microsoft JhengHei" w:hint="eastAsia"/>
                <w:b/>
                <w:sz w:val="21"/>
              </w:rPr>
              <w:t>联系方式变更</w:t>
            </w:r>
          </w:p>
        </w:tc>
        <w:tc>
          <w:tcPr>
            <w:tcW w:w="7138" w:type="dxa"/>
          </w:tcPr>
          <w:p>
            <w:pPr>
              <w:pStyle w:val="TableParagraph"/>
              <w:spacing w:line="271" w:lineRule="auto" w:before="31"/>
              <w:ind w:left="174" w:right="47"/>
              <w:rPr>
                <w:sz w:val="21"/>
              </w:rPr>
            </w:pPr>
            <w:r>
              <w:rPr>
                <w:spacing w:val="-7"/>
                <w:sz w:val="21"/>
              </w:rPr>
              <w:t>为了保障您的合法权益，您的住所、通讯地址或电话等联系方式变更时，请</w:t>
            </w:r>
            <w:r>
              <w:rPr>
                <w:spacing w:val="-4"/>
                <w:sz w:val="21"/>
              </w:rPr>
              <w:t>及时以书面形式或双方认可的其他形式通知我们。若您未以书面形式或双方</w:t>
            </w:r>
          </w:p>
        </w:tc>
      </w:tr>
      <w:tr>
        <w:trPr>
          <w:trHeight w:val="312"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认可的其他形式通知我们，我们按本主险合同载明的最后住所或通讯地址所</w:t>
            </w:r>
          </w:p>
        </w:tc>
      </w:tr>
      <w:tr>
        <w:trPr>
          <w:trHeight w:val="35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发送的有关通知，均视为已送达给您。 </w:t>
            </w:r>
          </w:p>
        </w:tc>
      </w:tr>
      <w:tr>
        <w:trPr>
          <w:trHeight w:val="386"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8" w:type="dxa"/>
          </w:tcPr>
          <w:p>
            <w:pPr>
              <w:pStyle w:val="TableParagraph"/>
              <w:spacing w:before="26"/>
              <w:ind w:left="174"/>
              <w:rPr>
                <w:sz w:val="21"/>
              </w:rPr>
            </w:pPr>
            <w:r>
              <w:rPr>
                <w:w w:val="100"/>
                <w:sz w:val="21"/>
              </w:rPr>
              <w:t> </w:t>
            </w:r>
          </w:p>
        </w:tc>
      </w:tr>
      <w:tr>
        <w:trPr>
          <w:trHeight w:val="705" w:hRule="atLeast"/>
        </w:trPr>
        <w:tc>
          <w:tcPr>
            <w:tcW w:w="571" w:type="dxa"/>
          </w:tcPr>
          <w:p>
            <w:pPr>
              <w:pStyle w:val="TableParagraph"/>
              <w:spacing w:line="330" w:lineRule="exact"/>
              <w:ind w:left="50"/>
              <w:rPr>
                <w:rFonts w:ascii="Microsoft JhengHei"/>
                <w:b/>
                <w:sz w:val="21"/>
              </w:rPr>
            </w:pPr>
            <w:r>
              <w:rPr>
                <w:rFonts w:ascii="Microsoft JhengHei"/>
                <w:b/>
                <w:w w:val="90"/>
                <w:sz w:val="21"/>
              </w:rPr>
              <w:t>9. 5</w:t>
            </w:r>
          </w:p>
        </w:tc>
        <w:tc>
          <w:tcPr>
            <w:tcW w:w="1455" w:type="dxa"/>
          </w:tcPr>
          <w:p>
            <w:pPr>
              <w:pStyle w:val="TableParagraph"/>
              <w:spacing w:line="330" w:lineRule="exact"/>
              <w:ind w:left="225"/>
              <w:rPr>
                <w:rFonts w:ascii="Microsoft JhengHei" w:eastAsia="Microsoft JhengHei" w:hint="eastAsia"/>
                <w:b/>
                <w:sz w:val="21"/>
              </w:rPr>
            </w:pPr>
            <w:r>
              <w:rPr>
                <w:rFonts w:ascii="Microsoft JhengHei" w:eastAsia="Microsoft JhengHei" w:hint="eastAsia"/>
                <w:b/>
                <w:sz w:val="21"/>
              </w:rPr>
              <w:t>争议处理</w:t>
            </w:r>
          </w:p>
        </w:tc>
        <w:tc>
          <w:tcPr>
            <w:tcW w:w="7138" w:type="dxa"/>
          </w:tcPr>
          <w:p>
            <w:pPr>
              <w:pStyle w:val="TableParagraph"/>
              <w:spacing w:before="31"/>
              <w:ind w:left="174"/>
              <w:rPr>
                <w:sz w:val="21"/>
              </w:rPr>
            </w:pPr>
            <w:r>
              <w:rPr>
                <w:sz w:val="21"/>
              </w:rPr>
              <w:t>本主险合同争议解决方式由您在投保时与我们约定，从下列两种方式中选择</w:t>
            </w:r>
          </w:p>
          <w:p>
            <w:pPr>
              <w:pStyle w:val="TableParagraph"/>
              <w:spacing w:before="34"/>
              <w:ind w:left="174"/>
              <w:rPr>
                <w:sz w:val="21"/>
              </w:rPr>
            </w:pPr>
            <w:r>
              <w:rPr>
                <w:sz w:val="21"/>
              </w:rPr>
              <w:t>一种： </w:t>
            </w:r>
          </w:p>
        </w:tc>
      </w:tr>
      <w:tr>
        <w:trPr>
          <w:trHeight w:val="30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138" w:type="dxa"/>
          </w:tcPr>
          <w:p>
            <w:pPr>
              <w:pStyle w:val="TableParagraph"/>
              <w:spacing w:line="255" w:lineRule="exact" w:before="26"/>
              <w:ind w:left="174"/>
              <w:rPr>
                <w:sz w:val="21"/>
              </w:rPr>
            </w:pPr>
            <w:r>
              <w:rPr>
                <w:sz w:val="21"/>
              </w:rPr>
              <w:t>（1）因履行本主险合同发生的争议，由双方协商解决，协商不成的，提交</w:t>
            </w:r>
          </w:p>
        </w:tc>
      </w:tr>
    </w:tbl>
    <w:p>
      <w:pPr>
        <w:pStyle w:val="BodyText"/>
        <w:tabs>
          <w:tab w:pos="3606" w:val="left" w:leader="none"/>
        </w:tabs>
        <w:spacing w:before="37"/>
        <w:ind w:left="2869"/>
      </w:pPr>
      <w:r>
        <w:rPr>
          <w:w w:val="100"/>
          <w:u w:val="single"/>
        </w:rPr>
        <w:t> </w:t>
      </w:r>
      <w:r>
        <w:rPr>
          <w:u w:val="single"/>
        </w:rPr>
        <w:tab/>
      </w:r>
      <w:r>
        <w:rPr>
          <w:w w:val="100"/>
        </w:rPr>
        <w:t>  </w:t>
      </w:r>
      <w:r>
        <w:rPr>
          <w:spacing w:val="-3"/>
          <w:w w:val="100"/>
        </w:rPr>
        <w:t> </w:t>
      </w:r>
      <w:r>
        <w:rPr>
          <w:w w:val="100"/>
        </w:rPr>
        <w:t>   </w:t>
      </w:r>
      <w:r>
        <w:rPr>
          <w:spacing w:val="-3"/>
          <w:w w:val="100"/>
        </w:rPr>
        <w:t> </w:t>
      </w:r>
      <w:r>
        <w:rPr>
          <w:w w:val="100"/>
        </w:rPr>
        <w:t> </w:t>
      </w:r>
      <w:r>
        <w:rPr>
          <w:spacing w:val="-3"/>
        </w:rPr>
        <w:t>仲裁委员会仲裁；</w:t>
      </w:r>
      <w:r>
        <w:rPr/>
        <w:t> </w:t>
      </w:r>
    </w:p>
    <w:p>
      <w:pPr>
        <w:pStyle w:val="BodyText"/>
        <w:spacing w:before="116"/>
        <w:ind w:left="2365"/>
      </w:pPr>
      <w:r>
        <w:rPr/>
        <w:t>（2）因履行本主险合同发生的争议，由双方协商解决，协商不成的，依法</w:t>
      </w:r>
    </w:p>
    <w:p>
      <w:pPr>
        <w:pStyle w:val="BodyText"/>
        <w:spacing w:before="34"/>
        <w:ind w:left="2869"/>
      </w:pPr>
      <w:r>
        <w:rPr/>
        <w:t>向人民法院起诉。 </w:t>
      </w:r>
    </w:p>
    <w:p>
      <w:pPr>
        <w:pStyle w:val="BodyText"/>
        <w:spacing w:before="9"/>
        <w:ind w:left="0"/>
        <w:rPr>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348"/>
        <w:gridCol w:w="7245"/>
      </w:tblGrid>
      <w:tr>
        <w:trPr>
          <w:trHeight w:val="961" w:hRule="atLeast"/>
        </w:trPr>
        <w:tc>
          <w:tcPr>
            <w:tcW w:w="682"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348" w:type="dxa"/>
            <w:tcBorders>
              <w:bottom w:val="single" w:sz="8" w:space="0" w:color="000000"/>
            </w:tcBorders>
          </w:tcPr>
          <w:p>
            <w:pPr>
              <w:pStyle w:val="TableParagraph"/>
              <w:spacing w:line="211" w:lineRule="exact"/>
              <w:ind w:left="172"/>
              <w:rPr>
                <w:sz w:val="21"/>
              </w:rPr>
            </w:pPr>
            <w:r>
              <w:rPr>
                <w:w w:val="100"/>
                <w:sz w:val="21"/>
              </w:rPr>
              <w:t> </w:t>
            </w:r>
          </w:p>
          <w:p>
            <w:pPr>
              <w:pStyle w:val="TableParagraph"/>
              <w:spacing w:before="168"/>
              <w:ind w:left="172"/>
              <w:rPr>
                <w:rFonts w:ascii="Microsoft JhengHei" w:eastAsia="Microsoft JhengHei" w:hint="eastAsia"/>
                <w:b/>
                <w:sz w:val="24"/>
              </w:rPr>
            </w:pPr>
            <w:r>
              <w:rPr>
                <w:rFonts w:ascii="Microsoft JhengHei" w:eastAsia="Microsoft JhengHei" w:hint="eastAsia"/>
                <w:b/>
                <w:sz w:val="24"/>
              </w:rPr>
              <w:t>释义</w:t>
            </w:r>
          </w:p>
        </w:tc>
        <w:tc>
          <w:tcPr>
            <w:tcW w:w="7245" w:type="dxa"/>
            <w:tcBorders>
              <w:bottom w:val="single" w:sz="8" w:space="0" w:color="000000"/>
            </w:tcBorders>
          </w:tcPr>
          <w:p>
            <w:pPr>
              <w:pStyle w:val="TableParagraph"/>
              <w:spacing w:line="211" w:lineRule="exact"/>
              <w:ind w:left="228"/>
              <w:rPr>
                <w:sz w:val="21"/>
              </w:rPr>
            </w:pPr>
            <w:r>
              <w:rPr>
                <w:w w:val="100"/>
                <w:sz w:val="21"/>
              </w:rPr>
              <w:t> </w:t>
            </w:r>
          </w:p>
        </w:tc>
      </w:tr>
      <w:tr>
        <w:trPr>
          <w:trHeight w:val="427" w:hRule="atLeast"/>
        </w:trPr>
        <w:tc>
          <w:tcPr>
            <w:tcW w:w="682" w:type="dxa"/>
            <w:tcBorders>
              <w:top w:val="single" w:sz="8" w:space="0" w:color="000000"/>
            </w:tcBorders>
          </w:tcPr>
          <w:p>
            <w:pPr>
              <w:pStyle w:val="TableParagraph"/>
              <w:spacing w:before="68"/>
              <w:ind w:left="108"/>
              <w:rPr>
                <w:sz w:val="21"/>
              </w:rPr>
            </w:pPr>
            <w:r>
              <w:rPr>
                <w:w w:val="100"/>
                <w:sz w:val="21"/>
              </w:rPr>
              <w:t> </w:t>
            </w:r>
          </w:p>
        </w:tc>
        <w:tc>
          <w:tcPr>
            <w:tcW w:w="1348" w:type="dxa"/>
            <w:tcBorders>
              <w:top w:val="single" w:sz="8" w:space="0" w:color="000000"/>
            </w:tcBorders>
          </w:tcPr>
          <w:p>
            <w:pPr>
              <w:pStyle w:val="TableParagraph"/>
              <w:spacing w:before="68"/>
              <w:ind w:left="172"/>
              <w:rPr>
                <w:sz w:val="21"/>
              </w:rPr>
            </w:pPr>
            <w:r>
              <w:rPr>
                <w:w w:val="100"/>
                <w:sz w:val="21"/>
              </w:rPr>
              <w:t> </w:t>
            </w:r>
          </w:p>
        </w:tc>
        <w:tc>
          <w:tcPr>
            <w:tcW w:w="7245" w:type="dxa"/>
            <w:tcBorders>
              <w:top w:val="single" w:sz="8" w:space="0" w:color="000000"/>
            </w:tcBorders>
          </w:tcPr>
          <w:p>
            <w:pPr>
              <w:pStyle w:val="TableParagraph"/>
              <w:spacing w:before="68"/>
              <w:ind w:left="228"/>
              <w:rPr>
                <w:sz w:val="21"/>
              </w:rPr>
            </w:pPr>
            <w:r>
              <w:rPr>
                <w:w w:val="100"/>
                <w:sz w:val="21"/>
              </w:rPr>
              <w:t> </w:t>
            </w:r>
          </w:p>
        </w:tc>
      </w:tr>
      <w:tr>
        <w:trPr>
          <w:trHeight w:val="706" w:hRule="atLeast"/>
        </w:trPr>
        <w:tc>
          <w:tcPr>
            <w:tcW w:w="682" w:type="dxa"/>
          </w:tcPr>
          <w:p>
            <w:pPr>
              <w:pStyle w:val="TableParagraph"/>
              <w:spacing w:line="329" w:lineRule="exact"/>
              <w:ind w:left="108"/>
              <w:rPr>
                <w:rFonts w:ascii="Microsoft JhengHei"/>
                <w:b/>
                <w:sz w:val="21"/>
              </w:rPr>
            </w:pPr>
            <w:r>
              <w:rPr>
                <w:rFonts w:ascii="Microsoft JhengHei"/>
                <w:b/>
                <w:w w:val="90"/>
                <w:sz w:val="21"/>
              </w:rPr>
              <w:t>10. 1</w:t>
            </w:r>
          </w:p>
        </w:tc>
        <w:tc>
          <w:tcPr>
            <w:tcW w:w="1348" w:type="dxa"/>
          </w:tcPr>
          <w:p>
            <w:pPr>
              <w:pStyle w:val="TableParagraph"/>
              <w:spacing w:line="329" w:lineRule="exact"/>
              <w:ind w:left="172"/>
              <w:rPr>
                <w:sz w:val="21"/>
              </w:rPr>
            </w:pPr>
            <w:r>
              <w:rPr>
                <w:rFonts w:ascii="Microsoft JhengHei" w:eastAsia="Microsoft JhengHei" w:hint="eastAsia"/>
                <w:b/>
                <w:sz w:val="21"/>
              </w:rPr>
              <w:t>保单年度</w:t>
            </w:r>
            <w:r>
              <w:rPr>
                <w:sz w:val="21"/>
              </w:rPr>
              <w:t> </w:t>
            </w:r>
          </w:p>
        </w:tc>
        <w:tc>
          <w:tcPr>
            <w:tcW w:w="7245" w:type="dxa"/>
          </w:tcPr>
          <w:p>
            <w:pPr>
              <w:pStyle w:val="TableParagraph"/>
              <w:spacing w:line="312" w:lineRule="exact" w:before="25"/>
              <w:ind w:left="228" w:right="68"/>
              <w:rPr>
                <w:sz w:val="21"/>
              </w:rPr>
            </w:pPr>
            <w:r>
              <w:rPr>
                <w:sz w:val="21"/>
              </w:rPr>
              <w:t>指从本主险合同生效日或</w:t>
            </w:r>
            <w:r>
              <w:rPr>
                <w:rFonts w:ascii="Microsoft JhengHei" w:eastAsia="Microsoft JhengHei" w:hint="eastAsia"/>
                <w:b/>
                <w:sz w:val="21"/>
              </w:rPr>
              <w:t>保单周年日</w:t>
            </w:r>
            <w:r>
              <w:rPr>
                <w:sz w:val="21"/>
              </w:rPr>
              <w:t>（见 10.15）零时起至下一个保单周年日零时止的期间为一个保单年度。 </w:t>
            </w:r>
          </w:p>
        </w:tc>
      </w:tr>
      <w:tr>
        <w:trPr>
          <w:trHeight w:val="301" w:hRule="atLeast"/>
        </w:trPr>
        <w:tc>
          <w:tcPr>
            <w:tcW w:w="682" w:type="dxa"/>
          </w:tcPr>
          <w:p>
            <w:pPr>
              <w:pStyle w:val="TableParagraph"/>
              <w:rPr>
                <w:rFonts w:ascii="Times New Roman"/>
                <w:sz w:val="20"/>
              </w:rPr>
            </w:pPr>
          </w:p>
        </w:tc>
        <w:tc>
          <w:tcPr>
            <w:tcW w:w="1348" w:type="dxa"/>
          </w:tcPr>
          <w:p>
            <w:pPr>
              <w:pStyle w:val="TableParagraph"/>
              <w:rPr>
                <w:rFonts w:ascii="Times New Roman"/>
                <w:sz w:val="20"/>
              </w:rPr>
            </w:pPr>
          </w:p>
        </w:tc>
        <w:tc>
          <w:tcPr>
            <w:tcW w:w="7245" w:type="dxa"/>
          </w:tcPr>
          <w:p>
            <w:pPr>
              <w:pStyle w:val="TableParagraph"/>
              <w:spacing w:line="255" w:lineRule="exact" w:before="26"/>
              <w:ind w:left="228"/>
              <w:rPr>
                <w:sz w:val="21"/>
              </w:rPr>
            </w:pPr>
            <w:r>
              <w:rPr>
                <w:w w:val="100"/>
                <w:sz w:val="21"/>
              </w:rPr>
              <w:t> </w:t>
            </w:r>
          </w:p>
        </w:tc>
      </w:tr>
    </w:tbl>
    <w:p>
      <w:pPr>
        <w:spacing w:after="0" w:line="255" w:lineRule="exact"/>
        <w:rPr>
          <w:sz w:val="21"/>
        </w:rPr>
        <w:sectPr>
          <w:pgSz w:w="11900" w:h="16840"/>
          <w:pgMar w:header="0" w:footer="724" w:top="1160" w:bottom="920" w:left="1280" w:right="11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339"/>
        <w:gridCol w:w="7160"/>
      </w:tblGrid>
      <w:tr>
        <w:trPr>
          <w:trHeight w:val="620" w:hRule="atLeast"/>
        </w:trPr>
        <w:tc>
          <w:tcPr>
            <w:tcW w:w="687" w:type="dxa"/>
          </w:tcPr>
          <w:p>
            <w:pPr>
              <w:pStyle w:val="TableParagraph"/>
              <w:spacing w:line="245" w:lineRule="exact"/>
              <w:ind w:left="50"/>
              <w:rPr>
                <w:rFonts w:ascii="Microsoft JhengHei"/>
                <w:b/>
                <w:sz w:val="21"/>
              </w:rPr>
            </w:pPr>
            <w:r>
              <w:rPr>
                <w:rFonts w:ascii="Microsoft JhengHei"/>
                <w:b/>
                <w:w w:val="90"/>
                <w:sz w:val="21"/>
              </w:rPr>
              <w:t>10. 2</w:t>
            </w:r>
          </w:p>
        </w:tc>
        <w:tc>
          <w:tcPr>
            <w:tcW w:w="1339" w:type="dxa"/>
          </w:tcPr>
          <w:p>
            <w:pPr>
              <w:pStyle w:val="TableParagraph"/>
              <w:spacing w:line="217" w:lineRule="exact"/>
              <w:ind w:left="109"/>
              <w:rPr>
                <w:rFonts w:ascii="Microsoft JhengHei" w:eastAsia="Microsoft JhengHei" w:hint="eastAsia"/>
                <w:b/>
                <w:sz w:val="21"/>
              </w:rPr>
            </w:pPr>
            <w:r>
              <w:rPr>
                <w:rFonts w:ascii="Microsoft JhengHei" w:eastAsia="Microsoft JhengHei" w:hint="eastAsia"/>
                <w:b/>
                <w:sz w:val="21"/>
              </w:rPr>
              <w:t>保险费约定</w:t>
            </w:r>
          </w:p>
          <w:p>
            <w:pPr>
              <w:pStyle w:val="TableParagraph"/>
              <w:spacing w:line="338" w:lineRule="exact"/>
              <w:ind w:left="109"/>
              <w:rPr>
                <w:sz w:val="21"/>
              </w:rPr>
            </w:pPr>
            <w:r>
              <w:rPr>
                <w:rFonts w:ascii="Microsoft JhengHei" w:eastAsia="Microsoft JhengHei" w:hint="eastAsia"/>
                <w:b/>
                <w:sz w:val="21"/>
              </w:rPr>
              <w:t>支付日</w:t>
            </w:r>
            <w:r>
              <w:rPr>
                <w:sz w:val="21"/>
              </w:rPr>
              <w:t> </w:t>
            </w:r>
          </w:p>
        </w:tc>
        <w:tc>
          <w:tcPr>
            <w:tcW w:w="7160" w:type="dxa"/>
          </w:tcPr>
          <w:p>
            <w:pPr>
              <w:pStyle w:val="TableParagraph"/>
              <w:spacing w:line="221" w:lineRule="exact"/>
              <w:ind w:left="174"/>
              <w:rPr>
                <w:sz w:val="21"/>
              </w:rPr>
            </w:pPr>
            <w:r>
              <w:rPr>
                <w:sz w:val="21"/>
              </w:rPr>
              <w:t>指本主险合同生效日在每月、每季、每半年或每年（根据交费方式确定）的</w:t>
            </w:r>
          </w:p>
          <w:p>
            <w:pPr>
              <w:pStyle w:val="TableParagraph"/>
              <w:spacing w:before="34"/>
              <w:ind w:left="174"/>
              <w:rPr>
                <w:sz w:val="21"/>
              </w:rPr>
            </w:pPr>
            <w:r>
              <w:rPr>
                <w:sz w:val="21"/>
              </w:rPr>
              <w:t>对应日。如果当月无对应的同一日，则以该月最后一日为对应日。 </w:t>
            </w:r>
          </w:p>
        </w:tc>
      </w:tr>
      <w:tr>
        <w:trPr>
          <w:trHeight w:val="386" w:hRule="atLeast"/>
        </w:trPr>
        <w:tc>
          <w:tcPr>
            <w:tcW w:w="687" w:type="dxa"/>
          </w:tcPr>
          <w:p>
            <w:pPr>
              <w:pStyle w:val="TableParagraph"/>
              <w:rPr>
                <w:rFonts w:ascii="Times New Roman"/>
                <w:sz w:val="20"/>
              </w:rPr>
            </w:pPr>
          </w:p>
        </w:tc>
        <w:tc>
          <w:tcPr>
            <w:tcW w:w="1339" w:type="dxa"/>
          </w:tcPr>
          <w:p>
            <w:pPr>
              <w:pStyle w:val="TableParagraph"/>
              <w:rPr>
                <w:rFonts w:ascii="Times New Roman"/>
                <w:sz w:val="20"/>
              </w:rPr>
            </w:pPr>
          </w:p>
        </w:tc>
        <w:tc>
          <w:tcPr>
            <w:tcW w:w="7160" w:type="dxa"/>
          </w:tcPr>
          <w:p>
            <w:pPr>
              <w:pStyle w:val="TableParagraph"/>
              <w:spacing w:before="26"/>
              <w:ind w:left="174"/>
              <w:rPr>
                <w:sz w:val="21"/>
              </w:rPr>
            </w:pPr>
            <w:r>
              <w:rPr>
                <w:w w:val="100"/>
                <w:sz w:val="21"/>
              </w:rPr>
              <w:t> </w:t>
            </w:r>
          </w:p>
        </w:tc>
      </w:tr>
      <w:tr>
        <w:trPr>
          <w:trHeight w:val="705" w:hRule="atLeast"/>
        </w:trPr>
        <w:tc>
          <w:tcPr>
            <w:tcW w:w="687" w:type="dxa"/>
          </w:tcPr>
          <w:p>
            <w:pPr>
              <w:pStyle w:val="TableParagraph"/>
              <w:spacing w:line="330" w:lineRule="exact"/>
              <w:ind w:left="50"/>
              <w:rPr>
                <w:rFonts w:ascii="Microsoft JhengHei"/>
                <w:b/>
                <w:sz w:val="21"/>
              </w:rPr>
            </w:pPr>
            <w:r>
              <w:rPr>
                <w:rFonts w:ascii="Microsoft JhengHei"/>
                <w:b/>
                <w:w w:val="90"/>
                <w:sz w:val="21"/>
              </w:rPr>
              <w:t>10. 3</w:t>
            </w:r>
          </w:p>
        </w:tc>
        <w:tc>
          <w:tcPr>
            <w:tcW w:w="1339" w:type="dxa"/>
          </w:tcPr>
          <w:p>
            <w:pPr>
              <w:pStyle w:val="TableParagraph"/>
              <w:spacing w:line="330" w:lineRule="exact"/>
              <w:ind w:left="109"/>
              <w:rPr>
                <w:sz w:val="21"/>
              </w:rPr>
            </w:pPr>
            <w:r>
              <w:rPr>
                <w:rFonts w:ascii="Microsoft JhengHei" w:eastAsia="Microsoft JhengHei" w:hint="eastAsia"/>
                <w:b/>
                <w:sz w:val="21"/>
              </w:rPr>
              <w:t>周岁</w:t>
            </w:r>
            <w:r>
              <w:rPr>
                <w:sz w:val="21"/>
              </w:rPr>
              <w:t>  </w:t>
            </w:r>
          </w:p>
        </w:tc>
        <w:tc>
          <w:tcPr>
            <w:tcW w:w="7160" w:type="dxa"/>
          </w:tcPr>
          <w:p>
            <w:pPr>
              <w:pStyle w:val="TableParagraph"/>
              <w:spacing w:before="31"/>
              <w:ind w:left="174"/>
              <w:rPr>
                <w:sz w:val="21"/>
              </w:rPr>
            </w:pPr>
            <w:r>
              <w:rPr>
                <w:spacing w:val="-5"/>
                <w:sz w:val="21"/>
              </w:rPr>
              <w:t>指按有效身份证件中记载的出生日期计算的年龄，自出生之日起为 </w:t>
            </w:r>
            <w:r>
              <w:rPr>
                <w:sz w:val="21"/>
              </w:rPr>
              <w:t>0</w:t>
            </w:r>
            <w:r>
              <w:rPr>
                <w:spacing w:val="-10"/>
                <w:sz w:val="21"/>
              </w:rPr>
              <w:t> 周岁，</w:t>
            </w:r>
          </w:p>
          <w:p>
            <w:pPr>
              <w:pStyle w:val="TableParagraph"/>
              <w:spacing w:before="34"/>
              <w:ind w:left="174"/>
              <w:rPr>
                <w:sz w:val="21"/>
              </w:rPr>
            </w:pPr>
            <w:r>
              <w:rPr>
                <w:sz w:val="21"/>
              </w:rPr>
              <w:t>每经过 1 年增加 1 岁，不足 1 年的不计。 </w:t>
            </w:r>
          </w:p>
        </w:tc>
      </w:tr>
      <w:tr>
        <w:trPr>
          <w:trHeight w:val="386" w:hRule="atLeast"/>
        </w:trPr>
        <w:tc>
          <w:tcPr>
            <w:tcW w:w="687" w:type="dxa"/>
          </w:tcPr>
          <w:p>
            <w:pPr>
              <w:pStyle w:val="TableParagraph"/>
              <w:rPr>
                <w:rFonts w:ascii="Times New Roman"/>
                <w:sz w:val="20"/>
              </w:rPr>
            </w:pPr>
          </w:p>
        </w:tc>
        <w:tc>
          <w:tcPr>
            <w:tcW w:w="1339" w:type="dxa"/>
          </w:tcPr>
          <w:p>
            <w:pPr>
              <w:pStyle w:val="TableParagraph"/>
              <w:rPr>
                <w:rFonts w:ascii="Times New Roman"/>
                <w:sz w:val="20"/>
              </w:rPr>
            </w:pPr>
          </w:p>
        </w:tc>
        <w:tc>
          <w:tcPr>
            <w:tcW w:w="7160" w:type="dxa"/>
          </w:tcPr>
          <w:p>
            <w:pPr>
              <w:pStyle w:val="TableParagraph"/>
              <w:spacing w:before="26"/>
              <w:ind w:left="174"/>
              <w:rPr>
                <w:sz w:val="21"/>
              </w:rPr>
            </w:pPr>
            <w:r>
              <w:rPr>
                <w:w w:val="100"/>
                <w:sz w:val="21"/>
              </w:rPr>
              <w:t> </w:t>
            </w:r>
          </w:p>
        </w:tc>
      </w:tr>
      <w:tr>
        <w:trPr>
          <w:trHeight w:val="705" w:hRule="atLeast"/>
        </w:trPr>
        <w:tc>
          <w:tcPr>
            <w:tcW w:w="687" w:type="dxa"/>
          </w:tcPr>
          <w:p>
            <w:pPr>
              <w:pStyle w:val="TableParagraph"/>
              <w:spacing w:line="330" w:lineRule="exact"/>
              <w:ind w:left="50"/>
              <w:rPr>
                <w:sz w:val="21"/>
              </w:rPr>
            </w:pPr>
            <w:r>
              <w:rPr>
                <w:rFonts w:ascii="Microsoft JhengHei"/>
                <w:b/>
                <w:w w:val="90"/>
                <w:sz w:val="21"/>
              </w:rPr>
              <w:t>10. 4</w:t>
            </w:r>
            <w:r>
              <w:rPr>
                <w:rFonts w:ascii="Microsoft JhengHei"/>
                <w:b/>
                <w:sz w:val="21"/>
              </w:rPr>
              <w:t> </w:t>
            </w:r>
            <w:r>
              <w:rPr>
                <w:w w:val="100"/>
                <w:sz w:val="21"/>
              </w:rPr>
              <w:t> </w:t>
            </w:r>
          </w:p>
        </w:tc>
        <w:tc>
          <w:tcPr>
            <w:tcW w:w="1339" w:type="dxa"/>
          </w:tcPr>
          <w:p>
            <w:pPr>
              <w:pStyle w:val="TableParagraph"/>
              <w:spacing w:line="204" w:lineRule="auto" w:before="19"/>
              <w:ind w:left="109" w:right="171"/>
              <w:rPr>
                <w:rFonts w:ascii="Microsoft JhengHei" w:eastAsia="Microsoft JhengHei" w:hint="eastAsia"/>
                <w:b/>
                <w:sz w:val="21"/>
              </w:rPr>
            </w:pPr>
            <w:r>
              <w:rPr>
                <w:rFonts w:ascii="Microsoft JhengHei" w:eastAsia="Microsoft JhengHei" w:hint="eastAsia"/>
                <w:b/>
                <w:sz w:val="21"/>
              </w:rPr>
              <w:t>有效身份证件</w:t>
            </w:r>
          </w:p>
        </w:tc>
        <w:tc>
          <w:tcPr>
            <w:tcW w:w="7160" w:type="dxa"/>
          </w:tcPr>
          <w:p>
            <w:pPr>
              <w:pStyle w:val="TableParagraph"/>
              <w:spacing w:before="31"/>
              <w:ind w:left="174"/>
              <w:rPr>
                <w:sz w:val="21"/>
              </w:rPr>
            </w:pPr>
            <w:r>
              <w:rPr>
                <w:sz w:val="21"/>
              </w:rPr>
              <w:t>指由政府主管部门规定的证明其身份的证件，如：居民身份证、按规定可使</w:t>
            </w:r>
          </w:p>
          <w:p>
            <w:pPr>
              <w:pStyle w:val="TableParagraph"/>
              <w:spacing w:before="34"/>
              <w:ind w:left="174"/>
              <w:rPr>
                <w:sz w:val="21"/>
              </w:rPr>
            </w:pPr>
            <w:r>
              <w:rPr>
                <w:sz w:val="21"/>
              </w:rPr>
              <w:t>用的有效护照、军官证、警官证、士兵证、户口簿等证件。 </w:t>
            </w:r>
          </w:p>
        </w:tc>
      </w:tr>
      <w:tr>
        <w:trPr>
          <w:trHeight w:val="379" w:hRule="atLeast"/>
        </w:trPr>
        <w:tc>
          <w:tcPr>
            <w:tcW w:w="687" w:type="dxa"/>
          </w:tcPr>
          <w:p>
            <w:pPr>
              <w:pStyle w:val="TableParagraph"/>
              <w:rPr>
                <w:rFonts w:ascii="Times New Roman"/>
                <w:sz w:val="20"/>
              </w:rPr>
            </w:pPr>
          </w:p>
        </w:tc>
        <w:tc>
          <w:tcPr>
            <w:tcW w:w="1339" w:type="dxa"/>
          </w:tcPr>
          <w:p>
            <w:pPr>
              <w:pStyle w:val="TableParagraph"/>
              <w:rPr>
                <w:rFonts w:ascii="Times New Roman"/>
                <w:sz w:val="20"/>
              </w:rPr>
            </w:pPr>
          </w:p>
        </w:tc>
        <w:tc>
          <w:tcPr>
            <w:tcW w:w="7160" w:type="dxa"/>
          </w:tcPr>
          <w:p>
            <w:pPr>
              <w:pStyle w:val="TableParagraph"/>
              <w:spacing w:before="26"/>
              <w:ind w:left="174"/>
              <w:rPr>
                <w:sz w:val="21"/>
              </w:rPr>
            </w:pPr>
            <w:r>
              <w:rPr>
                <w:w w:val="100"/>
                <w:sz w:val="21"/>
              </w:rPr>
              <w:t> </w:t>
            </w:r>
          </w:p>
        </w:tc>
      </w:tr>
      <w:tr>
        <w:trPr>
          <w:trHeight w:val="378" w:hRule="atLeast"/>
        </w:trPr>
        <w:tc>
          <w:tcPr>
            <w:tcW w:w="687" w:type="dxa"/>
          </w:tcPr>
          <w:p>
            <w:pPr>
              <w:pStyle w:val="TableParagraph"/>
              <w:spacing w:line="337" w:lineRule="exact"/>
              <w:ind w:left="50"/>
              <w:rPr>
                <w:sz w:val="21"/>
              </w:rPr>
            </w:pPr>
            <w:r>
              <w:rPr>
                <w:rFonts w:ascii="Microsoft JhengHei"/>
                <w:b/>
                <w:w w:val="90"/>
                <w:sz w:val="21"/>
              </w:rPr>
              <w:t>10. 5</w:t>
            </w:r>
            <w:r>
              <w:rPr>
                <w:rFonts w:ascii="Microsoft JhengHei"/>
                <w:b/>
                <w:sz w:val="21"/>
              </w:rPr>
              <w:t> </w:t>
            </w:r>
            <w:r>
              <w:rPr>
                <w:w w:val="100"/>
                <w:sz w:val="21"/>
              </w:rPr>
              <w:t> </w:t>
            </w:r>
          </w:p>
        </w:tc>
        <w:tc>
          <w:tcPr>
            <w:tcW w:w="1339" w:type="dxa"/>
          </w:tcPr>
          <w:p>
            <w:pPr>
              <w:pStyle w:val="TableParagraph"/>
              <w:spacing w:line="337" w:lineRule="exact"/>
              <w:ind w:left="109"/>
              <w:rPr>
                <w:sz w:val="21"/>
              </w:rPr>
            </w:pPr>
            <w:r>
              <w:rPr>
                <w:rFonts w:ascii="Microsoft JhengHei" w:eastAsia="Microsoft JhengHei" w:hint="eastAsia"/>
                <w:b/>
                <w:sz w:val="21"/>
              </w:rPr>
              <w:t>医疗机构</w:t>
            </w:r>
            <w:r>
              <w:rPr>
                <w:sz w:val="21"/>
              </w:rPr>
              <w:t> </w:t>
            </w:r>
          </w:p>
        </w:tc>
        <w:tc>
          <w:tcPr>
            <w:tcW w:w="7160" w:type="dxa"/>
          </w:tcPr>
          <w:p>
            <w:pPr>
              <w:pStyle w:val="TableParagraph"/>
              <w:spacing w:before="14"/>
              <w:ind w:left="174"/>
              <w:rPr>
                <w:sz w:val="21"/>
              </w:rPr>
            </w:pPr>
            <w:r>
              <w:rPr>
                <w:sz w:val="21"/>
              </w:rPr>
              <w:t>除本主险合同另有约定外，指符合下列所有条件的机构： </w:t>
            </w:r>
          </w:p>
        </w:tc>
      </w:tr>
      <w:tr>
        <w:trPr>
          <w:trHeight w:val="261" w:hRule="atLeast"/>
        </w:trPr>
        <w:tc>
          <w:tcPr>
            <w:tcW w:w="687" w:type="dxa"/>
          </w:tcPr>
          <w:p>
            <w:pPr>
              <w:pStyle w:val="TableParagraph"/>
              <w:rPr>
                <w:rFonts w:ascii="Times New Roman"/>
                <w:sz w:val="18"/>
              </w:rPr>
            </w:pPr>
          </w:p>
        </w:tc>
        <w:tc>
          <w:tcPr>
            <w:tcW w:w="1339" w:type="dxa"/>
          </w:tcPr>
          <w:p>
            <w:pPr>
              <w:pStyle w:val="TableParagraph"/>
              <w:rPr>
                <w:rFonts w:ascii="Times New Roman"/>
                <w:sz w:val="18"/>
              </w:rPr>
            </w:pPr>
          </w:p>
        </w:tc>
        <w:tc>
          <w:tcPr>
            <w:tcW w:w="7160" w:type="dxa"/>
          </w:tcPr>
          <w:p>
            <w:pPr>
              <w:pStyle w:val="TableParagraph"/>
              <w:spacing w:line="241" w:lineRule="exact"/>
              <w:ind w:left="174"/>
              <w:rPr>
                <w:sz w:val="21"/>
              </w:rPr>
            </w:pPr>
            <w:r>
              <w:rPr>
                <w:sz w:val="21"/>
              </w:rPr>
              <w:t>（1）指经国家卫生行政部门评定的二级或二级以上综合医院或专科医院(前</w:t>
            </w:r>
          </w:p>
        </w:tc>
      </w:tr>
    </w:tbl>
    <w:p>
      <w:pPr>
        <w:pStyle w:val="BodyText"/>
        <w:spacing w:line="273" w:lineRule="exact" w:before="1"/>
        <w:ind w:left="2831"/>
      </w:pPr>
      <w:r>
        <w:rPr/>
        <w:t>述综合医院和专科医院中的观察室、联合病床、康复病房、家庭长期</w:t>
      </w:r>
    </w:p>
    <w:p>
      <w:pPr>
        <w:pStyle w:val="BodyText"/>
        <w:spacing w:line="273" w:lineRule="exact" w:before="0"/>
        <w:ind w:left="2831"/>
      </w:pPr>
      <w:r>
        <w:rPr/>
        <w:t>护理病床除外)； </w:t>
      </w:r>
    </w:p>
    <w:p>
      <w:pPr>
        <w:pStyle w:val="BodyText"/>
        <w:ind w:left="2831" w:right="215" w:hanging="526"/>
      </w:pPr>
      <w:r>
        <w:rPr/>
        <w:t>（2）不包括精神病院、私人诊所，以及作为康复、疗养、护理、戒酒、戒毒或类似的医疗机构。 </w:t>
      </w:r>
    </w:p>
    <w:p>
      <w:pPr>
        <w:pStyle w:val="BodyText"/>
        <w:spacing w:before="96"/>
        <w:ind w:left="2305"/>
      </w:pPr>
      <w:r>
        <w:rPr>
          <w:w w:val="100"/>
        </w:rPr>
        <w:t> </w:t>
      </w:r>
    </w:p>
    <w:p>
      <w:pPr>
        <w:pStyle w:val="BodyText"/>
        <w:tabs>
          <w:tab w:pos="2305" w:val="left" w:leader="none"/>
        </w:tabs>
        <w:spacing w:line="225" w:lineRule="auto" w:before="65"/>
        <w:ind w:left="2305" w:right="287" w:hanging="2151"/>
        <w:jc w:val="both"/>
      </w:pPr>
      <w:r>
        <w:rPr>
          <w:rFonts w:ascii="Microsoft JhengHei" w:hAnsi="Microsoft JhengHei" w:eastAsia="Microsoft JhengHei" w:hint="eastAsia"/>
          <w:b/>
          <w:position w:val="-1"/>
        </w:rPr>
        <w:t>10. 6  </w:t>
      </w:r>
      <w:r>
        <w:rPr>
          <w:rFonts w:ascii="Microsoft JhengHei" w:hAnsi="Microsoft JhengHei" w:eastAsia="Microsoft JhengHei" w:hint="eastAsia"/>
          <w:b/>
          <w:spacing w:val="20"/>
          <w:position w:val="-1"/>
        </w:rPr>
        <w:t> </w:t>
      </w:r>
      <w:r>
        <w:rPr>
          <w:rFonts w:ascii="Microsoft JhengHei" w:hAnsi="Microsoft JhengHei" w:eastAsia="Microsoft JhengHei" w:hint="eastAsia"/>
          <w:b/>
          <w:position w:val="-1"/>
        </w:rPr>
        <w:t>重 大 疾病</w:t>
        <w:tab/>
      </w:r>
      <w:r>
        <w:rPr/>
        <w:t>“一</w:t>
      </w:r>
      <w:r>
        <w:rPr>
          <w:spacing w:val="-32"/>
        </w:rPr>
        <w:t>”至</w:t>
      </w:r>
      <w:r>
        <w:rPr>
          <w:spacing w:val="-3"/>
        </w:rPr>
        <w:t>“</w:t>
      </w:r>
      <w:r>
        <w:rPr/>
        <w:t>二</w:t>
      </w:r>
      <w:r>
        <w:rPr>
          <w:spacing w:val="-3"/>
        </w:rPr>
        <w:t>十</w:t>
      </w:r>
      <w:r>
        <w:rPr/>
        <w:t>五</w:t>
      </w:r>
      <w:r>
        <w:rPr>
          <w:spacing w:val="-32"/>
        </w:rPr>
        <w:t>”</w:t>
      </w:r>
      <w:r>
        <w:rPr>
          <w:spacing w:val="-3"/>
        </w:rPr>
        <w:t>项</w:t>
      </w:r>
      <w:r>
        <w:rPr/>
        <w:t>所</w:t>
      </w:r>
      <w:r>
        <w:rPr>
          <w:spacing w:val="-3"/>
        </w:rPr>
        <w:t>列</w:t>
      </w:r>
      <w:r>
        <w:rPr/>
        <w:t>重大</w:t>
      </w:r>
      <w:r>
        <w:rPr>
          <w:spacing w:val="-3"/>
        </w:rPr>
        <w:t>疾</w:t>
      </w:r>
      <w:r>
        <w:rPr/>
        <w:t>病</w:t>
      </w:r>
      <w:r>
        <w:rPr>
          <w:spacing w:val="-3"/>
        </w:rPr>
        <w:t>名</w:t>
      </w:r>
      <w:r>
        <w:rPr/>
        <w:t>称</w:t>
      </w:r>
      <w:r>
        <w:rPr>
          <w:spacing w:val="-3"/>
        </w:rPr>
        <w:t>及</w:t>
      </w:r>
      <w:r>
        <w:rPr/>
        <w:t>疾</w:t>
      </w:r>
      <w:r>
        <w:rPr>
          <w:spacing w:val="-3"/>
        </w:rPr>
        <w:t>病</w:t>
      </w:r>
      <w:r>
        <w:rPr/>
        <w:t>定</w:t>
      </w:r>
      <w:r>
        <w:rPr>
          <w:spacing w:val="-3"/>
        </w:rPr>
        <w:t>义</w:t>
      </w:r>
      <w:r>
        <w:rPr/>
        <w:t>由中</w:t>
      </w:r>
      <w:r>
        <w:rPr>
          <w:spacing w:val="-3"/>
        </w:rPr>
        <w:t>国</w:t>
      </w:r>
      <w:r>
        <w:rPr/>
        <w:t>保</w:t>
      </w:r>
      <w:r>
        <w:rPr>
          <w:spacing w:val="-3"/>
        </w:rPr>
        <w:t>险</w:t>
      </w:r>
      <w:r>
        <w:rPr/>
        <w:t>行</w:t>
      </w:r>
      <w:r>
        <w:rPr>
          <w:spacing w:val="-3"/>
        </w:rPr>
        <w:t>业</w:t>
      </w:r>
      <w:r>
        <w:rPr/>
        <w:t>协</w:t>
      </w:r>
      <w:r>
        <w:rPr>
          <w:spacing w:val="-3"/>
        </w:rPr>
        <w:t>会</w:t>
      </w:r>
      <w:r>
        <w:rPr/>
        <w:t>统 一制</w:t>
      </w:r>
      <w:r>
        <w:rPr>
          <w:spacing w:val="-32"/>
        </w:rPr>
        <w:t>定</w:t>
      </w:r>
      <w:r>
        <w:rPr>
          <w:spacing w:val="-3"/>
        </w:rPr>
        <w:t>（</w:t>
      </w:r>
      <w:r>
        <w:rPr>
          <w:spacing w:val="-32"/>
        </w:rPr>
        <w:t>见</w:t>
      </w:r>
      <w:r>
        <w:rPr/>
        <w:t>《</w:t>
      </w:r>
      <w:r>
        <w:rPr>
          <w:spacing w:val="-3"/>
        </w:rPr>
        <w:t>重</w:t>
      </w:r>
      <w:r>
        <w:rPr/>
        <w:t>大</w:t>
      </w:r>
      <w:r>
        <w:rPr>
          <w:spacing w:val="-3"/>
        </w:rPr>
        <w:t>疾</w:t>
      </w:r>
      <w:r>
        <w:rPr/>
        <w:t>病</w:t>
      </w:r>
      <w:r>
        <w:rPr>
          <w:spacing w:val="-3"/>
        </w:rPr>
        <w:t>保</w:t>
      </w:r>
      <w:r>
        <w:rPr/>
        <w:t>险的</w:t>
      </w:r>
      <w:r>
        <w:rPr>
          <w:spacing w:val="-3"/>
        </w:rPr>
        <w:t>疾</w:t>
      </w:r>
      <w:r>
        <w:rPr/>
        <w:t>病</w:t>
      </w:r>
      <w:r>
        <w:rPr>
          <w:spacing w:val="-3"/>
        </w:rPr>
        <w:t>定</w:t>
      </w:r>
      <w:r>
        <w:rPr/>
        <w:t>义</w:t>
      </w:r>
      <w:r>
        <w:rPr>
          <w:spacing w:val="-3"/>
        </w:rPr>
        <w:t>使</w:t>
      </w:r>
      <w:r>
        <w:rPr/>
        <w:t>用</w:t>
      </w:r>
      <w:r>
        <w:rPr>
          <w:spacing w:val="-3"/>
        </w:rPr>
        <w:t>规</w:t>
      </w:r>
      <w:r>
        <w:rPr/>
        <w:t>范</w:t>
      </w:r>
      <w:r>
        <w:rPr>
          <w:spacing w:val="-106"/>
        </w:rPr>
        <w:t>》</w:t>
      </w:r>
      <w:r>
        <w:rPr>
          <w:spacing w:val="-108"/>
        </w:rPr>
        <w:t>）</w:t>
      </w:r>
      <w:r>
        <w:rPr>
          <w:spacing w:val="-32"/>
        </w:rPr>
        <w:t>。</w:t>
      </w:r>
      <w:r>
        <w:rPr/>
        <w:t>为扩</w:t>
      </w:r>
      <w:r>
        <w:rPr>
          <w:spacing w:val="-3"/>
        </w:rPr>
        <w:t>大</w:t>
      </w:r>
      <w:r>
        <w:rPr/>
        <w:t>本</w:t>
      </w:r>
      <w:r>
        <w:rPr>
          <w:spacing w:val="-3"/>
        </w:rPr>
        <w:t>主</w:t>
      </w:r>
      <w:r>
        <w:rPr/>
        <w:t>险</w:t>
      </w:r>
      <w:r>
        <w:rPr>
          <w:spacing w:val="-3"/>
        </w:rPr>
        <w:t>合</w:t>
      </w:r>
      <w:r>
        <w:rPr/>
        <w:t>同</w:t>
      </w:r>
      <w:r>
        <w:rPr>
          <w:spacing w:val="-3"/>
        </w:rPr>
        <w:t>的保</w:t>
      </w:r>
      <w:r>
        <w:rPr>
          <w:w w:val="100"/>
        </w:rPr>
        <w:t>障范围</w:t>
      </w:r>
      <w:r>
        <w:rPr>
          <w:spacing w:val="-106"/>
          <w:w w:val="100"/>
        </w:rPr>
        <w:t>，</w:t>
      </w:r>
      <w:r>
        <w:rPr>
          <w:spacing w:val="-3"/>
          <w:w w:val="100"/>
        </w:rPr>
        <w:t>“</w:t>
      </w:r>
      <w:r>
        <w:rPr>
          <w:w w:val="100"/>
        </w:rPr>
        <w:t>二十六</w:t>
      </w:r>
      <w:r>
        <w:rPr>
          <w:spacing w:val="-3"/>
          <w:w w:val="100"/>
        </w:rPr>
        <w:t>”</w:t>
      </w:r>
      <w:r>
        <w:rPr>
          <w:w w:val="100"/>
        </w:rPr>
        <w:t>至“</w:t>
      </w:r>
      <w:r>
        <w:rPr>
          <w:spacing w:val="-3"/>
          <w:w w:val="100"/>
        </w:rPr>
        <w:t>三</w:t>
      </w:r>
      <w:r>
        <w:rPr>
          <w:w w:val="100"/>
        </w:rPr>
        <w:t>十五”项</w:t>
      </w:r>
      <w:r>
        <w:rPr>
          <w:spacing w:val="-3"/>
          <w:w w:val="100"/>
        </w:rPr>
        <w:t>重</w:t>
      </w:r>
      <w:r>
        <w:rPr>
          <w:w w:val="100"/>
        </w:rPr>
        <w:t>大疾</w:t>
      </w:r>
      <w:r>
        <w:rPr>
          <w:spacing w:val="-3"/>
          <w:w w:val="100"/>
        </w:rPr>
        <w:t>病</w:t>
      </w:r>
      <w:r>
        <w:rPr>
          <w:w w:val="100"/>
        </w:rPr>
        <w:t>名称</w:t>
      </w:r>
      <w:r>
        <w:rPr>
          <w:spacing w:val="-3"/>
          <w:w w:val="100"/>
        </w:rPr>
        <w:t>及</w:t>
      </w:r>
      <w:r>
        <w:rPr>
          <w:w w:val="100"/>
        </w:rPr>
        <w:t>疾病定义</w:t>
      </w:r>
      <w:r>
        <w:rPr>
          <w:spacing w:val="-3"/>
          <w:w w:val="100"/>
        </w:rPr>
        <w:t>由</w:t>
      </w:r>
      <w:r>
        <w:rPr>
          <w:w w:val="100"/>
        </w:rPr>
        <w:t>我们</w:t>
      </w:r>
      <w:r>
        <w:rPr>
          <w:spacing w:val="-3"/>
          <w:w w:val="100"/>
        </w:rPr>
        <w:t>自</w:t>
      </w:r>
      <w:r>
        <w:rPr>
          <w:w w:val="100"/>
        </w:rPr>
        <w:t>行制</w:t>
      </w:r>
      <w:r>
        <w:rPr/>
        <w:t>定使</w:t>
      </w:r>
      <w:r>
        <w:rPr>
          <w:spacing w:val="-3"/>
        </w:rPr>
        <w:t>用。</w:t>
      </w:r>
      <w:r>
        <w:rPr/>
        <w:t> </w:t>
      </w:r>
    </w:p>
    <w:p>
      <w:pPr>
        <w:pStyle w:val="BodyText"/>
        <w:spacing w:line="353" w:lineRule="exact" w:before="5"/>
        <w:ind w:left="2305"/>
      </w:pPr>
      <w:r>
        <w:rPr/>
        <w:t>被保险人发生符合以下疾病定义所述条件的疾病，应当由</w:t>
      </w:r>
      <w:r>
        <w:rPr>
          <w:rFonts w:ascii="Microsoft JhengHei" w:eastAsia="Microsoft JhengHei" w:hint="eastAsia"/>
          <w:b/>
        </w:rPr>
        <w:t>专科医生</w:t>
      </w:r>
      <w:r>
        <w:rPr/>
        <w:t>（见</w:t>
      </w:r>
    </w:p>
    <w:p>
      <w:pPr>
        <w:pStyle w:val="BodyText"/>
        <w:spacing w:line="262" w:lineRule="exact" w:before="0"/>
        <w:ind w:left="2305"/>
      </w:pPr>
      <w:r>
        <w:rPr/>
        <w:t>10.16）明确诊断。  </w:t>
      </w:r>
    </w:p>
    <w:p>
      <w:pPr>
        <w:pStyle w:val="BodyText"/>
        <w:spacing w:before="155"/>
        <w:ind w:left="2305"/>
      </w:pPr>
      <w:r>
        <w:rPr/>
        <w:t>一、恶性肿瘤</w:t>
      </w:r>
    </w:p>
    <w:p>
      <w:pPr>
        <w:pStyle w:val="BodyText"/>
        <w:spacing w:line="237" w:lineRule="auto"/>
        <w:ind w:left="2305" w:right="220"/>
        <w:jc w:val="both"/>
      </w:pPr>
      <w:r>
        <w:rPr>
          <w:spacing w:val="-5"/>
        </w:rPr>
        <w:t>指恶性细胞不受控制的进行性增长和扩散，浸润和破坏周围正常组织，可以</w:t>
      </w:r>
      <w:r>
        <w:rPr>
          <w:spacing w:val="-7"/>
        </w:rPr>
        <w:t>经血管、淋巴管和体腔扩散转移到身体其它部位的疾病。经病理学检查结果明确诊断，临床诊断属于世界卫生组织《疾病和有关健康问题的国际统计分</w:t>
      </w:r>
      <w:r>
        <w:rPr>
          <w:spacing w:val="-54"/>
        </w:rPr>
        <w:t>类》</w:t>
      </w:r>
      <w:r>
        <w:rPr>
          <w:spacing w:val="-1"/>
        </w:rPr>
        <w:t>（ICD-10）</w:t>
      </w:r>
      <w:r>
        <w:rPr>
          <w:spacing w:val="-3"/>
        </w:rPr>
        <w:t>的恶性肿瘤范畴。  </w:t>
      </w:r>
    </w:p>
    <w:p>
      <w:pPr>
        <w:pStyle w:val="BodyText"/>
        <w:ind w:left="2305"/>
      </w:pPr>
      <w:r>
        <w:rPr/>
        <w:t>下列疾病不在保障范围内：  </w:t>
      </w:r>
    </w:p>
    <w:p>
      <w:pPr>
        <w:pStyle w:val="BodyText"/>
        <w:ind w:left="2305"/>
      </w:pPr>
      <w:r>
        <w:rPr/>
        <w:t>（1）原位癌；  </w:t>
      </w:r>
    </w:p>
    <w:p>
      <w:pPr>
        <w:pStyle w:val="BodyText"/>
        <w:ind w:left="2305"/>
      </w:pPr>
      <w:r>
        <w:rPr/>
        <w:t>（2）相当于Binet分期方案A期程度的慢性淋巴细胞白血病；  </w:t>
      </w:r>
    </w:p>
    <w:p>
      <w:pPr>
        <w:pStyle w:val="BodyText"/>
        <w:ind w:left="2305"/>
      </w:pPr>
      <w:r>
        <w:rPr/>
        <w:t>（3）相当于Ann Arbor分期方案I期程度的何杰金氏病；  </w:t>
      </w:r>
    </w:p>
    <w:p>
      <w:pPr>
        <w:pStyle w:val="BodyText"/>
        <w:spacing w:before="72"/>
        <w:ind w:left="230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305"/>
      </w:pPr>
      <w:r>
        <w:rPr/>
        <w:t>（5）TNM分期为T1N0M0期或更轻分期的前列腺癌；  </w:t>
      </w:r>
    </w:p>
    <w:p>
      <w:pPr>
        <w:pStyle w:val="BodyText"/>
        <w:ind w:left="2305"/>
      </w:pPr>
      <w:r>
        <w:rPr/>
        <w:t>（6）感染艾滋病病毒或患艾滋病期间所患恶性肿瘤。  </w:t>
      </w:r>
    </w:p>
    <w:p>
      <w:pPr>
        <w:pStyle w:val="BodyText"/>
        <w:spacing w:before="154"/>
        <w:ind w:left="2305"/>
      </w:pPr>
      <w:r>
        <w:rPr/>
        <w:t>二、急性心肌梗塞</w:t>
      </w:r>
    </w:p>
    <w:p>
      <w:pPr>
        <w:pStyle w:val="BodyText"/>
        <w:spacing w:line="274" w:lineRule="exact"/>
        <w:ind w:left="2305"/>
      </w:pPr>
      <w:r>
        <w:rPr/>
        <w:t>指因冠状动脉阻塞导致的相应区域供血不足造成部分心肌坏死。须满足下列</w:t>
      </w:r>
    </w:p>
    <w:p>
      <w:pPr>
        <w:pStyle w:val="BodyText"/>
        <w:spacing w:line="274" w:lineRule="exact" w:before="0"/>
        <w:ind w:left="2305"/>
      </w:pPr>
      <w:r>
        <w:rPr/>
        <w:t>至少三项条件：  </w:t>
      </w:r>
    </w:p>
    <w:p>
      <w:pPr>
        <w:pStyle w:val="BodyText"/>
        <w:spacing w:before="73"/>
        <w:ind w:left="2305"/>
      </w:pPr>
      <w:r>
        <w:rPr/>
        <w:t>（1）典型临床表现，例如急性胸痛等；  </w:t>
      </w:r>
    </w:p>
    <w:p>
      <w:pPr>
        <w:pStyle w:val="BodyText"/>
        <w:ind w:left="2305"/>
      </w:pPr>
      <w:r>
        <w:rPr/>
        <w:t>（2）新近的心电图改变提示急性心肌梗塞；  </w:t>
      </w:r>
    </w:p>
    <w:p>
      <w:pPr>
        <w:pStyle w:val="BodyText"/>
        <w:spacing w:line="274" w:lineRule="exact"/>
        <w:ind w:left="2305"/>
      </w:pPr>
      <w:r>
        <w:rPr/>
        <w:t>（3）心肌酶或肌钙蛋白有诊断意义的升高，或呈符合急性心肌梗塞的动态</w:t>
      </w:r>
    </w:p>
    <w:p>
      <w:pPr>
        <w:pStyle w:val="BodyText"/>
        <w:spacing w:line="274" w:lineRule="exact" w:before="0"/>
        <w:ind w:left="2305"/>
      </w:pPr>
      <w:r>
        <w:rPr/>
        <w:t>性变化；  </w:t>
      </w:r>
    </w:p>
    <w:p>
      <w:pPr>
        <w:pStyle w:val="BodyText"/>
        <w:spacing w:before="76"/>
        <w:ind w:left="2305"/>
      </w:pPr>
      <w:r>
        <w:rPr>
          <w:spacing w:val="-15"/>
        </w:rPr>
        <w:t>（4）</w:t>
      </w:r>
      <w:r>
        <w:rPr>
          <w:spacing w:val="-2"/>
        </w:rPr>
        <w:t>发病</w:t>
      </w:r>
      <w:r>
        <w:rPr>
          <w:spacing w:val="-1"/>
        </w:rPr>
        <w:t>90</w:t>
      </w:r>
      <w:r>
        <w:rPr>
          <w:spacing w:val="-11"/>
        </w:rPr>
        <w:t>天后，经检查证实左心室功能降低，如左心室射血分数低于</w:t>
      </w:r>
      <w:r>
        <w:rPr/>
        <w:t>50%</w:t>
      </w:r>
      <w:r>
        <w:rPr>
          <w:spacing w:val="-108"/>
        </w:rPr>
        <w:t>。</w:t>
      </w:r>
      <w:r>
        <w:rPr/>
        <w:t> </w:t>
      </w:r>
    </w:p>
    <w:p>
      <w:pPr>
        <w:spacing w:after="0"/>
        <w:sectPr>
          <w:pgSz w:w="11900" w:h="16840"/>
          <w:pgMar w:header="0" w:footer="724" w:top="1200" w:bottom="920" w:left="1340" w:right="1120"/>
        </w:sectPr>
      </w:pPr>
    </w:p>
    <w:p>
      <w:pPr>
        <w:pStyle w:val="BodyText"/>
        <w:spacing w:before="23"/>
      </w:pPr>
      <w:r>
        <w:rPr/>
        <w:t>三、脑中风后遗症 </w:t>
      </w:r>
      <w:r>
        <w:rPr>
          <w:w w:val="100"/>
        </w:rPr>
        <w:t> </w:t>
      </w:r>
    </w:p>
    <w:p>
      <w:pPr>
        <w:pStyle w:val="BodyText"/>
        <w:spacing w:before="72"/>
        <w:ind w:right="120"/>
        <w:jc w:val="both"/>
      </w:pPr>
      <w:r>
        <w:rPr>
          <w:spacing w:val="-5"/>
        </w:rPr>
        <w:t>指因脑血管的突发病变引起脑血管出血、栓塞或梗塞，并导致神经系统永久</w:t>
      </w:r>
      <w:r>
        <w:rPr/>
        <w:t>性的功能障碍。神经系统永久性的功能障碍，指疾病确诊180天后，仍遗留</w:t>
      </w:r>
      <w:r>
        <w:rPr>
          <w:spacing w:val="-3"/>
        </w:rPr>
        <w:t>下列一种或一种以上障碍：  </w:t>
      </w:r>
    </w:p>
    <w:p>
      <w:pPr>
        <w:spacing w:line="358" w:lineRule="exact" w:before="5"/>
        <w:ind w:left="1965"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line="350" w:lineRule="exact" w:before="0"/>
        <w:ind w:left="1965"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.18</w:t>
      </w:r>
      <w:r>
        <w:rPr>
          <w:spacing w:val="-108"/>
          <w:w w:val="100"/>
          <w:sz w:val="21"/>
        </w:rPr>
        <w:t>）</w:t>
      </w:r>
      <w:r>
        <w:rPr>
          <w:w w:val="100"/>
          <w:sz w:val="21"/>
        </w:rPr>
        <w:t>；</w:t>
      </w:r>
      <w:r>
        <w:rPr>
          <w:spacing w:val="-3"/>
          <w:w w:val="100"/>
          <w:sz w:val="21"/>
        </w:rPr>
        <w:t>  </w:t>
      </w:r>
    </w:p>
    <w:p>
      <w:pPr>
        <w:spacing w:line="345" w:lineRule="exact" w:before="0"/>
        <w:ind w:left="1965"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w:t>
      </w:r>
    </w:p>
    <w:p>
      <w:pPr>
        <w:pStyle w:val="BodyText"/>
        <w:spacing w:line="262" w:lineRule="exact" w:before="0"/>
        <w:jc w:val="both"/>
      </w:pPr>
      <w:r>
        <w:rPr/>
        <w:t>10.19）中的三项或三项以上。  </w:t>
      </w:r>
    </w:p>
    <w:p>
      <w:pPr>
        <w:pStyle w:val="BodyText"/>
        <w:spacing w:before="155"/>
        <w:jc w:val="both"/>
      </w:pPr>
      <w:r>
        <w:rPr/>
        <w:t>四、重大器官移植术或造血干细胞移植术</w:t>
      </w:r>
    </w:p>
    <w:p>
      <w:pPr>
        <w:pStyle w:val="BodyText"/>
        <w:spacing w:line="274" w:lineRule="exact" w:before="72"/>
        <w:jc w:val="both"/>
      </w:pPr>
      <w:r>
        <w:rPr/>
        <w:t>重大器官移植术，指因相应器官功能衰竭，已经实施了肾脏、肝脏、心脏或</w:t>
      </w:r>
    </w:p>
    <w:p>
      <w:pPr>
        <w:pStyle w:val="BodyText"/>
        <w:spacing w:line="274" w:lineRule="exact" w:before="0"/>
        <w:jc w:val="both"/>
      </w:pPr>
      <w:r>
        <w:rPr/>
        <w:t>肺脏的异体移植手术。  </w:t>
      </w:r>
    </w:p>
    <w:p>
      <w:pPr>
        <w:pStyle w:val="BodyText"/>
        <w:spacing w:line="237" w:lineRule="auto" w:before="79"/>
        <w:ind w:right="119"/>
        <w:jc w:val="both"/>
      </w:pPr>
      <w:r>
        <w:rPr>
          <w:spacing w:val="-5"/>
        </w:rPr>
        <w:t>造血干细胞移植术，指因造血功能损害或造血系统恶性肿瘤，已经实施了造</w:t>
      </w:r>
      <w:r>
        <w:rPr>
          <w:spacing w:val="-6"/>
        </w:rPr>
        <w:t>血干细胞</w:t>
      </w:r>
      <w:r>
        <w:rPr>
          <w:spacing w:val="-3"/>
        </w:rPr>
        <w:t>（</w:t>
      </w:r>
      <w:r>
        <w:rPr>
          <w:spacing w:val="-4"/>
        </w:rPr>
        <w:t>包括骨髓造血干细胞、外周血造血干细胞和脐血造血干细胞</w:t>
      </w:r>
      <w:r>
        <w:rPr>
          <w:spacing w:val="-8"/>
        </w:rPr>
        <w:t>）</w:t>
      </w:r>
      <w:r>
        <w:rPr/>
        <w:t>的</w:t>
      </w:r>
      <w:r>
        <w:rPr>
          <w:spacing w:val="-3"/>
        </w:rPr>
        <w:t>异体移植手术。  </w:t>
      </w:r>
    </w:p>
    <w:p>
      <w:pPr>
        <w:pStyle w:val="BodyText"/>
        <w:spacing w:before="154"/>
      </w:pPr>
      <w:r>
        <w:rPr/>
        <w:t>五、冠状动脉搭桥术（或称冠状动脉旁路移植术）</w:t>
      </w:r>
    </w:p>
    <w:p>
      <w:pPr>
        <w:pStyle w:val="BodyText"/>
        <w:spacing w:before="72"/>
        <w:ind w:right="85"/>
      </w:pPr>
      <w:r>
        <w:rPr/>
        <w:t>指为治疗严重的冠心病，实际实施了开胸进行的冠状动脉血管旁路移植的手术。  </w:t>
      </w:r>
    </w:p>
    <w:p>
      <w:pPr>
        <w:pStyle w:val="BodyText"/>
        <w:ind w:right="84"/>
      </w:pPr>
      <w:r>
        <w:rPr/>
        <w:t>冠状动脉支架植入术、心导管球囊扩张术、激光射频技术及其它非开胸的介入手术、腔镜手术不在保障范围内。  </w:t>
      </w:r>
    </w:p>
    <w:p>
      <w:pPr>
        <w:pStyle w:val="BodyText"/>
        <w:spacing w:before="152"/>
      </w:pPr>
      <w:r>
        <w:rPr/>
        <w:t>六、终末期肾病（或称慢性肾功能衰竭尿毒症期）</w:t>
      </w:r>
    </w:p>
    <w:p>
      <w:pPr>
        <w:pStyle w:val="BodyText"/>
        <w:spacing w:line="274" w:lineRule="exact"/>
      </w:pPr>
      <w:r>
        <w:rPr/>
        <w:t>指双肾功能慢性不可逆性衰竭，达到尿毒症期，经诊断后已经进行了至少90</w:t>
      </w:r>
    </w:p>
    <w:p>
      <w:pPr>
        <w:pStyle w:val="BodyText"/>
        <w:spacing w:line="372" w:lineRule="auto" w:before="0"/>
        <w:ind w:right="2623"/>
      </w:pPr>
      <w:r>
        <w:rPr>
          <w:spacing w:val="-3"/>
        </w:rPr>
        <w:t>天的规律性透析治疗或实施了肾脏移植手术。 七、多个肢体缺失</w:t>
      </w:r>
    </w:p>
    <w:p>
      <w:pPr>
        <w:pStyle w:val="BodyText"/>
        <w:spacing w:line="232" w:lineRule="exact" w:before="1"/>
      </w:pPr>
      <w:r>
        <w:rPr/>
        <w:t>指因疾病或意外伤害导致两个或两个以上肢体自腕关节或踝关节近端（靠近</w:t>
      </w:r>
    </w:p>
    <w:p>
      <w:pPr>
        <w:pStyle w:val="BodyText"/>
        <w:spacing w:line="374" w:lineRule="auto" w:before="0"/>
        <w:ind w:right="4303"/>
      </w:pPr>
      <w:r>
        <w:rPr>
          <w:spacing w:val="-1"/>
        </w:rPr>
        <w:t>躯干端</w:t>
      </w:r>
      <w:r>
        <w:rPr/>
        <w:t>）</w:t>
      </w:r>
      <w:r>
        <w:rPr>
          <w:spacing w:val="-3"/>
        </w:rPr>
        <w:t>以上完全性断离。 八、急性或亚急性重症肝炎</w:t>
      </w:r>
    </w:p>
    <w:p>
      <w:pPr>
        <w:pStyle w:val="BodyText"/>
        <w:spacing w:line="230" w:lineRule="exact" w:before="0"/>
        <w:jc w:val="both"/>
      </w:pPr>
      <w:r>
        <w:rPr/>
        <w:t>指因肝炎病毒感染引起肝脏组织弥漫性坏死，导致急性肝功能衰竭，且经血</w:t>
      </w:r>
    </w:p>
    <w:p>
      <w:pPr>
        <w:pStyle w:val="BodyText"/>
        <w:spacing w:line="274" w:lineRule="exact" w:before="0"/>
        <w:jc w:val="both"/>
      </w:pPr>
      <w:r>
        <w:rPr/>
        <w:t>清学或病毒学检查证实，并须满足下列全部条件：  </w:t>
      </w:r>
    </w:p>
    <w:p>
      <w:pPr>
        <w:pStyle w:val="BodyText"/>
        <w:spacing w:before="76"/>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spacing w:before="154"/>
        <w:jc w:val="both"/>
      </w:pPr>
      <w:r>
        <w:rPr/>
        <w:t>九、良性脑肿瘤</w:t>
      </w:r>
    </w:p>
    <w:p>
      <w:pPr>
        <w:pStyle w:val="BodyText"/>
        <w:spacing w:line="237" w:lineRule="auto"/>
        <w:ind w:right="119"/>
        <w:jc w:val="both"/>
      </w:pPr>
      <w:r>
        <w:rPr>
          <w:spacing w:val="-6"/>
        </w:rPr>
        <w:t>指脑的良性肿瘤，已经引起颅内压增高，临床表现为视神经乳头水肿、精神</w:t>
      </w:r>
      <w:r>
        <w:rPr>
          <w:w w:val="100"/>
        </w:rPr>
        <w:t>症状、癫痫及运动感觉障碍等，并危及生命。须由头颅断层扫描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w:t>
      </w:r>
      <w:r>
        <w:rPr>
          <w:spacing w:val="-4"/>
        </w:rPr>
        <w:t>磁共振检查</w:t>
      </w:r>
      <w:r>
        <w:rPr>
          <w:spacing w:val="-1"/>
        </w:rPr>
        <w:t>（MRI）</w:t>
      </w:r>
      <w:r>
        <w:rPr>
          <w:spacing w:val="-4"/>
        </w:rPr>
        <w:t>或正电子发射断层扫描</w:t>
      </w:r>
      <w:r>
        <w:rPr/>
        <w:t>（PET）</w:t>
      </w:r>
      <w:r>
        <w:rPr>
          <w:spacing w:val="-4"/>
        </w:rPr>
        <w:t>等影像学检查证实，并须</w:t>
      </w:r>
      <w:r>
        <w:rPr>
          <w:spacing w:val="-3"/>
        </w:rPr>
        <w:t>满足下列至少一项条件：  </w:t>
      </w:r>
    </w:p>
    <w:p>
      <w:pPr>
        <w:pStyle w:val="BodyText"/>
        <w:jc w:val="both"/>
      </w:pPr>
      <w:r>
        <w:rPr/>
        <w:t>（1）实际实施了开颅进行的脑肿瘤完全切除或部分切除的手术；  </w:t>
      </w:r>
    </w:p>
    <w:p>
      <w:pPr>
        <w:pStyle w:val="BodyText"/>
        <w:jc w:val="both"/>
      </w:pPr>
      <w:r>
        <w:rPr/>
        <w:t>（2）实际实施了对脑肿瘤进行的放射治疗。  </w:t>
      </w:r>
    </w:p>
    <w:p>
      <w:pPr>
        <w:pStyle w:val="BodyText"/>
        <w:jc w:val="both"/>
      </w:pPr>
      <w:r>
        <w:rPr/>
        <w:t>脑垂体瘤、脑囊肿、脑血管性疾病不在保障范围内。  </w:t>
      </w:r>
    </w:p>
    <w:p>
      <w:pPr>
        <w:pStyle w:val="BodyText"/>
        <w:spacing w:before="154"/>
        <w:jc w:val="both"/>
      </w:pPr>
      <w:r>
        <w:rPr/>
        <w:t>十、慢性肝功能衰竭失代偿期</w:t>
      </w:r>
    </w:p>
    <w:p>
      <w:pPr>
        <w:pStyle w:val="BodyText"/>
        <w:spacing w:before="72"/>
        <w:jc w:val="both"/>
      </w:pPr>
      <w:r>
        <w:rPr/>
        <w:t>指因慢性肝脏疾病导致肝功能衰竭。须满足下列全部条件：  </w:t>
      </w:r>
    </w:p>
    <w:p>
      <w:pPr>
        <w:spacing w:after="0"/>
        <w:jc w:val="both"/>
        <w:sectPr>
          <w:pgSz w:w="11900" w:h="16840"/>
          <w:pgMar w:header="0" w:footer="724" w:top="1180" w:bottom="920" w:left="1680" w:right="1220"/>
        </w:sectPr>
      </w:pPr>
    </w:p>
    <w:p>
      <w:pPr>
        <w:pStyle w:val="BodyText"/>
        <w:spacing w:before="24"/>
        <w:jc w:val="both"/>
      </w:pPr>
      <w:r>
        <w:rPr/>
        <w:t>（1）持续性黄疸；  </w:t>
      </w:r>
    </w:p>
    <w:p>
      <w:pPr>
        <w:pStyle w:val="BodyText"/>
        <w:jc w:val="both"/>
      </w:pPr>
      <w:r>
        <w:rPr/>
        <w:t>（2）腹水；  </w:t>
      </w:r>
    </w:p>
    <w:p>
      <w:pPr>
        <w:pStyle w:val="BodyText"/>
        <w:jc w:val="both"/>
      </w:pPr>
      <w:r>
        <w:rPr/>
        <w:t>（3）肝性脑病；  </w:t>
      </w:r>
    </w:p>
    <w:p>
      <w:pPr>
        <w:pStyle w:val="BodyText"/>
        <w:jc w:val="both"/>
      </w:pPr>
      <w:r>
        <w:rPr/>
        <w:t>（4）充血性脾肿大伴脾功能亢进或食管胃底静脉曲张。  </w:t>
      </w:r>
    </w:p>
    <w:p>
      <w:pPr>
        <w:pStyle w:val="BodyText"/>
        <w:jc w:val="both"/>
      </w:pPr>
      <w:r>
        <w:rPr/>
        <w:t>因酗酒或药物滥用导致的肝功能衰竭不在保障范围内。  </w:t>
      </w:r>
    </w:p>
    <w:p>
      <w:pPr>
        <w:pStyle w:val="BodyText"/>
        <w:spacing w:before="154"/>
        <w:jc w:val="both"/>
      </w:pPr>
      <w:r>
        <w:rPr/>
        <w:t>十一、脑炎后遗症或脑膜炎后遗症 </w:t>
      </w:r>
      <w:r>
        <w:rPr>
          <w:w w:val="100"/>
        </w:rPr>
        <w:t> </w:t>
      </w:r>
    </w:p>
    <w:p>
      <w:pPr>
        <w:pStyle w:val="BodyText"/>
        <w:spacing w:line="274" w:lineRule="exact" w:before="72"/>
        <w:jc w:val="both"/>
      </w:pPr>
      <w:r>
        <w:rPr/>
        <w:t>指因患脑炎或脑膜炎导致的神经系统永久性的功能障碍。神经系统永久性的</w:t>
      </w:r>
    </w:p>
    <w:p>
      <w:pPr>
        <w:pStyle w:val="BodyText"/>
        <w:spacing w:line="274" w:lineRule="exact" w:before="0"/>
        <w:jc w:val="both"/>
      </w:pPr>
      <w:r>
        <w:rPr/>
        <w:t>功能障碍，指疾病确诊180天后，仍遗留下列一种或一种以上障碍：  </w:t>
      </w:r>
    </w:p>
    <w:p>
      <w:pPr>
        <w:pStyle w:val="BodyText"/>
        <w:spacing w:before="76"/>
        <w:jc w:val="both"/>
      </w:pPr>
      <w:r>
        <w:rPr/>
        <w:t>（1）一肢或一肢以上肢体机能完全丧失；  </w:t>
      </w:r>
    </w:p>
    <w:p>
      <w:pPr>
        <w:pStyle w:val="BodyText"/>
        <w:jc w:val="both"/>
      </w:pPr>
      <w:r>
        <w:rPr/>
        <w:t>（2）语言能力或咀嚼吞咽能力完全丧失；  </w:t>
      </w:r>
    </w:p>
    <w:p>
      <w:pPr>
        <w:pStyle w:val="BodyText"/>
        <w:spacing w:line="274" w:lineRule="exact"/>
        <w:jc w:val="both"/>
      </w:pPr>
      <w:r>
        <w:rPr/>
        <w:t>（3）自主生活能力完全丧失，无法独立完成六项基本日常生活活动中的三</w:t>
      </w:r>
    </w:p>
    <w:p>
      <w:pPr>
        <w:pStyle w:val="BodyText"/>
        <w:spacing w:line="274" w:lineRule="exact" w:before="0"/>
        <w:jc w:val="both"/>
      </w:pPr>
      <w:r>
        <w:rPr/>
        <w:t>项或三项以上。  </w:t>
      </w:r>
    </w:p>
    <w:p>
      <w:pPr>
        <w:pStyle w:val="BodyText"/>
        <w:spacing w:before="152"/>
        <w:jc w:val="both"/>
      </w:pPr>
      <w:r>
        <w:rPr/>
        <w:t>十二、深度昏迷</w:t>
      </w:r>
    </w:p>
    <w:p>
      <w:pPr>
        <w:pStyle w:val="BodyText"/>
        <w:spacing w:line="237" w:lineRule="auto" w:before="77"/>
        <w:ind w:right="116"/>
      </w:pPr>
      <w:r>
        <w:rPr>
          <w:spacing w:val="-3"/>
        </w:rPr>
        <w:t>指因疾病或意外伤害导致意识丧失,对外界刺激和体内需求均无反应,昏迷 程度按照格拉斯哥昏迷分级</w:t>
      </w:r>
      <w:r>
        <w:rPr/>
        <w:t>（Glasgow</w:t>
      </w:r>
      <w:r>
        <w:rPr>
          <w:spacing w:val="10"/>
        </w:rPr>
        <w:t> </w:t>
      </w:r>
      <w:r>
        <w:rPr/>
        <w:t>coma</w:t>
      </w:r>
      <w:r>
        <w:rPr>
          <w:spacing w:val="10"/>
        </w:rPr>
        <w:t> </w:t>
      </w:r>
      <w:r>
        <w:rPr/>
        <w:t>scale）</w:t>
      </w:r>
      <w:r>
        <w:rPr>
          <w:spacing w:val="-2"/>
        </w:rPr>
        <w:t>结果为</w:t>
      </w:r>
      <w:r>
        <w:rPr>
          <w:spacing w:val="-3"/>
        </w:rPr>
        <w:t>5</w:t>
      </w:r>
      <w:r>
        <w:rPr/>
        <w:t>分或</w:t>
      </w:r>
      <w:r>
        <w:rPr>
          <w:spacing w:val="-3"/>
        </w:rPr>
        <w:t>5</w:t>
      </w:r>
      <w:r>
        <w:rPr>
          <w:spacing w:val="-2"/>
        </w:rPr>
        <w:t>分以下， </w:t>
      </w:r>
      <w:r>
        <w:rPr>
          <w:spacing w:val="-3"/>
        </w:rPr>
        <w:t>且已经持续使用呼吸机及其它生命维持系统</w:t>
      </w:r>
      <w:r>
        <w:rPr/>
        <w:t>96</w:t>
      </w:r>
      <w:r>
        <w:rPr>
          <w:spacing w:val="-3"/>
        </w:rPr>
        <w:t>小时以上。  </w:t>
      </w:r>
    </w:p>
    <w:p>
      <w:pPr>
        <w:pStyle w:val="BodyText"/>
      </w:pPr>
      <w:r>
        <w:rPr/>
        <w:t>因酗酒或药物滥用导致的深度昏迷不在保障范围内。  </w:t>
      </w:r>
    </w:p>
    <w:p>
      <w:pPr>
        <w:pStyle w:val="BodyText"/>
        <w:spacing w:before="155"/>
      </w:pPr>
      <w:r>
        <w:rPr/>
        <w:t>十三、双耳失聪</w:t>
      </w:r>
    </w:p>
    <w:p>
      <w:pPr>
        <w:pStyle w:val="BodyText"/>
        <w:spacing w:line="228" w:lineRule="auto" w:before="25"/>
        <w:ind w:right="139"/>
        <w:jc w:val="both"/>
      </w:pPr>
      <w:r>
        <w:rPr>
          <w:spacing w:val="-3"/>
        </w:rPr>
        <w:t>指因疾病或意外伤害导致双耳听力</w:t>
      </w:r>
      <w:r>
        <w:rPr>
          <w:rFonts w:ascii="Microsoft JhengHei" w:eastAsia="Microsoft JhengHei" w:hint="eastAsia"/>
          <w:b/>
          <w:spacing w:val="-2"/>
        </w:rPr>
        <w:t>永久不可逆</w:t>
      </w:r>
      <w:r>
        <w:rPr>
          <w:spacing w:val="-3"/>
        </w:rPr>
        <w:t>（</w:t>
      </w:r>
      <w:r>
        <w:rPr/>
        <w:t>见</w:t>
      </w:r>
      <w:r>
        <w:rPr>
          <w:spacing w:val="-3"/>
        </w:rPr>
        <w:t>10.20）</w:t>
      </w:r>
      <w:r>
        <w:rPr>
          <w:spacing w:val="-4"/>
        </w:rPr>
        <w:t>性丧失，在</w:t>
      </w:r>
      <w:r>
        <w:rPr/>
        <w:t>500赫</w:t>
      </w:r>
      <w:r>
        <w:rPr>
          <w:spacing w:val="-4"/>
        </w:rPr>
        <w:t>兹、</w:t>
      </w:r>
      <w:r>
        <w:rPr/>
        <w:t>1000</w:t>
      </w:r>
      <w:r>
        <w:rPr>
          <w:spacing w:val="-3"/>
        </w:rPr>
        <w:t>赫兹和</w:t>
      </w:r>
      <w:r>
        <w:rPr/>
        <w:t>2000</w:t>
      </w:r>
      <w:r>
        <w:rPr>
          <w:spacing w:val="-4"/>
        </w:rPr>
        <w:t>赫兹语音频率下，平均听阈大于</w:t>
      </w:r>
      <w:r>
        <w:rPr/>
        <w:t>90</w:t>
      </w:r>
      <w:r>
        <w:rPr>
          <w:spacing w:val="-4"/>
        </w:rPr>
        <w:t>分贝，且经纯音听力</w:t>
      </w:r>
      <w:r>
        <w:rPr>
          <w:spacing w:val="-3"/>
        </w:rPr>
        <w:t>测试、声导抗检测或听觉诱发电位检测等证实。  </w:t>
      </w:r>
    </w:p>
    <w:p>
      <w:pPr>
        <w:pStyle w:val="BodyText"/>
        <w:spacing w:before="152"/>
        <w:jc w:val="both"/>
      </w:pPr>
      <w:r>
        <w:rPr/>
        <w:t>十四、双目失明</w:t>
      </w:r>
    </w:p>
    <w:p>
      <w:pPr>
        <w:pStyle w:val="BodyText"/>
        <w:spacing w:line="274" w:lineRule="exact" w:before="72"/>
        <w:jc w:val="both"/>
      </w:pPr>
      <w:r>
        <w:rPr/>
        <w:t>指因疾病或意外伤害导致双眼视力永久不可逆性丧失，双眼中较好眼须满足</w:t>
      </w:r>
    </w:p>
    <w:p>
      <w:pPr>
        <w:pStyle w:val="BodyText"/>
        <w:spacing w:line="274" w:lineRule="exact" w:before="0"/>
        <w:jc w:val="both"/>
      </w:pPr>
      <w:r>
        <w:rPr/>
        <w:t>下列至少一项条件：  </w:t>
      </w:r>
    </w:p>
    <w:p>
      <w:pPr>
        <w:pStyle w:val="BodyText"/>
        <w:spacing w:before="76"/>
        <w:jc w:val="both"/>
      </w:pPr>
      <w:r>
        <w:rPr/>
        <w:t>（1）眼球缺失或摘除；  </w:t>
      </w:r>
    </w:p>
    <w:p>
      <w:pPr>
        <w:pStyle w:val="BodyText"/>
        <w:spacing w:line="274" w:lineRule="exact"/>
        <w:jc w:val="both"/>
      </w:pPr>
      <w:r>
        <w:rPr/>
        <w:t>（2）矫正视力低于0.02（采用国际标准视力表，如果使用其它视力表应进</w:t>
      </w:r>
    </w:p>
    <w:p>
      <w:pPr>
        <w:pStyle w:val="BodyText"/>
        <w:spacing w:line="274" w:lineRule="exact" w:before="0"/>
        <w:jc w:val="both"/>
      </w:pPr>
      <w:r>
        <w:rPr>
          <w:spacing w:val="-1"/>
          <w:w w:val="100"/>
        </w:rPr>
        <w:t>行换算</w:t>
      </w:r>
      <w:r>
        <w:rPr>
          <w:spacing w:val="-106"/>
          <w:w w:val="100"/>
        </w:rPr>
        <w:t>）</w:t>
      </w:r>
      <w:r>
        <w:rPr>
          <w:w w:val="100"/>
        </w:rPr>
        <w:t>；</w:t>
      </w:r>
      <w:r>
        <w:rPr>
          <w:spacing w:val="-3"/>
          <w:w w:val="100"/>
        </w:rPr>
        <w:t>  </w:t>
      </w:r>
    </w:p>
    <w:p>
      <w:pPr>
        <w:pStyle w:val="BodyText"/>
        <w:spacing w:before="73"/>
        <w:jc w:val="both"/>
      </w:pPr>
      <w:r>
        <w:rPr/>
        <w:t>（3）视野半径小于5度。  </w:t>
      </w:r>
    </w:p>
    <w:p>
      <w:pPr>
        <w:pStyle w:val="BodyText"/>
        <w:spacing w:before="154"/>
        <w:jc w:val="both"/>
      </w:pPr>
      <w:r>
        <w:rPr/>
        <w:t>十五、瘫痪</w:t>
      </w:r>
    </w:p>
    <w:p>
      <w:pPr>
        <w:pStyle w:val="BodyText"/>
        <w:spacing w:line="237" w:lineRule="auto" w:before="78"/>
        <w:ind w:right="139"/>
        <w:jc w:val="both"/>
      </w:pPr>
      <w:r>
        <w:rPr>
          <w:spacing w:val="-4"/>
        </w:rPr>
        <w:t>指因疾病或意外伤害导致两肢或两肢以上肢体机能永久完全丧失。肢体机能永久完全丧失，指疾病确诊</w:t>
      </w:r>
      <w:r>
        <w:rPr/>
        <w:t>180</w:t>
      </w:r>
      <w:r>
        <w:rPr>
          <w:spacing w:val="-3"/>
        </w:rPr>
        <w:t>天后或意外伤害发生</w:t>
      </w:r>
      <w:r>
        <w:rPr/>
        <w:t>180</w:t>
      </w:r>
      <w:r>
        <w:rPr>
          <w:spacing w:val="-5"/>
        </w:rPr>
        <w:t>天后，每肢三大关节</w:t>
      </w:r>
      <w:r>
        <w:rPr>
          <w:spacing w:val="-4"/>
        </w:rPr>
        <w:t>中的两大关节仍然完全僵硬，或不能随意识活动。  </w:t>
      </w:r>
    </w:p>
    <w:p>
      <w:pPr>
        <w:pStyle w:val="BodyText"/>
        <w:spacing w:before="154"/>
      </w:pPr>
      <w:r>
        <w:rPr/>
        <w:t>十六、心脏瓣膜手术</w:t>
      </w:r>
    </w:p>
    <w:p>
      <w:pPr>
        <w:pStyle w:val="BodyText"/>
        <w:spacing w:before="72"/>
        <w:ind w:right="139"/>
      </w:pPr>
      <w:r>
        <w:rPr/>
        <w:t>指为治疗心脏瓣膜疾病，实际实施了开胸进行的心脏瓣膜置换或修复的手术。  </w:t>
      </w:r>
    </w:p>
    <w:p>
      <w:pPr>
        <w:pStyle w:val="BodyText"/>
        <w:spacing w:before="154"/>
      </w:pPr>
      <w:r>
        <w:rPr/>
        <w:t>十七、严重阿尔茨海默病</w:t>
      </w:r>
    </w:p>
    <w:p>
      <w:pPr>
        <w:pStyle w:val="BodyText"/>
        <w:spacing w:line="237" w:lineRule="auto"/>
        <w:ind w:right="140"/>
        <w:jc w:val="both"/>
      </w:pPr>
      <w:r>
        <w:rPr>
          <w:spacing w:val="-6"/>
        </w:rPr>
        <w:t>指因大脑进行性、不可逆性改变导致智能严重衰退或丧失，临床表现为明显的认知能力障碍、行为异常和社交能力减退，其日常生活必须持续受到他人</w:t>
      </w:r>
      <w:r>
        <w:rPr>
          <w:spacing w:val="-6"/>
          <w:w w:val="100"/>
        </w:rPr>
        <w:t>监护。须由头颅断层扫描</w:t>
      </w:r>
      <w:r>
        <w:rPr>
          <w:w w:val="100"/>
        </w:rPr>
        <w:t>（CT</w:t>
      </w:r>
      <w:r>
        <w:rPr>
          <w:spacing w:val="-106"/>
          <w:w w:val="100"/>
        </w:rPr>
        <w:t>）</w:t>
      </w:r>
      <w:r>
        <w:rPr>
          <w:spacing w:val="-4"/>
          <w:w w:val="100"/>
        </w:rPr>
        <w:t>、核磁共振检查</w:t>
      </w:r>
      <w:r>
        <w:rPr>
          <w:spacing w:val="-3"/>
          <w:w w:val="100"/>
        </w:rPr>
        <w:t>（</w:t>
      </w:r>
      <w:r>
        <w:rPr>
          <w:w w:val="100"/>
        </w:rPr>
        <w:t>M</w:t>
      </w:r>
      <w:r>
        <w:rPr>
          <w:spacing w:val="-3"/>
          <w:w w:val="100"/>
        </w:rPr>
        <w:t>R</w:t>
      </w:r>
      <w:r>
        <w:rPr>
          <w:w w:val="100"/>
        </w:rPr>
        <w:t>I</w:t>
      </w:r>
      <w:r>
        <w:rPr>
          <w:spacing w:val="-5"/>
          <w:w w:val="100"/>
        </w:rPr>
        <w:t>）</w:t>
      </w:r>
      <w:r>
        <w:rPr>
          <w:spacing w:val="-3"/>
          <w:w w:val="100"/>
        </w:rPr>
        <w:t>或正电子发射断层扫</w:t>
      </w:r>
      <w:r>
        <w:rPr>
          <w:spacing w:val="-3"/>
        </w:rPr>
        <w:t>描（PET）等影像学检查证实，且自主生活能力完全丧失，无法独立完成六项基本日常生活活动中的三项或三项以上。  </w:t>
      </w:r>
    </w:p>
    <w:p>
      <w:pPr>
        <w:pStyle w:val="BodyText"/>
        <w:spacing w:before="72"/>
        <w:jc w:val="both"/>
      </w:pPr>
      <w:r>
        <w:rPr/>
        <w:t>神经官能症和精神疾病不在保障范围内。   </w:t>
      </w:r>
    </w:p>
    <w:p>
      <w:pPr>
        <w:spacing w:after="0"/>
        <w:jc w:val="both"/>
        <w:sectPr>
          <w:pgSz w:w="11900" w:h="16840"/>
          <w:pgMar w:header="0" w:footer="724" w:top="1100" w:bottom="920" w:left="1680" w:right="1200"/>
        </w:sectPr>
      </w:pPr>
    </w:p>
    <w:p>
      <w:pPr>
        <w:pStyle w:val="BodyText"/>
        <w:spacing w:before="23"/>
      </w:pPr>
      <w:r>
        <w:rPr/>
        <w:t>十八、严重脑损伤</w:t>
      </w:r>
    </w:p>
    <w:p>
      <w:pPr>
        <w:pStyle w:val="BodyText"/>
        <w:spacing w:line="237" w:lineRule="auto"/>
        <w:ind w:right="120"/>
        <w:jc w:val="both"/>
      </w:pPr>
      <w:r>
        <w:rPr>
          <w:spacing w:val="-5"/>
        </w:rPr>
        <w:t>指因头部遭受机械性外力，引起脑重要部位损伤，导致神经系统永久性的功</w:t>
      </w:r>
      <w:r>
        <w:rPr>
          <w:spacing w:val="-5"/>
          <w:w w:val="100"/>
        </w:rPr>
        <w:t>能障碍。须由头颅断层扫描</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w:t>
      </w:r>
      <w:r>
        <w:rPr>
          <w:spacing w:val="-6"/>
        </w:rPr>
        <w:t>扫描</w:t>
      </w:r>
      <w:r>
        <w:rPr>
          <w:spacing w:val="-3"/>
        </w:rPr>
        <w:t>（PET）</w:t>
      </w:r>
      <w:r>
        <w:rPr>
          <w:spacing w:val="-5"/>
        </w:rPr>
        <w:t>等影像学检查证实。神经系统永久性的功能障碍，指脑损伤</w:t>
      </w:r>
      <w:r>
        <w:rPr/>
        <w:t>180 </w:t>
      </w:r>
      <w:r>
        <w:rPr>
          <w:spacing w:val="-3"/>
        </w:rPr>
        <w:t>天后，仍遗留下列一种或一种以上障碍：  </w:t>
      </w:r>
    </w:p>
    <w:p>
      <w:pPr>
        <w:pStyle w:val="BodyText"/>
        <w:jc w:val="both"/>
      </w:pPr>
      <w:r>
        <w:rPr/>
        <w:t>（1）一肢或一肢以上肢体机能完全丧失；  </w:t>
      </w:r>
    </w:p>
    <w:p>
      <w:pPr>
        <w:pStyle w:val="BodyText"/>
        <w:jc w:val="both"/>
      </w:pPr>
      <w:r>
        <w:rPr/>
        <w:t>（2）语言能力或咀嚼吞咽能力完全丧失；  </w:t>
      </w:r>
    </w:p>
    <w:p>
      <w:pPr>
        <w:pStyle w:val="BodyText"/>
        <w:spacing w:line="274" w:lineRule="exact"/>
        <w:jc w:val="both"/>
      </w:pPr>
      <w:r>
        <w:rPr/>
        <w:t>（3）自主生活能力完全丧失，无法独立完成六项基本日常生活活动中的三</w:t>
      </w:r>
    </w:p>
    <w:p>
      <w:pPr>
        <w:pStyle w:val="BodyText"/>
        <w:spacing w:line="274" w:lineRule="exact" w:before="0"/>
        <w:jc w:val="both"/>
      </w:pPr>
      <w:r>
        <w:rPr/>
        <w:t>项或三项以上。  </w:t>
      </w:r>
    </w:p>
    <w:p>
      <w:pPr>
        <w:pStyle w:val="BodyText"/>
        <w:spacing w:before="152"/>
        <w:jc w:val="both"/>
      </w:pPr>
      <w:r>
        <w:rPr/>
        <w:t>十九、严重帕金森病</w:t>
      </w:r>
    </w:p>
    <w:p>
      <w:pPr>
        <w:pStyle w:val="BodyText"/>
        <w:spacing w:line="274" w:lineRule="exact"/>
        <w:jc w:val="both"/>
      </w:pPr>
      <w:r>
        <w:rPr/>
        <w:t>是一种中枢神经系统的退行性疾病，临床表现为震颤麻痹、共济失调等。须</w:t>
      </w:r>
    </w:p>
    <w:p>
      <w:pPr>
        <w:pStyle w:val="BodyText"/>
        <w:spacing w:line="274" w:lineRule="exact" w:before="0"/>
        <w:jc w:val="both"/>
      </w:pPr>
      <w:r>
        <w:rPr/>
        <w:t>满足下列全部条件：  </w:t>
      </w:r>
    </w:p>
    <w:p>
      <w:pPr>
        <w:pStyle w:val="BodyText"/>
        <w:spacing w:before="73"/>
        <w:jc w:val="both"/>
      </w:pPr>
      <w:r>
        <w:rPr/>
        <w:t>（1）药物治疗无法控制病情；  </w:t>
      </w:r>
    </w:p>
    <w:p>
      <w:pPr>
        <w:pStyle w:val="BodyText"/>
        <w:spacing w:line="274" w:lineRule="exact"/>
        <w:jc w:val="both"/>
      </w:pPr>
      <w:r>
        <w:rPr/>
        <w:t>（2）自主生活能力完全丧失，无法独立完成六项基本日常生活活动中的三</w:t>
      </w:r>
    </w:p>
    <w:p>
      <w:pPr>
        <w:pStyle w:val="BodyText"/>
        <w:spacing w:line="274" w:lineRule="exact" w:before="0"/>
        <w:jc w:val="both"/>
      </w:pPr>
      <w:r>
        <w:rPr/>
        <w:t>项或三项以上。  </w:t>
      </w:r>
    </w:p>
    <w:p>
      <w:pPr>
        <w:pStyle w:val="BodyText"/>
        <w:spacing w:before="76"/>
        <w:jc w:val="both"/>
      </w:pPr>
      <w:r>
        <w:rPr/>
        <w:t>继发性帕金森综合征不在保障范围内。  </w:t>
      </w:r>
    </w:p>
    <w:p>
      <w:pPr>
        <w:pStyle w:val="BodyText"/>
        <w:spacing w:before="155"/>
        <w:jc w:val="both"/>
      </w:pPr>
      <w:r>
        <w:rPr/>
        <w:t>二十、严重Ⅲ度烧伤</w:t>
      </w:r>
    </w:p>
    <w:p>
      <w:pPr>
        <w:pStyle w:val="BodyText"/>
        <w:spacing w:line="274" w:lineRule="exact" w:before="73"/>
        <w:jc w:val="both"/>
      </w:pPr>
      <w:r>
        <w:rPr/>
        <w:t>指烧伤程度为Ⅲ度，且Ⅲ度烧伤的面积达到全身体表面积的20％或20％以</w:t>
      </w:r>
    </w:p>
    <w:p>
      <w:pPr>
        <w:pStyle w:val="BodyText"/>
        <w:spacing w:line="274" w:lineRule="exact" w:before="0"/>
        <w:jc w:val="both"/>
      </w:pPr>
      <w:r>
        <w:rPr/>
        <w:t>上。体表面积根据《中国新九分法》计算。  </w:t>
      </w:r>
    </w:p>
    <w:p>
      <w:pPr>
        <w:pStyle w:val="BodyText"/>
        <w:spacing w:before="155"/>
        <w:jc w:val="both"/>
      </w:pPr>
      <w:r>
        <w:rPr/>
        <w:t>二十一、严重原发性肺动脉高压</w:t>
      </w:r>
    </w:p>
    <w:p>
      <w:pPr>
        <w:pStyle w:val="BodyText"/>
        <w:spacing w:line="237" w:lineRule="auto"/>
        <w:ind w:right="119"/>
        <w:jc w:val="both"/>
      </w:pPr>
      <w:r>
        <w:rPr>
          <w:spacing w:val="-5"/>
        </w:rPr>
        <w:t>指不明原因的肺动脉压力持续性增高，进行性发展而导致的慢性疾病，已经造成永久不可逆性的体力活动能力受限，达到美国纽约心脏病学会心功能状</w:t>
      </w:r>
      <w:r>
        <w:rPr>
          <w:spacing w:val="-2"/>
        </w:rPr>
        <w:t>态分级</w:t>
      </w:r>
      <w:r>
        <w:rPr>
          <w:spacing w:val="-1"/>
        </w:rPr>
        <w:t>IV</w:t>
      </w:r>
      <w:r>
        <w:rPr>
          <w:spacing w:val="-3"/>
        </w:rPr>
        <w:t>级，且静息状态下肺动脉平均压超过</w:t>
      </w:r>
      <w:r>
        <w:rPr/>
        <w:t>30mmHg。</w:t>
      </w:r>
      <w:r>
        <w:rPr>
          <w:spacing w:val="-3"/>
        </w:rPr>
        <w:t>  </w:t>
      </w:r>
    </w:p>
    <w:p>
      <w:pPr>
        <w:pStyle w:val="BodyText"/>
        <w:spacing w:before="154"/>
      </w:pPr>
      <w:r>
        <w:rPr/>
        <w:t>二十二、严重运动神经元病</w:t>
      </w:r>
    </w:p>
    <w:p>
      <w:pPr>
        <w:pStyle w:val="BodyText"/>
        <w:spacing w:line="237" w:lineRule="auto" w:before="76"/>
        <w:ind w:right="110"/>
        <w:jc w:val="both"/>
      </w:pPr>
      <w:r>
        <w:rPr>
          <w:spacing w:val="2"/>
        </w:rPr>
        <w:t>是一组中枢神经系统运动神经元的进行性变性疾病，包括进行性脊肌萎缩</w:t>
      </w:r>
      <w:r>
        <w:rPr>
          <w:spacing w:val="-6"/>
        </w:rPr>
        <w:t>症、进行性延髓麻痹症、原发性侧索硬化症、肌萎缩性侧索硬化症。须满足自主生活能力完全丧失，无法独立完成六项基本日常生活活动中的三项或三</w:t>
      </w:r>
      <w:r>
        <w:rPr>
          <w:spacing w:val="-4"/>
        </w:rPr>
        <w:t>项以上的条件。  </w:t>
      </w:r>
    </w:p>
    <w:p>
      <w:pPr>
        <w:pStyle w:val="BodyText"/>
        <w:spacing w:before="155"/>
      </w:pPr>
      <w:r>
        <w:rPr/>
        <w:t>二十三、语言能力丧失</w:t>
      </w:r>
    </w:p>
    <w:p>
      <w:pPr>
        <w:pStyle w:val="BodyText"/>
        <w:spacing w:line="274" w:lineRule="exact" w:before="73"/>
      </w:pPr>
      <w:r>
        <w:rPr/>
        <w:t>指因疾病或意外伤害导致完全丧失语言能力，经过积极治疗至少12个月（声</w:t>
      </w:r>
    </w:p>
    <w:p>
      <w:pPr>
        <w:pStyle w:val="BodyText"/>
        <w:spacing w:line="274" w:lineRule="exact" w:before="0"/>
      </w:pPr>
      <w:r>
        <w:rPr>
          <w:spacing w:val="-3"/>
          <w:w w:val="100"/>
        </w:rPr>
        <w:t>带完全切除不受此时间限制</w:t>
      </w:r>
      <w:r>
        <w:rPr>
          <w:spacing w:val="-106"/>
          <w:w w:val="100"/>
        </w:rPr>
        <w:t>）</w:t>
      </w:r>
      <w:r>
        <w:rPr>
          <w:spacing w:val="-3"/>
          <w:w w:val="100"/>
        </w:rPr>
        <w:t>，仍无法通过现有医疗手段恢复。  </w:t>
      </w:r>
    </w:p>
    <w:p>
      <w:pPr>
        <w:pStyle w:val="BodyText"/>
        <w:spacing w:line="374" w:lineRule="auto" w:before="76"/>
        <w:ind w:right="1992"/>
      </w:pPr>
      <w:r>
        <w:rPr>
          <w:spacing w:val="-3"/>
        </w:rPr>
        <w:t>精神心理因素所致的语言能力丧失不在保障范围内。 二十四、重型再生障碍性贫血</w:t>
      </w:r>
    </w:p>
    <w:p>
      <w:pPr>
        <w:pStyle w:val="BodyText"/>
        <w:spacing w:line="230" w:lineRule="exact" w:before="0"/>
        <w:jc w:val="both"/>
      </w:pPr>
      <w:r>
        <w:rPr/>
        <w:t>指因骨髓造血功能慢性持续性衰竭导致的贫血、中性粒细胞减少及血小板减</w:t>
      </w:r>
    </w:p>
    <w:p>
      <w:pPr>
        <w:pStyle w:val="BodyText"/>
        <w:spacing w:line="274" w:lineRule="exact" w:before="0"/>
        <w:jc w:val="both"/>
      </w:pPr>
      <w:r>
        <w:rPr/>
        <w:t>少。须满足下列全部条件：  </w:t>
      </w:r>
    </w:p>
    <w:p>
      <w:pPr>
        <w:pStyle w:val="BodyText"/>
        <w:jc w:val="both"/>
      </w:pPr>
      <w:r>
        <w:rPr/>
        <w:t>（1）骨髓穿刺检查或骨髓活检结果支持诊断；  </w:t>
      </w:r>
    </w:p>
    <w:p>
      <w:pPr>
        <w:pStyle w:val="BodyText"/>
        <w:jc w:val="both"/>
      </w:pPr>
      <w:r>
        <w:rPr/>
        <w:t>（2）外周血象须具备以下三项条件：  </w:t>
      </w:r>
    </w:p>
    <w:p>
      <w:pPr>
        <w:pStyle w:val="BodyText"/>
        <w:ind w:left="2491"/>
      </w:pPr>
      <w:r>
        <w:rPr/>
        <w:t>① 中性粒细胞绝对值≤0.5×10</w:t>
      </w:r>
      <w:r>
        <w:rPr>
          <w:position w:val="11"/>
          <w:sz w:val="11"/>
        </w:rPr>
        <w:t>9</w:t>
      </w:r>
      <w:r>
        <w:rPr/>
        <w:t>/L ；  </w:t>
      </w:r>
    </w:p>
    <w:p>
      <w:pPr>
        <w:pStyle w:val="BodyText"/>
        <w:ind w:left="2491"/>
      </w:pPr>
      <w:r>
        <w:rPr/>
        <w:t>② 网织红细胞＜1%；  </w:t>
      </w:r>
    </w:p>
    <w:p>
      <w:pPr>
        <w:pStyle w:val="BodyText"/>
        <w:ind w:left="2576" w:right="3493"/>
        <w:jc w:val="center"/>
      </w:pPr>
      <w:r>
        <w:rPr/>
        <w:t>③ 血小板绝对值≤20×10</w:t>
      </w:r>
      <w:r>
        <w:rPr>
          <w:position w:val="11"/>
          <w:sz w:val="11"/>
        </w:rPr>
        <w:t>9</w:t>
      </w:r>
      <w:r>
        <w:rPr/>
        <w:t>/L。  </w:t>
      </w:r>
    </w:p>
    <w:p>
      <w:pPr>
        <w:pStyle w:val="BodyText"/>
        <w:spacing w:before="154"/>
        <w:jc w:val="both"/>
      </w:pPr>
      <w:r>
        <w:rPr/>
        <w:t>二十五、主动脉手术 </w:t>
      </w:r>
      <w:r>
        <w:rPr>
          <w:w w:val="100"/>
        </w:rPr>
        <w:t> </w:t>
      </w:r>
    </w:p>
    <w:p>
      <w:pPr>
        <w:pStyle w:val="BodyText"/>
        <w:spacing w:before="73"/>
        <w:jc w:val="both"/>
      </w:pPr>
      <w:r>
        <w:rPr/>
        <w:t>指为治疗主动脉疾病，实际实施了开胸或开腹进行的切除、置换、修补病损</w:t>
      </w:r>
    </w:p>
    <w:p>
      <w:pPr>
        <w:spacing w:after="0"/>
        <w:jc w:val="both"/>
        <w:sectPr>
          <w:pgSz w:w="11900" w:h="16840"/>
          <w:pgMar w:header="0" w:footer="724" w:top="1180" w:bottom="920" w:left="1680" w:right="1220"/>
        </w:sectPr>
      </w:pPr>
    </w:p>
    <w:p>
      <w:pPr>
        <w:pStyle w:val="BodyText"/>
        <w:spacing w:line="273" w:lineRule="exact" w:before="7"/>
        <w:jc w:val="both"/>
      </w:pPr>
      <w:r>
        <w:rPr/>
        <w:t>主动脉血管的手术。主动脉指胸主动脉和腹主动脉，不包括胸主动脉和腹主</w:t>
      </w:r>
    </w:p>
    <w:p>
      <w:pPr>
        <w:pStyle w:val="BodyText"/>
        <w:spacing w:line="273" w:lineRule="exact" w:before="0"/>
        <w:jc w:val="both"/>
      </w:pPr>
      <w:r>
        <w:rPr/>
        <w:t>动脉的分支血管。  </w:t>
      </w:r>
    </w:p>
    <w:p>
      <w:pPr>
        <w:pStyle w:val="BodyText"/>
        <w:spacing w:before="76"/>
        <w:jc w:val="both"/>
      </w:pPr>
      <w:r>
        <w:rPr/>
        <w:t>动脉内血管成形术不在保障范围内。  </w:t>
      </w:r>
    </w:p>
    <w:p>
      <w:pPr>
        <w:pStyle w:val="BodyText"/>
        <w:spacing w:before="154"/>
        <w:jc w:val="both"/>
      </w:pPr>
      <w:r>
        <w:rPr/>
        <w:t>二十六、严重多发性硬化症</w:t>
      </w:r>
    </w:p>
    <w:p>
      <w:pPr>
        <w:pStyle w:val="BodyText"/>
        <w:spacing w:line="235" w:lineRule="auto" w:before="78"/>
        <w:ind w:right="220"/>
        <w:rPr>
          <w:rFonts w:ascii="Times New Roman" w:eastAsia="Times New Roman"/>
        </w:rPr>
      </w:pPr>
      <w:r>
        <w:rPr>
          <w:spacing w:val="-5"/>
        </w:rPr>
        <w:t>指一种中枢神经系统脱髓鞘疾病，造成身体部位不可逆的功能障碍。临床表</w:t>
      </w:r>
      <w:r>
        <w:rPr>
          <w:spacing w:val="-7"/>
        </w:rPr>
        <w:t>现为视力受损、截瘫、平衡失調、构音障碍、大小便机能失调等症狀，须经本公司认可的神经专科医师确诊，并有 </w:t>
      </w:r>
      <w:r>
        <w:rPr>
          <w:rFonts w:ascii="Times New Roman" w:eastAsia="Times New Roman"/>
        </w:rPr>
        <w:t>CT </w:t>
      </w:r>
      <w:r>
        <w:rPr>
          <w:spacing w:val="-3"/>
        </w:rPr>
        <w:t>或核磁共振检查结果诊断报告。所谓身体部位不可逆的功能障碍指初次诊断为功能障碍后需持续一百八十 日以上。其诊断必须包含以下全部内容</w:t>
      </w:r>
      <w:r>
        <w:rPr>
          <w:rFonts w:ascii="Times New Roman" w:eastAsia="Times New Roman"/>
        </w:rPr>
        <w:t>:</w:t>
      </w:r>
    </w:p>
    <w:p>
      <w:pPr>
        <w:pStyle w:val="BodyText"/>
        <w:spacing w:before="57"/>
        <w:jc w:val="both"/>
      </w:pPr>
      <w:r>
        <w:rPr/>
        <w:t>（1）由于视神经、脑干和脊髓损伤而导致的临床表现； </w:t>
      </w:r>
    </w:p>
    <w:p>
      <w:pPr>
        <w:pStyle w:val="BodyText"/>
        <w:jc w:val="both"/>
      </w:pPr>
      <w:r>
        <w:rPr/>
        <w:t>（2）散在的身体损害的多样性； </w:t>
      </w:r>
    </w:p>
    <w:p>
      <w:pPr>
        <w:pStyle w:val="BodyText"/>
        <w:jc w:val="both"/>
      </w:pPr>
      <w:r>
        <w:rPr/>
        <w:t>（3）上述症状反复发作、恶化及神经损伤的病史记录。</w:t>
      </w:r>
    </w:p>
    <w:p>
      <w:pPr>
        <w:pStyle w:val="BodyText"/>
        <w:spacing w:before="154"/>
        <w:jc w:val="both"/>
      </w:pPr>
      <w:r>
        <w:rPr/>
        <w:t>二十七、脊髓灰质炎</w:t>
      </w:r>
    </w:p>
    <w:p>
      <w:pPr>
        <w:pStyle w:val="BodyText"/>
        <w:spacing w:line="237" w:lineRule="auto" w:before="78"/>
        <w:ind w:right="210"/>
        <w:jc w:val="both"/>
      </w:pPr>
      <w:r>
        <w:rPr>
          <w:spacing w:val="-4"/>
        </w:rPr>
        <w:t>脊髓灰质炎是由于脊髓灰质炎病毒感染所致的瘫痪性疾病，临床表现为运动</w:t>
      </w:r>
      <w:r>
        <w:rPr>
          <w:spacing w:val="-5"/>
        </w:rPr>
        <w:t>功能损害或呼吸无力。脊髓灰质炎诊断必须明确无疑。本主险合同仅对脊髓</w:t>
      </w:r>
      <w:r>
        <w:rPr>
          <w:spacing w:val="2"/>
        </w:rPr>
        <w:t>灰质炎造成的神经系统功能损害已导致被保险人永久不可逆性的肢体瘫痪</w:t>
      </w:r>
      <w:r>
        <w:rPr>
          <w:spacing w:val="-3"/>
        </w:rPr>
        <w:t>的情况予以理赔。</w:t>
      </w:r>
      <w:r>
        <w:rPr/>
        <w:t> </w:t>
      </w:r>
    </w:p>
    <w:p>
      <w:pPr>
        <w:pStyle w:val="BodyText"/>
        <w:spacing w:before="152"/>
        <w:jc w:val="both"/>
      </w:pPr>
      <w:r>
        <w:rPr/>
        <w:t>二十八、严重慢性呼吸功能衰竭</w:t>
      </w:r>
    </w:p>
    <w:p>
      <w:pPr>
        <w:pStyle w:val="BodyText"/>
        <w:jc w:val="both"/>
      </w:pPr>
      <w:r>
        <w:rPr/>
        <w:t>指因慢性呼吸系统疾病导致呼吸功能衰竭，且诊断必须满足以下所有条件： </w:t>
      </w:r>
    </w:p>
    <w:p>
      <w:pPr>
        <w:pStyle w:val="BodyText"/>
        <w:jc w:val="both"/>
      </w:pPr>
      <w:r>
        <w:rPr/>
        <w:t>（1）第一秒末用力呼气量（FEV1）小于1升； </w:t>
      </w:r>
    </w:p>
    <w:p>
      <w:pPr>
        <w:pStyle w:val="BodyText"/>
        <w:jc w:val="both"/>
      </w:pPr>
      <w:r>
        <w:rPr/>
        <w:t>（2）气道内阻力增加，至少达到0.5 kPa/l/s； </w:t>
      </w:r>
    </w:p>
    <w:p>
      <w:pPr>
        <w:pStyle w:val="BodyText"/>
        <w:jc w:val="both"/>
      </w:pPr>
      <w:r>
        <w:rPr/>
        <w:t>（3）残气容积占肺总量(TLC)的60%以上； </w:t>
      </w:r>
    </w:p>
    <w:p>
      <w:pPr>
        <w:pStyle w:val="BodyText"/>
        <w:spacing w:before="72"/>
        <w:jc w:val="both"/>
      </w:pPr>
      <w:r>
        <w:rPr/>
        <w:t>（4）胸内气体容积升高，超过170 (基值的百分比)； </w:t>
      </w:r>
    </w:p>
    <w:p>
      <w:pPr>
        <w:pStyle w:val="BodyText"/>
        <w:spacing w:before="74"/>
        <w:jc w:val="both"/>
      </w:pPr>
      <w:r>
        <w:rPr>
          <w:position w:val="1"/>
        </w:rPr>
        <w:t>（5）PaO</w:t>
      </w:r>
      <w:r>
        <w:rPr>
          <w:sz w:val="11"/>
        </w:rPr>
        <w:t>2</w:t>
      </w:r>
      <w:r>
        <w:rPr>
          <w:position w:val="1"/>
        </w:rPr>
        <w:t>&lt;60mmHg，PaCO</w:t>
      </w:r>
      <w:r>
        <w:rPr>
          <w:sz w:val="11"/>
        </w:rPr>
        <w:t>2</w:t>
      </w:r>
      <w:r>
        <w:rPr>
          <w:position w:val="1"/>
        </w:rPr>
        <w:t>&gt;50mmHg。 </w:t>
      </w:r>
    </w:p>
    <w:p>
      <w:pPr>
        <w:pStyle w:val="BodyText"/>
        <w:spacing w:before="154"/>
        <w:jc w:val="both"/>
      </w:pPr>
      <w:r>
        <w:rPr/>
        <w:t>二十九、严重类风湿关节炎</w:t>
      </w:r>
    </w:p>
    <w:p>
      <w:pPr>
        <w:pStyle w:val="BodyText"/>
        <w:jc w:val="both"/>
      </w:pPr>
      <w:r>
        <w:rPr/>
        <w:t>指类风湿性关节炎患者必须符合以下三项标准: </w:t>
      </w:r>
    </w:p>
    <w:p>
      <w:pPr>
        <w:pStyle w:val="BodyText"/>
        <w:spacing w:line="274" w:lineRule="exact"/>
        <w:jc w:val="both"/>
      </w:pPr>
      <w:r>
        <w:rPr/>
        <w:t>（1）至少包括下列关节中的三组或以上有广泛受损和畸形改变:手指关节、</w:t>
      </w:r>
    </w:p>
    <w:p>
      <w:pPr>
        <w:pStyle w:val="BodyText"/>
        <w:spacing w:line="274" w:lineRule="exact" w:before="0"/>
        <w:jc w:val="both"/>
      </w:pPr>
      <w:r>
        <w:rPr/>
        <w:t>腕关节、肘关节、膝关节、髋关节、踝关节、脊椎或脚趾关节； </w:t>
      </w:r>
    </w:p>
    <w:p>
      <w:pPr>
        <w:pStyle w:val="BodyText"/>
        <w:spacing w:line="274" w:lineRule="exact" w:before="74"/>
        <w:jc w:val="both"/>
      </w:pPr>
      <w:r>
        <w:rPr/>
        <w:t>（2）手和腕的后前位 X 线拍片检查可见类风湿性关节炎的典型变化，包括</w:t>
      </w:r>
    </w:p>
    <w:p>
      <w:pPr>
        <w:pStyle w:val="BodyText"/>
        <w:spacing w:line="274" w:lineRule="exact" w:before="0"/>
        <w:jc w:val="both"/>
      </w:pPr>
      <w:r>
        <w:rPr/>
        <w:t>骨质侵蚀或钙流失，位于受累关节及其邻近部位尤其明显； </w:t>
      </w:r>
    </w:p>
    <w:p>
      <w:pPr>
        <w:pStyle w:val="BodyText"/>
        <w:spacing w:line="274" w:lineRule="exact"/>
        <w:jc w:val="both"/>
      </w:pPr>
      <w:r>
        <w:rPr/>
        <w:t>（3）关节的畸形改变至少持续 6 个月。必须经专科医生明确诊断，且首次</w:t>
      </w:r>
    </w:p>
    <w:p>
      <w:pPr>
        <w:pStyle w:val="BodyText"/>
        <w:spacing w:line="274" w:lineRule="exact" w:before="0"/>
        <w:jc w:val="both"/>
      </w:pPr>
      <w:r>
        <w:rPr/>
        <w:t>已接受膝关节或髋关节置换手术。 </w:t>
      </w:r>
    </w:p>
    <w:p>
      <w:pPr>
        <w:pStyle w:val="BodyText"/>
        <w:spacing w:before="153"/>
        <w:jc w:val="both"/>
      </w:pPr>
      <w:r>
        <w:rPr/>
        <w:t>三十、严重系统性红斑狼疮</w:t>
      </w:r>
    </w:p>
    <w:p>
      <w:pPr>
        <w:pStyle w:val="BodyText"/>
        <w:ind w:left="1874" w:right="287"/>
      </w:pPr>
      <w:r>
        <w:rPr/>
        <w:t>系统性红斑狼疮是由多种因素引起，累及多系统的自身免疫性疾病。其特点是生成自身抗体对抗多种自身抗原。多见于育龄妇女。 </w:t>
      </w:r>
    </w:p>
    <w:p>
      <w:pPr>
        <w:pStyle w:val="BodyText"/>
        <w:spacing w:before="72"/>
        <w:ind w:left="1874" w:right="184"/>
        <w:jc w:val="both"/>
      </w:pPr>
      <w:r>
        <w:rPr>
          <w:spacing w:val="-3"/>
        </w:rPr>
        <w:t>本主险合同所指的系统性红斑狼疮仅限于累及肾脏</w:t>
      </w:r>
      <w:r>
        <w:rPr/>
        <w:t>（</w:t>
      </w:r>
      <w:r>
        <w:rPr>
          <w:spacing w:val="-3"/>
        </w:rPr>
        <w:t>经肾脏活检确认的，符</w:t>
      </w:r>
      <w:r>
        <w:rPr>
          <w:spacing w:val="-26"/>
        </w:rPr>
        <w:t>合 </w:t>
      </w:r>
      <w:r>
        <w:rPr/>
        <w:t>WHO</w:t>
      </w:r>
      <w:r>
        <w:rPr>
          <w:spacing w:val="-16"/>
        </w:rPr>
        <w:t> 诊断标准定义 </w:t>
      </w:r>
      <w:r>
        <w:rPr/>
        <w:t>III</w:t>
      </w:r>
      <w:r>
        <w:rPr>
          <w:spacing w:val="-26"/>
        </w:rPr>
        <w:t> 型至 </w:t>
      </w:r>
      <w:r>
        <w:rPr/>
        <w:t>V</w:t>
      </w:r>
      <w:r>
        <w:rPr>
          <w:spacing w:val="-10"/>
        </w:rPr>
        <w:t> 型狼疮性肾炎</w:t>
      </w:r>
      <w:r>
        <w:rPr/>
        <w:t>）</w:t>
      </w:r>
      <w:r>
        <w:rPr>
          <w:spacing w:val="-3"/>
        </w:rPr>
        <w:t>的系统性红斑狼疮。其他类型的红斑性狼疮，如盘状狼疮、仅累及血液及关节的狼疮不在保障范围内。</w:t>
      </w:r>
      <w:r>
        <w:rPr/>
        <w:t> </w:t>
      </w:r>
    </w:p>
    <w:p>
      <w:pPr>
        <w:pStyle w:val="BodyText"/>
        <w:spacing w:before="72"/>
        <w:ind w:left="1874"/>
        <w:jc w:val="both"/>
      </w:pPr>
      <w:r>
        <w:rPr/>
        <w:t>世界卫生组织（WHO）狼疮性肾炎分型：</w:t>
      </w:r>
    </w:p>
    <w:p>
      <w:pPr>
        <w:pStyle w:val="BodyText"/>
        <w:spacing w:before="4" w:after="1"/>
        <w:ind w:left="0"/>
        <w:rPr>
          <w:sz w:val="14"/>
        </w:rPr>
      </w:pPr>
    </w:p>
    <w:tbl>
      <w:tblPr>
        <w:tblW w:w="0" w:type="auto"/>
        <w:jc w:val="left"/>
        <w:tblInd w:w="1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7"/>
        <w:gridCol w:w="4313"/>
      </w:tblGrid>
      <w:tr>
        <w:trPr>
          <w:trHeight w:val="349" w:hRule="atLeast"/>
        </w:trPr>
        <w:tc>
          <w:tcPr>
            <w:tcW w:w="2587" w:type="dxa"/>
          </w:tcPr>
          <w:p>
            <w:pPr>
              <w:pStyle w:val="TableParagraph"/>
              <w:spacing w:before="42"/>
              <w:ind w:left="35"/>
              <w:rPr>
                <w:sz w:val="21"/>
              </w:rPr>
            </w:pPr>
            <w:r>
              <w:rPr>
                <w:sz w:val="21"/>
              </w:rPr>
              <w:t>I 型（微小病变型）</w:t>
            </w:r>
          </w:p>
        </w:tc>
        <w:tc>
          <w:tcPr>
            <w:tcW w:w="4313" w:type="dxa"/>
          </w:tcPr>
          <w:p>
            <w:pPr>
              <w:pStyle w:val="TableParagraph"/>
              <w:spacing w:before="42"/>
              <w:ind w:left="107"/>
              <w:rPr>
                <w:sz w:val="21"/>
              </w:rPr>
            </w:pPr>
            <w:r>
              <w:rPr>
                <w:sz w:val="21"/>
              </w:rPr>
              <w:t>镜下阴性，尿液正常 </w:t>
            </w:r>
          </w:p>
        </w:tc>
      </w:tr>
      <w:tr>
        <w:trPr>
          <w:trHeight w:val="350" w:hRule="atLeast"/>
        </w:trPr>
        <w:tc>
          <w:tcPr>
            <w:tcW w:w="2587" w:type="dxa"/>
          </w:tcPr>
          <w:p>
            <w:pPr>
              <w:pStyle w:val="TableParagraph"/>
              <w:spacing w:before="42"/>
              <w:ind w:left="35"/>
              <w:rPr>
                <w:sz w:val="21"/>
              </w:rPr>
            </w:pPr>
            <w:r>
              <w:rPr>
                <w:sz w:val="21"/>
              </w:rPr>
              <w:t>II 型（系膜病变型） </w:t>
            </w:r>
          </w:p>
        </w:tc>
        <w:tc>
          <w:tcPr>
            <w:tcW w:w="4313" w:type="dxa"/>
          </w:tcPr>
          <w:p>
            <w:pPr>
              <w:pStyle w:val="TableParagraph"/>
              <w:spacing w:before="42"/>
              <w:ind w:left="107"/>
              <w:rPr>
                <w:sz w:val="21"/>
              </w:rPr>
            </w:pPr>
            <w:r>
              <w:rPr>
                <w:sz w:val="21"/>
              </w:rPr>
              <w:t>中度蛋白尿，偶有尿沉渣改变 </w:t>
            </w:r>
          </w:p>
        </w:tc>
      </w:tr>
      <w:tr>
        <w:trPr>
          <w:trHeight w:val="352" w:hRule="atLeast"/>
        </w:trPr>
        <w:tc>
          <w:tcPr>
            <w:tcW w:w="2587" w:type="dxa"/>
          </w:tcPr>
          <w:p>
            <w:pPr>
              <w:pStyle w:val="TableParagraph"/>
              <w:spacing w:before="45"/>
              <w:ind w:left="35" w:right="-15"/>
              <w:rPr>
                <w:sz w:val="21"/>
              </w:rPr>
            </w:pPr>
            <w:r>
              <w:rPr>
                <w:sz w:val="21"/>
              </w:rPr>
              <w:t>III</w:t>
            </w:r>
            <w:r>
              <w:rPr>
                <w:spacing w:val="-85"/>
                <w:sz w:val="21"/>
              </w:rPr>
              <w:t> 型</w:t>
            </w:r>
            <w:r>
              <w:rPr>
                <w:sz w:val="21"/>
              </w:rPr>
              <w:t>（</w:t>
            </w:r>
            <w:r>
              <w:rPr>
                <w:spacing w:val="-3"/>
                <w:sz w:val="21"/>
              </w:rPr>
              <w:t>局灶及节段增生型</w:t>
            </w:r>
            <w:r>
              <w:rPr>
                <w:spacing w:val="-108"/>
                <w:sz w:val="21"/>
              </w:rPr>
              <w:t>）</w:t>
            </w:r>
            <w:r>
              <w:rPr>
                <w:sz w:val="21"/>
              </w:rPr>
              <w:t> </w:t>
            </w:r>
          </w:p>
        </w:tc>
        <w:tc>
          <w:tcPr>
            <w:tcW w:w="4313" w:type="dxa"/>
          </w:tcPr>
          <w:p>
            <w:pPr>
              <w:pStyle w:val="TableParagraph"/>
              <w:spacing w:before="45"/>
              <w:ind w:left="107"/>
              <w:rPr>
                <w:sz w:val="21"/>
              </w:rPr>
            </w:pPr>
            <w:r>
              <w:rPr>
                <w:sz w:val="21"/>
              </w:rPr>
              <w:t>蛋白尿，尿沉渣改变 </w:t>
            </w:r>
          </w:p>
        </w:tc>
      </w:tr>
    </w:tbl>
    <w:p>
      <w:pPr>
        <w:spacing w:after="0"/>
        <w:rPr>
          <w:sz w:val="21"/>
        </w:rPr>
        <w:sectPr>
          <w:pgSz w:w="11900" w:h="16840"/>
          <w:pgMar w:header="0" w:footer="724" w:top="1040" w:bottom="920" w:left="1680" w:right="1120"/>
        </w:sectPr>
      </w:pPr>
    </w:p>
    <w:tbl>
      <w:tblPr>
        <w:tblW w:w="0" w:type="auto"/>
        <w:jc w:val="left"/>
        <w:tblInd w:w="1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7"/>
        <w:gridCol w:w="4313"/>
      </w:tblGrid>
      <w:tr>
        <w:trPr>
          <w:trHeight w:val="350" w:hRule="atLeast"/>
        </w:trPr>
        <w:tc>
          <w:tcPr>
            <w:tcW w:w="2587" w:type="dxa"/>
          </w:tcPr>
          <w:p>
            <w:pPr>
              <w:pStyle w:val="TableParagraph"/>
              <w:spacing w:before="42"/>
              <w:ind w:left="35"/>
              <w:rPr>
                <w:sz w:val="21"/>
              </w:rPr>
            </w:pPr>
            <w:r>
              <w:rPr>
                <w:sz w:val="21"/>
              </w:rPr>
              <w:t>IV 型（弥漫增生型） </w:t>
            </w:r>
          </w:p>
        </w:tc>
        <w:tc>
          <w:tcPr>
            <w:tcW w:w="4313" w:type="dxa"/>
          </w:tcPr>
          <w:p>
            <w:pPr>
              <w:pStyle w:val="TableParagraph"/>
              <w:spacing w:before="42"/>
              <w:ind w:left="107"/>
              <w:rPr>
                <w:sz w:val="21"/>
              </w:rPr>
            </w:pPr>
            <w:r>
              <w:rPr>
                <w:sz w:val="21"/>
              </w:rPr>
              <w:t>急性肾炎伴有尿沉渣改变及／或肾病综合征 </w:t>
            </w:r>
          </w:p>
        </w:tc>
      </w:tr>
      <w:tr>
        <w:trPr>
          <w:trHeight w:val="297" w:hRule="atLeast"/>
        </w:trPr>
        <w:tc>
          <w:tcPr>
            <w:tcW w:w="2587" w:type="dxa"/>
          </w:tcPr>
          <w:p>
            <w:pPr>
              <w:pStyle w:val="TableParagraph"/>
              <w:spacing w:line="235" w:lineRule="exact" w:before="42"/>
              <w:ind w:left="35"/>
              <w:rPr>
                <w:sz w:val="21"/>
              </w:rPr>
            </w:pPr>
            <w:r>
              <w:rPr>
                <w:sz w:val="21"/>
              </w:rPr>
              <w:t>V 型（膜型） </w:t>
            </w:r>
          </w:p>
        </w:tc>
        <w:tc>
          <w:tcPr>
            <w:tcW w:w="4313" w:type="dxa"/>
          </w:tcPr>
          <w:p>
            <w:pPr>
              <w:pStyle w:val="TableParagraph"/>
              <w:spacing w:line="235" w:lineRule="exact" w:before="42"/>
              <w:ind w:left="107"/>
              <w:rPr>
                <w:sz w:val="21"/>
              </w:rPr>
            </w:pPr>
            <w:r>
              <w:rPr>
                <w:sz w:val="21"/>
              </w:rPr>
              <w:t>肾病综合征或重度蛋白尿 </w:t>
            </w:r>
          </w:p>
        </w:tc>
      </w:tr>
    </w:tbl>
    <w:p>
      <w:pPr>
        <w:pStyle w:val="BodyText"/>
        <w:spacing w:before="7"/>
        <w:ind w:left="0"/>
        <w:rPr>
          <w:sz w:val="6"/>
        </w:rPr>
      </w:pPr>
    </w:p>
    <w:p>
      <w:pPr>
        <w:pStyle w:val="BodyText"/>
        <w:spacing w:before="36"/>
      </w:pPr>
      <w:r>
        <w:rPr/>
        <w:t>三十一、经输血导致的人类免疫缺陷病毒感染</w:t>
      </w:r>
    </w:p>
    <w:p>
      <w:pPr>
        <w:pStyle w:val="BodyText"/>
        <w:spacing w:before="72"/>
      </w:pPr>
      <w:r>
        <w:rPr/>
        <w:t>被保险人感染上人类免疫缺陷病毒（HIV）并且符合下列所有条件： </w:t>
      </w:r>
    </w:p>
    <w:p>
      <w:pPr>
        <w:pStyle w:val="BodyText"/>
      </w:pPr>
      <w:r>
        <w:rPr/>
        <w:t>（1）本主险合同生效日或最后复效日后，被保险人因输血而感染 HIV； </w:t>
      </w:r>
    </w:p>
    <w:p>
      <w:pPr>
        <w:pStyle w:val="BodyText"/>
        <w:ind w:right="120"/>
      </w:pPr>
      <w:r>
        <w:rPr/>
        <w:t>（2）提供输血治疗的输血中心或医疗机构出具该项输血感染属医疗责任事故的报告，或者法院终审裁定为医疗责任； </w:t>
      </w:r>
    </w:p>
    <w:p>
      <w:pPr>
        <w:pStyle w:val="BodyText"/>
      </w:pPr>
      <w:r>
        <w:rPr/>
        <w:t>（3）受感染的被保险人不是血友病患者。 </w:t>
      </w:r>
    </w:p>
    <w:p>
      <w:pPr>
        <w:pStyle w:val="BodyText"/>
        <w:spacing w:before="164"/>
        <w:ind w:left="1972"/>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w:t>
      </w:r>
    </w:p>
    <w:p>
      <w:pPr>
        <w:pStyle w:val="BodyText"/>
        <w:spacing w:before="68"/>
        <w:ind w:left="1972"/>
      </w:pPr>
      <w:r>
        <w:rPr/>
        <w:t>止</w:t>
      </w:r>
      <w:r>
        <w:rPr>
          <w:rFonts w:ascii="Times New Roman" w:eastAsia="Times New Roman"/>
        </w:rPr>
        <w:t>AIDS</w:t>
      </w:r>
      <w:r>
        <w:rPr/>
        <w:t>发生的医疗方法被研究出来以后，本主险合同将不再予以赔付。</w:t>
      </w:r>
    </w:p>
    <w:p>
      <w:pPr>
        <w:pStyle w:val="BodyText"/>
        <w:spacing w:before="56"/>
        <w:ind w:right="119"/>
      </w:pPr>
      <w:r>
        <w:rPr>
          <w:spacing w:val="-4"/>
        </w:rPr>
        <w:t>任何因其他传播方式</w:t>
      </w:r>
      <w:r>
        <w:rPr/>
        <w:t>（</w:t>
      </w:r>
      <w:r>
        <w:rPr>
          <w:spacing w:val="-4"/>
        </w:rPr>
        <w:t>包括：性传播或静脉注射毒品</w:t>
      </w:r>
      <w:r>
        <w:rPr>
          <w:spacing w:val="-8"/>
        </w:rPr>
        <w:t>）</w:t>
      </w:r>
      <w:r>
        <w:rPr>
          <w:spacing w:val="-11"/>
        </w:rPr>
        <w:t>导致的 </w:t>
      </w:r>
      <w:r>
        <w:rPr/>
        <w:t>HIV</w:t>
      </w:r>
      <w:r>
        <w:rPr>
          <w:spacing w:val="-9"/>
        </w:rPr>
        <w:t> 感染不在</w:t>
      </w:r>
      <w:r>
        <w:rPr>
          <w:spacing w:val="-6"/>
        </w:rPr>
        <w:t>保障范围内。</w:t>
      </w:r>
      <w:r>
        <w:rPr/>
        <w:t> </w:t>
      </w:r>
    </w:p>
    <w:p>
      <w:pPr>
        <w:pStyle w:val="BodyText"/>
        <w:spacing w:before="154"/>
      </w:pPr>
      <w:r>
        <w:rPr/>
        <w:t>三十二、Ⅰ型糖尿病</w:t>
      </w:r>
    </w:p>
    <w:p>
      <w:pPr>
        <w:pStyle w:val="BodyText"/>
        <w:spacing w:before="73"/>
        <w:ind w:right="119"/>
        <w:jc w:val="both"/>
      </w:pPr>
      <w:r>
        <w:rPr>
          <w:spacing w:val="-4"/>
        </w:rPr>
        <w:t>胰岛素依赖型糖尿病是由于胰岛素分泌不足引起的慢性血糖升高，并需持续</w:t>
      </w:r>
      <w:r>
        <w:rPr>
          <w:spacing w:val="-6"/>
        </w:rPr>
        <w:t>性地依赖外源性胰岛素维持 </w:t>
      </w:r>
      <w:r>
        <w:rPr/>
        <w:t>180</w:t>
      </w:r>
      <w:r>
        <w:rPr>
          <w:spacing w:val="-9"/>
        </w:rPr>
        <w:t> 天以上，须由专科医生确诊并满足下述至少</w:t>
      </w:r>
      <w:r>
        <w:rPr>
          <w:spacing w:val="-6"/>
        </w:rPr>
        <w:t>一个条件：</w:t>
      </w:r>
      <w:r>
        <w:rPr/>
        <w:t> </w:t>
      </w:r>
    </w:p>
    <w:p>
      <w:pPr>
        <w:pStyle w:val="BodyText"/>
        <w:spacing w:before="73"/>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spacing w:before="154"/>
        <w:jc w:val="both"/>
      </w:pPr>
      <w:r>
        <w:rPr/>
        <w:t>三十三、克隆病</w:t>
      </w:r>
    </w:p>
    <w:p>
      <w:pPr>
        <w:pStyle w:val="BodyText"/>
        <w:spacing w:before="72"/>
        <w:ind w:right="119"/>
        <w:jc w:val="both"/>
      </w:pPr>
      <w:r>
        <w:rPr>
          <w:spacing w:val="-5"/>
        </w:rPr>
        <w:t>克隆病是一种慢性肉芽肿性肠炎。被保险人所患的克隆病必须已经造成瘘管</w:t>
      </w:r>
      <w:r>
        <w:rPr>
          <w:spacing w:val="-6"/>
        </w:rPr>
        <w:t>形成并伴有肠梗阻或肠穿孔。诊断必须由病理检查结果证实存在特征性的克</w:t>
      </w:r>
      <w:r>
        <w:rPr>
          <w:spacing w:val="-4"/>
        </w:rPr>
        <w:t>隆病病理组织学变化。</w:t>
      </w:r>
      <w:r>
        <w:rPr/>
        <w:t> </w:t>
      </w:r>
    </w:p>
    <w:p>
      <w:pPr>
        <w:pStyle w:val="BodyText"/>
        <w:spacing w:before="151"/>
      </w:pPr>
      <w:r>
        <w:rPr/>
        <w:t>三十四、植物人状态</w:t>
      </w:r>
    </w:p>
    <w:p>
      <w:pPr>
        <w:pStyle w:val="BodyText"/>
        <w:spacing w:line="237" w:lineRule="auto" w:before="77"/>
        <w:ind w:right="119"/>
        <w:jc w:val="both"/>
      </w:pPr>
      <w:r>
        <w:rPr>
          <w:spacing w:val="1"/>
        </w:rPr>
        <w:t>本主险合同所指的植物人状态是指由于严重脑创伤造成的对自身和环境的</w:t>
      </w:r>
      <w:r>
        <w:rPr>
          <w:spacing w:val="-5"/>
        </w:rPr>
        <w:t>意识的完全丧失状态。植物人状态必须由医疗机构的专科医生明确诊断，并</w:t>
      </w:r>
      <w:r>
        <w:rPr>
          <w:spacing w:val="-4"/>
        </w:rPr>
        <w:t>且确认被保险人在头部创伤</w:t>
      </w:r>
      <w:r>
        <w:rPr/>
        <w:t>60</w:t>
      </w:r>
      <w:r>
        <w:rPr>
          <w:spacing w:val="-3"/>
        </w:rPr>
        <w:t>天后的头部创伤昏迷评分小于6</w:t>
      </w:r>
      <w:r>
        <w:rPr>
          <w:spacing w:val="-2"/>
        </w:rPr>
        <w:t>分。</w:t>
      </w:r>
      <w:r>
        <w:rPr/>
        <w:t> </w:t>
      </w:r>
    </w:p>
    <w:p>
      <w:pPr>
        <w:pStyle w:val="BodyText"/>
      </w:pPr>
      <w:r>
        <w:rPr/>
        <w:t>Glasgow 头部创伤昏迷评分表： </w:t>
      </w:r>
    </w:p>
    <w:p>
      <w:pPr>
        <w:pStyle w:val="BodyText"/>
        <w:spacing w:before="5"/>
        <w:ind w:left="0"/>
        <w:rPr>
          <w:sz w:val="14"/>
        </w:rPr>
      </w:pPr>
    </w:p>
    <w:tbl>
      <w:tblPr>
        <w:tblW w:w="0" w:type="auto"/>
        <w:jc w:val="left"/>
        <w:tblInd w:w="2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331"/>
        <w:gridCol w:w="1941"/>
        <w:gridCol w:w="400"/>
        <w:gridCol w:w="1079"/>
        <w:gridCol w:w="455"/>
      </w:tblGrid>
      <w:tr>
        <w:trPr>
          <w:trHeight w:val="350" w:hRule="atLeast"/>
        </w:trPr>
        <w:tc>
          <w:tcPr>
            <w:tcW w:w="1788" w:type="dxa"/>
            <w:gridSpan w:val="2"/>
          </w:tcPr>
          <w:p>
            <w:pPr>
              <w:pStyle w:val="TableParagraph"/>
              <w:spacing w:before="42"/>
              <w:ind w:left="208"/>
              <w:rPr>
                <w:sz w:val="21"/>
              </w:rPr>
            </w:pPr>
            <w:r>
              <w:rPr>
                <w:sz w:val="21"/>
              </w:rPr>
              <w:t>睁眼活动（E） </w:t>
            </w:r>
          </w:p>
        </w:tc>
        <w:tc>
          <w:tcPr>
            <w:tcW w:w="2341" w:type="dxa"/>
            <w:gridSpan w:val="2"/>
          </w:tcPr>
          <w:p>
            <w:pPr>
              <w:pStyle w:val="TableParagraph"/>
              <w:spacing w:before="42"/>
              <w:ind w:left="487"/>
              <w:rPr>
                <w:sz w:val="21"/>
              </w:rPr>
            </w:pPr>
            <w:r>
              <w:rPr>
                <w:sz w:val="21"/>
              </w:rPr>
              <w:t>运动功能（M） </w:t>
            </w:r>
          </w:p>
        </w:tc>
        <w:tc>
          <w:tcPr>
            <w:tcW w:w="1534" w:type="dxa"/>
            <w:gridSpan w:val="2"/>
          </w:tcPr>
          <w:p>
            <w:pPr>
              <w:pStyle w:val="TableParagraph"/>
              <w:spacing w:before="42"/>
              <w:ind w:left="106" w:right="-15"/>
              <w:rPr>
                <w:sz w:val="21"/>
              </w:rPr>
            </w:pPr>
            <w:r>
              <w:rPr>
                <w:spacing w:val="-1"/>
                <w:sz w:val="21"/>
              </w:rPr>
              <w:t>语言功能</w:t>
            </w:r>
            <w:r>
              <w:rPr>
                <w:spacing w:val="-18"/>
                <w:sz w:val="21"/>
              </w:rPr>
              <w:t>（V）</w:t>
            </w:r>
            <w:r>
              <w:rPr>
                <w:sz w:val="21"/>
              </w:rPr>
              <w:t> </w:t>
            </w:r>
          </w:p>
        </w:tc>
      </w:tr>
      <w:tr>
        <w:trPr>
          <w:trHeight w:val="387" w:hRule="atLeast"/>
        </w:trPr>
        <w:tc>
          <w:tcPr>
            <w:tcW w:w="1457" w:type="dxa"/>
            <w:tcBorders>
              <w:bottom w:val="nil"/>
            </w:tcBorders>
          </w:tcPr>
          <w:p>
            <w:pPr>
              <w:pStyle w:val="TableParagraph"/>
              <w:spacing w:before="42"/>
              <w:ind w:left="105"/>
              <w:rPr>
                <w:sz w:val="21"/>
              </w:rPr>
            </w:pPr>
            <w:r>
              <w:rPr>
                <w:sz w:val="21"/>
              </w:rPr>
              <w:t>自动睁眼 </w:t>
            </w:r>
          </w:p>
        </w:tc>
        <w:tc>
          <w:tcPr>
            <w:tcW w:w="331" w:type="dxa"/>
            <w:tcBorders>
              <w:bottom w:val="nil"/>
            </w:tcBorders>
          </w:tcPr>
          <w:p>
            <w:pPr>
              <w:pStyle w:val="TableParagraph"/>
              <w:spacing w:before="42"/>
              <w:jc w:val="right"/>
              <w:rPr>
                <w:sz w:val="21"/>
              </w:rPr>
            </w:pPr>
            <w:r>
              <w:rPr>
                <w:sz w:val="21"/>
              </w:rPr>
              <w:t>4 </w:t>
            </w:r>
          </w:p>
        </w:tc>
        <w:tc>
          <w:tcPr>
            <w:tcW w:w="1941" w:type="dxa"/>
            <w:tcBorders>
              <w:bottom w:val="nil"/>
            </w:tcBorders>
          </w:tcPr>
          <w:p>
            <w:pPr>
              <w:pStyle w:val="TableParagraph"/>
              <w:spacing w:before="42"/>
              <w:ind w:left="107"/>
              <w:rPr>
                <w:sz w:val="21"/>
              </w:rPr>
            </w:pPr>
            <w:r>
              <w:rPr>
                <w:sz w:val="21"/>
              </w:rPr>
              <w:t>能听从指令活动 </w:t>
            </w:r>
          </w:p>
        </w:tc>
        <w:tc>
          <w:tcPr>
            <w:tcW w:w="400" w:type="dxa"/>
            <w:tcBorders>
              <w:bottom w:val="nil"/>
            </w:tcBorders>
          </w:tcPr>
          <w:p>
            <w:pPr>
              <w:pStyle w:val="TableParagraph"/>
              <w:spacing w:before="42"/>
              <w:ind w:left="141" w:right="103"/>
              <w:jc w:val="center"/>
              <w:rPr>
                <w:sz w:val="21"/>
              </w:rPr>
            </w:pPr>
            <w:r>
              <w:rPr>
                <w:sz w:val="21"/>
              </w:rPr>
              <w:t>6 </w:t>
            </w:r>
          </w:p>
        </w:tc>
        <w:tc>
          <w:tcPr>
            <w:tcW w:w="1079" w:type="dxa"/>
            <w:tcBorders>
              <w:bottom w:val="nil"/>
            </w:tcBorders>
          </w:tcPr>
          <w:p>
            <w:pPr>
              <w:pStyle w:val="TableParagraph"/>
              <w:spacing w:before="42"/>
              <w:ind w:left="106"/>
              <w:rPr>
                <w:sz w:val="21"/>
              </w:rPr>
            </w:pPr>
            <w:r>
              <w:rPr>
                <w:sz w:val="21"/>
              </w:rPr>
              <w:t>语言切题 </w:t>
            </w:r>
          </w:p>
        </w:tc>
        <w:tc>
          <w:tcPr>
            <w:tcW w:w="455" w:type="dxa"/>
            <w:tcBorders>
              <w:bottom w:val="nil"/>
            </w:tcBorders>
          </w:tcPr>
          <w:p>
            <w:pPr>
              <w:pStyle w:val="TableParagraph"/>
              <w:spacing w:before="42"/>
              <w:ind w:left="107"/>
              <w:rPr>
                <w:sz w:val="21"/>
              </w:rPr>
            </w:pPr>
            <w:r>
              <w:rPr>
                <w:sz w:val="21"/>
              </w:rPr>
              <w:t>5 </w:t>
            </w:r>
          </w:p>
        </w:tc>
      </w:tr>
      <w:tr>
        <w:trPr>
          <w:trHeight w:val="350" w:hRule="atLeast"/>
        </w:trPr>
        <w:tc>
          <w:tcPr>
            <w:tcW w:w="1457" w:type="dxa"/>
            <w:tcBorders>
              <w:top w:val="nil"/>
              <w:bottom w:val="nil"/>
            </w:tcBorders>
          </w:tcPr>
          <w:p>
            <w:pPr>
              <w:pStyle w:val="TableParagraph"/>
              <w:spacing w:before="6"/>
              <w:ind w:left="105"/>
              <w:rPr>
                <w:sz w:val="21"/>
              </w:rPr>
            </w:pPr>
            <w:r>
              <w:rPr>
                <w:sz w:val="21"/>
              </w:rPr>
              <w:t>闻声后睁眼 </w:t>
            </w:r>
          </w:p>
        </w:tc>
        <w:tc>
          <w:tcPr>
            <w:tcW w:w="331" w:type="dxa"/>
            <w:tcBorders>
              <w:top w:val="nil"/>
              <w:bottom w:val="nil"/>
            </w:tcBorders>
          </w:tcPr>
          <w:p>
            <w:pPr>
              <w:pStyle w:val="TableParagraph"/>
              <w:spacing w:before="6"/>
              <w:jc w:val="right"/>
              <w:rPr>
                <w:sz w:val="21"/>
              </w:rPr>
            </w:pPr>
            <w:r>
              <w:rPr>
                <w:sz w:val="21"/>
              </w:rPr>
              <w:t>3 </w:t>
            </w:r>
          </w:p>
        </w:tc>
        <w:tc>
          <w:tcPr>
            <w:tcW w:w="1941" w:type="dxa"/>
            <w:tcBorders>
              <w:top w:val="nil"/>
              <w:bottom w:val="nil"/>
            </w:tcBorders>
          </w:tcPr>
          <w:p>
            <w:pPr>
              <w:pStyle w:val="TableParagraph"/>
              <w:spacing w:before="6"/>
              <w:ind w:left="107"/>
              <w:rPr>
                <w:sz w:val="21"/>
              </w:rPr>
            </w:pPr>
            <w:r>
              <w:rPr>
                <w:sz w:val="21"/>
              </w:rPr>
              <w:t>局部痛刺激有反应 </w:t>
            </w:r>
          </w:p>
        </w:tc>
        <w:tc>
          <w:tcPr>
            <w:tcW w:w="400" w:type="dxa"/>
            <w:tcBorders>
              <w:top w:val="nil"/>
              <w:bottom w:val="nil"/>
            </w:tcBorders>
          </w:tcPr>
          <w:p>
            <w:pPr>
              <w:pStyle w:val="TableParagraph"/>
              <w:spacing w:before="6"/>
              <w:ind w:left="141" w:right="103"/>
              <w:jc w:val="center"/>
              <w:rPr>
                <w:sz w:val="21"/>
              </w:rPr>
            </w:pPr>
            <w:r>
              <w:rPr>
                <w:sz w:val="21"/>
              </w:rPr>
              <w:t>5 </w:t>
            </w:r>
          </w:p>
        </w:tc>
        <w:tc>
          <w:tcPr>
            <w:tcW w:w="1079" w:type="dxa"/>
            <w:tcBorders>
              <w:top w:val="nil"/>
              <w:bottom w:val="nil"/>
            </w:tcBorders>
          </w:tcPr>
          <w:p>
            <w:pPr>
              <w:pStyle w:val="TableParagraph"/>
              <w:spacing w:before="6"/>
              <w:ind w:left="106"/>
              <w:rPr>
                <w:sz w:val="21"/>
              </w:rPr>
            </w:pPr>
            <w:r>
              <w:rPr>
                <w:sz w:val="21"/>
              </w:rPr>
              <w:t>语不达意 </w:t>
            </w:r>
          </w:p>
        </w:tc>
        <w:tc>
          <w:tcPr>
            <w:tcW w:w="455" w:type="dxa"/>
            <w:tcBorders>
              <w:top w:val="nil"/>
              <w:bottom w:val="nil"/>
            </w:tcBorders>
          </w:tcPr>
          <w:p>
            <w:pPr>
              <w:pStyle w:val="TableParagraph"/>
              <w:spacing w:before="6"/>
              <w:ind w:left="107"/>
              <w:rPr>
                <w:sz w:val="21"/>
              </w:rPr>
            </w:pPr>
            <w:r>
              <w:rPr>
                <w:sz w:val="21"/>
              </w:rPr>
              <w:t>4 </w:t>
            </w:r>
          </w:p>
        </w:tc>
      </w:tr>
      <w:tr>
        <w:trPr>
          <w:trHeight w:val="350" w:hRule="atLeast"/>
        </w:trPr>
        <w:tc>
          <w:tcPr>
            <w:tcW w:w="1457" w:type="dxa"/>
            <w:tcBorders>
              <w:top w:val="nil"/>
              <w:bottom w:val="nil"/>
            </w:tcBorders>
          </w:tcPr>
          <w:p>
            <w:pPr>
              <w:pStyle w:val="TableParagraph"/>
              <w:spacing w:before="6"/>
              <w:ind w:left="105"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jc w:val="right"/>
              <w:rPr>
                <w:sz w:val="21"/>
              </w:rPr>
            </w:pPr>
            <w:r>
              <w:rPr>
                <w:sz w:val="21"/>
              </w:rPr>
              <w:t>2 </w:t>
            </w:r>
          </w:p>
        </w:tc>
        <w:tc>
          <w:tcPr>
            <w:tcW w:w="1941" w:type="dxa"/>
            <w:tcBorders>
              <w:top w:val="nil"/>
              <w:bottom w:val="nil"/>
            </w:tcBorders>
          </w:tcPr>
          <w:p>
            <w:pPr>
              <w:pStyle w:val="TableParagraph"/>
              <w:spacing w:before="6"/>
              <w:ind w:left="107"/>
              <w:rPr>
                <w:sz w:val="21"/>
              </w:rPr>
            </w:pPr>
            <w:r>
              <w:rPr>
                <w:sz w:val="21"/>
              </w:rPr>
              <w:t>正常回缩反应 </w:t>
            </w:r>
          </w:p>
        </w:tc>
        <w:tc>
          <w:tcPr>
            <w:tcW w:w="400" w:type="dxa"/>
            <w:tcBorders>
              <w:top w:val="nil"/>
              <w:bottom w:val="nil"/>
            </w:tcBorders>
          </w:tcPr>
          <w:p>
            <w:pPr>
              <w:pStyle w:val="TableParagraph"/>
              <w:spacing w:before="6"/>
              <w:ind w:left="141" w:right="103"/>
              <w:jc w:val="center"/>
              <w:rPr>
                <w:sz w:val="21"/>
              </w:rPr>
            </w:pPr>
            <w:r>
              <w:rPr>
                <w:sz w:val="21"/>
              </w:rPr>
              <w:t>4 </w:t>
            </w:r>
          </w:p>
        </w:tc>
        <w:tc>
          <w:tcPr>
            <w:tcW w:w="1079" w:type="dxa"/>
            <w:tcBorders>
              <w:top w:val="nil"/>
              <w:bottom w:val="nil"/>
            </w:tcBorders>
          </w:tcPr>
          <w:p>
            <w:pPr>
              <w:pStyle w:val="TableParagraph"/>
              <w:spacing w:before="6"/>
              <w:ind w:left="106"/>
              <w:rPr>
                <w:sz w:val="21"/>
              </w:rPr>
            </w:pPr>
            <w:r>
              <w:rPr>
                <w:sz w:val="21"/>
              </w:rPr>
              <w:t>语言错乱 </w:t>
            </w:r>
          </w:p>
        </w:tc>
        <w:tc>
          <w:tcPr>
            <w:tcW w:w="455" w:type="dxa"/>
            <w:tcBorders>
              <w:top w:val="nil"/>
              <w:bottom w:val="nil"/>
            </w:tcBorders>
          </w:tcPr>
          <w:p>
            <w:pPr>
              <w:pStyle w:val="TableParagraph"/>
              <w:spacing w:before="6"/>
              <w:ind w:left="107"/>
              <w:rPr>
                <w:sz w:val="21"/>
              </w:rPr>
            </w:pPr>
            <w:r>
              <w:rPr>
                <w:sz w:val="21"/>
              </w:rPr>
              <w:t>3 </w:t>
            </w:r>
          </w:p>
        </w:tc>
      </w:tr>
      <w:tr>
        <w:trPr>
          <w:trHeight w:val="350" w:hRule="atLeast"/>
        </w:trPr>
        <w:tc>
          <w:tcPr>
            <w:tcW w:w="1457" w:type="dxa"/>
            <w:tcBorders>
              <w:top w:val="nil"/>
              <w:bottom w:val="nil"/>
            </w:tcBorders>
          </w:tcPr>
          <w:p>
            <w:pPr>
              <w:pStyle w:val="TableParagraph"/>
              <w:spacing w:before="6"/>
              <w:ind w:left="105"/>
              <w:rPr>
                <w:sz w:val="21"/>
              </w:rPr>
            </w:pPr>
            <w:r>
              <w:rPr>
                <w:sz w:val="21"/>
              </w:rPr>
              <w:t>从不睁眼 </w:t>
            </w:r>
          </w:p>
        </w:tc>
        <w:tc>
          <w:tcPr>
            <w:tcW w:w="331" w:type="dxa"/>
            <w:tcBorders>
              <w:top w:val="nil"/>
              <w:bottom w:val="nil"/>
            </w:tcBorders>
          </w:tcPr>
          <w:p>
            <w:pPr>
              <w:pStyle w:val="TableParagraph"/>
              <w:spacing w:before="6"/>
              <w:jc w:val="right"/>
              <w:rPr>
                <w:sz w:val="21"/>
              </w:rPr>
            </w:pPr>
            <w:r>
              <w:rPr>
                <w:sz w:val="21"/>
              </w:rPr>
              <w:t>1 </w:t>
            </w:r>
          </w:p>
        </w:tc>
        <w:tc>
          <w:tcPr>
            <w:tcW w:w="1941" w:type="dxa"/>
            <w:tcBorders>
              <w:top w:val="nil"/>
              <w:bottom w:val="nil"/>
            </w:tcBorders>
          </w:tcPr>
          <w:p>
            <w:pPr>
              <w:pStyle w:val="TableParagraph"/>
              <w:spacing w:before="6"/>
              <w:ind w:left="107"/>
              <w:rPr>
                <w:sz w:val="21"/>
              </w:rPr>
            </w:pPr>
            <w:r>
              <w:rPr>
                <w:sz w:val="21"/>
              </w:rPr>
              <w:t>屈曲性姿势 </w:t>
            </w:r>
          </w:p>
        </w:tc>
        <w:tc>
          <w:tcPr>
            <w:tcW w:w="400" w:type="dxa"/>
            <w:tcBorders>
              <w:top w:val="nil"/>
              <w:bottom w:val="nil"/>
            </w:tcBorders>
          </w:tcPr>
          <w:p>
            <w:pPr>
              <w:pStyle w:val="TableParagraph"/>
              <w:spacing w:before="6"/>
              <w:ind w:left="141" w:right="103"/>
              <w:jc w:val="center"/>
              <w:rPr>
                <w:sz w:val="21"/>
              </w:rPr>
            </w:pPr>
            <w:r>
              <w:rPr>
                <w:sz w:val="21"/>
              </w:rPr>
              <w:t>3 </w:t>
            </w:r>
          </w:p>
        </w:tc>
        <w:tc>
          <w:tcPr>
            <w:tcW w:w="1079" w:type="dxa"/>
            <w:tcBorders>
              <w:top w:val="nil"/>
              <w:bottom w:val="nil"/>
            </w:tcBorders>
          </w:tcPr>
          <w:p>
            <w:pPr>
              <w:pStyle w:val="TableParagraph"/>
              <w:spacing w:before="6"/>
              <w:ind w:left="106"/>
              <w:rPr>
                <w:sz w:val="21"/>
              </w:rPr>
            </w:pPr>
            <w:r>
              <w:rPr>
                <w:sz w:val="21"/>
              </w:rPr>
              <w:t>糊涂发音 </w:t>
            </w:r>
          </w:p>
        </w:tc>
        <w:tc>
          <w:tcPr>
            <w:tcW w:w="455" w:type="dxa"/>
            <w:tcBorders>
              <w:top w:val="nil"/>
              <w:bottom w:val="nil"/>
            </w:tcBorders>
          </w:tcPr>
          <w:p>
            <w:pPr>
              <w:pStyle w:val="TableParagraph"/>
              <w:spacing w:before="6"/>
              <w:ind w:left="107"/>
              <w:rPr>
                <w:sz w:val="21"/>
              </w:rPr>
            </w:pPr>
            <w:r>
              <w:rPr>
                <w:sz w:val="21"/>
              </w:rPr>
              <w:t>2 </w:t>
            </w:r>
          </w:p>
        </w:tc>
      </w:tr>
      <w:tr>
        <w:trPr>
          <w:trHeight w:val="350" w:hRule="atLeast"/>
        </w:trPr>
        <w:tc>
          <w:tcPr>
            <w:tcW w:w="1457"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41" w:type="dxa"/>
            <w:tcBorders>
              <w:top w:val="nil"/>
              <w:bottom w:val="nil"/>
            </w:tcBorders>
          </w:tcPr>
          <w:p>
            <w:pPr>
              <w:pStyle w:val="TableParagraph"/>
              <w:spacing w:before="6"/>
              <w:ind w:left="107"/>
              <w:rPr>
                <w:sz w:val="21"/>
              </w:rPr>
            </w:pPr>
            <w:r>
              <w:rPr>
                <w:sz w:val="21"/>
              </w:rPr>
              <w:t>伸直性姿势 </w:t>
            </w:r>
          </w:p>
        </w:tc>
        <w:tc>
          <w:tcPr>
            <w:tcW w:w="400" w:type="dxa"/>
            <w:tcBorders>
              <w:top w:val="nil"/>
              <w:bottom w:val="nil"/>
            </w:tcBorders>
          </w:tcPr>
          <w:p>
            <w:pPr>
              <w:pStyle w:val="TableParagraph"/>
              <w:spacing w:before="6"/>
              <w:ind w:left="141" w:right="103"/>
              <w:jc w:val="center"/>
              <w:rPr>
                <w:sz w:val="21"/>
              </w:rPr>
            </w:pPr>
            <w:r>
              <w:rPr>
                <w:sz w:val="21"/>
              </w:rPr>
              <w:t>2 </w:t>
            </w:r>
          </w:p>
        </w:tc>
        <w:tc>
          <w:tcPr>
            <w:tcW w:w="1079" w:type="dxa"/>
            <w:tcBorders>
              <w:top w:val="nil"/>
              <w:bottom w:val="nil"/>
            </w:tcBorders>
          </w:tcPr>
          <w:p>
            <w:pPr>
              <w:pStyle w:val="TableParagraph"/>
              <w:spacing w:before="6"/>
              <w:ind w:left="106"/>
              <w:rPr>
                <w:sz w:val="21"/>
              </w:rPr>
            </w:pPr>
            <w:r>
              <w:rPr>
                <w:sz w:val="21"/>
              </w:rPr>
              <w:t>无语言 </w:t>
            </w:r>
          </w:p>
        </w:tc>
        <w:tc>
          <w:tcPr>
            <w:tcW w:w="455" w:type="dxa"/>
            <w:tcBorders>
              <w:top w:val="nil"/>
              <w:bottom w:val="nil"/>
            </w:tcBorders>
          </w:tcPr>
          <w:p>
            <w:pPr>
              <w:pStyle w:val="TableParagraph"/>
              <w:spacing w:before="6"/>
              <w:ind w:left="107"/>
              <w:rPr>
                <w:sz w:val="21"/>
              </w:rPr>
            </w:pPr>
            <w:r>
              <w:rPr>
                <w:sz w:val="21"/>
              </w:rPr>
              <w:t>1 </w:t>
            </w:r>
          </w:p>
        </w:tc>
      </w:tr>
      <w:tr>
        <w:trPr>
          <w:trHeight w:val="313" w:hRule="atLeast"/>
        </w:trPr>
        <w:tc>
          <w:tcPr>
            <w:tcW w:w="1457"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41" w:type="dxa"/>
            <w:tcBorders>
              <w:top w:val="nil"/>
            </w:tcBorders>
          </w:tcPr>
          <w:p>
            <w:pPr>
              <w:pStyle w:val="TableParagraph"/>
              <w:spacing w:before="6"/>
              <w:ind w:left="107"/>
              <w:rPr>
                <w:sz w:val="21"/>
              </w:rPr>
            </w:pPr>
            <w:r>
              <w:rPr>
                <w:sz w:val="21"/>
              </w:rPr>
              <w:t>无运动反应 </w:t>
            </w:r>
          </w:p>
        </w:tc>
        <w:tc>
          <w:tcPr>
            <w:tcW w:w="400" w:type="dxa"/>
            <w:tcBorders>
              <w:top w:val="nil"/>
            </w:tcBorders>
          </w:tcPr>
          <w:p>
            <w:pPr>
              <w:pStyle w:val="TableParagraph"/>
              <w:spacing w:before="6"/>
              <w:ind w:left="141" w:right="103"/>
              <w:jc w:val="center"/>
              <w:rPr>
                <w:sz w:val="21"/>
              </w:rPr>
            </w:pPr>
            <w:r>
              <w:rPr>
                <w:sz w:val="21"/>
              </w:rPr>
              <w:t>1 </w:t>
            </w:r>
          </w:p>
        </w:tc>
        <w:tc>
          <w:tcPr>
            <w:tcW w:w="1079" w:type="dxa"/>
            <w:tcBorders>
              <w:top w:val="nil"/>
            </w:tcBorders>
          </w:tcPr>
          <w:p>
            <w:pPr>
              <w:pStyle w:val="TableParagraph"/>
              <w:rPr>
                <w:rFonts w:ascii="Times New Roman"/>
                <w:sz w:val="20"/>
              </w:rPr>
            </w:pPr>
          </w:p>
        </w:tc>
        <w:tc>
          <w:tcPr>
            <w:tcW w:w="455" w:type="dxa"/>
            <w:tcBorders>
              <w:top w:val="nil"/>
            </w:tcBorders>
          </w:tcPr>
          <w:p>
            <w:pPr>
              <w:pStyle w:val="TableParagraph"/>
              <w:spacing w:before="6"/>
              <w:ind w:left="107"/>
              <w:rPr>
                <w:sz w:val="21"/>
              </w:rPr>
            </w:pPr>
            <w:r>
              <w:rPr>
                <w:w w:val="100"/>
                <w:sz w:val="21"/>
              </w:rPr>
              <w:t> </w:t>
            </w:r>
          </w:p>
        </w:tc>
      </w:tr>
    </w:tbl>
    <w:p>
      <w:pPr>
        <w:pStyle w:val="BodyText"/>
        <w:spacing w:before="42"/>
      </w:pPr>
      <w:r>
        <w:rPr/>
        <w:t>评分＝E＋M＋V</w:t>
      </w:r>
    </w:p>
    <w:p>
      <w:pPr>
        <w:pStyle w:val="BodyText"/>
        <w:spacing w:before="154"/>
      </w:pPr>
      <w:r>
        <w:rPr/>
        <w:t>三十五、严重全身型重症肌无力</w:t>
      </w:r>
    </w:p>
    <w:p>
      <w:pPr>
        <w:pStyle w:val="BodyText"/>
        <w:spacing w:line="237" w:lineRule="auto" w:before="78"/>
        <w:ind w:right="119"/>
        <w:jc w:val="both"/>
      </w:pPr>
      <w:r>
        <w:rPr>
          <w:spacing w:val="-4"/>
        </w:rPr>
        <w:t>重症肌无力是一种神经肌肉接头传递障碍所致的疾病，表现为局部或全身骨</w:t>
      </w:r>
      <w:r>
        <w:rPr>
          <w:spacing w:val="-6"/>
        </w:rPr>
        <w:t>骼肌</w:t>
      </w:r>
      <w:r>
        <w:rPr/>
        <w:t>（</w:t>
      </w:r>
      <w:r>
        <w:rPr>
          <w:spacing w:val="-3"/>
        </w:rPr>
        <w:t>特别是眼外肌</w:t>
      </w:r>
      <w:r>
        <w:rPr>
          <w:spacing w:val="-8"/>
        </w:rPr>
        <w:t>）</w:t>
      </w:r>
      <w:r>
        <w:rPr>
          <w:spacing w:val="-5"/>
        </w:rPr>
        <w:t>极易疲劳。疾病可以累及呼吸肌、上肢或下肢的近端</w:t>
      </w:r>
      <w:r>
        <w:rPr>
          <w:spacing w:val="-7"/>
        </w:rPr>
        <w:t>肌群或全身肌肉。重症肌无力必须经药物治疗和胸腺切除治疗一年以上仍无法控制病情，且日常生活活动评估证实被保险人无能力独立完成六项基本日</w:t>
      </w:r>
    </w:p>
    <w:p>
      <w:pPr>
        <w:spacing w:after="0" w:line="237" w:lineRule="auto"/>
        <w:jc w:val="both"/>
        <w:sectPr>
          <w:pgSz w:w="11900" w:h="16840"/>
          <w:pgMar w:header="0" w:footer="724" w:top="1080" w:bottom="920" w:left="1680" w:right="12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402"/>
        <w:gridCol w:w="7138"/>
      </w:tblGrid>
      <w:tr>
        <w:trPr>
          <w:trHeight w:val="640" w:hRule="atLeast"/>
        </w:trPr>
        <w:tc>
          <w:tcPr>
            <w:tcW w:w="2026" w:type="dxa"/>
            <w:gridSpan w:val="2"/>
          </w:tcPr>
          <w:p>
            <w:pPr>
              <w:pStyle w:val="TableParagraph"/>
              <w:rPr>
                <w:rFonts w:ascii="Times New Roman"/>
                <w:sz w:val="20"/>
              </w:rPr>
            </w:pPr>
          </w:p>
        </w:tc>
        <w:tc>
          <w:tcPr>
            <w:tcW w:w="7138" w:type="dxa"/>
          </w:tcPr>
          <w:p>
            <w:pPr>
              <w:pStyle w:val="TableParagraph"/>
              <w:spacing w:line="202" w:lineRule="exact"/>
              <w:ind w:left="174"/>
              <w:rPr>
                <w:sz w:val="21"/>
              </w:rPr>
            </w:pPr>
            <w:r>
              <w:rPr>
                <w:sz w:val="21"/>
              </w:rPr>
              <w:t>常生活活动中的三项或三项以上。 </w:t>
            </w:r>
          </w:p>
          <w:p>
            <w:pPr>
              <w:pStyle w:val="TableParagraph"/>
              <w:spacing w:before="73"/>
              <w:ind w:left="174"/>
              <w:rPr>
                <w:sz w:val="21"/>
              </w:rPr>
            </w:pPr>
            <w:r>
              <w:rPr>
                <w:sz w:val="21"/>
              </w:rPr>
              <w:t>眼肌型重症肌无力不在保障范围内。</w:t>
            </w:r>
          </w:p>
        </w:tc>
      </w:tr>
      <w:tr>
        <w:trPr>
          <w:trHeight w:val="377" w:hRule="atLeast"/>
        </w:trPr>
        <w:tc>
          <w:tcPr>
            <w:tcW w:w="624" w:type="dxa"/>
          </w:tcPr>
          <w:p>
            <w:pPr>
              <w:pStyle w:val="TableParagraph"/>
              <w:spacing w:before="9"/>
              <w:ind w:left="50"/>
              <w:rPr>
                <w:sz w:val="21"/>
              </w:rPr>
            </w:pPr>
            <w:r>
              <w:rPr>
                <w:w w:val="100"/>
                <w:sz w:val="21"/>
              </w:rPr>
              <w:t> </w:t>
            </w:r>
          </w:p>
        </w:tc>
        <w:tc>
          <w:tcPr>
            <w:tcW w:w="1402" w:type="dxa"/>
          </w:tcPr>
          <w:p>
            <w:pPr>
              <w:pStyle w:val="TableParagraph"/>
              <w:spacing w:before="9"/>
              <w:ind w:left="172"/>
              <w:rPr>
                <w:sz w:val="21"/>
              </w:rPr>
            </w:pPr>
            <w:r>
              <w:rPr>
                <w:w w:val="100"/>
                <w:sz w:val="21"/>
              </w:rPr>
              <w:t> </w:t>
            </w:r>
          </w:p>
        </w:tc>
        <w:tc>
          <w:tcPr>
            <w:tcW w:w="7138" w:type="dxa"/>
          </w:tcPr>
          <w:p>
            <w:pPr>
              <w:pStyle w:val="TableParagraph"/>
              <w:spacing w:before="9"/>
              <w:ind w:left="174"/>
              <w:rPr>
                <w:sz w:val="21"/>
              </w:rPr>
            </w:pPr>
            <w:r>
              <w:rPr>
                <w:w w:val="100"/>
                <w:sz w:val="21"/>
              </w:rPr>
              <w:t> </w:t>
            </w:r>
          </w:p>
        </w:tc>
      </w:tr>
      <w:tr>
        <w:trPr>
          <w:trHeight w:val="666" w:hRule="atLeast"/>
        </w:trPr>
        <w:tc>
          <w:tcPr>
            <w:tcW w:w="624" w:type="dxa"/>
          </w:tcPr>
          <w:p>
            <w:pPr>
              <w:pStyle w:val="TableParagraph"/>
              <w:spacing w:line="321" w:lineRule="exact"/>
              <w:ind w:left="50"/>
              <w:rPr>
                <w:rFonts w:ascii="Microsoft JhengHei"/>
                <w:b/>
                <w:sz w:val="21"/>
              </w:rPr>
            </w:pPr>
            <w:r>
              <w:rPr>
                <w:rFonts w:ascii="Microsoft JhengHei"/>
                <w:b/>
                <w:w w:val="90"/>
                <w:sz w:val="21"/>
              </w:rPr>
              <w:t>10. 7</w:t>
            </w:r>
          </w:p>
        </w:tc>
        <w:tc>
          <w:tcPr>
            <w:tcW w:w="1402" w:type="dxa"/>
          </w:tcPr>
          <w:p>
            <w:pPr>
              <w:pStyle w:val="TableParagraph"/>
              <w:spacing w:line="321" w:lineRule="exact"/>
              <w:ind w:left="172"/>
              <w:rPr>
                <w:rFonts w:ascii="Microsoft JhengHei" w:eastAsia="Microsoft JhengHei" w:hint="eastAsia"/>
                <w:b/>
                <w:sz w:val="21"/>
              </w:rPr>
            </w:pPr>
            <w:r>
              <w:rPr>
                <w:rFonts w:ascii="Microsoft JhengHei" w:eastAsia="Microsoft JhengHei" w:hint="eastAsia"/>
                <w:b/>
                <w:sz w:val="21"/>
              </w:rPr>
              <w:t>毒品</w:t>
            </w:r>
          </w:p>
        </w:tc>
        <w:tc>
          <w:tcPr>
            <w:tcW w:w="7138" w:type="dxa"/>
          </w:tcPr>
          <w:p>
            <w:pPr>
              <w:pStyle w:val="TableParagraph"/>
              <w:spacing w:line="271" w:lineRule="auto" w:before="22"/>
              <w:ind w:left="174" w:right="4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6"/>
                <w:sz w:val="21"/>
              </w:rPr>
              <w:t>大麻、可卡因以及国家规定管制的其他能够使人形成瘾癖的麻醉药品和精神</w:t>
            </w:r>
          </w:p>
        </w:tc>
      </w:tr>
      <w:tr>
        <w:trPr>
          <w:trHeight w:val="312" w:hRule="atLeast"/>
        </w:trPr>
        <w:tc>
          <w:tcPr>
            <w:tcW w:w="624" w:type="dxa"/>
          </w:tcPr>
          <w:p>
            <w:pPr>
              <w:pStyle w:val="TableParagraph"/>
              <w:rPr>
                <w:rFonts w:ascii="Times New Roman"/>
                <w:sz w:val="20"/>
              </w:rPr>
            </w:pPr>
          </w:p>
        </w:tc>
        <w:tc>
          <w:tcPr>
            <w:tcW w:w="1402" w:type="dxa"/>
          </w:tcPr>
          <w:p>
            <w:pPr>
              <w:pStyle w:val="TableParagraph"/>
              <w:rPr>
                <w:rFonts w:ascii="Times New Roman"/>
                <w:sz w:val="20"/>
              </w:rPr>
            </w:pPr>
          </w:p>
        </w:tc>
        <w:tc>
          <w:tcPr>
            <w:tcW w:w="7138" w:type="dxa"/>
          </w:tcPr>
          <w:p>
            <w:pPr>
              <w:pStyle w:val="TableParagraph"/>
              <w:spacing w:line="253" w:lineRule="exact"/>
              <w:ind w:left="174"/>
              <w:rPr>
                <w:sz w:val="21"/>
              </w:rPr>
            </w:pPr>
            <w:r>
              <w:rPr>
                <w:sz w:val="21"/>
              </w:rPr>
              <w:t>药品，但不包括由医生开具并遵医嘱使用的用于治疗疾病但含有毒品成分的</w:t>
            </w:r>
          </w:p>
        </w:tc>
      </w:tr>
      <w:tr>
        <w:trPr>
          <w:trHeight w:val="351" w:hRule="atLeast"/>
        </w:trPr>
        <w:tc>
          <w:tcPr>
            <w:tcW w:w="624" w:type="dxa"/>
          </w:tcPr>
          <w:p>
            <w:pPr>
              <w:pStyle w:val="TableParagraph"/>
              <w:rPr>
                <w:rFonts w:ascii="Times New Roman"/>
                <w:sz w:val="20"/>
              </w:rPr>
            </w:pPr>
          </w:p>
        </w:tc>
        <w:tc>
          <w:tcPr>
            <w:tcW w:w="1402" w:type="dxa"/>
          </w:tcPr>
          <w:p>
            <w:pPr>
              <w:pStyle w:val="TableParagraph"/>
              <w:rPr>
                <w:rFonts w:ascii="Times New Roman"/>
                <w:sz w:val="20"/>
              </w:rPr>
            </w:pPr>
          </w:p>
        </w:tc>
        <w:tc>
          <w:tcPr>
            <w:tcW w:w="7138" w:type="dxa"/>
          </w:tcPr>
          <w:p>
            <w:pPr>
              <w:pStyle w:val="TableParagraph"/>
              <w:spacing w:line="253" w:lineRule="exact"/>
              <w:ind w:left="174"/>
              <w:rPr>
                <w:sz w:val="21"/>
              </w:rPr>
            </w:pPr>
            <w:r>
              <w:rPr>
                <w:sz w:val="21"/>
              </w:rPr>
              <w:t>处方药品。</w:t>
            </w:r>
          </w:p>
        </w:tc>
      </w:tr>
      <w:tr>
        <w:trPr>
          <w:trHeight w:val="386" w:hRule="atLeast"/>
        </w:trPr>
        <w:tc>
          <w:tcPr>
            <w:tcW w:w="624" w:type="dxa"/>
          </w:tcPr>
          <w:p>
            <w:pPr>
              <w:pStyle w:val="TableParagraph"/>
              <w:rPr>
                <w:rFonts w:ascii="Times New Roman"/>
                <w:sz w:val="20"/>
              </w:rPr>
            </w:pPr>
          </w:p>
        </w:tc>
        <w:tc>
          <w:tcPr>
            <w:tcW w:w="1402" w:type="dxa"/>
          </w:tcPr>
          <w:p>
            <w:pPr>
              <w:pStyle w:val="TableParagraph"/>
              <w:rPr>
                <w:rFonts w:ascii="Times New Roman"/>
                <w:sz w:val="20"/>
              </w:rPr>
            </w:pPr>
          </w:p>
        </w:tc>
        <w:tc>
          <w:tcPr>
            <w:tcW w:w="7138" w:type="dxa"/>
          </w:tcPr>
          <w:p>
            <w:pPr>
              <w:pStyle w:val="TableParagraph"/>
              <w:spacing w:before="17"/>
              <w:ind w:left="174"/>
              <w:rPr>
                <w:sz w:val="21"/>
              </w:rPr>
            </w:pPr>
            <w:r>
              <w:rPr>
                <w:w w:val="100"/>
                <w:sz w:val="21"/>
              </w:rPr>
              <w:t> </w:t>
            </w:r>
          </w:p>
        </w:tc>
      </w:tr>
      <w:tr>
        <w:trPr>
          <w:trHeight w:val="666" w:hRule="atLeast"/>
        </w:trPr>
        <w:tc>
          <w:tcPr>
            <w:tcW w:w="624" w:type="dxa"/>
          </w:tcPr>
          <w:p>
            <w:pPr>
              <w:pStyle w:val="TableParagraph"/>
              <w:spacing w:line="321" w:lineRule="exact"/>
              <w:ind w:left="50"/>
              <w:rPr>
                <w:rFonts w:ascii="Microsoft JhengHei"/>
                <w:b/>
                <w:sz w:val="21"/>
              </w:rPr>
            </w:pPr>
            <w:r>
              <w:rPr>
                <w:rFonts w:ascii="Microsoft JhengHei"/>
                <w:b/>
                <w:w w:val="90"/>
                <w:sz w:val="21"/>
              </w:rPr>
              <w:t>10. 8</w:t>
            </w:r>
          </w:p>
        </w:tc>
        <w:tc>
          <w:tcPr>
            <w:tcW w:w="1402" w:type="dxa"/>
          </w:tcPr>
          <w:p>
            <w:pPr>
              <w:pStyle w:val="TableParagraph"/>
              <w:spacing w:line="321" w:lineRule="exact"/>
              <w:ind w:left="172"/>
              <w:rPr>
                <w:rFonts w:ascii="Microsoft JhengHei" w:eastAsia="Microsoft JhengHei" w:hint="eastAsia"/>
                <w:b/>
                <w:sz w:val="21"/>
              </w:rPr>
            </w:pPr>
            <w:r>
              <w:rPr>
                <w:rFonts w:ascii="Microsoft JhengHei" w:eastAsia="Microsoft JhengHei" w:hint="eastAsia"/>
                <w:b/>
                <w:sz w:val="21"/>
              </w:rPr>
              <w:t>酒后驾驶</w:t>
            </w:r>
          </w:p>
        </w:tc>
        <w:tc>
          <w:tcPr>
            <w:tcW w:w="7138" w:type="dxa"/>
          </w:tcPr>
          <w:p>
            <w:pPr>
              <w:pStyle w:val="TableParagraph"/>
              <w:spacing w:line="271" w:lineRule="auto" w:before="22"/>
              <w:ind w:left="174" w:right="30"/>
              <w:rPr>
                <w:sz w:val="21"/>
              </w:rPr>
            </w:pPr>
            <w:r>
              <w:rPr>
                <w:sz w:val="21"/>
              </w:rPr>
              <w:t>指经检测或鉴定，发生事故时车辆驾驶人员每百毫升血液中的酒精含量达到或超过一定的标准，公安机关交通管理部门依据《道路交通安全法》的规定</w:t>
            </w:r>
          </w:p>
        </w:tc>
      </w:tr>
      <w:tr>
        <w:trPr>
          <w:trHeight w:val="351" w:hRule="atLeast"/>
        </w:trPr>
        <w:tc>
          <w:tcPr>
            <w:tcW w:w="624" w:type="dxa"/>
          </w:tcPr>
          <w:p>
            <w:pPr>
              <w:pStyle w:val="TableParagraph"/>
              <w:rPr>
                <w:rFonts w:ascii="Times New Roman"/>
                <w:sz w:val="20"/>
              </w:rPr>
            </w:pPr>
          </w:p>
        </w:tc>
        <w:tc>
          <w:tcPr>
            <w:tcW w:w="1402" w:type="dxa"/>
          </w:tcPr>
          <w:p>
            <w:pPr>
              <w:pStyle w:val="TableParagraph"/>
              <w:rPr>
                <w:rFonts w:ascii="Times New Roman"/>
                <w:sz w:val="20"/>
              </w:rPr>
            </w:pPr>
          </w:p>
        </w:tc>
        <w:tc>
          <w:tcPr>
            <w:tcW w:w="7138" w:type="dxa"/>
          </w:tcPr>
          <w:p>
            <w:pPr>
              <w:pStyle w:val="TableParagraph"/>
              <w:spacing w:line="253" w:lineRule="exact"/>
              <w:ind w:left="174"/>
              <w:rPr>
                <w:sz w:val="21"/>
              </w:rPr>
            </w:pPr>
            <w:r>
              <w:rPr>
                <w:sz w:val="21"/>
              </w:rPr>
              <w:t>认定为饮酒后驾驶或醉酒后驾驶。</w:t>
            </w:r>
          </w:p>
        </w:tc>
      </w:tr>
      <w:tr>
        <w:trPr>
          <w:trHeight w:val="386" w:hRule="atLeast"/>
        </w:trPr>
        <w:tc>
          <w:tcPr>
            <w:tcW w:w="624" w:type="dxa"/>
          </w:tcPr>
          <w:p>
            <w:pPr>
              <w:pStyle w:val="TableParagraph"/>
              <w:rPr>
                <w:rFonts w:ascii="Times New Roman"/>
                <w:sz w:val="20"/>
              </w:rPr>
            </w:pPr>
          </w:p>
        </w:tc>
        <w:tc>
          <w:tcPr>
            <w:tcW w:w="1402" w:type="dxa"/>
          </w:tcPr>
          <w:p>
            <w:pPr>
              <w:pStyle w:val="TableParagraph"/>
              <w:rPr>
                <w:rFonts w:ascii="Times New Roman"/>
                <w:sz w:val="20"/>
              </w:rPr>
            </w:pPr>
          </w:p>
        </w:tc>
        <w:tc>
          <w:tcPr>
            <w:tcW w:w="7138" w:type="dxa"/>
          </w:tcPr>
          <w:p>
            <w:pPr>
              <w:pStyle w:val="TableParagraph"/>
              <w:spacing w:before="17"/>
              <w:ind w:left="174"/>
              <w:rPr>
                <w:sz w:val="21"/>
              </w:rPr>
            </w:pPr>
            <w:r>
              <w:rPr>
                <w:w w:val="100"/>
                <w:sz w:val="21"/>
              </w:rPr>
              <w:t> </w:t>
            </w:r>
          </w:p>
        </w:tc>
      </w:tr>
      <w:tr>
        <w:trPr>
          <w:trHeight w:val="321" w:hRule="atLeast"/>
        </w:trPr>
        <w:tc>
          <w:tcPr>
            <w:tcW w:w="624" w:type="dxa"/>
          </w:tcPr>
          <w:p>
            <w:pPr>
              <w:pStyle w:val="TableParagraph"/>
              <w:spacing w:line="301" w:lineRule="exact"/>
              <w:ind w:left="50"/>
              <w:rPr>
                <w:rFonts w:ascii="Microsoft JhengHei"/>
                <w:b/>
                <w:sz w:val="21"/>
              </w:rPr>
            </w:pPr>
            <w:r>
              <w:rPr>
                <w:rFonts w:ascii="Microsoft JhengHei"/>
                <w:b/>
                <w:w w:val="90"/>
                <w:sz w:val="21"/>
              </w:rPr>
              <w:t>10. 9</w:t>
            </w:r>
          </w:p>
        </w:tc>
        <w:tc>
          <w:tcPr>
            <w:tcW w:w="1402" w:type="dxa"/>
          </w:tcPr>
          <w:p>
            <w:pPr>
              <w:pStyle w:val="TableParagraph"/>
              <w:spacing w:line="301" w:lineRule="exact"/>
              <w:ind w:left="172"/>
              <w:rPr>
                <w:rFonts w:ascii="Microsoft JhengHei" w:eastAsia="Microsoft JhengHei" w:hint="eastAsia"/>
                <w:b/>
                <w:sz w:val="21"/>
              </w:rPr>
            </w:pPr>
            <w:r>
              <w:rPr>
                <w:rFonts w:ascii="Microsoft JhengHei" w:eastAsia="Microsoft JhengHei" w:hint="eastAsia"/>
                <w:b/>
                <w:sz w:val="21"/>
              </w:rPr>
              <w:t>无合法有效</w:t>
            </w:r>
          </w:p>
        </w:tc>
        <w:tc>
          <w:tcPr>
            <w:tcW w:w="7138" w:type="dxa"/>
          </w:tcPr>
          <w:p>
            <w:pPr>
              <w:pStyle w:val="TableParagraph"/>
              <w:spacing w:before="22"/>
              <w:ind w:left="174"/>
              <w:rPr>
                <w:sz w:val="21"/>
              </w:rPr>
            </w:pPr>
            <w:r>
              <w:rPr>
                <w:sz w:val="21"/>
              </w:rPr>
              <w:t>指下列情形之一：</w:t>
            </w:r>
          </w:p>
        </w:tc>
      </w:tr>
    </w:tbl>
    <w:p>
      <w:pPr>
        <w:spacing w:after="0"/>
        <w:rPr>
          <w:sz w:val="21"/>
        </w:rPr>
        <w:sectPr>
          <w:pgSz w:w="11900" w:h="16840"/>
          <w:pgMar w:header="0" w:footer="724" w:top="1120" w:bottom="920" w:left="1340" w:right="1180"/>
        </w:sectPr>
      </w:pPr>
    </w:p>
    <w:p>
      <w:pPr>
        <w:pStyle w:val="Heading3"/>
        <w:spacing w:line="310" w:lineRule="exact"/>
        <w:ind w:left="901"/>
      </w:pPr>
      <w:r>
        <w:rPr/>
        <w:t>驾驶证驾驶</w:t>
      </w:r>
    </w:p>
    <w:p>
      <w:pPr>
        <w:pStyle w:val="BodyText"/>
        <w:spacing w:before="90"/>
        <w:ind w:left="307"/>
      </w:pPr>
      <w:r>
        <w:rPr/>
        <w:br w:type="column"/>
      </w:r>
      <w:r>
        <w:rPr/>
        <w:t>（1）没有取得驾驶资格； </w:t>
      </w:r>
    </w:p>
    <w:p>
      <w:pPr>
        <w:pStyle w:val="BodyText"/>
        <w:spacing w:before="116"/>
        <w:ind w:left="307"/>
      </w:pPr>
      <w:r>
        <w:rPr/>
        <w:t>（2）驾驶与驾驶证准驾车型不相符合的车辆； </w:t>
      </w:r>
    </w:p>
    <w:p>
      <w:pPr>
        <w:pStyle w:val="BodyText"/>
        <w:spacing w:before="113"/>
        <w:ind w:left="307"/>
      </w:pPr>
      <w:r>
        <w:rPr/>
        <w:t>（3）持审验不合格的驾驶证驾驶； </w:t>
      </w:r>
    </w:p>
    <w:p>
      <w:pPr>
        <w:pStyle w:val="BodyText"/>
        <w:spacing w:before="115"/>
        <w:ind w:left="307"/>
      </w:pPr>
      <w:r>
        <w:rPr/>
        <w:t>（4）持学习驾驶证学习驾车时，无教练员随车指导，或不按指定时间、路</w:t>
      </w:r>
    </w:p>
    <w:p>
      <w:pPr>
        <w:pStyle w:val="BodyText"/>
        <w:spacing w:before="34"/>
        <w:ind w:left="833"/>
      </w:pPr>
      <w:r>
        <w:rPr/>
        <w:t>线学习驾车。</w:t>
      </w:r>
    </w:p>
    <w:p>
      <w:pPr>
        <w:spacing w:after="0"/>
        <w:sectPr>
          <w:type w:val="continuous"/>
          <w:pgSz w:w="11900" w:h="16840"/>
          <w:pgMar w:top="360" w:bottom="280" w:left="1340" w:right="1180"/>
          <w:cols w:num="2" w:equalWidth="0">
            <w:col w:w="1958" w:space="40"/>
            <w:col w:w="7382"/>
          </w:cols>
        </w:sectPr>
      </w:pPr>
    </w:p>
    <w:p>
      <w:pPr>
        <w:pStyle w:val="BodyText"/>
        <w:spacing w:before="9" w:after="1"/>
        <w:ind w:left="0"/>
        <w:rPr>
          <w:sz w:val="1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455"/>
        <w:gridCol w:w="7033"/>
      </w:tblGrid>
      <w:tr>
        <w:trPr>
          <w:trHeight w:val="698" w:hRule="atLeast"/>
        </w:trPr>
        <w:tc>
          <w:tcPr>
            <w:tcW w:w="677"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10. 10</w:t>
            </w:r>
          </w:p>
        </w:tc>
        <w:tc>
          <w:tcPr>
            <w:tcW w:w="1455" w:type="dxa"/>
          </w:tcPr>
          <w:p>
            <w:pPr>
              <w:pStyle w:val="TableParagraph"/>
              <w:spacing w:before="11"/>
              <w:rPr>
                <w:sz w:val="19"/>
              </w:rPr>
            </w:pPr>
          </w:p>
          <w:p>
            <w:pPr>
              <w:pStyle w:val="TableParagraph"/>
              <w:spacing w:before="1"/>
              <w:ind w:left="119"/>
              <w:rPr>
                <w:rFonts w:ascii="Microsoft JhengHei" w:eastAsia="Microsoft JhengHei" w:hint="eastAsia"/>
                <w:b/>
                <w:sz w:val="21"/>
              </w:rPr>
            </w:pPr>
            <w:r>
              <w:rPr>
                <w:rFonts w:ascii="Microsoft JhengHei" w:eastAsia="Microsoft JhengHei" w:hint="eastAsia"/>
                <w:b/>
                <w:sz w:val="21"/>
              </w:rPr>
              <w:t>无有效行驶</w:t>
            </w:r>
          </w:p>
        </w:tc>
        <w:tc>
          <w:tcPr>
            <w:tcW w:w="7033" w:type="dxa"/>
          </w:tcPr>
          <w:p>
            <w:pPr>
              <w:pStyle w:val="TableParagraph"/>
              <w:spacing w:line="211" w:lineRule="exact"/>
              <w:ind w:left="68"/>
              <w:rPr>
                <w:sz w:val="21"/>
              </w:rPr>
            </w:pPr>
            <w:r>
              <w:rPr>
                <w:w w:val="100"/>
                <w:sz w:val="21"/>
              </w:rPr>
              <w:t> </w:t>
            </w:r>
          </w:p>
          <w:p>
            <w:pPr>
              <w:pStyle w:val="TableParagraph"/>
              <w:spacing w:before="116"/>
              <w:ind w:left="68"/>
              <w:rPr>
                <w:sz w:val="21"/>
              </w:rPr>
            </w:pPr>
            <w:r>
              <w:rPr>
                <w:sz w:val="21"/>
              </w:rPr>
              <w:t>指下列情形之一：</w:t>
            </w:r>
          </w:p>
        </w:tc>
      </w:tr>
      <w:tr>
        <w:trPr>
          <w:trHeight w:val="382" w:hRule="atLeast"/>
        </w:trPr>
        <w:tc>
          <w:tcPr>
            <w:tcW w:w="677" w:type="dxa"/>
          </w:tcPr>
          <w:p>
            <w:pPr>
              <w:pStyle w:val="TableParagraph"/>
              <w:rPr>
                <w:rFonts w:ascii="Times New Roman"/>
                <w:sz w:val="20"/>
              </w:rPr>
            </w:pPr>
          </w:p>
        </w:tc>
        <w:tc>
          <w:tcPr>
            <w:tcW w:w="1455" w:type="dxa"/>
          </w:tcPr>
          <w:p>
            <w:pPr>
              <w:pStyle w:val="TableParagraph"/>
              <w:spacing w:line="237" w:lineRule="exact"/>
              <w:ind w:left="119"/>
              <w:rPr>
                <w:rFonts w:ascii="Microsoft JhengHei" w:eastAsia="Microsoft JhengHei" w:hint="eastAsia"/>
                <w:b/>
                <w:sz w:val="21"/>
              </w:rPr>
            </w:pPr>
            <w:r>
              <w:rPr>
                <w:rFonts w:ascii="Microsoft JhengHei" w:eastAsia="Microsoft JhengHei" w:hint="eastAsia"/>
                <w:b/>
                <w:w w:val="100"/>
                <w:sz w:val="21"/>
              </w:rPr>
              <w:t>证</w:t>
            </w:r>
          </w:p>
        </w:tc>
        <w:tc>
          <w:tcPr>
            <w:tcW w:w="7033" w:type="dxa"/>
          </w:tcPr>
          <w:p>
            <w:pPr>
              <w:pStyle w:val="TableParagraph"/>
              <w:spacing w:before="17"/>
              <w:ind w:left="68"/>
              <w:rPr>
                <w:sz w:val="21"/>
              </w:rPr>
            </w:pPr>
            <w:r>
              <w:rPr>
                <w:sz w:val="21"/>
              </w:rPr>
              <w:t>（1）机动车被依法注销登记的；  </w:t>
            </w:r>
          </w:p>
        </w:tc>
      </w:tr>
      <w:tr>
        <w:trPr>
          <w:trHeight w:val="390"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sz w:val="21"/>
              </w:rPr>
              <w:t>（2）未依法按时进行或通过机动车安全技术检验。</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5"/>
              <w:ind w:left="68"/>
              <w:rPr>
                <w:sz w:val="21"/>
              </w:rPr>
            </w:pPr>
            <w:r>
              <w:rPr>
                <w:w w:val="100"/>
                <w:sz w:val="21"/>
              </w:rPr>
              <w:t> </w:t>
            </w:r>
          </w:p>
        </w:tc>
      </w:tr>
      <w:tr>
        <w:trPr>
          <w:trHeight w:val="705" w:hRule="atLeast"/>
        </w:trPr>
        <w:tc>
          <w:tcPr>
            <w:tcW w:w="677" w:type="dxa"/>
          </w:tcPr>
          <w:p>
            <w:pPr>
              <w:pStyle w:val="TableParagraph"/>
              <w:spacing w:line="330" w:lineRule="exact"/>
              <w:ind w:left="50"/>
              <w:rPr>
                <w:rFonts w:ascii="Microsoft JhengHei"/>
                <w:b/>
                <w:sz w:val="21"/>
              </w:rPr>
            </w:pPr>
            <w:r>
              <w:rPr>
                <w:rFonts w:ascii="Microsoft JhengHei"/>
                <w:b/>
                <w:w w:val="90"/>
                <w:sz w:val="21"/>
              </w:rPr>
              <w:t>10. 11</w:t>
            </w:r>
          </w:p>
        </w:tc>
        <w:tc>
          <w:tcPr>
            <w:tcW w:w="1455" w:type="dxa"/>
          </w:tcPr>
          <w:p>
            <w:pPr>
              <w:pStyle w:val="TableParagraph"/>
              <w:spacing w:line="330" w:lineRule="exact"/>
              <w:ind w:left="119"/>
              <w:rPr>
                <w:rFonts w:ascii="Microsoft JhengHei" w:eastAsia="Microsoft JhengHei" w:hint="eastAsia"/>
                <w:b/>
                <w:sz w:val="21"/>
              </w:rPr>
            </w:pPr>
            <w:r>
              <w:rPr>
                <w:rFonts w:ascii="Microsoft JhengHei" w:eastAsia="Microsoft JhengHei" w:hint="eastAsia"/>
                <w:b/>
                <w:sz w:val="21"/>
              </w:rPr>
              <w:t>机动车</w:t>
            </w:r>
          </w:p>
        </w:tc>
        <w:tc>
          <w:tcPr>
            <w:tcW w:w="7033" w:type="dxa"/>
          </w:tcPr>
          <w:p>
            <w:pPr>
              <w:pStyle w:val="TableParagraph"/>
              <w:spacing w:line="271" w:lineRule="auto" w:before="31"/>
              <w:ind w:left="68" w:right="17"/>
              <w:rPr>
                <w:sz w:val="21"/>
              </w:rPr>
            </w:pPr>
            <w:r>
              <w:rPr>
                <w:sz w:val="21"/>
              </w:rPr>
              <w:t>指以动力装置驱动或者牵引，上道路行驶的供人员乘用或者用于运送物品以及进行工程专项作业的轮式车辆。 </w:t>
            </w:r>
          </w:p>
        </w:tc>
      </w:tr>
      <w:tr>
        <w:trPr>
          <w:trHeight w:val="386"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662" w:hRule="atLeast"/>
        </w:trPr>
        <w:tc>
          <w:tcPr>
            <w:tcW w:w="677" w:type="dxa"/>
          </w:tcPr>
          <w:p>
            <w:pPr>
              <w:pStyle w:val="TableParagraph"/>
              <w:spacing w:line="330" w:lineRule="exact"/>
              <w:ind w:left="50"/>
              <w:rPr>
                <w:rFonts w:ascii="Microsoft JhengHei"/>
                <w:b/>
                <w:sz w:val="21"/>
              </w:rPr>
            </w:pPr>
            <w:r>
              <w:rPr>
                <w:rFonts w:ascii="Microsoft JhengHei"/>
                <w:b/>
                <w:w w:val="90"/>
                <w:sz w:val="21"/>
              </w:rPr>
              <w:t>10. 12</w:t>
            </w:r>
          </w:p>
        </w:tc>
        <w:tc>
          <w:tcPr>
            <w:tcW w:w="1455" w:type="dxa"/>
          </w:tcPr>
          <w:p>
            <w:pPr>
              <w:pStyle w:val="TableParagraph"/>
              <w:spacing w:line="302" w:lineRule="exact"/>
              <w:ind w:left="119"/>
              <w:rPr>
                <w:rFonts w:ascii="Microsoft JhengHei" w:eastAsia="Microsoft JhengHei" w:hint="eastAsia"/>
                <w:b/>
                <w:sz w:val="21"/>
              </w:rPr>
            </w:pPr>
            <w:r>
              <w:rPr>
                <w:rFonts w:ascii="Microsoft JhengHei" w:eastAsia="Microsoft JhengHei" w:hint="eastAsia"/>
                <w:b/>
                <w:sz w:val="21"/>
              </w:rPr>
              <w:t>先天性畸形、</w:t>
            </w:r>
          </w:p>
          <w:p>
            <w:pPr>
              <w:pStyle w:val="TableParagraph"/>
              <w:spacing w:line="338" w:lineRule="exact"/>
              <w:ind w:left="119"/>
              <w:rPr>
                <w:rFonts w:ascii="Microsoft JhengHei" w:eastAsia="Microsoft JhengHei" w:hint="eastAsia"/>
                <w:b/>
                <w:sz w:val="21"/>
              </w:rPr>
            </w:pPr>
            <w:r>
              <w:rPr>
                <w:rFonts w:ascii="Microsoft JhengHei" w:eastAsia="Microsoft JhengHei" w:hint="eastAsia"/>
                <w:b/>
                <w:sz w:val="21"/>
              </w:rPr>
              <w:t>变形或染色</w:t>
            </w:r>
          </w:p>
        </w:tc>
        <w:tc>
          <w:tcPr>
            <w:tcW w:w="7033" w:type="dxa"/>
          </w:tcPr>
          <w:p>
            <w:pPr>
              <w:pStyle w:val="TableParagraph"/>
              <w:spacing w:before="31"/>
              <w:ind w:left="68"/>
              <w:rPr>
                <w:sz w:val="21"/>
              </w:rPr>
            </w:pPr>
            <w:r>
              <w:rPr>
                <w:sz w:val="21"/>
              </w:rPr>
              <w:t>指被保险人出生时就具有的畸形、变形或染色体异常。先天性畸形、变形和</w:t>
            </w:r>
          </w:p>
          <w:p>
            <w:pPr>
              <w:pStyle w:val="TableParagraph"/>
              <w:spacing w:before="34"/>
              <w:ind w:left="68"/>
              <w:rPr>
                <w:sz w:val="21"/>
              </w:rPr>
            </w:pPr>
            <w:r>
              <w:rPr>
                <w:sz w:val="21"/>
              </w:rPr>
              <w:t>染色体异常依照世界卫生组织《疾病和有关健康问题的国际统计分类》</w:t>
            </w:r>
          </w:p>
        </w:tc>
      </w:tr>
      <w:tr>
        <w:trPr>
          <w:trHeight w:val="362" w:hRule="atLeast"/>
        </w:trPr>
        <w:tc>
          <w:tcPr>
            <w:tcW w:w="677" w:type="dxa"/>
          </w:tcPr>
          <w:p>
            <w:pPr>
              <w:pStyle w:val="TableParagraph"/>
              <w:rPr>
                <w:rFonts w:ascii="Times New Roman"/>
                <w:sz w:val="20"/>
              </w:rPr>
            </w:pPr>
          </w:p>
        </w:tc>
        <w:tc>
          <w:tcPr>
            <w:tcW w:w="1455" w:type="dxa"/>
          </w:tcPr>
          <w:p>
            <w:pPr>
              <w:pStyle w:val="TableParagraph"/>
              <w:spacing w:line="289" w:lineRule="exact"/>
              <w:ind w:left="119"/>
              <w:rPr>
                <w:rFonts w:ascii="Microsoft JhengHei" w:eastAsia="Microsoft JhengHei" w:hint="eastAsia"/>
                <w:b/>
                <w:sz w:val="21"/>
              </w:rPr>
            </w:pPr>
            <w:r>
              <w:rPr>
                <w:rFonts w:ascii="Microsoft JhengHei" w:eastAsia="Microsoft JhengHei" w:hint="eastAsia"/>
                <w:b/>
                <w:sz w:val="21"/>
              </w:rPr>
              <w:t>体异常</w:t>
            </w:r>
          </w:p>
        </w:tc>
        <w:tc>
          <w:tcPr>
            <w:tcW w:w="7033" w:type="dxa"/>
          </w:tcPr>
          <w:p>
            <w:pPr>
              <w:pStyle w:val="TableParagraph"/>
              <w:spacing w:line="281" w:lineRule="exact"/>
              <w:ind w:left="68"/>
              <w:rPr>
                <w:sz w:val="21"/>
              </w:rPr>
            </w:pPr>
            <w:r>
              <w:rPr>
                <w:sz w:val="21"/>
              </w:rPr>
              <w:t>（</w:t>
            </w:r>
            <w:r>
              <w:rPr>
                <w:rFonts w:ascii="Times New Roman" w:eastAsia="Times New Roman"/>
                <w:sz w:val="21"/>
              </w:rPr>
              <w:t>ICD-10</w:t>
            </w:r>
            <w:r>
              <w:rPr>
                <w:sz w:val="21"/>
              </w:rPr>
              <w:t>）确定。 </w:t>
            </w:r>
          </w:p>
        </w:tc>
      </w:tr>
      <w:tr>
        <w:trPr>
          <w:trHeight w:val="378" w:hRule="atLeast"/>
        </w:trPr>
        <w:tc>
          <w:tcPr>
            <w:tcW w:w="677" w:type="dxa"/>
          </w:tcPr>
          <w:p>
            <w:pPr>
              <w:pStyle w:val="TableParagraph"/>
              <w:rPr>
                <w:rFonts w:ascii="Times New Roman"/>
                <w:sz w:val="20"/>
              </w:rPr>
            </w:pPr>
          </w:p>
        </w:tc>
        <w:tc>
          <w:tcPr>
            <w:tcW w:w="1455" w:type="dxa"/>
          </w:tcPr>
          <w:p>
            <w:pPr>
              <w:pStyle w:val="TableParagraph"/>
              <w:spacing w:before="18"/>
              <w:ind w:left="119"/>
              <w:rPr>
                <w:sz w:val="21"/>
              </w:rPr>
            </w:pPr>
            <w:r>
              <w:rPr>
                <w:w w:val="100"/>
                <w:sz w:val="21"/>
              </w:rPr>
              <w:t> </w:t>
            </w:r>
          </w:p>
        </w:tc>
        <w:tc>
          <w:tcPr>
            <w:tcW w:w="7033" w:type="dxa"/>
          </w:tcPr>
          <w:p>
            <w:pPr>
              <w:pStyle w:val="TableParagraph"/>
              <w:spacing w:before="18"/>
              <w:ind w:left="68"/>
              <w:rPr>
                <w:sz w:val="21"/>
              </w:rPr>
            </w:pPr>
            <w:r>
              <w:rPr>
                <w:w w:val="100"/>
                <w:sz w:val="21"/>
              </w:rPr>
              <w:t> </w:t>
            </w:r>
          </w:p>
        </w:tc>
      </w:tr>
      <w:tr>
        <w:trPr>
          <w:trHeight w:val="705" w:hRule="atLeast"/>
        </w:trPr>
        <w:tc>
          <w:tcPr>
            <w:tcW w:w="677" w:type="dxa"/>
          </w:tcPr>
          <w:p>
            <w:pPr>
              <w:pStyle w:val="TableParagraph"/>
              <w:spacing w:line="330" w:lineRule="exact"/>
              <w:ind w:left="50"/>
              <w:rPr>
                <w:rFonts w:ascii="Microsoft JhengHei"/>
                <w:b/>
                <w:sz w:val="21"/>
              </w:rPr>
            </w:pPr>
            <w:r>
              <w:rPr>
                <w:rFonts w:ascii="Microsoft JhengHei"/>
                <w:b/>
                <w:w w:val="90"/>
                <w:sz w:val="21"/>
              </w:rPr>
              <w:t>10. 13</w:t>
            </w:r>
          </w:p>
        </w:tc>
        <w:tc>
          <w:tcPr>
            <w:tcW w:w="1455" w:type="dxa"/>
          </w:tcPr>
          <w:p>
            <w:pPr>
              <w:pStyle w:val="TableParagraph"/>
              <w:spacing w:line="330" w:lineRule="exact"/>
              <w:ind w:left="119"/>
              <w:rPr>
                <w:rFonts w:ascii="Microsoft JhengHei" w:eastAsia="Microsoft JhengHei" w:hint="eastAsia"/>
                <w:b/>
                <w:sz w:val="21"/>
              </w:rPr>
            </w:pPr>
            <w:r>
              <w:rPr>
                <w:rFonts w:ascii="Microsoft JhengHei" w:eastAsia="Microsoft JhengHei" w:hint="eastAsia"/>
                <w:b/>
                <w:sz w:val="21"/>
              </w:rPr>
              <w:t>遗传性疾病</w:t>
            </w:r>
          </w:p>
        </w:tc>
        <w:tc>
          <w:tcPr>
            <w:tcW w:w="7033" w:type="dxa"/>
          </w:tcPr>
          <w:p>
            <w:pPr>
              <w:pStyle w:val="TableParagraph"/>
              <w:spacing w:line="271" w:lineRule="auto" w:before="31"/>
              <w:ind w:left="68" w:right="17"/>
              <w:rPr>
                <w:sz w:val="21"/>
              </w:rPr>
            </w:pPr>
            <w:r>
              <w:rPr>
                <w:sz w:val="21"/>
              </w:rPr>
              <w:t>指生殖细胞或受精卵的遗传物质（染色体和基因）发生突变或畸变所引起的疾病，通常具有由亲代传至后代的垂直传递的特征。 </w:t>
            </w:r>
          </w:p>
        </w:tc>
      </w:tr>
      <w:tr>
        <w:trPr>
          <w:trHeight w:val="386"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693" w:hRule="atLeast"/>
        </w:trPr>
        <w:tc>
          <w:tcPr>
            <w:tcW w:w="677" w:type="dxa"/>
          </w:tcPr>
          <w:p>
            <w:pPr>
              <w:pStyle w:val="TableParagraph"/>
              <w:spacing w:line="330" w:lineRule="exact"/>
              <w:ind w:left="50"/>
              <w:rPr>
                <w:rFonts w:ascii="Microsoft JhengHei"/>
                <w:b/>
                <w:sz w:val="21"/>
              </w:rPr>
            </w:pPr>
            <w:r>
              <w:rPr>
                <w:rFonts w:ascii="Microsoft JhengHei"/>
                <w:b/>
                <w:w w:val="90"/>
                <w:sz w:val="21"/>
              </w:rPr>
              <w:t>10. 14</w:t>
            </w:r>
          </w:p>
        </w:tc>
        <w:tc>
          <w:tcPr>
            <w:tcW w:w="1455" w:type="dxa"/>
          </w:tcPr>
          <w:p>
            <w:pPr>
              <w:pStyle w:val="TableParagraph"/>
              <w:spacing w:line="330" w:lineRule="exact"/>
              <w:ind w:left="119"/>
              <w:rPr>
                <w:sz w:val="21"/>
              </w:rPr>
            </w:pPr>
            <w:r>
              <w:rPr>
                <w:rFonts w:ascii="Microsoft JhengHei" w:eastAsia="Microsoft JhengHei" w:hint="eastAsia"/>
                <w:b/>
                <w:sz w:val="21"/>
              </w:rPr>
              <w:t>现金价值</w:t>
            </w:r>
            <w:r>
              <w:rPr>
                <w:sz w:val="21"/>
              </w:rPr>
              <w:t> </w:t>
            </w:r>
          </w:p>
        </w:tc>
        <w:tc>
          <w:tcPr>
            <w:tcW w:w="7033" w:type="dxa"/>
          </w:tcPr>
          <w:p>
            <w:pPr>
              <w:pStyle w:val="TableParagraph"/>
              <w:spacing w:line="271" w:lineRule="auto" w:before="31"/>
              <w:ind w:left="68" w:right="17"/>
              <w:rPr>
                <w:sz w:val="21"/>
              </w:rPr>
            </w:pPr>
            <w:r>
              <w:rPr>
                <w:sz w:val="21"/>
              </w:rPr>
              <w:t>指保险单所具有的价值，通常体现为解除本主险合同时，根据精算原理计算的，由我们退还的那部分金额。 </w:t>
            </w:r>
          </w:p>
        </w:tc>
      </w:tr>
      <w:tr>
        <w:trPr>
          <w:trHeight w:val="36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14"/>
              <w:ind w:left="68"/>
              <w:rPr>
                <w:sz w:val="21"/>
              </w:rPr>
            </w:pPr>
            <w:r>
              <w:rPr>
                <w:w w:val="100"/>
                <w:sz w:val="21"/>
              </w:rPr>
              <w:t> </w:t>
            </w:r>
          </w:p>
        </w:tc>
      </w:tr>
      <w:tr>
        <w:trPr>
          <w:trHeight w:val="355" w:hRule="atLeast"/>
        </w:trPr>
        <w:tc>
          <w:tcPr>
            <w:tcW w:w="677" w:type="dxa"/>
          </w:tcPr>
          <w:p>
            <w:pPr>
              <w:pStyle w:val="TableParagraph"/>
              <w:spacing w:line="321" w:lineRule="exact"/>
              <w:ind w:left="50"/>
              <w:rPr>
                <w:rFonts w:ascii="Microsoft JhengHei"/>
                <w:b/>
                <w:sz w:val="21"/>
              </w:rPr>
            </w:pPr>
            <w:r>
              <w:rPr>
                <w:rFonts w:ascii="Microsoft JhengHei"/>
                <w:b/>
                <w:w w:val="90"/>
                <w:sz w:val="21"/>
              </w:rPr>
              <w:t>10. 15</w:t>
            </w:r>
          </w:p>
        </w:tc>
        <w:tc>
          <w:tcPr>
            <w:tcW w:w="1455"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保单周年日</w:t>
            </w:r>
          </w:p>
        </w:tc>
        <w:tc>
          <w:tcPr>
            <w:tcW w:w="7033" w:type="dxa"/>
          </w:tcPr>
          <w:p>
            <w:pPr>
              <w:pStyle w:val="TableParagraph"/>
              <w:spacing w:before="22"/>
              <w:ind w:left="68"/>
              <w:rPr>
                <w:sz w:val="21"/>
              </w:rPr>
            </w:pPr>
            <w:r>
              <w:rPr>
                <w:sz w:val="21"/>
              </w:rPr>
              <w:t>指在本主险合同有效期内，生效日在以后每年的对应日。若当月无对应的同</w:t>
            </w:r>
          </w:p>
        </w:tc>
      </w:tr>
      <w:tr>
        <w:trPr>
          <w:trHeight w:val="344"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一日，则以该月最后一日作为对应日。 </w:t>
            </w:r>
          </w:p>
        </w:tc>
      </w:tr>
      <w:tr>
        <w:trPr>
          <w:trHeight w:val="301"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5" w:lineRule="exact" w:before="26"/>
              <w:ind w:left="68"/>
              <w:rPr>
                <w:sz w:val="21"/>
              </w:rPr>
            </w:pPr>
            <w:r>
              <w:rPr>
                <w:w w:val="100"/>
                <w:sz w:val="21"/>
              </w:rPr>
              <w:t> </w:t>
            </w:r>
          </w:p>
        </w:tc>
      </w:tr>
    </w:tbl>
    <w:p>
      <w:pPr>
        <w:spacing w:after="0" w:line="255" w:lineRule="exact"/>
        <w:rPr>
          <w:sz w:val="21"/>
        </w:rPr>
        <w:sectPr>
          <w:type w:val="continuous"/>
          <w:pgSz w:w="11900" w:h="16840"/>
          <w:pgMar w:top="360" w:bottom="280" w:left="1340" w:right="11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349"/>
        <w:gridCol w:w="7138"/>
      </w:tblGrid>
      <w:tr>
        <w:trPr>
          <w:trHeight w:val="580" w:hRule="atLeast"/>
        </w:trPr>
        <w:tc>
          <w:tcPr>
            <w:tcW w:w="677" w:type="dxa"/>
          </w:tcPr>
          <w:p>
            <w:pPr>
              <w:pStyle w:val="TableParagraph"/>
              <w:spacing w:line="245" w:lineRule="exact"/>
              <w:ind w:left="50"/>
              <w:rPr>
                <w:rFonts w:ascii="Microsoft JhengHei"/>
                <w:b/>
                <w:sz w:val="21"/>
              </w:rPr>
            </w:pPr>
            <w:r>
              <w:rPr>
                <w:rFonts w:ascii="Microsoft JhengHei"/>
                <w:b/>
                <w:w w:val="90"/>
                <w:sz w:val="21"/>
              </w:rPr>
              <w:t>10. 16</w:t>
            </w:r>
          </w:p>
        </w:tc>
        <w:tc>
          <w:tcPr>
            <w:tcW w:w="1349" w:type="dxa"/>
          </w:tcPr>
          <w:p>
            <w:pPr>
              <w:pStyle w:val="TableParagraph"/>
              <w:spacing w:line="245" w:lineRule="exact"/>
              <w:ind w:left="119"/>
              <w:rPr>
                <w:rFonts w:ascii="Microsoft JhengHei" w:eastAsia="Microsoft JhengHei" w:hint="eastAsia"/>
                <w:b/>
                <w:sz w:val="21"/>
              </w:rPr>
            </w:pPr>
            <w:r>
              <w:rPr>
                <w:rFonts w:ascii="Microsoft JhengHei" w:eastAsia="Microsoft JhengHei" w:hint="eastAsia"/>
                <w:b/>
                <w:sz w:val="21"/>
              </w:rPr>
              <w:t>专科医生</w:t>
            </w:r>
          </w:p>
        </w:tc>
        <w:tc>
          <w:tcPr>
            <w:tcW w:w="7138" w:type="dxa"/>
          </w:tcPr>
          <w:p>
            <w:pPr>
              <w:pStyle w:val="TableParagraph"/>
              <w:spacing w:line="221" w:lineRule="exact"/>
              <w:ind w:left="174"/>
              <w:rPr>
                <w:sz w:val="21"/>
              </w:rPr>
            </w:pPr>
            <w:r>
              <w:rPr>
                <w:sz w:val="21"/>
              </w:rPr>
              <w:t>专科医生应当同时满足以下四项资格条件：①具有有效的中华人民共和国</w:t>
            </w:r>
          </w:p>
          <w:p>
            <w:pPr>
              <w:pStyle w:val="TableParagraph"/>
              <w:spacing w:before="34"/>
              <w:ind w:left="174"/>
              <w:rPr>
                <w:sz w:val="21"/>
              </w:rPr>
            </w:pPr>
            <w:r>
              <w:rPr>
                <w:spacing w:val="-16"/>
                <w:sz w:val="21"/>
              </w:rPr>
              <w:t>《医师资格证书》；②具有有效的中华人民共和国《医师执业证书》，并按期</w:t>
            </w:r>
          </w:p>
        </w:tc>
      </w:tr>
      <w:tr>
        <w:trPr>
          <w:trHeight w:val="312"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到相关部门登记注册；③具有有效的中华人民共和国主治医师或主治医师以</w:t>
            </w:r>
          </w:p>
        </w:tc>
      </w:tr>
      <w:tr>
        <w:trPr>
          <w:trHeight w:val="312"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上职称的《医师职称证书》；④在二级或二级以上医院的相应科室从事临床</w:t>
            </w:r>
          </w:p>
        </w:tc>
      </w:tr>
      <w:tr>
        <w:trPr>
          <w:trHeight w:val="339"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工作三年以上。 </w:t>
            </w:r>
          </w:p>
        </w:tc>
      </w:tr>
      <w:tr>
        <w:trPr>
          <w:trHeight w:val="365"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before="14"/>
              <w:ind w:left="174"/>
              <w:rPr>
                <w:sz w:val="21"/>
              </w:rPr>
            </w:pPr>
            <w:r>
              <w:rPr>
                <w:w w:val="100"/>
                <w:sz w:val="21"/>
              </w:rPr>
              <w:t> </w:t>
            </w:r>
          </w:p>
        </w:tc>
      </w:tr>
      <w:tr>
        <w:trPr>
          <w:trHeight w:val="355" w:hRule="atLeast"/>
        </w:trPr>
        <w:tc>
          <w:tcPr>
            <w:tcW w:w="677" w:type="dxa"/>
          </w:tcPr>
          <w:p>
            <w:pPr>
              <w:pStyle w:val="TableParagraph"/>
              <w:spacing w:line="321" w:lineRule="exact"/>
              <w:ind w:left="50"/>
              <w:rPr>
                <w:rFonts w:ascii="Microsoft JhengHei"/>
                <w:b/>
                <w:sz w:val="21"/>
              </w:rPr>
            </w:pPr>
            <w:r>
              <w:rPr>
                <w:rFonts w:ascii="Microsoft JhengHei"/>
                <w:b/>
                <w:w w:val="90"/>
                <w:sz w:val="21"/>
              </w:rPr>
              <w:t>10. 17</w:t>
            </w:r>
          </w:p>
        </w:tc>
        <w:tc>
          <w:tcPr>
            <w:tcW w:w="1349"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肢体机能完</w:t>
            </w:r>
          </w:p>
        </w:tc>
        <w:tc>
          <w:tcPr>
            <w:tcW w:w="7138" w:type="dxa"/>
          </w:tcPr>
          <w:p>
            <w:pPr>
              <w:pStyle w:val="TableParagraph"/>
              <w:spacing w:before="22"/>
              <w:ind w:left="174"/>
              <w:rPr>
                <w:sz w:val="21"/>
              </w:rPr>
            </w:pPr>
            <w:r>
              <w:rPr>
                <w:sz w:val="21"/>
              </w:rPr>
              <w:t>指肢体的三大关节中的两大关节僵硬，或不能随意识活动。肢体是指包括肩</w:t>
            </w:r>
          </w:p>
        </w:tc>
      </w:tr>
      <w:tr>
        <w:trPr>
          <w:trHeight w:val="332" w:hRule="atLeast"/>
        </w:trPr>
        <w:tc>
          <w:tcPr>
            <w:tcW w:w="677" w:type="dxa"/>
          </w:tcPr>
          <w:p>
            <w:pPr>
              <w:pStyle w:val="TableParagraph"/>
              <w:rPr>
                <w:rFonts w:ascii="Times New Roman"/>
                <w:sz w:val="20"/>
              </w:rPr>
            </w:pPr>
          </w:p>
        </w:tc>
        <w:tc>
          <w:tcPr>
            <w:tcW w:w="1349" w:type="dxa"/>
          </w:tcPr>
          <w:p>
            <w:pPr>
              <w:pStyle w:val="TableParagraph"/>
              <w:spacing w:line="278" w:lineRule="exact"/>
              <w:ind w:left="119"/>
              <w:rPr>
                <w:rFonts w:ascii="Microsoft JhengHei" w:eastAsia="Microsoft JhengHei" w:hint="eastAsia"/>
                <w:b/>
                <w:sz w:val="21"/>
              </w:rPr>
            </w:pPr>
            <w:r>
              <w:rPr>
                <w:rFonts w:ascii="Microsoft JhengHei" w:eastAsia="Microsoft JhengHei" w:hint="eastAsia"/>
                <w:b/>
                <w:sz w:val="21"/>
              </w:rPr>
              <w:t>全丧失</w:t>
            </w:r>
          </w:p>
        </w:tc>
        <w:tc>
          <w:tcPr>
            <w:tcW w:w="7138" w:type="dxa"/>
          </w:tcPr>
          <w:p>
            <w:pPr>
              <w:pStyle w:val="TableParagraph"/>
              <w:spacing w:line="254" w:lineRule="exact"/>
              <w:ind w:left="174"/>
              <w:rPr>
                <w:sz w:val="21"/>
              </w:rPr>
            </w:pPr>
            <w:r>
              <w:rPr>
                <w:sz w:val="21"/>
              </w:rPr>
              <w:t>关节的整个上肢或包括髋关节的整个下肢。 </w:t>
            </w:r>
          </w:p>
        </w:tc>
      </w:tr>
      <w:tr>
        <w:trPr>
          <w:trHeight w:val="365"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before="14"/>
              <w:ind w:left="174"/>
              <w:rPr>
                <w:sz w:val="21"/>
              </w:rPr>
            </w:pPr>
            <w:r>
              <w:rPr>
                <w:w w:val="100"/>
                <w:sz w:val="21"/>
              </w:rPr>
              <w:t> </w:t>
            </w:r>
          </w:p>
        </w:tc>
      </w:tr>
      <w:tr>
        <w:trPr>
          <w:trHeight w:val="657" w:hRule="atLeast"/>
        </w:trPr>
        <w:tc>
          <w:tcPr>
            <w:tcW w:w="677" w:type="dxa"/>
          </w:tcPr>
          <w:p>
            <w:pPr>
              <w:pStyle w:val="TableParagraph"/>
              <w:spacing w:line="321" w:lineRule="exact"/>
              <w:ind w:left="50"/>
              <w:rPr>
                <w:rFonts w:ascii="Microsoft JhengHei"/>
                <w:b/>
                <w:sz w:val="21"/>
              </w:rPr>
            </w:pPr>
            <w:r>
              <w:rPr>
                <w:rFonts w:ascii="Microsoft JhengHei"/>
                <w:b/>
                <w:w w:val="90"/>
                <w:sz w:val="21"/>
              </w:rPr>
              <w:t>10. 18</w:t>
            </w:r>
          </w:p>
        </w:tc>
        <w:tc>
          <w:tcPr>
            <w:tcW w:w="1349" w:type="dxa"/>
          </w:tcPr>
          <w:p>
            <w:pPr>
              <w:pStyle w:val="TableParagraph"/>
              <w:spacing w:line="204" w:lineRule="auto" w:before="10"/>
              <w:ind w:left="119" w:right="171"/>
              <w:rPr>
                <w:rFonts w:ascii="Microsoft JhengHei" w:eastAsia="Microsoft JhengHei" w:hint="eastAsia"/>
                <w:b/>
                <w:sz w:val="21"/>
              </w:rPr>
            </w:pPr>
            <w:r>
              <w:rPr>
                <w:rFonts w:ascii="Microsoft JhengHei" w:eastAsia="Microsoft JhengHei" w:hint="eastAsia"/>
                <w:b/>
                <w:sz w:val="21"/>
              </w:rPr>
              <w:t>语言能力或咀嚼吞咽能</w:t>
            </w:r>
          </w:p>
        </w:tc>
        <w:tc>
          <w:tcPr>
            <w:tcW w:w="7138" w:type="dxa"/>
          </w:tcPr>
          <w:p>
            <w:pPr>
              <w:pStyle w:val="TableParagraph"/>
              <w:spacing w:before="22"/>
              <w:ind w:left="174"/>
              <w:rPr>
                <w:sz w:val="21"/>
              </w:rPr>
            </w:pPr>
            <w:r>
              <w:rPr>
                <w:sz w:val="21"/>
              </w:rPr>
              <w:t>语言能力完全丧失，指无法发出四种语音（包括口唇音、齿舌音、口盖音和</w:t>
            </w:r>
          </w:p>
          <w:p>
            <w:pPr>
              <w:pStyle w:val="TableParagraph"/>
              <w:spacing w:before="34"/>
              <w:ind w:left="174"/>
              <w:rPr>
                <w:sz w:val="21"/>
              </w:rPr>
            </w:pPr>
            <w:r>
              <w:rPr>
                <w:sz w:val="21"/>
              </w:rPr>
              <w:t>喉头音）中的任何三种、或声带全部切除，或因大脑语言中枢受伤害而患失</w:t>
            </w:r>
          </w:p>
        </w:tc>
      </w:tr>
      <w:tr>
        <w:trPr>
          <w:trHeight w:val="312" w:hRule="atLeast"/>
        </w:trPr>
        <w:tc>
          <w:tcPr>
            <w:tcW w:w="677" w:type="dxa"/>
          </w:tcPr>
          <w:p>
            <w:pPr>
              <w:pStyle w:val="TableParagraph"/>
              <w:rPr>
                <w:rFonts w:ascii="Times New Roman"/>
                <w:sz w:val="20"/>
              </w:rPr>
            </w:pPr>
          </w:p>
        </w:tc>
        <w:tc>
          <w:tcPr>
            <w:tcW w:w="1349" w:type="dxa"/>
          </w:tcPr>
          <w:p>
            <w:pPr>
              <w:pStyle w:val="TableParagraph"/>
              <w:spacing w:line="285" w:lineRule="exact"/>
              <w:ind w:left="119"/>
              <w:rPr>
                <w:rFonts w:ascii="Microsoft JhengHei" w:eastAsia="Microsoft JhengHei" w:hint="eastAsia"/>
                <w:b/>
                <w:sz w:val="21"/>
              </w:rPr>
            </w:pPr>
            <w:r>
              <w:rPr>
                <w:rFonts w:ascii="Microsoft JhengHei" w:eastAsia="Microsoft JhengHei" w:hint="eastAsia"/>
                <w:b/>
                <w:sz w:val="21"/>
              </w:rPr>
              <w:t>力完全丧失</w:t>
            </w:r>
          </w:p>
        </w:tc>
        <w:tc>
          <w:tcPr>
            <w:tcW w:w="7138" w:type="dxa"/>
          </w:tcPr>
          <w:p>
            <w:pPr>
              <w:pStyle w:val="TableParagraph"/>
              <w:spacing w:line="261" w:lineRule="exact"/>
              <w:ind w:left="174"/>
              <w:rPr>
                <w:sz w:val="21"/>
              </w:rPr>
            </w:pPr>
            <w:r>
              <w:rPr>
                <w:sz w:val="21"/>
              </w:rPr>
              <w:t>语症。咀嚼吞咽能力完全丧失，指因牙齿以外的原因导致器质障碍或机能障</w:t>
            </w:r>
          </w:p>
        </w:tc>
      </w:tr>
      <w:tr>
        <w:trPr>
          <w:trHeight w:val="339"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碍，以致不能作咀嚼吞咽运动，除流质食物外不能摄取或吞咽的状态。 </w:t>
            </w:r>
          </w:p>
        </w:tc>
      </w:tr>
      <w:tr>
        <w:trPr>
          <w:trHeight w:val="365"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before="14"/>
              <w:ind w:left="174"/>
              <w:rPr>
                <w:sz w:val="21"/>
              </w:rPr>
            </w:pPr>
            <w:r>
              <w:rPr>
                <w:w w:val="100"/>
                <w:sz w:val="21"/>
              </w:rPr>
              <w:t> </w:t>
            </w:r>
          </w:p>
        </w:tc>
      </w:tr>
      <w:tr>
        <w:trPr>
          <w:trHeight w:val="355" w:hRule="atLeast"/>
        </w:trPr>
        <w:tc>
          <w:tcPr>
            <w:tcW w:w="677" w:type="dxa"/>
          </w:tcPr>
          <w:p>
            <w:pPr>
              <w:pStyle w:val="TableParagraph"/>
              <w:spacing w:line="321" w:lineRule="exact"/>
              <w:ind w:left="50"/>
              <w:rPr>
                <w:rFonts w:ascii="Microsoft JhengHei"/>
                <w:b/>
                <w:sz w:val="21"/>
              </w:rPr>
            </w:pPr>
            <w:r>
              <w:rPr>
                <w:rFonts w:ascii="Microsoft JhengHei"/>
                <w:b/>
                <w:w w:val="90"/>
                <w:sz w:val="21"/>
              </w:rPr>
              <w:t>10. 19</w:t>
            </w:r>
          </w:p>
        </w:tc>
        <w:tc>
          <w:tcPr>
            <w:tcW w:w="1349"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六项基本日</w:t>
            </w:r>
          </w:p>
        </w:tc>
        <w:tc>
          <w:tcPr>
            <w:tcW w:w="7138" w:type="dxa"/>
          </w:tcPr>
          <w:p>
            <w:pPr>
              <w:pStyle w:val="TableParagraph"/>
              <w:spacing w:before="22"/>
              <w:ind w:left="174"/>
              <w:rPr>
                <w:sz w:val="21"/>
              </w:rPr>
            </w:pPr>
            <w:r>
              <w:rPr>
                <w:sz w:val="21"/>
              </w:rPr>
              <w:t>六项基本日常生活活动是指：①穿衣：自己能够穿衣及脱衣；②移动：自己</w:t>
            </w:r>
          </w:p>
        </w:tc>
      </w:tr>
      <w:tr>
        <w:trPr>
          <w:trHeight w:val="304" w:hRule="atLeast"/>
        </w:trPr>
        <w:tc>
          <w:tcPr>
            <w:tcW w:w="677" w:type="dxa"/>
          </w:tcPr>
          <w:p>
            <w:pPr>
              <w:pStyle w:val="TableParagraph"/>
              <w:rPr>
                <w:rFonts w:ascii="Times New Roman"/>
                <w:sz w:val="20"/>
              </w:rPr>
            </w:pPr>
          </w:p>
        </w:tc>
        <w:tc>
          <w:tcPr>
            <w:tcW w:w="1349" w:type="dxa"/>
          </w:tcPr>
          <w:p>
            <w:pPr>
              <w:pStyle w:val="TableParagraph"/>
              <w:spacing w:line="278" w:lineRule="exact"/>
              <w:ind w:left="119"/>
              <w:rPr>
                <w:rFonts w:ascii="Microsoft JhengHei" w:eastAsia="Microsoft JhengHei" w:hint="eastAsia"/>
                <w:b/>
                <w:sz w:val="21"/>
              </w:rPr>
            </w:pPr>
            <w:r>
              <w:rPr>
                <w:rFonts w:ascii="Microsoft JhengHei" w:eastAsia="Microsoft JhengHei" w:hint="eastAsia"/>
                <w:b/>
                <w:sz w:val="21"/>
              </w:rPr>
              <w:t>常生活活动</w:t>
            </w:r>
          </w:p>
        </w:tc>
        <w:tc>
          <w:tcPr>
            <w:tcW w:w="7138" w:type="dxa"/>
          </w:tcPr>
          <w:p>
            <w:pPr>
              <w:pStyle w:val="TableParagraph"/>
              <w:spacing w:line="254" w:lineRule="exact"/>
              <w:ind w:left="174"/>
              <w:rPr>
                <w:sz w:val="21"/>
              </w:rPr>
            </w:pPr>
            <w:r>
              <w:rPr>
                <w:sz w:val="21"/>
              </w:rPr>
              <w:t>从一个房间到另一个房间；③行动：自己上下床或上下轮椅；④如厕：自己</w:t>
            </w:r>
          </w:p>
        </w:tc>
      </w:tr>
      <w:tr>
        <w:trPr>
          <w:trHeight w:val="312"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控制进行大小便；⑤进食：自己从已准备好的碗或碟中取食物放入口中；⑥</w:t>
            </w:r>
          </w:p>
        </w:tc>
      </w:tr>
      <w:tr>
        <w:trPr>
          <w:trHeight w:val="339"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洗澡：自己进行淋浴或盆浴。 </w:t>
            </w:r>
          </w:p>
        </w:tc>
      </w:tr>
      <w:tr>
        <w:trPr>
          <w:trHeight w:val="365"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before="14"/>
              <w:ind w:left="174"/>
              <w:rPr>
                <w:sz w:val="21"/>
              </w:rPr>
            </w:pPr>
            <w:r>
              <w:rPr>
                <w:w w:val="100"/>
                <w:sz w:val="21"/>
              </w:rPr>
              <w:t> </w:t>
            </w:r>
          </w:p>
        </w:tc>
      </w:tr>
      <w:tr>
        <w:trPr>
          <w:trHeight w:val="312" w:hRule="atLeast"/>
        </w:trPr>
        <w:tc>
          <w:tcPr>
            <w:tcW w:w="677" w:type="dxa"/>
          </w:tcPr>
          <w:p>
            <w:pPr>
              <w:pStyle w:val="TableParagraph"/>
              <w:spacing w:line="293" w:lineRule="exact"/>
              <w:ind w:left="50"/>
              <w:rPr>
                <w:rFonts w:ascii="Microsoft JhengHei"/>
                <w:b/>
                <w:sz w:val="21"/>
              </w:rPr>
            </w:pPr>
            <w:r>
              <w:rPr>
                <w:rFonts w:ascii="Microsoft JhengHei"/>
                <w:b/>
                <w:w w:val="90"/>
                <w:sz w:val="21"/>
              </w:rPr>
              <w:t>10. 20</w:t>
            </w:r>
          </w:p>
        </w:tc>
        <w:tc>
          <w:tcPr>
            <w:tcW w:w="1349" w:type="dxa"/>
          </w:tcPr>
          <w:p>
            <w:pPr>
              <w:pStyle w:val="TableParagraph"/>
              <w:spacing w:line="293" w:lineRule="exact"/>
              <w:ind w:left="119"/>
              <w:rPr>
                <w:rFonts w:ascii="Microsoft JhengHei" w:eastAsia="Microsoft JhengHei" w:hint="eastAsia"/>
                <w:b/>
                <w:sz w:val="21"/>
              </w:rPr>
            </w:pPr>
            <w:r>
              <w:rPr>
                <w:rFonts w:ascii="Microsoft JhengHei" w:eastAsia="Microsoft JhengHei" w:hint="eastAsia"/>
                <w:b/>
                <w:sz w:val="21"/>
              </w:rPr>
              <w:t>永久不可逆</w:t>
            </w:r>
          </w:p>
        </w:tc>
        <w:tc>
          <w:tcPr>
            <w:tcW w:w="7138" w:type="dxa"/>
          </w:tcPr>
          <w:p>
            <w:pPr>
              <w:pStyle w:val="TableParagraph"/>
              <w:spacing w:line="270" w:lineRule="exact" w:before="22"/>
              <w:ind w:left="174"/>
              <w:rPr>
                <w:sz w:val="21"/>
              </w:rPr>
            </w:pPr>
            <w:r>
              <w:rPr>
                <w:spacing w:val="-6"/>
                <w:sz w:val="21"/>
              </w:rPr>
              <w:t>指自疾病确诊或意外伤害发生之日起，经过积极治疗 </w:t>
            </w:r>
            <w:r>
              <w:rPr>
                <w:sz w:val="21"/>
              </w:rPr>
              <w:t>180</w:t>
            </w:r>
            <w:r>
              <w:rPr>
                <w:spacing w:val="-9"/>
                <w:sz w:val="21"/>
              </w:rPr>
              <w:t> 天后，仍无法通过</w:t>
            </w:r>
          </w:p>
        </w:tc>
      </w:tr>
    </w:tbl>
    <w:p>
      <w:pPr>
        <w:pStyle w:val="BodyText"/>
        <w:spacing w:before="22"/>
        <w:ind w:left="2305"/>
      </w:pPr>
      <w:r>
        <w:rPr/>
        <w:t>现有医疗手段恢复。 </w:t>
      </w:r>
    </w:p>
    <w:sectPr>
      <w:pgSz w:w="11900" w:h="16840"/>
      <w:pgMar w:header="0" w:footer="724" w:top="1200" w:bottom="920" w:left="134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4.760010pt;margin-top:794.820007pt;width:13.15pt;height:12pt;mso-position-horizontal-relative:page;mso-position-vertical-relative:page;z-index:-55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37"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0">
    <w:multiLevelType w:val="hybridMultilevel"/>
    <w:lvl w:ilvl="0">
      <w:start w:val="0"/>
      <w:numFmt w:val="bullet"/>
      <w:lvlText w:val=""/>
      <w:lvlJc w:val="left"/>
      <w:pPr>
        <w:ind w:left="1637"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9">
    <w:multiLevelType w:val="hybridMultilevel"/>
    <w:lvl w:ilvl="0">
      <w:start w:val="25"/>
      <w:numFmt w:val="lowerLetter"/>
      <w:lvlText w:val="%1"/>
      <w:lvlJc w:val="left"/>
      <w:pPr>
        <w:ind w:left="961" w:hanging="74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814" w:hanging="743"/>
      </w:pPr>
      <w:rPr>
        <w:rFonts w:hint="default"/>
      </w:rPr>
    </w:lvl>
    <w:lvl w:ilvl="2">
      <w:start w:val="0"/>
      <w:numFmt w:val="bullet"/>
      <w:lvlText w:val="•"/>
      <w:lvlJc w:val="left"/>
      <w:pPr>
        <w:ind w:left="2668" w:hanging="743"/>
      </w:pPr>
      <w:rPr>
        <w:rFonts w:hint="default"/>
      </w:rPr>
    </w:lvl>
    <w:lvl w:ilvl="3">
      <w:start w:val="0"/>
      <w:numFmt w:val="bullet"/>
      <w:lvlText w:val="•"/>
      <w:lvlJc w:val="left"/>
      <w:pPr>
        <w:ind w:left="3522" w:hanging="743"/>
      </w:pPr>
      <w:rPr>
        <w:rFonts w:hint="default"/>
      </w:rPr>
    </w:lvl>
    <w:lvl w:ilvl="4">
      <w:start w:val="0"/>
      <w:numFmt w:val="bullet"/>
      <w:lvlText w:val="•"/>
      <w:lvlJc w:val="left"/>
      <w:pPr>
        <w:ind w:left="4376" w:hanging="743"/>
      </w:pPr>
      <w:rPr>
        <w:rFonts w:hint="default"/>
      </w:rPr>
    </w:lvl>
    <w:lvl w:ilvl="5">
      <w:start w:val="0"/>
      <w:numFmt w:val="bullet"/>
      <w:lvlText w:val="•"/>
      <w:lvlJc w:val="left"/>
      <w:pPr>
        <w:ind w:left="5230" w:hanging="743"/>
      </w:pPr>
      <w:rPr>
        <w:rFonts w:hint="default"/>
      </w:rPr>
    </w:lvl>
    <w:lvl w:ilvl="6">
      <w:start w:val="0"/>
      <w:numFmt w:val="bullet"/>
      <w:lvlText w:val="•"/>
      <w:lvlJc w:val="left"/>
      <w:pPr>
        <w:ind w:left="6084" w:hanging="743"/>
      </w:pPr>
      <w:rPr>
        <w:rFonts w:hint="default"/>
      </w:rPr>
    </w:lvl>
    <w:lvl w:ilvl="7">
      <w:start w:val="0"/>
      <w:numFmt w:val="bullet"/>
      <w:lvlText w:val="•"/>
      <w:lvlJc w:val="left"/>
      <w:pPr>
        <w:ind w:left="6938" w:hanging="743"/>
      </w:pPr>
      <w:rPr>
        <w:rFonts w:hint="default"/>
      </w:rPr>
    </w:lvl>
    <w:lvl w:ilvl="8">
      <w:start w:val="0"/>
      <w:numFmt w:val="bullet"/>
      <w:lvlText w:val="•"/>
      <w:lvlJc w:val="left"/>
      <w:pPr>
        <w:ind w:left="7792" w:hanging="743"/>
      </w:pPr>
      <w:rPr>
        <w:rFonts w:hint="default"/>
      </w:rPr>
    </w:lvl>
  </w:abstractNum>
  <w:abstractNum w:abstractNumId="8">
    <w:multiLevelType w:val="hybridMultilevel"/>
    <w:lvl w:ilvl="0">
      <w:start w:val="4"/>
      <w:numFmt w:val="decimal"/>
      <w:lvlText w:val="%1"/>
      <w:lvlJc w:val="left"/>
      <w:pPr>
        <w:ind w:left="2365" w:hanging="747"/>
        <w:jc w:val="left"/>
      </w:pPr>
      <w:rPr>
        <w:rFonts w:hint="default"/>
      </w:rPr>
    </w:lvl>
    <w:lvl w:ilvl="1">
      <w:start w:val="1"/>
      <w:numFmt w:val="decimal"/>
      <w:lvlText w:val="%1.%2"/>
      <w:lvlJc w:val="left"/>
      <w:pPr>
        <w:ind w:left="2365"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291" w:hanging="747"/>
      </w:pPr>
      <w:rPr>
        <w:rFonts w:hint="default"/>
      </w:rPr>
    </w:lvl>
    <w:lvl w:ilvl="3">
      <w:start w:val="0"/>
      <w:numFmt w:val="bullet"/>
      <w:lvlText w:val="•"/>
      <w:lvlJc w:val="left"/>
      <w:pPr>
        <w:ind w:left="2257" w:hanging="747"/>
      </w:pPr>
      <w:rPr>
        <w:rFonts w:hint="default"/>
      </w:rPr>
    </w:lvl>
    <w:lvl w:ilvl="4">
      <w:start w:val="0"/>
      <w:numFmt w:val="bullet"/>
      <w:lvlText w:val="•"/>
      <w:lvlJc w:val="left"/>
      <w:pPr>
        <w:ind w:left="2223" w:hanging="747"/>
      </w:pPr>
      <w:rPr>
        <w:rFonts w:hint="default"/>
      </w:rPr>
    </w:lvl>
    <w:lvl w:ilvl="5">
      <w:start w:val="0"/>
      <w:numFmt w:val="bullet"/>
      <w:lvlText w:val="•"/>
      <w:lvlJc w:val="left"/>
      <w:pPr>
        <w:ind w:left="2188" w:hanging="747"/>
      </w:pPr>
      <w:rPr>
        <w:rFonts w:hint="default"/>
      </w:rPr>
    </w:lvl>
    <w:lvl w:ilvl="6">
      <w:start w:val="0"/>
      <w:numFmt w:val="bullet"/>
      <w:lvlText w:val="•"/>
      <w:lvlJc w:val="left"/>
      <w:pPr>
        <w:ind w:left="2154" w:hanging="747"/>
      </w:pPr>
      <w:rPr>
        <w:rFonts w:hint="default"/>
      </w:rPr>
    </w:lvl>
    <w:lvl w:ilvl="7">
      <w:start w:val="0"/>
      <w:numFmt w:val="bullet"/>
      <w:lvlText w:val="•"/>
      <w:lvlJc w:val="left"/>
      <w:pPr>
        <w:ind w:left="2120" w:hanging="747"/>
      </w:pPr>
      <w:rPr>
        <w:rFonts w:hint="default"/>
      </w:rPr>
    </w:lvl>
    <w:lvl w:ilvl="8">
      <w:start w:val="0"/>
      <w:numFmt w:val="bullet"/>
      <w:lvlText w:val="•"/>
      <w:lvlJc w:val="left"/>
      <w:pPr>
        <w:ind w:left="2086" w:hanging="747"/>
      </w:pPr>
      <w:rPr>
        <w:rFonts w:hint="default"/>
      </w:rPr>
    </w:lvl>
  </w:abstractNum>
  <w:abstractNum w:abstractNumId="7">
    <w:multiLevelType w:val="hybridMultilevel"/>
    <w:lvl w:ilvl="0">
      <w:start w:val="23"/>
      <w:numFmt w:val="lowerLetter"/>
      <w:lvlText w:val="%1"/>
      <w:lvlJc w:val="left"/>
      <w:pPr>
        <w:ind w:left="961" w:hanging="745"/>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814" w:hanging="745"/>
      </w:pPr>
      <w:rPr>
        <w:rFonts w:hint="default"/>
      </w:rPr>
    </w:lvl>
    <w:lvl w:ilvl="2">
      <w:start w:val="0"/>
      <w:numFmt w:val="bullet"/>
      <w:lvlText w:val="•"/>
      <w:lvlJc w:val="left"/>
      <w:pPr>
        <w:ind w:left="2668" w:hanging="745"/>
      </w:pPr>
      <w:rPr>
        <w:rFonts w:hint="default"/>
      </w:rPr>
    </w:lvl>
    <w:lvl w:ilvl="3">
      <w:start w:val="0"/>
      <w:numFmt w:val="bullet"/>
      <w:lvlText w:val="•"/>
      <w:lvlJc w:val="left"/>
      <w:pPr>
        <w:ind w:left="3522" w:hanging="745"/>
      </w:pPr>
      <w:rPr>
        <w:rFonts w:hint="default"/>
      </w:rPr>
    </w:lvl>
    <w:lvl w:ilvl="4">
      <w:start w:val="0"/>
      <w:numFmt w:val="bullet"/>
      <w:lvlText w:val="•"/>
      <w:lvlJc w:val="left"/>
      <w:pPr>
        <w:ind w:left="4376" w:hanging="745"/>
      </w:pPr>
      <w:rPr>
        <w:rFonts w:hint="default"/>
      </w:rPr>
    </w:lvl>
    <w:lvl w:ilvl="5">
      <w:start w:val="0"/>
      <w:numFmt w:val="bullet"/>
      <w:lvlText w:val="•"/>
      <w:lvlJc w:val="left"/>
      <w:pPr>
        <w:ind w:left="5230" w:hanging="745"/>
      </w:pPr>
      <w:rPr>
        <w:rFonts w:hint="default"/>
      </w:rPr>
    </w:lvl>
    <w:lvl w:ilvl="6">
      <w:start w:val="0"/>
      <w:numFmt w:val="bullet"/>
      <w:lvlText w:val="•"/>
      <w:lvlJc w:val="left"/>
      <w:pPr>
        <w:ind w:left="6084" w:hanging="745"/>
      </w:pPr>
      <w:rPr>
        <w:rFonts w:hint="default"/>
      </w:rPr>
    </w:lvl>
    <w:lvl w:ilvl="7">
      <w:start w:val="0"/>
      <w:numFmt w:val="bullet"/>
      <w:lvlText w:val="•"/>
      <w:lvlJc w:val="left"/>
      <w:pPr>
        <w:ind w:left="6938" w:hanging="745"/>
      </w:pPr>
      <w:rPr>
        <w:rFonts w:hint="default"/>
      </w:rPr>
    </w:lvl>
    <w:lvl w:ilvl="8">
      <w:start w:val="0"/>
      <w:numFmt w:val="bullet"/>
      <w:lvlText w:val="•"/>
      <w:lvlJc w:val="left"/>
      <w:pPr>
        <w:ind w:left="7792" w:hanging="745"/>
      </w:pPr>
      <w:rPr>
        <w:rFonts w:hint="default"/>
      </w:rPr>
    </w:lvl>
  </w:abstractNum>
  <w:abstractNum w:abstractNumId="6">
    <w:multiLevelType w:val="hybridMultilevel"/>
    <w:lvl w:ilvl="0">
      <w:start w:val="2"/>
      <w:numFmt w:val="decimal"/>
      <w:lvlText w:val="%1"/>
      <w:lvlJc w:val="left"/>
      <w:pPr>
        <w:ind w:left="1101" w:hanging="747"/>
        <w:jc w:val="left"/>
      </w:pPr>
      <w:rPr>
        <w:rFonts w:hint="default"/>
      </w:rPr>
    </w:lvl>
    <w:lvl w:ilvl="1">
      <w:start w:val="1"/>
      <w:numFmt w:val="decimal"/>
      <w:lvlText w:val="%1.%2"/>
      <w:lvlJc w:val="left"/>
      <w:pPr>
        <w:ind w:left="1101"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12" w:hanging="747"/>
      </w:pPr>
      <w:rPr>
        <w:rFonts w:hint="default"/>
      </w:rPr>
    </w:lvl>
    <w:lvl w:ilvl="3">
      <w:start w:val="0"/>
      <w:numFmt w:val="bullet"/>
      <w:lvlText w:val="•"/>
      <w:lvlJc w:val="left"/>
      <w:pPr>
        <w:ind w:left="3668" w:hanging="747"/>
      </w:pPr>
      <w:rPr>
        <w:rFonts w:hint="default"/>
      </w:rPr>
    </w:lvl>
    <w:lvl w:ilvl="4">
      <w:start w:val="0"/>
      <w:numFmt w:val="bullet"/>
      <w:lvlText w:val="•"/>
      <w:lvlJc w:val="left"/>
      <w:pPr>
        <w:ind w:left="4524" w:hanging="747"/>
      </w:pPr>
      <w:rPr>
        <w:rFonts w:hint="default"/>
      </w:rPr>
    </w:lvl>
    <w:lvl w:ilvl="5">
      <w:start w:val="0"/>
      <w:numFmt w:val="bullet"/>
      <w:lvlText w:val="•"/>
      <w:lvlJc w:val="left"/>
      <w:pPr>
        <w:ind w:left="5380" w:hanging="747"/>
      </w:pPr>
      <w:rPr>
        <w:rFonts w:hint="default"/>
      </w:rPr>
    </w:lvl>
    <w:lvl w:ilvl="6">
      <w:start w:val="0"/>
      <w:numFmt w:val="bullet"/>
      <w:lvlText w:val="•"/>
      <w:lvlJc w:val="left"/>
      <w:pPr>
        <w:ind w:left="6236" w:hanging="747"/>
      </w:pPr>
      <w:rPr>
        <w:rFonts w:hint="default"/>
      </w:rPr>
    </w:lvl>
    <w:lvl w:ilvl="7">
      <w:start w:val="0"/>
      <w:numFmt w:val="bullet"/>
      <w:lvlText w:val="•"/>
      <w:lvlJc w:val="left"/>
      <w:pPr>
        <w:ind w:left="7092" w:hanging="747"/>
      </w:pPr>
      <w:rPr>
        <w:rFonts w:hint="default"/>
      </w:rPr>
    </w:lvl>
    <w:lvl w:ilvl="8">
      <w:start w:val="0"/>
      <w:numFmt w:val="bullet"/>
      <w:lvlText w:val="•"/>
      <w:lvlJc w:val="left"/>
      <w:pPr>
        <w:ind w:left="7948" w:hanging="747"/>
      </w:pPr>
      <w:rPr>
        <w:rFonts w:hint="default"/>
      </w:rPr>
    </w:lvl>
  </w:abstractNum>
  <w:abstractNum w:abstractNumId="5">
    <w:multiLevelType w:val="hybridMultilevel"/>
    <w:lvl w:ilvl="0">
      <w:start w:val="1"/>
      <w:numFmt w:val="decimal"/>
      <w:lvlText w:val="%1"/>
      <w:lvlJc w:val="left"/>
      <w:pPr>
        <w:ind w:left="2505" w:hanging="747"/>
        <w:jc w:val="left"/>
      </w:pPr>
      <w:rPr>
        <w:rFonts w:hint="default"/>
      </w:rPr>
    </w:lvl>
    <w:lvl w:ilvl="1">
      <w:start w:val="3"/>
      <w:numFmt w:val="decimal"/>
      <w:lvlText w:val="%1.%2"/>
      <w:lvlJc w:val="left"/>
      <w:pPr>
        <w:ind w:left="2505"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932" w:hanging="747"/>
      </w:pPr>
      <w:rPr>
        <w:rFonts w:hint="default"/>
      </w:rPr>
    </w:lvl>
    <w:lvl w:ilvl="3">
      <w:start w:val="0"/>
      <w:numFmt w:val="bullet"/>
      <w:lvlText w:val="•"/>
      <w:lvlJc w:val="left"/>
      <w:pPr>
        <w:ind w:left="4648" w:hanging="747"/>
      </w:pPr>
      <w:rPr>
        <w:rFonts w:hint="default"/>
      </w:rPr>
    </w:lvl>
    <w:lvl w:ilvl="4">
      <w:start w:val="0"/>
      <w:numFmt w:val="bullet"/>
      <w:lvlText w:val="•"/>
      <w:lvlJc w:val="left"/>
      <w:pPr>
        <w:ind w:left="5364" w:hanging="747"/>
      </w:pPr>
      <w:rPr>
        <w:rFonts w:hint="default"/>
      </w:rPr>
    </w:lvl>
    <w:lvl w:ilvl="5">
      <w:start w:val="0"/>
      <w:numFmt w:val="bullet"/>
      <w:lvlText w:val="•"/>
      <w:lvlJc w:val="left"/>
      <w:pPr>
        <w:ind w:left="6080" w:hanging="747"/>
      </w:pPr>
      <w:rPr>
        <w:rFonts w:hint="default"/>
      </w:rPr>
    </w:lvl>
    <w:lvl w:ilvl="6">
      <w:start w:val="0"/>
      <w:numFmt w:val="bullet"/>
      <w:lvlText w:val="•"/>
      <w:lvlJc w:val="left"/>
      <w:pPr>
        <w:ind w:left="6796" w:hanging="747"/>
      </w:pPr>
      <w:rPr>
        <w:rFonts w:hint="default"/>
      </w:rPr>
    </w:lvl>
    <w:lvl w:ilvl="7">
      <w:start w:val="0"/>
      <w:numFmt w:val="bullet"/>
      <w:lvlText w:val="•"/>
      <w:lvlJc w:val="left"/>
      <w:pPr>
        <w:ind w:left="7512" w:hanging="747"/>
      </w:pPr>
      <w:rPr>
        <w:rFonts w:hint="default"/>
      </w:rPr>
    </w:lvl>
    <w:lvl w:ilvl="8">
      <w:start w:val="0"/>
      <w:numFmt w:val="bullet"/>
      <w:lvlText w:val="•"/>
      <w:lvlJc w:val="left"/>
      <w:pPr>
        <w:ind w:left="8228" w:hanging="747"/>
      </w:pPr>
      <w:rPr>
        <w:rFonts w:hint="default"/>
      </w:rPr>
    </w:lvl>
  </w:abstractNum>
  <w:abstractNum w:abstractNumId="4">
    <w:multiLevelType w:val="hybridMultilevel"/>
    <w:lvl w:ilvl="0">
      <w:start w:val="1"/>
      <w:numFmt w:val="decimal"/>
      <w:lvlText w:val="%1"/>
      <w:lvlJc w:val="left"/>
      <w:pPr>
        <w:ind w:left="2505" w:hanging="747"/>
        <w:jc w:val="left"/>
      </w:pPr>
      <w:rPr>
        <w:rFonts w:hint="default"/>
      </w:rPr>
    </w:lvl>
    <w:lvl w:ilvl="1">
      <w:start w:val="1"/>
      <w:numFmt w:val="decimal"/>
      <w:lvlText w:val="%1.%2"/>
      <w:lvlJc w:val="left"/>
      <w:pPr>
        <w:ind w:left="2505"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932" w:hanging="747"/>
      </w:pPr>
      <w:rPr>
        <w:rFonts w:hint="default"/>
      </w:rPr>
    </w:lvl>
    <w:lvl w:ilvl="3">
      <w:start w:val="0"/>
      <w:numFmt w:val="bullet"/>
      <w:lvlText w:val="•"/>
      <w:lvlJc w:val="left"/>
      <w:pPr>
        <w:ind w:left="4648" w:hanging="747"/>
      </w:pPr>
      <w:rPr>
        <w:rFonts w:hint="default"/>
      </w:rPr>
    </w:lvl>
    <w:lvl w:ilvl="4">
      <w:start w:val="0"/>
      <w:numFmt w:val="bullet"/>
      <w:lvlText w:val="•"/>
      <w:lvlJc w:val="left"/>
      <w:pPr>
        <w:ind w:left="5364" w:hanging="747"/>
      </w:pPr>
      <w:rPr>
        <w:rFonts w:hint="default"/>
      </w:rPr>
    </w:lvl>
    <w:lvl w:ilvl="5">
      <w:start w:val="0"/>
      <w:numFmt w:val="bullet"/>
      <w:lvlText w:val="•"/>
      <w:lvlJc w:val="left"/>
      <w:pPr>
        <w:ind w:left="6080" w:hanging="747"/>
      </w:pPr>
      <w:rPr>
        <w:rFonts w:hint="default"/>
      </w:rPr>
    </w:lvl>
    <w:lvl w:ilvl="6">
      <w:start w:val="0"/>
      <w:numFmt w:val="bullet"/>
      <w:lvlText w:val="•"/>
      <w:lvlJc w:val="left"/>
      <w:pPr>
        <w:ind w:left="6796" w:hanging="747"/>
      </w:pPr>
      <w:rPr>
        <w:rFonts w:hint="default"/>
      </w:rPr>
    </w:lvl>
    <w:lvl w:ilvl="7">
      <w:start w:val="0"/>
      <w:numFmt w:val="bullet"/>
      <w:lvlText w:val="•"/>
      <w:lvlJc w:val="left"/>
      <w:pPr>
        <w:ind w:left="7512" w:hanging="747"/>
      </w:pPr>
      <w:rPr>
        <w:rFonts w:hint="default"/>
      </w:rPr>
    </w:lvl>
    <w:lvl w:ilvl="8">
      <w:start w:val="0"/>
      <w:numFmt w:val="bullet"/>
      <w:lvlText w:val="•"/>
      <w:lvlJc w:val="left"/>
      <w:pPr>
        <w:ind w:left="8228" w:hanging="747"/>
      </w:pPr>
      <w:rPr>
        <w:rFonts w:hint="default"/>
      </w:rPr>
    </w:lvl>
  </w:abstractNum>
  <w:abstractNum w:abstractNumId="3">
    <w:multiLevelType w:val="hybridMultilevel"/>
    <w:lvl w:ilvl="0">
      <w:start w:val="10"/>
      <w:numFmt w:val="decimal"/>
      <w:lvlText w:val="%1"/>
      <w:lvlJc w:val="left"/>
      <w:pPr>
        <w:ind w:left="1142" w:hanging="526"/>
        <w:jc w:val="left"/>
      </w:pPr>
      <w:rPr>
        <w:rFonts w:hint="default"/>
      </w:rPr>
    </w:lvl>
    <w:lvl w:ilvl="1">
      <w:start w:val="5"/>
      <w:numFmt w:val="decimal"/>
      <w:lvlText w:val="%1.%2"/>
      <w:lvlJc w:val="left"/>
      <w:pPr>
        <w:ind w:left="1142" w:hanging="526"/>
        <w:jc w:val="left"/>
      </w:pPr>
      <w:rPr>
        <w:rFonts w:hint="default" w:ascii="仿宋" w:hAnsi="仿宋" w:eastAsia="仿宋" w:cs="仿宋"/>
        <w:w w:val="100"/>
        <w:sz w:val="21"/>
        <w:szCs w:val="21"/>
      </w:rPr>
    </w:lvl>
    <w:lvl w:ilvl="2">
      <w:start w:val="0"/>
      <w:numFmt w:val="bullet"/>
      <w:lvlText w:val="•"/>
      <w:lvlJc w:val="left"/>
      <w:pPr>
        <w:ind w:left="1631" w:hanging="526"/>
      </w:pPr>
      <w:rPr>
        <w:rFonts w:hint="default"/>
      </w:rPr>
    </w:lvl>
    <w:lvl w:ilvl="3">
      <w:start w:val="0"/>
      <w:numFmt w:val="bullet"/>
      <w:lvlText w:val="•"/>
      <w:lvlJc w:val="left"/>
      <w:pPr>
        <w:ind w:left="1877"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368" w:hanging="526"/>
      </w:pPr>
      <w:rPr>
        <w:rFonts w:hint="default"/>
      </w:rPr>
    </w:lvl>
    <w:lvl w:ilvl="6">
      <w:start w:val="0"/>
      <w:numFmt w:val="bullet"/>
      <w:lvlText w:val="•"/>
      <w:lvlJc w:val="left"/>
      <w:pPr>
        <w:ind w:left="2614" w:hanging="526"/>
      </w:pPr>
      <w:rPr>
        <w:rFonts w:hint="default"/>
      </w:rPr>
    </w:lvl>
    <w:lvl w:ilvl="7">
      <w:start w:val="0"/>
      <w:numFmt w:val="bullet"/>
      <w:lvlText w:val="•"/>
      <w:lvlJc w:val="left"/>
      <w:pPr>
        <w:ind w:left="2859" w:hanging="526"/>
      </w:pPr>
      <w:rPr>
        <w:rFonts w:hint="default"/>
      </w:rPr>
    </w:lvl>
    <w:lvl w:ilvl="8">
      <w:start w:val="0"/>
      <w:numFmt w:val="bullet"/>
      <w:lvlText w:val="•"/>
      <w:lvlJc w:val="left"/>
      <w:pPr>
        <w:ind w:left="3105" w:hanging="526"/>
      </w:pPr>
      <w:rPr>
        <w:rFonts w:hint="default"/>
      </w:rPr>
    </w:lvl>
  </w:abstractNum>
  <w:abstractNum w:abstractNumId="2">
    <w:multiLevelType w:val="hybridMultilevel"/>
    <w:lvl w:ilvl="0">
      <w:start w:val="10"/>
      <w:numFmt w:val="decimal"/>
      <w:lvlText w:val="%1"/>
      <w:lvlJc w:val="left"/>
      <w:pPr>
        <w:ind w:left="1142" w:hanging="526"/>
        <w:jc w:val="left"/>
      </w:pPr>
      <w:rPr>
        <w:rFonts w:hint="default"/>
      </w:rPr>
    </w:lvl>
    <w:lvl w:ilvl="1">
      <w:start w:val="2"/>
      <w:numFmt w:val="decimal"/>
      <w:lvlText w:val="%1.%2"/>
      <w:lvlJc w:val="left"/>
      <w:pPr>
        <w:ind w:left="1142" w:hanging="526"/>
        <w:jc w:val="left"/>
      </w:pPr>
      <w:rPr>
        <w:rFonts w:hint="default" w:ascii="仿宋" w:hAnsi="仿宋" w:eastAsia="仿宋" w:cs="仿宋"/>
        <w:w w:val="100"/>
        <w:sz w:val="21"/>
        <w:szCs w:val="21"/>
      </w:rPr>
    </w:lvl>
    <w:lvl w:ilvl="2">
      <w:start w:val="0"/>
      <w:numFmt w:val="bullet"/>
      <w:lvlText w:val="•"/>
      <w:lvlJc w:val="left"/>
      <w:pPr>
        <w:ind w:left="1631" w:hanging="526"/>
      </w:pPr>
      <w:rPr>
        <w:rFonts w:hint="default"/>
      </w:rPr>
    </w:lvl>
    <w:lvl w:ilvl="3">
      <w:start w:val="0"/>
      <w:numFmt w:val="bullet"/>
      <w:lvlText w:val="•"/>
      <w:lvlJc w:val="left"/>
      <w:pPr>
        <w:ind w:left="1877" w:hanging="526"/>
      </w:pPr>
      <w:rPr>
        <w:rFonts w:hint="default"/>
      </w:rPr>
    </w:lvl>
    <w:lvl w:ilvl="4">
      <w:start w:val="0"/>
      <w:numFmt w:val="bullet"/>
      <w:lvlText w:val="•"/>
      <w:lvlJc w:val="left"/>
      <w:pPr>
        <w:ind w:left="2122" w:hanging="526"/>
      </w:pPr>
      <w:rPr>
        <w:rFonts w:hint="default"/>
      </w:rPr>
    </w:lvl>
    <w:lvl w:ilvl="5">
      <w:start w:val="0"/>
      <w:numFmt w:val="bullet"/>
      <w:lvlText w:val="•"/>
      <w:lvlJc w:val="left"/>
      <w:pPr>
        <w:ind w:left="2368" w:hanging="526"/>
      </w:pPr>
      <w:rPr>
        <w:rFonts w:hint="default"/>
      </w:rPr>
    </w:lvl>
    <w:lvl w:ilvl="6">
      <w:start w:val="0"/>
      <w:numFmt w:val="bullet"/>
      <w:lvlText w:val="•"/>
      <w:lvlJc w:val="left"/>
      <w:pPr>
        <w:ind w:left="2614" w:hanging="526"/>
      </w:pPr>
      <w:rPr>
        <w:rFonts w:hint="default"/>
      </w:rPr>
    </w:lvl>
    <w:lvl w:ilvl="7">
      <w:start w:val="0"/>
      <w:numFmt w:val="bullet"/>
      <w:lvlText w:val="•"/>
      <w:lvlJc w:val="left"/>
      <w:pPr>
        <w:ind w:left="2859" w:hanging="526"/>
      </w:pPr>
      <w:rPr>
        <w:rFonts w:hint="default"/>
      </w:rPr>
    </w:lvl>
    <w:lvl w:ilvl="8">
      <w:start w:val="0"/>
      <w:numFmt w:val="bullet"/>
      <w:lvlText w:val="•"/>
      <w:lvlJc w:val="left"/>
      <w:pPr>
        <w:ind w:left="3105" w:hanging="526"/>
      </w:pPr>
      <w:rPr>
        <w:rFonts w:hint="default"/>
      </w:rPr>
    </w:lvl>
  </w:abstractNum>
  <w:num w:numId="2">
    <w:abstractNumId w:val="1"/>
  </w: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1965"/>
    </w:pPr>
    <w:rPr>
      <w:rFonts w:ascii="宋体" w:hAnsi="宋体" w:eastAsia="宋体" w:cs="宋体"/>
      <w:sz w:val="21"/>
      <w:szCs w:val="21"/>
    </w:rPr>
  </w:style>
  <w:style w:styleId="Heading1" w:type="paragraph">
    <w:name w:val="Heading 1"/>
    <w:basedOn w:val="Normal"/>
    <w:uiPriority w:val="1"/>
    <w:qFormat/>
    <w:pPr>
      <w:ind w:left="1891" w:right="1902"/>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68"/>
      <w:ind w:left="961" w:hanging="74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36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9"/>
      <w:ind w:left="1637"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嘉禾发[2010]464号-1 嘉禾爱康重大疾病保险条款</dc:title>
  <dcterms:created xsi:type="dcterms:W3CDTF">2018-10-19T23:17:48Z</dcterms:created>
  <dcterms:modified xsi:type="dcterms:W3CDTF">2018-10-19T23:17:48Z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