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2"/>
        <w:rPr>
          <w:rFonts w:ascii="Times New Roman"/>
          <w:sz w:val="20"/>
        </w:rPr>
      </w:pPr>
      <w:r>
        <w:rPr>
          <w:rFonts w:ascii="Times New Roman"/>
          <w:sz w:val="20"/>
        </w:rPr>
        <w:drawing>
          <wp:inline distT="0" distB="0" distL="0" distR="0">
            <wp:extent cx="3523596" cy="40690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23596" cy="406907"/>
                    </a:xfrm>
                    <a:prstGeom prst="rect">
                      <a:avLst/>
                    </a:prstGeom>
                  </pic:spPr>
                </pic:pic>
              </a:graphicData>
            </a:graphic>
          </wp:inline>
        </w:drawing>
      </w:r>
      <w:r>
        <w:rPr>
          <w:rFonts w:ascii="Times New Roman"/>
          <w:sz w:val="20"/>
        </w:rPr>
      </w:r>
    </w:p>
    <w:p>
      <w:pPr>
        <w:pStyle w:val="BodyText"/>
        <w:spacing w:before="2"/>
        <w:rPr>
          <w:rFonts w:ascii="Times New Roman"/>
          <w:sz w:val="16"/>
        </w:rPr>
      </w:pPr>
    </w:p>
    <w:p>
      <w:pPr>
        <w:spacing w:after="0"/>
        <w:rPr>
          <w:rFonts w:ascii="Times New Roman"/>
          <w:sz w:val="16"/>
        </w:rPr>
        <w:sectPr>
          <w:footerReference w:type="default" r:id="rId5"/>
          <w:type w:val="continuous"/>
          <w:pgSz w:w="11910" w:h="16840"/>
          <w:pgMar w:footer="770" w:top="1520" w:bottom="960" w:left="1600" w:right="1120"/>
          <w:pgNumType w:start="1"/>
        </w:sectPr>
      </w:pPr>
    </w:p>
    <w:p>
      <w:pPr>
        <w:spacing w:line="456" w:lineRule="exact" w:before="0"/>
        <w:ind w:left="2898" w:right="0" w:firstLine="0"/>
        <w:jc w:val="left"/>
        <w:rPr>
          <w:rFonts w:ascii="微软雅黑" w:eastAsia="微软雅黑" w:hint="eastAsia"/>
          <w:b/>
          <w:sz w:val="28"/>
        </w:rPr>
      </w:pPr>
      <w:r>
        <w:rPr>
          <w:rFonts w:ascii="微软雅黑" w:eastAsia="微软雅黑" w:hint="eastAsia"/>
          <w:b/>
          <w:sz w:val="28"/>
        </w:rPr>
        <w:t>生命附加福安重大疾病保险</w:t>
      </w:r>
    </w:p>
    <w:p>
      <w:pPr>
        <w:pStyle w:val="BodyText"/>
        <w:spacing w:before="10"/>
        <w:rPr>
          <w:rFonts w:ascii="微软雅黑"/>
          <w:b/>
          <w:sz w:val="25"/>
        </w:rPr>
      </w:pPr>
    </w:p>
    <w:p>
      <w:pPr>
        <w:pStyle w:val="BodyText"/>
        <w:spacing w:before="0"/>
        <w:ind w:left="2560"/>
      </w:pPr>
      <w:r>
        <w:rPr>
          <w:rFonts w:ascii="Times New Roman" w:eastAsia="Times New Roman"/>
        </w:rPr>
        <w:t>2009 </w:t>
      </w:r>
      <w:r>
        <w:rPr>
          <w:spacing w:val="-23"/>
        </w:rPr>
        <w:t>年 </w:t>
      </w:r>
      <w:r>
        <w:rPr>
          <w:rFonts w:ascii="Times New Roman" w:eastAsia="Times New Roman"/>
        </w:rPr>
        <w:t>9 </w:t>
      </w:r>
      <w:r>
        <w:rPr>
          <w:spacing w:val="-3"/>
        </w:rPr>
        <w:t>月经中国保险监督管理委员会备案</w:t>
      </w:r>
    </w:p>
    <w:p>
      <w:pPr>
        <w:pStyle w:val="BodyText"/>
        <w:spacing w:before="10"/>
        <w:rPr>
          <w:sz w:val="27"/>
        </w:rPr>
      </w:pPr>
    </w:p>
    <w:p>
      <w:pPr>
        <w:pStyle w:val="Heading1"/>
        <w:spacing w:line="326" w:lineRule="auto"/>
        <w:ind w:right="173"/>
      </w:pPr>
      <w:r>
        <w:rPr/>
        <w:t>本保险条款的每一部分都关乎您的切身利益，请务必逐条仔细阅读。以下为阅读指引和条款目录，将有助于您阅读条款。</w:t>
      </w:r>
    </w:p>
    <w:p>
      <w:pPr>
        <w:pStyle w:val="BodyText"/>
        <w:spacing w:before="8"/>
        <w:rPr>
          <w:b/>
          <w:sz w:val="22"/>
        </w:rPr>
      </w:pPr>
    </w:p>
    <w:p>
      <w:pPr>
        <w:spacing w:before="1"/>
        <w:ind w:left="3774" w:right="121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3" w:lineRule="auto" w:before="63"/>
        <w:ind w:left="342" w:right="495"/>
        <w:jc w:val="center"/>
        <w:rPr>
          <w:rFonts w:ascii="仿宋" w:eastAsia="仿宋" w:hint="eastAsia"/>
        </w:rPr>
      </w:pPr>
      <w:r>
        <w:rPr/>
        <w:br w:type="column"/>
      </w:r>
      <w:r>
        <w:rPr>
          <w:rFonts w:ascii="仿宋" w:eastAsia="仿宋" w:hint="eastAsia"/>
          <w:spacing w:val="-2"/>
        </w:rPr>
        <w:t>生命人寿[</w:t>
      </w:r>
      <w:r>
        <w:rPr>
          <w:rFonts w:ascii="仿宋" w:eastAsia="仿宋" w:hint="eastAsia"/>
        </w:rPr>
        <w:t>2009] </w:t>
      </w:r>
      <w:r>
        <w:rPr>
          <w:rFonts w:ascii="仿宋" w:eastAsia="仿宋" w:hint="eastAsia"/>
          <w:spacing w:val="-11"/>
        </w:rPr>
        <w:t>疾病保险 </w:t>
      </w:r>
      <w:r>
        <w:rPr>
          <w:rFonts w:ascii="仿宋" w:eastAsia="仿宋" w:hint="eastAsia"/>
        </w:rPr>
        <w:t>068</w:t>
      </w:r>
      <w:r>
        <w:rPr>
          <w:rFonts w:ascii="仿宋" w:eastAsia="仿宋" w:hint="eastAsia"/>
          <w:spacing w:val="-26"/>
        </w:rPr>
        <w:t> 号</w:t>
      </w:r>
    </w:p>
    <w:p>
      <w:pPr>
        <w:pStyle w:val="BodyText"/>
        <w:spacing w:before="0"/>
        <w:rPr>
          <w:rFonts w:ascii="仿宋"/>
          <w:sz w:val="3"/>
        </w:rPr>
      </w:pPr>
    </w:p>
    <w:p>
      <w:pPr>
        <w:pStyle w:val="BodyText"/>
        <w:spacing w:before="0"/>
        <w:ind w:left="565"/>
        <w:rPr>
          <w:rFonts w:ascii="仿宋"/>
          <w:sz w:val="20"/>
        </w:rPr>
      </w:pPr>
      <w:r>
        <w:rPr>
          <w:rFonts w:ascii="仿宋"/>
          <w:sz w:val="20"/>
        </w:rPr>
        <w:drawing>
          <wp:inline distT="0" distB="0" distL="0" distR="0">
            <wp:extent cx="731844"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1844" cy="723900"/>
                    </a:xfrm>
                    <a:prstGeom prst="rect">
                      <a:avLst/>
                    </a:prstGeom>
                  </pic:spPr>
                </pic:pic>
              </a:graphicData>
            </a:graphic>
          </wp:inline>
        </w:drawing>
      </w:r>
      <w:r>
        <w:rPr>
          <w:rFonts w:ascii="仿宋"/>
          <w:sz w:val="20"/>
        </w:rPr>
      </w:r>
    </w:p>
    <w:p>
      <w:pPr>
        <w:pStyle w:val="BodyText"/>
        <w:spacing w:before="57"/>
        <w:ind w:left="85" w:right="92"/>
        <w:jc w:val="center"/>
        <w:rPr>
          <w:rFonts w:ascii="仿宋" w:eastAsia="仿宋" w:hint="eastAsia"/>
        </w:rPr>
      </w:pPr>
      <w:r>
        <w:rPr>
          <w:rFonts w:ascii="仿宋" w:eastAsia="仿宋" w:hint="eastAsia"/>
        </w:rPr>
        <w:t>请扫描以查询验证条款</w:t>
      </w:r>
    </w:p>
    <w:p>
      <w:pPr>
        <w:spacing w:after="0"/>
        <w:jc w:val="center"/>
        <w:rPr>
          <w:rFonts w:ascii="仿宋" w:eastAsia="仿宋" w:hint="eastAsia"/>
        </w:rPr>
        <w:sectPr>
          <w:type w:val="continuous"/>
          <w:pgSz w:w="11910" w:h="16840"/>
          <w:pgMar w:top="1520" w:bottom="960" w:left="1600" w:right="1120"/>
          <w:cols w:num="2" w:equalWidth="0">
            <w:col w:w="6605" w:space="267"/>
            <w:col w:w="2318"/>
          </w:cols>
        </w:sectPr>
      </w:pPr>
    </w:p>
    <w:p>
      <w:pPr>
        <w:pStyle w:val="BodyText"/>
        <w:spacing w:before="11"/>
        <w:rPr>
          <w:rFonts w:ascii="仿宋"/>
        </w:rPr>
      </w:pPr>
    </w:p>
    <w:p>
      <w:pPr>
        <w:pStyle w:val="Heading1"/>
        <w:spacing w:before="36"/>
        <w:ind w:left="99" w:right="121"/>
        <w:jc w:val="center"/>
      </w:pPr>
      <w:r>
        <w:rPr/>
        <w:t>您享有的重要权益</w:t>
      </w:r>
    </w:p>
    <w:p>
      <w:pPr>
        <w:pStyle w:val="BodyText"/>
        <w:spacing w:before="13"/>
        <w:ind w:left="102" w:right="121"/>
        <w:jc w:val="center"/>
      </w:pPr>
      <w:r>
        <w:rPr/>
        <w:t>犹豫期内您可以选择撤销保险合同................................................ 第四条</w:t>
      </w:r>
    </w:p>
    <w:p>
      <w:pPr>
        <w:pStyle w:val="BodyText"/>
        <w:ind w:left="102" w:right="121"/>
        <w:jc w:val="center"/>
      </w:pPr>
      <w:r>
        <w:rPr/>
        <w:t>被保险人享有保险责任的保障.................................................... 第五条</w:t>
      </w:r>
    </w:p>
    <w:p>
      <w:pPr>
        <w:pStyle w:val="BodyText"/>
        <w:ind w:left="102" w:right="121"/>
        <w:jc w:val="center"/>
      </w:pPr>
      <w:r>
        <w:rPr/>
        <w:t>您有解除保险合同的权利.......................................................第十四条</w:t>
      </w:r>
    </w:p>
    <w:p>
      <w:pPr>
        <w:pStyle w:val="BodyText"/>
        <w:spacing w:before="7"/>
        <w:rPr>
          <w:sz w:val="23"/>
        </w:rPr>
      </w:pPr>
    </w:p>
    <w:p>
      <w:pPr>
        <w:pStyle w:val="Heading1"/>
        <w:ind w:right="121"/>
        <w:jc w:val="center"/>
      </w:pPr>
      <w:r>
        <w:rPr/>
        <w:t>您应当特别注意的事项</w:t>
      </w:r>
    </w:p>
    <w:p>
      <w:pPr>
        <w:pStyle w:val="BodyText"/>
        <w:spacing w:before="5"/>
        <w:rPr>
          <w:b/>
          <w:sz w:val="22"/>
        </w:rPr>
      </w:pPr>
    </w:p>
    <w:p>
      <w:pPr>
        <w:spacing w:line="273" w:lineRule="auto" w:before="0"/>
        <w:ind w:left="102" w:right="101" w:firstLine="0"/>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59"/>
      </w:pPr>
      <w:r>
        <w:rPr/>
        <w:t>..............................第八、九条</w:t>
      </w:r>
    </w:p>
    <w:p>
      <w:pPr>
        <w:spacing w:line="273" w:lineRule="auto" w:before="37"/>
        <w:ind w:left="102" w:right="121" w:firstLine="0"/>
        <w:jc w:val="center"/>
        <w:rPr>
          <w:b/>
          <w:sz w:val="21"/>
        </w:rPr>
      </w:pPr>
      <w:r>
        <w:rPr>
          <w:spacing w:val="-7"/>
          <w:sz w:val="21"/>
        </w:rPr>
        <w:t>解除保险合同会给您造成一定的损失，请您慎重决策................................第十四条</w:t>
      </w:r>
      <w:r>
        <w:rPr>
          <w:b/>
          <w:spacing w:val="-4"/>
          <w:sz w:val="21"/>
        </w:rPr>
        <w:t>请您特别注意“重大疾病的定义” ..............................................第十六条</w:t>
      </w:r>
    </w:p>
    <w:p>
      <w:pPr>
        <w:pStyle w:val="BodyText"/>
        <w:spacing w:before="8"/>
        <w:ind w:left="71" w:right="121"/>
        <w:jc w:val="center"/>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1"/>
        <w:ind w:left="102"/>
      </w:pPr>
      <w:r>
        <w:rPr>
          <w:spacing w:val="-12"/>
          <w:w w:val="100"/>
        </w:rPr>
        <w:t>上述“您”均指投保人，“我们”均指生命人寿保险股份有限公司。</w:t>
      </w:r>
    </w:p>
    <w:p>
      <w:pPr>
        <w:pStyle w:val="BodyText"/>
        <w:spacing w:before="6"/>
        <w:rPr>
          <w:sz w:val="28"/>
        </w:rPr>
      </w:pPr>
    </w:p>
    <w:p>
      <w:pPr>
        <w:pStyle w:val="Heading1"/>
        <w:spacing w:before="1"/>
        <w:ind w:left="99" w:right="121"/>
        <w:jc w:val="center"/>
        <w:rPr>
          <w:rFonts w:ascii="微软雅黑" w:eastAsia="微软雅黑" w:hint="eastAsia"/>
        </w:rPr>
      </w:pPr>
      <w:r>
        <w:rPr>
          <w:rFonts w:ascii="微软雅黑" w:eastAsia="微软雅黑" w:hint="eastAsia"/>
        </w:rPr>
        <w:t>【 条 款 目 录 】</w:t>
      </w:r>
    </w:p>
    <w:p>
      <w:pPr>
        <w:pStyle w:val="BodyText"/>
        <w:spacing w:before="15"/>
        <w:rPr>
          <w:rFonts w:ascii="微软雅黑"/>
          <w:b/>
          <w:sz w:val="19"/>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9"/>
        <w:gridCol w:w="3880"/>
      </w:tblGrid>
      <w:tr>
        <w:trPr>
          <w:trHeight w:val="287" w:hRule="atLeast"/>
        </w:trPr>
        <w:tc>
          <w:tcPr>
            <w:tcW w:w="4329" w:type="dxa"/>
            <w:tcBorders>
              <w:right w:val="dotted" w:sz="2" w:space="0" w:color="000000"/>
            </w:tcBorders>
          </w:tcPr>
          <w:p>
            <w:pPr>
              <w:pStyle w:val="TableParagraph"/>
              <w:tabs>
                <w:tab w:pos="1044" w:val="left" w:leader="none"/>
              </w:tabs>
              <w:spacing w:line="253" w:lineRule="exact"/>
              <w:ind w:left="200"/>
              <w:rPr>
                <w:b/>
                <w:sz w:val="21"/>
              </w:rPr>
            </w:pPr>
            <w:r>
              <w:rPr>
                <w:b/>
                <w:sz w:val="21"/>
              </w:rPr>
              <w:t>第一章</w:t>
              <w:tab/>
              <w:t>保险合同</w:t>
            </w:r>
            <w:r>
              <w:rPr>
                <w:b/>
                <w:spacing w:val="-3"/>
                <w:sz w:val="21"/>
              </w:rPr>
              <w:t>的</w:t>
            </w:r>
            <w:r>
              <w:rPr>
                <w:b/>
                <w:sz w:val="21"/>
              </w:rPr>
              <w:t>构成</w:t>
            </w:r>
          </w:p>
        </w:tc>
        <w:tc>
          <w:tcPr>
            <w:tcW w:w="3880" w:type="dxa"/>
            <w:tcBorders>
              <w:left w:val="dotted" w:sz="2" w:space="0" w:color="000000"/>
            </w:tcBorders>
          </w:tcPr>
          <w:p>
            <w:pPr>
              <w:pStyle w:val="TableParagraph"/>
              <w:tabs>
                <w:tab w:pos="1365" w:val="left" w:leader="none"/>
              </w:tabs>
              <w:spacing w:line="253" w:lineRule="exact"/>
              <w:rPr>
                <w:sz w:val="21"/>
              </w:rPr>
            </w:pPr>
            <w:r>
              <w:rPr>
                <w:sz w:val="21"/>
              </w:rPr>
              <w:t>第九条</w:t>
              <w:tab/>
            </w:r>
            <w:r>
              <w:rPr>
                <w:spacing w:val="-3"/>
                <w:sz w:val="21"/>
              </w:rPr>
              <w:t>保</w:t>
            </w:r>
            <w:r>
              <w:rPr>
                <w:sz w:val="21"/>
              </w:rPr>
              <w:t>险</w:t>
            </w:r>
            <w:r>
              <w:rPr>
                <w:spacing w:val="-3"/>
                <w:sz w:val="21"/>
              </w:rPr>
              <w:t>合</w:t>
            </w:r>
            <w:r>
              <w:rPr>
                <w:sz w:val="21"/>
              </w:rPr>
              <w:t>同</w:t>
            </w:r>
            <w:r>
              <w:rPr>
                <w:spacing w:val="-3"/>
                <w:sz w:val="21"/>
              </w:rPr>
              <w:t>效</w:t>
            </w:r>
            <w:r>
              <w:rPr>
                <w:sz w:val="21"/>
              </w:rPr>
              <w:t>力</w:t>
            </w:r>
            <w:r>
              <w:rPr>
                <w:spacing w:val="-3"/>
                <w:sz w:val="21"/>
              </w:rPr>
              <w:t>的</w:t>
            </w:r>
            <w:r>
              <w:rPr>
                <w:sz w:val="21"/>
              </w:rPr>
              <w:t>恢复</w:t>
            </w:r>
          </w:p>
        </w:tc>
      </w:tr>
      <w:tr>
        <w:trPr>
          <w:trHeight w:val="280" w:hRule="atLeast"/>
        </w:trPr>
        <w:tc>
          <w:tcPr>
            <w:tcW w:w="4329" w:type="dxa"/>
            <w:tcBorders>
              <w:right w:val="dotted" w:sz="2" w:space="0" w:color="000000"/>
            </w:tcBorders>
          </w:tcPr>
          <w:p>
            <w:pPr>
              <w:pStyle w:val="TableParagraph"/>
              <w:tabs>
                <w:tab w:pos="1462" w:val="left" w:leader="none"/>
              </w:tabs>
              <w:ind w:left="620"/>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3880" w:type="dxa"/>
            <w:tcBorders>
              <w:left w:val="dotted" w:sz="2" w:space="0" w:color="000000"/>
            </w:tcBorders>
          </w:tcPr>
          <w:p>
            <w:pPr>
              <w:pStyle w:val="TableParagraph"/>
              <w:tabs>
                <w:tab w:pos="945" w:val="left" w:leader="none"/>
              </w:tabs>
              <w:ind w:left="102"/>
              <w:rPr>
                <w:b/>
                <w:sz w:val="21"/>
              </w:rPr>
            </w:pPr>
            <w:r>
              <w:rPr>
                <w:b/>
                <w:sz w:val="21"/>
              </w:rPr>
              <w:t>第四章</w:t>
              <w:tab/>
              <w:t>保险金的申请</w:t>
            </w:r>
          </w:p>
        </w:tc>
      </w:tr>
      <w:tr>
        <w:trPr>
          <w:trHeight w:val="279" w:hRule="atLeast"/>
        </w:trPr>
        <w:tc>
          <w:tcPr>
            <w:tcW w:w="4329" w:type="dxa"/>
            <w:tcBorders>
              <w:right w:val="dotted" w:sz="2" w:space="0" w:color="000000"/>
            </w:tcBorders>
          </w:tcPr>
          <w:p>
            <w:pPr>
              <w:pStyle w:val="TableParagraph"/>
              <w:tabs>
                <w:tab w:pos="1462" w:val="left" w:leader="none"/>
              </w:tabs>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3880" w:type="dxa"/>
            <w:tcBorders>
              <w:left w:val="dotted" w:sz="2" w:space="0" w:color="000000"/>
            </w:tcBorders>
          </w:tcPr>
          <w:p>
            <w:pPr>
              <w:pStyle w:val="TableParagraph"/>
              <w:tabs>
                <w:tab w:pos="1365" w:val="left" w:leader="none"/>
              </w:tabs>
              <w:rPr>
                <w:sz w:val="21"/>
              </w:rPr>
            </w:pPr>
            <w:r>
              <w:rPr>
                <w:sz w:val="21"/>
              </w:rPr>
              <w:t>第十条</w:t>
              <w:tab/>
            </w:r>
            <w:r>
              <w:rPr>
                <w:spacing w:val="-3"/>
                <w:sz w:val="21"/>
              </w:rPr>
              <w:t>受</w:t>
            </w:r>
            <w:r>
              <w:rPr>
                <w:sz w:val="21"/>
              </w:rPr>
              <w:t>益</w:t>
            </w:r>
            <w:r>
              <w:rPr>
                <w:spacing w:val="-3"/>
                <w:sz w:val="21"/>
              </w:rPr>
              <w:t>人</w:t>
            </w:r>
            <w:r>
              <w:rPr>
                <w:sz w:val="21"/>
              </w:rPr>
              <w:t>的</w:t>
            </w:r>
            <w:r>
              <w:rPr>
                <w:spacing w:val="-3"/>
                <w:sz w:val="21"/>
              </w:rPr>
              <w:t>指</w:t>
            </w:r>
            <w:r>
              <w:rPr>
                <w:sz w:val="21"/>
              </w:rPr>
              <w:t>定</w:t>
            </w:r>
            <w:r>
              <w:rPr>
                <w:spacing w:val="-3"/>
                <w:sz w:val="21"/>
              </w:rPr>
              <w:t>和</w:t>
            </w:r>
            <w:r>
              <w:rPr>
                <w:sz w:val="21"/>
              </w:rPr>
              <w:t>变更</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3880" w:type="dxa"/>
            <w:tcBorders>
              <w:left w:val="dotted" w:sz="2" w:space="0" w:color="000000"/>
            </w:tcBorders>
          </w:tcPr>
          <w:p>
            <w:pPr>
              <w:pStyle w:val="TableParagraph"/>
              <w:tabs>
                <w:tab w:pos="1574" w:val="left" w:leader="none"/>
              </w:tabs>
              <w:spacing w:line="245" w:lineRule="exact"/>
              <w:rPr>
                <w:sz w:val="21"/>
              </w:rPr>
            </w:pPr>
            <w:r>
              <w:rPr>
                <w:sz w:val="21"/>
              </w:rPr>
              <w:t>第十</w:t>
            </w:r>
            <w:r>
              <w:rPr>
                <w:spacing w:val="-3"/>
                <w:sz w:val="21"/>
              </w:rPr>
              <w:t>一</w:t>
            </w:r>
            <w:r>
              <w:rPr>
                <w:sz w:val="21"/>
              </w:rPr>
              <w:t>条</w:t>
              <w:tab/>
              <w:t>保</w:t>
            </w:r>
            <w:r>
              <w:rPr>
                <w:spacing w:val="-3"/>
                <w:sz w:val="21"/>
              </w:rPr>
              <w:t>险</w:t>
            </w:r>
            <w:r>
              <w:rPr>
                <w:sz w:val="21"/>
              </w:rPr>
              <w:t>金</w:t>
            </w:r>
            <w:r>
              <w:rPr>
                <w:spacing w:val="-3"/>
                <w:sz w:val="21"/>
              </w:rPr>
              <w:t>的</w:t>
            </w:r>
            <w:r>
              <w:rPr>
                <w:sz w:val="21"/>
              </w:rPr>
              <w:t>申请</w:t>
            </w:r>
          </w:p>
        </w:tc>
      </w:tr>
      <w:tr>
        <w:trPr>
          <w:trHeight w:val="280" w:hRule="atLeast"/>
        </w:trPr>
        <w:tc>
          <w:tcPr>
            <w:tcW w:w="4329" w:type="dxa"/>
            <w:tcBorders>
              <w:right w:val="dotted" w:sz="2" w:space="0" w:color="000000"/>
            </w:tcBorders>
          </w:tcPr>
          <w:p>
            <w:pPr>
              <w:pStyle w:val="TableParagraph"/>
              <w:tabs>
                <w:tab w:pos="842" w:val="left" w:leader="none"/>
              </w:tabs>
              <w:ind w:left="0" w:right="759"/>
              <w:jc w:val="right"/>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3880" w:type="dxa"/>
            <w:tcBorders>
              <w:left w:val="dotted" w:sz="2" w:space="0" w:color="000000"/>
            </w:tcBorders>
          </w:tcPr>
          <w:p>
            <w:pPr>
              <w:pStyle w:val="TableParagraph"/>
              <w:tabs>
                <w:tab w:pos="1574" w:val="left" w:leader="none"/>
              </w:tabs>
              <w:ind w:left="525"/>
              <w:rPr>
                <w:sz w:val="21"/>
              </w:rPr>
            </w:pPr>
            <w:r>
              <w:rPr>
                <w:spacing w:val="-3"/>
                <w:sz w:val="21"/>
              </w:rPr>
              <w:t>第</w:t>
            </w:r>
            <w:r>
              <w:rPr>
                <w:sz w:val="21"/>
              </w:rPr>
              <w:t>十</w:t>
            </w:r>
            <w:r>
              <w:rPr>
                <w:spacing w:val="-3"/>
                <w:sz w:val="21"/>
              </w:rPr>
              <w:t>二</w:t>
            </w:r>
            <w:r>
              <w:rPr>
                <w:sz w:val="21"/>
              </w:rPr>
              <w:t>条</w:t>
              <w:tab/>
              <w:t>司</w:t>
            </w:r>
            <w:r>
              <w:rPr>
                <w:spacing w:val="-3"/>
                <w:sz w:val="21"/>
              </w:rPr>
              <w:t>法</w:t>
            </w:r>
            <w:r>
              <w:rPr>
                <w:sz w:val="21"/>
              </w:rPr>
              <w:t>鉴定</w:t>
            </w:r>
          </w:p>
        </w:tc>
      </w:tr>
      <w:tr>
        <w:trPr>
          <w:trHeight w:val="279" w:hRule="atLeast"/>
        </w:trPr>
        <w:tc>
          <w:tcPr>
            <w:tcW w:w="4329" w:type="dxa"/>
            <w:tcBorders>
              <w:right w:val="dotted" w:sz="2" w:space="0" w:color="000000"/>
            </w:tcBorders>
          </w:tcPr>
          <w:p>
            <w:pPr>
              <w:pStyle w:val="TableParagraph"/>
              <w:tabs>
                <w:tab w:pos="1044" w:val="left" w:leader="none"/>
              </w:tabs>
              <w:ind w:left="200"/>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3880" w:type="dxa"/>
            <w:tcBorders>
              <w:left w:val="dotted" w:sz="2" w:space="0" w:color="000000"/>
            </w:tcBorders>
          </w:tcPr>
          <w:p>
            <w:pPr>
              <w:pStyle w:val="TableParagraph"/>
              <w:tabs>
                <w:tab w:pos="947" w:val="left" w:leader="none"/>
              </w:tabs>
              <w:ind w:left="102"/>
              <w:rPr>
                <w:b/>
                <w:sz w:val="21"/>
              </w:rPr>
            </w:pPr>
            <w:r>
              <w:rPr>
                <w:b/>
                <w:sz w:val="21"/>
              </w:rPr>
              <w:t>第五章</w:t>
              <w:tab/>
              <w:t>一般约定</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0"/>
              <w:rPr>
                <w:sz w:val="21"/>
              </w:rPr>
            </w:pPr>
            <w:r>
              <w:rPr>
                <w:sz w:val="21"/>
              </w:rPr>
              <w:t>第五条</w:t>
              <w:tab/>
            </w:r>
            <w:r>
              <w:rPr>
                <w:spacing w:val="-3"/>
                <w:sz w:val="21"/>
              </w:rPr>
              <w:t>保</w:t>
            </w:r>
            <w:r>
              <w:rPr>
                <w:sz w:val="21"/>
              </w:rPr>
              <w:t>险</w:t>
            </w:r>
            <w:r>
              <w:rPr>
                <w:spacing w:val="-3"/>
                <w:sz w:val="21"/>
              </w:rPr>
              <w:t>责</w:t>
            </w:r>
            <w:r>
              <w:rPr>
                <w:sz w:val="21"/>
              </w:rPr>
              <w:t>任</w:t>
            </w:r>
          </w:p>
        </w:tc>
        <w:tc>
          <w:tcPr>
            <w:tcW w:w="3880" w:type="dxa"/>
            <w:tcBorders>
              <w:left w:val="dotted" w:sz="2" w:space="0" w:color="000000"/>
            </w:tcBorders>
          </w:tcPr>
          <w:p>
            <w:pPr>
              <w:pStyle w:val="TableParagraph"/>
              <w:tabs>
                <w:tab w:pos="1574" w:val="left" w:leader="none"/>
              </w:tabs>
              <w:spacing w:line="245" w:lineRule="exact"/>
              <w:rPr>
                <w:sz w:val="21"/>
              </w:rPr>
            </w:pPr>
            <w:r>
              <w:rPr>
                <w:sz w:val="21"/>
              </w:rPr>
              <w:t>第十</w:t>
            </w:r>
            <w:r>
              <w:rPr>
                <w:spacing w:val="-3"/>
                <w:sz w:val="21"/>
              </w:rPr>
              <w:t>三</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80" w:hRule="atLeast"/>
        </w:trPr>
        <w:tc>
          <w:tcPr>
            <w:tcW w:w="4329" w:type="dxa"/>
            <w:tcBorders>
              <w:right w:val="dotted" w:sz="2" w:space="0" w:color="000000"/>
            </w:tcBorders>
          </w:tcPr>
          <w:p>
            <w:pPr>
              <w:pStyle w:val="TableParagraph"/>
              <w:tabs>
                <w:tab w:pos="1462" w:val="left" w:leader="none"/>
              </w:tabs>
              <w:ind w:left="620"/>
              <w:rPr>
                <w:sz w:val="21"/>
              </w:rPr>
            </w:pPr>
            <w:r>
              <w:rPr>
                <w:sz w:val="21"/>
              </w:rPr>
              <w:t>第六条</w:t>
              <w:tab/>
            </w:r>
            <w:r>
              <w:rPr>
                <w:spacing w:val="-3"/>
                <w:sz w:val="21"/>
              </w:rPr>
              <w:t>责</w:t>
            </w:r>
            <w:r>
              <w:rPr>
                <w:sz w:val="21"/>
              </w:rPr>
              <w:t>任</w:t>
            </w:r>
            <w:r>
              <w:rPr>
                <w:spacing w:val="-3"/>
                <w:sz w:val="21"/>
              </w:rPr>
              <w:t>免</w:t>
            </w:r>
            <w:r>
              <w:rPr>
                <w:sz w:val="21"/>
              </w:rPr>
              <w:t>除</w:t>
            </w:r>
          </w:p>
        </w:tc>
        <w:tc>
          <w:tcPr>
            <w:tcW w:w="3880" w:type="dxa"/>
            <w:tcBorders>
              <w:left w:val="dotted" w:sz="2" w:space="0" w:color="000000"/>
            </w:tcBorders>
          </w:tcPr>
          <w:p>
            <w:pPr>
              <w:pStyle w:val="TableParagraph"/>
              <w:tabs>
                <w:tab w:pos="1574" w:val="left" w:leader="none"/>
              </w:tabs>
              <w:rPr>
                <w:sz w:val="21"/>
              </w:rPr>
            </w:pPr>
            <w:r>
              <w:rPr>
                <w:sz w:val="21"/>
              </w:rPr>
              <w:t>第十</w:t>
            </w:r>
            <w:r>
              <w:rPr>
                <w:spacing w:val="-3"/>
                <w:sz w:val="21"/>
              </w:rPr>
              <w:t>四</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279" w:hRule="atLeast"/>
        </w:trPr>
        <w:tc>
          <w:tcPr>
            <w:tcW w:w="4329" w:type="dxa"/>
            <w:tcBorders>
              <w:right w:val="dotted" w:sz="2" w:space="0" w:color="000000"/>
            </w:tcBorders>
          </w:tcPr>
          <w:p>
            <w:pPr>
              <w:pStyle w:val="TableParagraph"/>
              <w:tabs>
                <w:tab w:pos="1044" w:val="left" w:leader="none"/>
              </w:tabs>
              <w:ind w:left="200"/>
              <w:rPr>
                <w:b/>
                <w:sz w:val="21"/>
              </w:rPr>
            </w:pPr>
            <w:r>
              <w:rPr>
                <w:b/>
                <w:sz w:val="21"/>
              </w:rPr>
              <w:t>第三章</w:t>
              <w:tab/>
              <w:t>基本保险</w:t>
            </w:r>
            <w:r>
              <w:rPr>
                <w:b/>
                <w:spacing w:val="-3"/>
                <w:sz w:val="21"/>
              </w:rPr>
              <w:t>金</w:t>
            </w:r>
            <w:r>
              <w:rPr>
                <w:b/>
                <w:sz w:val="21"/>
              </w:rPr>
              <w:t>额</w:t>
            </w:r>
            <w:r>
              <w:rPr>
                <w:b/>
                <w:spacing w:val="-3"/>
                <w:sz w:val="21"/>
              </w:rPr>
              <w:t>和</w:t>
            </w:r>
            <w:r>
              <w:rPr>
                <w:b/>
                <w:sz w:val="21"/>
              </w:rPr>
              <w:t>保险费</w:t>
            </w:r>
          </w:p>
        </w:tc>
        <w:tc>
          <w:tcPr>
            <w:tcW w:w="3880" w:type="dxa"/>
            <w:tcBorders>
              <w:left w:val="dotted" w:sz="2" w:space="0" w:color="000000"/>
            </w:tcBorders>
          </w:tcPr>
          <w:p>
            <w:pPr>
              <w:pStyle w:val="TableParagraph"/>
              <w:tabs>
                <w:tab w:pos="1574" w:val="left" w:leader="none"/>
              </w:tabs>
              <w:rPr>
                <w:sz w:val="21"/>
              </w:rPr>
            </w:pPr>
            <w:r>
              <w:rPr>
                <w:sz w:val="21"/>
              </w:rPr>
              <w:t>第十</w:t>
            </w:r>
            <w:r>
              <w:rPr>
                <w:spacing w:val="-3"/>
                <w:sz w:val="21"/>
              </w:rPr>
              <w:t>五</w:t>
            </w:r>
            <w:r>
              <w:rPr>
                <w:sz w:val="21"/>
              </w:rPr>
              <w:t>条</w:t>
              <w:tab/>
              <w:t>附</w:t>
            </w:r>
            <w:r>
              <w:rPr>
                <w:spacing w:val="-3"/>
                <w:sz w:val="21"/>
              </w:rPr>
              <w:t>加</w:t>
            </w:r>
            <w:r>
              <w:rPr>
                <w:sz w:val="21"/>
              </w:rPr>
              <w:t>保</w:t>
            </w:r>
            <w:r>
              <w:rPr>
                <w:spacing w:val="-3"/>
                <w:sz w:val="21"/>
              </w:rPr>
              <w:t>险</w:t>
            </w:r>
            <w:r>
              <w:rPr>
                <w:sz w:val="21"/>
              </w:rPr>
              <w:t>合</w:t>
            </w:r>
            <w:r>
              <w:rPr>
                <w:spacing w:val="-3"/>
                <w:sz w:val="21"/>
              </w:rPr>
              <w:t>同</w:t>
            </w:r>
            <w:r>
              <w:rPr>
                <w:sz w:val="21"/>
              </w:rPr>
              <w:t>的效力</w:t>
            </w:r>
          </w:p>
        </w:tc>
      </w:tr>
      <w:tr>
        <w:trPr>
          <w:trHeight w:val="279" w:hRule="atLeast"/>
        </w:trPr>
        <w:tc>
          <w:tcPr>
            <w:tcW w:w="4329" w:type="dxa"/>
            <w:tcBorders>
              <w:right w:val="dotted" w:sz="2" w:space="0" w:color="000000"/>
            </w:tcBorders>
          </w:tcPr>
          <w:p>
            <w:pPr>
              <w:pStyle w:val="TableParagraph"/>
              <w:tabs>
                <w:tab w:pos="842" w:val="left" w:leader="none"/>
              </w:tabs>
              <w:spacing w:line="245" w:lineRule="exact"/>
              <w:ind w:left="0" w:right="759"/>
              <w:jc w:val="right"/>
              <w:rPr>
                <w:sz w:val="21"/>
              </w:rPr>
            </w:pPr>
            <w:r>
              <w:rPr>
                <w:sz w:val="21"/>
              </w:rPr>
              <w:t>第七条</w:t>
              <w:tab/>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和</w:t>
            </w:r>
            <w:r>
              <w:rPr>
                <w:sz w:val="21"/>
              </w:rPr>
              <w:t>保险费</w:t>
            </w:r>
          </w:p>
        </w:tc>
        <w:tc>
          <w:tcPr>
            <w:tcW w:w="3880" w:type="dxa"/>
            <w:tcBorders>
              <w:left w:val="dotted" w:sz="2" w:space="0" w:color="000000"/>
            </w:tcBorders>
          </w:tcPr>
          <w:p>
            <w:pPr>
              <w:pStyle w:val="TableParagraph"/>
              <w:tabs>
                <w:tab w:pos="1574" w:val="left" w:leader="none"/>
              </w:tabs>
              <w:spacing w:line="245" w:lineRule="exact"/>
              <w:rPr>
                <w:sz w:val="21"/>
              </w:rPr>
            </w:pPr>
            <w:r>
              <w:rPr>
                <w:sz w:val="21"/>
              </w:rPr>
              <w:t>第十</w:t>
            </w:r>
            <w:r>
              <w:rPr>
                <w:spacing w:val="-3"/>
                <w:sz w:val="21"/>
              </w:rPr>
              <w:t>六</w:t>
            </w:r>
            <w:r>
              <w:rPr>
                <w:sz w:val="21"/>
              </w:rPr>
              <w:t>条</w:t>
              <w:tab/>
              <w:t>重</w:t>
            </w:r>
            <w:r>
              <w:rPr>
                <w:spacing w:val="-3"/>
                <w:sz w:val="21"/>
              </w:rPr>
              <w:t>大</w:t>
            </w:r>
            <w:r>
              <w:rPr>
                <w:sz w:val="21"/>
              </w:rPr>
              <w:t>疾</w:t>
            </w:r>
            <w:r>
              <w:rPr>
                <w:spacing w:val="-3"/>
                <w:sz w:val="21"/>
              </w:rPr>
              <w:t>病</w:t>
            </w:r>
            <w:r>
              <w:rPr>
                <w:sz w:val="21"/>
              </w:rPr>
              <w:t>的</w:t>
            </w:r>
            <w:r>
              <w:rPr>
                <w:spacing w:val="-3"/>
                <w:sz w:val="21"/>
              </w:rPr>
              <w:t>定</w:t>
            </w:r>
            <w:r>
              <w:rPr>
                <w:sz w:val="21"/>
              </w:rPr>
              <w:t>义</w:t>
            </w:r>
          </w:p>
        </w:tc>
      </w:tr>
      <w:tr>
        <w:trPr>
          <w:trHeight w:val="273" w:hRule="atLeast"/>
        </w:trPr>
        <w:tc>
          <w:tcPr>
            <w:tcW w:w="8209" w:type="dxa"/>
            <w:gridSpan w:val="2"/>
          </w:tcPr>
          <w:p>
            <w:pPr>
              <w:pStyle w:val="TableParagraph"/>
              <w:tabs>
                <w:tab w:pos="1462" w:val="left" w:leader="none"/>
              </w:tabs>
              <w:ind w:left="620"/>
              <w:rPr>
                <w:sz w:val="21"/>
              </w:rPr>
            </w:pPr>
            <w:r>
              <w:rPr>
                <w:sz w:val="21"/>
              </w:rPr>
              <w:t>第八条</w:t>
              <w:tab/>
            </w:r>
            <w:r>
              <w:rPr>
                <w:spacing w:val="-3"/>
                <w:sz w:val="21"/>
              </w:rPr>
              <w:t>宽</w:t>
            </w:r>
            <w:r>
              <w:rPr>
                <w:sz w:val="21"/>
              </w:rPr>
              <w:t>限</w:t>
            </w:r>
            <w:r>
              <w:rPr>
                <w:spacing w:val="-3"/>
                <w:sz w:val="21"/>
              </w:rPr>
              <w:t>期</w:t>
            </w:r>
            <w:r>
              <w:rPr>
                <w:sz w:val="21"/>
              </w:rPr>
              <w:t>及</w:t>
            </w:r>
            <w:r>
              <w:rPr>
                <w:spacing w:val="-3"/>
                <w:sz w:val="21"/>
              </w:rPr>
              <w:t>保</w:t>
            </w:r>
            <w:r>
              <w:rPr>
                <w:sz w:val="21"/>
              </w:rPr>
              <w:t>险</w:t>
            </w:r>
            <w:r>
              <w:rPr>
                <w:spacing w:val="-3"/>
                <w:sz w:val="21"/>
              </w:rPr>
              <w:t>合</w:t>
            </w:r>
            <w:r>
              <w:rPr>
                <w:sz w:val="21"/>
              </w:rPr>
              <w:t>同效</w:t>
            </w:r>
            <w:r>
              <w:rPr>
                <w:spacing w:val="-3"/>
                <w:sz w:val="21"/>
              </w:rPr>
              <w:t>力</w:t>
            </w:r>
            <w:r>
              <w:rPr>
                <w:sz w:val="21"/>
              </w:rPr>
              <w:t>的</w:t>
            </w:r>
            <w:r>
              <w:rPr>
                <w:spacing w:val="-3"/>
                <w:sz w:val="21"/>
              </w:rPr>
              <w:t>中</w:t>
            </w:r>
            <w:r>
              <w:rPr>
                <w:sz w:val="21"/>
              </w:rPr>
              <w:t>止</w:t>
            </w:r>
          </w:p>
        </w:tc>
      </w:tr>
    </w:tbl>
    <w:p>
      <w:pPr>
        <w:pStyle w:val="BodyText"/>
        <w:spacing w:before="5"/>
        <w:rPr>
          <w:rFonts w:ascii="微软雅黑"/>
          <w:b/>
          <w:sz w:val="17"/>
        </w:rPr>
      </w:pPr>
    </w:p>
    <w:p>
      <w:pPr>
        <w:spacing w:before="1"/>
        <w:ind w:left="0" w:right="121" w:firstLine="0"/>
        <w:jc w:val="right"/>
        <w:rPr>
          <w:b/>
          <w:sz w:val="21"/>
        </w:rPr>
      </w:pPr>
      <w:r>
        <w:rPr>
          <w:b/>
          <w:sz w:val="21"/>
        </w:rPr>
        <w:t>&lt;本页内容结束&gt;</w:t>
      </w:r>
    </w:p>
    <w:p>
      <w:pPr>
        <w:spacing w:after="0"/>
        <w:jc w:val="right"/>
        <w:rPr>
          <w:sz w:val="21"/>
        </w:rPr>
        <w:sectPr>
          <w:type w:val="continuous"/>
          <w:pgSz w:w="11910" w:h="16840"/>
          <w:pgMar w:top="1520" w:bottom="960" w:left="1600" w:right="1120"/>
        </w:sectPr>
      </w:pPr>
    </w:p>
    <w:p>
      <w:pPr>
        <w:spacing w:line="350" w:lineRule="exact" w:before="0"/>
        <w:ind w:left="0" w:right="82"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10"/>
        <w:rPr>
          <w:rFonts w:ascii="微软雅黑"/>
          <w:b/>
          <w:sz w:val="19"/>
        </w:rPr>
      </w:pPr>
    </w:p>
    <w:p>
      <w:pPr>
        <w:tabs>
          <w:tab w:pos="842" w:val="left" w:leader="none"/>
        </w:tabs>
        <w:spacing w:before="0"/>
        <w:ind w:left="0" w:right="80" w:firstLine="0"/>
        <w:jc w:val="center"/>
        <w:rPr>
          <w:b/>
          <w:sz w:val="21"/>
        </w:rPr>
      </w:pPr>
      <w:r>
        <w:rPr>
          <w:b/>
          <w:sz w:val="21"/>
        </w:rPr>
        <w:t>第一章</w:t>
        <w:tab/>
        <w:t>保险合同的构成</w:t>
      </w:r>
    </w:p>
    <w:p>
      <w:pPr>
        <w:pStyle w:val="BodyText"/>
        <w:spacing w:before="2"/>
        <w:rPr>
          <w:b/>
          <w:sz w:val="25"/>
        </w:rPr>
      </w:pPr>
    </w:p>
    <w:p>
      <w:pPr>
        <w:tabs>
          <w:tab w:pos="941" w:val="left" w:leader="none"/>
        </w:tabs>
        <w:spacing w:before="0"/>
        <w:ind w:left="102" w:right="0" w:firstLine="0"/>
        <w:jc w:val="left"/>
        <w:rPr>
          <w:b/>
          <w:sz w:val="21"/>
        </w:rPr>
      </w:pPr>
      <w:r>
        <w:rPr>
          <w:b/>
          <w:sz w:val="21"/>
        </w:rPr>
        <w:t>第一条</w:t>
        <w:tab/>
        <w:t>保险合同的构成</w:t>
      </w:r>
    </w:p>
    <w:p>
      <w:pPr>
        <w:pStyle w:val="BodyText"/>
        <w:spacing w:line="273" w:lineRule="auto" w:before="36"/>
        <w:ind w:left="521" w:right="179"/>
        <w:jc w:val="both"/>
      </w:pPr>
      <w:r>
        <w:rPr>
          <w:spacing w:val="-5"/>
        </w:rPr>
        <w:t>生命附加福安重大疾病保险合同(以下简称本附加合同)依主保险合同投保人的申请，经生命人</w:t>
      </w:r>
      <w:r>
        <w:rPr>
          <w:spacing w:val="-6"/>
        </w:rPr>
        <w:t>寿保险股份有限公司</w:t>
      </w:r>
      <w:r>
        <w:rPr>
          <w:spacing w:val="-3"/>
        </w:rPr>
        <w:t>（以下简称本公司</w:t>
      </w:r>
      <w:r>
        <w:rPr>
          <w:spacing w:val="-20"/>
        </w:rPr>
        <w:t>）</w:t>
      </w:r>
      <w:r>
        <w:rPr>
          <w:spacing w:val="-6"/>
        </w:rPr>
        <w:t>同意，附加于主保险合同后始为有效。本附加合同包括生命附加福安重大疾病保险合同条款</w:t>
      </w:r>
      <w:r>
        <w:rPr>
          <w:spacing w:val="-3"/>
        </w:rPr>
        <w:t>（以下简称本条款</w:t>
      </w:r>
      <w:r>
        <w:rPr>
          <w:spacing w:val="-36"/>
        </w:rPr>
        <w:t>）</w:t>
      </w:r>
      <w:r>
        <w:rPr>
          <w:spacing w:val="-3"/>
        </w:rPr>
        <w:t>和主保险合同中与本附加合同相关的内容和文件。</w:t>
      </w:r>
    </w:p>
    <w:p>
      <w:pPr>
        <w:pStyle w:val="BodyText"/>
        <w:spacing w:before="4"/>
        <w:rPr>
          <w:sz w:val="24"/>
        </w:rPr>
      </w:pPr>
    </w:p>
    <w:p>
      <w:pPr>
        <w:pStyle w:val="BodyText"/>
        <w:spacing w:line="273" w:lineRule="auto" w:before="1"/>
        <w:ind w:left="521" w:right="179"/>
      </w:pPr>
      <w:r>
        <w:rPr>
          <w:spacing w:val="-7"/>
        </w:rPr>
        <w:t>若本附加合同和主保险合同约定不一致的，以本附加合同的约定为准；若本附加合同没有约定</w:t>
      </w:r>
      <w:r>
        <w:rPr>
          <w:spacing w:val="-5"/>
        </w:rPr>
        <w:t>的，以主保险合同的约定为准。</w:t>
      </w:r>
    </w:p>
    <w:p>
      <w:pPr>
        <w:pStyle w:val="BodyText"/>
        <w:spacing w:before="5"/>
        <w:rPr>
          <w:sz w:val="24"/>
        </w:rPr>
      </w:pPr>
    </w:p>
    <w:p>
      <w:pPr>
        <w:pStyle w:val="Heading1"/>
        <w:tabs>
          <w:tab w:pos="941" w:val="left" w:leader="none"/>
        </w:tabs>
      </w:pPr>
      <w:r>
        <w:rPr/>
        <w:t>第二条</w:t>
        <w:tab/>
        <w:t>保险合同成立与生效</w:t>
      </w:r>
    </w:p>
    <w:p>
      <w:pPr>
        <w:pStyle w:val="BodyText"/>
        <w:ind w:left="521"/>
      </w:pPr>
      <w:r>
        <w:rPr/>
        <w:t>投保人提出保险申请、本公司同意承保，本附加合同成立。</w:t>
      </w:r>
    </w:p>
    <w:p>
      <w:pPr>
        <w:pStyle w:val="BodyText"/>
        <w:spacing w:line="273" w:lineRule="auto"/>
        <w:ind w:left="521" w:right="178"/>
      </w:pPr>
      <w:r>
        <w:rPr>
          <w:spacing w:val="-6"/>
        </w:rPr>
        <w:t>本附加合同自本公司收取首期保险费并签发保险单的当日二十四时起生效，本附加合同的生效</w:t>
      </w:r>
      <w:r>
        <w:rPr>
          <w:spacing w:val="-4"/>
        </w:rPr>
        <w:t>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ind w:left="469" w:right="149"/>
      </w:pPr>
      <w:r>
        <w:rPr/>
        <w:t>本附加合同的保险期间自生效日起至期满日的二十四时止，本附加合同的期满日载明于保险单上。</w:t>
      </w:r>
    </w:p>
    <w:p>
      <w:pPr>
        <w:pStyle w:val="BodyText"/>
        <w:spacing w:before="5"/>
        <w:rPr>
          <w:sz w:val="24"/>
        </w:rPr>
      </w:pPr>
    </w:p>
    <w:p>
      <w:pPr>
        <w:pStyle w:val="Heading1"/>
        <w:tabs>
          <w:tab w:pos="941" w:val="left" w:leader="none"/>
        </w:tabs>
        <w:spacing w:before="1"/>
      </w:pPr>
      <w:r>
        <w:rPr/>
        <w:t>第四条</w:t>
        <w:tab/>
        <w:t>犹豫期内撤销保险</w:t>
      </w:r>
      <w:r>
        <w:rPr>
          <w:spacing w:val="-3"/>
        </w:rPr>
        <w:t>合</w:t>
      </w:r>
      <w:r>
        <w:rPr/>
        <w:t>同</w:t>
      </w:r>
    </w:p>
    <w:p>
      <w:pPr>
        <w:pStyle w:val="BodyText"/>
        <w:spacing w:line="273" w:lineRule="auto"/>
        <w:ind w:left="521" w:right="109"/>
      </w:pPr>
      <w:r>
        <w:rPr/>
        <w:t>投保人可自签收本附加合同当日二十四时起的十日内以书面形式通知本公司撤销本附加合同， 并退回本附加合同的原件。</w:t>
      </w:r>
    </w:p>
    <w:p>
      <w:pPr>
        <w:pStyle w:val="BodyText"/>
        <w:spacing w:line="273" w:lineRule="auto" w:before="8"/>
        <w:ind w:left="521" w:right="179"/>
      </w:pPr>
      <w:r>
        <w:rPr>
          <w:spacing w:val="-6"/>
        </w:rPr>
        <w:t>本公司收到撤销本附加合同书面通知的当日二十四时，本附加合同被撤销且自始无效。本公司</w:t>
      </w:r>
      <w:r>
        <w:rPr>
          <w:spacing w:val="-4"/>
        </w:rPr>
        <w:t>将无息退还投保人已缴保险费。</w:t>
      </w:r>
    </w:p>
    <w:p>
      <w:pPr>
        <w:pStyle w:val="BodyText"/>
        <w:spacing w:before="0"/>
        <w:rPr>
          <w:sz w:val="20"/>
        </w:rPr>
      </w:pPr>
    </w:p>
    <w:p>
      <w:pPr>
        <w:pStyle w:val="BodyText"/>
        <w:spacing w:before="3"/>
        <w:rPr>
          <w:sz w:val="28"/>
        </w:rPr>
      </w:pPr>
    </w:p>
    <w:p>
      <w:pPr>
        <w:pStyle w:val="Heading1"/>
        <w:tabs>
          <w:tab w:pos="842" w:val="left" w:leader="none"/>
        </w:tabs>
        <w:spacing w:before="1"/>
        <w:ind w:left="0" w:right="82"/>
        <w:jc w:val="center"/>
      </w:pPr>
      <w:r>
        <w:rPr/>
        <w:t>第二章</w:t>
        <w:tab/>
        <w:t>保险合同提供</w:t>
      </w:r>
      <w:r>
        <w:rPr>
          <w:spacing w:val="-3"/>
        </w:rPr>
        <w:t>的</w:t>
      </w:r>
      <w:r>
        <w:rPr/>
        <w:t>保障</w:t>
      </w:r>
    </w:p>
    <w:p>
      <w:pPr>
        <w:pStyle w:val="BodyText"/>
        <w:spacing w:before="9"/>
        <w:rPr>
          <w:b/>
          <w:sz w:val="26"/>
        </w:rPr>
      </w:pPr>
    </w:p>
    <w:p>
      <w:pPr>
        <w:tabs>
          <w:tab w:pos="941" w:val="left" w:leader="none"/>
        </w:tabs>
        <w:spacing w:before="0"/>
        <w:ind w:left="102" w:right="0" w:firstLine="0"/>
        <w:jc w:val="left"/>
        <w:rPr>
          <w:b/>
          <w:sz w:val="21"/>
        </w:rPr>
      </w:pPr>
      <w:r>
        <w:rPr>
          <w:b/>
          <w:sz w:val="21"/>
        </w:rPr>
        <w:t>第五条</w:t>
        <w:tab/>
        <w:t>保险责任</w:t>
      </w:r>
    </w:p>
    <w:p>
      <w:pPr>
        <w:pStyle w:val="BodyText"/>
        <w:ind w:left="521"/>
        <w:jc w:val="both"/>
      </w:pPr>
      <w:r>
        <w:rPr/>
        <w:t>在本附加合同保险责任开始后的有效期内，本公司依照下列约定承担保险责任：</w:t>
      </w:r>
    </w:p>
    <w:p>
      <w:pPr>
        <w:pStyle w:val="BodyText"/>
        <w:spacing w:before="8"/>
        <w:rPr>
          <w:sz w:val="26"/>
        </w:rPr>
      </w:pPr>
    </w:p>
    <w:p>
      <w:pPr>
        <w:pStyle w:val="BodyText"/>
        <w:spacing w:before="1"/>
        <w:ind w:left="821"/>
      </w:pPr>
      <w:r>
        <w:rPr/>
        <w:t>一、 重大疾病保险金给付</w:t>
      </w:r>
    </w:p>
    <w:p>
      <w:pPr>
        <w:pStyle w:val="ListParagraph"/>
        <w:numPr>
          <w:ilvl w:val="0"/>
          <w:numId w:val="1"/>
        </w:numPr>
        <w:tabs>
          <w:tab w:pos="1679" w:val="left" w:leader="none"/>
        </w:tabs>
        <w:spacing w:line="273" w:lineRule="auto" w:before="37" w:after="0"/>
        <w:ind w:left="1676" w:right="179" w:hanging="314"/>
        <w:jc w:val="both"/>
        <w:rPr>
          <w:sz w:val="21"/>
        </w:rPr>
      </w:pPr>
      <w:r>
        <w:rPr>
          <w:spacing w:val="-1"/>
          <w:sz w:val="21"/>
        </w:rPr>
        <w:t>若被保险人于本附加合同生效日起九十日内</w:t>
      </w:r>
      <w:r>
        <w:rPr>
          <w:sz w:val="21"/>
        </w:rPr>
        <w:t>（</w:t>
      </w:r>
      <w:r>
        <w:rPr>
          <w:spacing w:val="-2"/>
          <w:sz w:val="21"/>
        </w:rPr>
        <w:t>含第九十日</w:t>
      </w:r>
      <w:r>
        <w:rPr>
          <w:sz w:val="21"/>
        </w:rPr>
        <w:t>）</w:t>
      </w:r>
      <w:r>
        <w:rPr>
          <w:spacing w:val="-1"/>
          <w:sz w:val="21"/>
        </w:rPr>
        <w:t>或效力恢复之日起九</w:t>
      </w:r>
      <w:r>
        <w:rPr>
          <w:spacing w:val="-14"/>
          <w:sz w:val="21"/>
        </w:rPr>
        <w:t>十日内</w:t>
      </w:r>
      <w:r>
        <w:rPr>
          <w:sz w:val="21"/>
        </w:rPr>
        <w:t>（</w:t>
      </w:r>
      <w:r>
        <w:rPr>
          <w:spacing w:val="-3"/>
          <w:sz w:val="21"/>
        </w:rPr>
        <w:t>含第九十日</w:t>
      </w:r>
      <w:r>
        <w:rPr>
          <w:spacing w:val="-73"/>
          <w:sz w:val="21"/>
        </w:rPr>
        <w:t>）</w:t>
      </w:r>
      <w:r>
        <w:rPr>
          <w:spacing w:val="-11"/>
          <w:sz w:val="21"/>
        </w:rPr>
        <w:t>，因疾病导致首次达到本附加合同定义的重大疾病之疾病状态，或者因疾病导致被确诊首次患本附加合同定义的重大疾病或进行本附加合同</w:t>
      </w:r>
      <w:r>
        <w:rPr>
          <w:spacing w:val="-3"/>
          <w:sz w:val="21"/>
        </w:rPr>
        <w:t>定义的手术，本公司将向投保人无息退还所缴保险费，本附加合同终止；</w:t>
      </w:r>
    </w:p>
    <w:p>
      <w:pPr>
        <w:pStyle w:val="BodyText"/>
        <w:spacing w:before="5"/>
        <w:rPr>
          <w:sz w:val="24"/>
        </w:rPr>
      </w:pPr>
    </w:p>
    <w:p>
      <w:pPr>
        <w:pStyle w:val="ListParagraph"/>
        <w:numPr>
          <w:ilvl w:val="0"/>
          <w:numId w:val="1"/>
        </w:numPr>
        <w:tabs>
          <w:tab w:pos="1677" w:val="left" w:leader="none"/>
        </w:tabs>
        <w:spacing w:line="273" w:lineRule="auto" w:before="0" w:after="0"/>
        <w:ind w:left="1674" w:right="182" w:hanging="315"/>
        <w:jc w:val="both"/>
        <w:rPr>
          <w:sz w:val="21"/>
        </w:rPr>
      </w:pPr>
      <w:r>
        <w:rPr>
          <w:spacing w:val="-3"/>
          <w:sz w:val="21"/>
        </w:rPr>
        <w:t>若被保险人于本附加合同生效日起九十日后或效力恢复之日起九十日后，因疾病导致首次达到本附加合同定义的重大疾病之疾病状态，或者因疾病导致被确诊首次患本附加合同定义的重大疾病或进行本附加合同定义的手术，且从上述事由发生之日起第三十日二十四时仍生存，本公司将按照三倍的基本保险金额给付重大疾病保险金，本附加合同终止</w:t>
      </w:r>
    </w:p>
    <w:p>
      <w:pPr>
        <w:spacing w:after="0" w:line="273" w:lineRule="auto"/>
        <w:jc w:val="both"/>
        <w:rPr>
          <w:sz w:val="21"/>
        </w:rPr>
        <w:sectPr>
          <w:pgSz w:w="11910" w:h="16840"/>
          <w:pgMar w:header="0" w:footer="770" w:top="1160" w:bottom="960" w:left="1600" w:right="1060"/>
        </w:sectPr>
      </w:pPr>
    </w:p>
    <w:p>
      <w:pPr>
        <w:pStyle w:val="ListParagraph"/>
        <w:numPr>
          <w:ilvl w:val="0"/>
          <w:numId w:val="1"/>
        </w:numPr>
        <w:tabs>
          <w:tab w:pos="1684" w:val="left" w:leader="none"/>
        </w:tabs>
        <w:spacing w:line="273" w:lineRule="auto" w:before="37" w:after="0"/>
        <w:ind w:left="1676" w:right="123" w:hanging="314"/>
        <w:jc w:val="both"/>
        <w:rPr>
          <w:sz w:val="21"/>
        </w:rPr>
      </w:pPr>
      <w:r>
        <w:rPr>
          <w:sz w:val="21"/>
        </w:rPr>
        <w:t>若被保险人因意外伤害事故</w:t>
      </w:r>
      <w:r>
        <w:rPr>
          <w:spacing w:val="2"/>
          <w:position w:val="11"/>
          <w:sz w:val="11"/>
        </w:rPr>
        <w:t>1</w:t>
      </w:r>
      <w:r>
        <w:rPr>
          <w:sz w:val="21"/>
        </w:rPr>
        <w:t>导致首次达到本附加合同定义的重大疾病之疾病状</w:t>
      </w:r>
      <w:r>
        <w:rPr>
          <w:spacing w:val="-3"/>
          <w:sz w:val="21"/>
        </w:rPr>
        <w:t>态，或者因意外伤害事故导致被确诊首次患本附加合同定义的重大疾病或进行本附加合同定义的手术，且从上述事由发生之日起第三十日二十四时仍生存，本公司将按照三倍的基本保险金额给付重大疾病保险金，本附加合同终止。</w:t>
      </w:r>
    </w:p>
    <w:p>
      <w:pPr>
        <w:pStyle w:val="BodyText"/>
        <w:spacing w:before="5"/>
        <w:rPr>
          <w:sz w:val="24"/>
        </w:rPr>
      </w:pPr>
    </w:p>
    <w:p>
      <w:pPr>
        <w:pStyle w:val="BodyText"/>
        <w:spacing w:before="0"/>
        <w:ind w:left="821"/>
      </w:pPr>
      <w:r>
        <w:rPr/>
        <w:t>二、 特种重大疾病额外保险金给付</w:t>
      </w:r>
    </w:p>
    <w:p>
      <w:pPr>
        <w:pStyle w:val="BodyText"/>
        <w:spacing w:line="273" w:lineRule="auto" w:before="36"/>
        <w:ind w:left="1362" w:right="99"/>
        <w:jc w:val="both"/>
      </w:pPr>
      <w:r>
        <w:rPr>
          <w:spacing w:val="-6"/>
        </w:rPr>
        <w:t>若被保险人于本附加合同生效日起九十日后或效力恢复之日起九十日后，被确诊患本</w:t>
      </w:r>
      <w:r>
        <w:rPr>
          <w:spacing w:val="-9"/>
        </w:rPr>
        <w:t>附加合同定义的白血病，且从确诊之日起第三十日二十四时仍生存，本公司除按上述</w:t>
      </w:r>
      <w:r>
        <w:rPr>
          <w:spacing w:val="-4"/>
        </w:rPr>
        <w:t>约定给付重大疾病保险金外，另按二倍的基本保险金额给付特种重大疾病额外保险</w:t>
      </w:r>
      <w:r>
        <w:rPr>
          <w:spacing w:val="-3"/>
        </w:rPr>
        <w:t>金，本附加合同终止。</w:t>
      </w:r>
    </w:p>
    <w:p>
      <w:pPr>
        <w:pStyle w:val="BodyText"/>
        <w:tabs>
          <w:tab w:pos="941" w:val="left" w:leader="none"/>
        </w:tabs>
        <w:spacing w:line="624" w:lineRule="exact" w:before="65"/>
        <w:ind w:left="102" w:right="1496" w:firstLine="419"/>
        <w:rPr>
          <w:b/>
        </w:rPr>
      </w:pPr>
      <w:r>
        <w:rPr/>
        <w:t>本公</w:t>
      </w:r>
      <w:r>
        <w:rPr>
          <w:spacing w:val="-3"/>
        </w:rPr>
        <w:t>司</w:t>
      </w:r>
      <w:r>
        <w:rPr/>
        <w:t>在</w:t>
      </w:r>
      <w:r>
        <w:rPr>
          <w:spacing w:val="-3"/>
        </w:rPr>
        <w:t>承</w:t>
      </w:r>
      <w:r>
        <w:rPr/>
        <w:t>担</w:t>
      </w:r>
      <w:r>
        <w:rPr>
          <w:spacing w:val="-3"/>
        </w:rPr>
        <w:t>上</w:t>
      </w:r>
      <w:r>
        <w:rPr/>
        <w:t>述</w:t>
      </w:r>
      <w:r>
        <w:rPr>
          <w:spacing w:val="-3"/>
        </w:rPr>
        <w:t>保</w:t>
      </w:r>
      <w:r>
        <w:rPr/>
        <w:t>险</w:t>
      </w:r>
      <w:r>
        <w:rPr>
          <w:spacing w:val="-3"/>
        </w:rPr>
        <w:t>责</w:t>
      </w:r>
      <w:r>
        <w:rPr/>
        <w:t>任的</w:t>
      </w:r>
      <w:r>
        <w:rPr>
          <w:spacing w:val="-3"/>
        </w:rPr>
        <w:t>同</w:t>
      </w:r>
      <w:r>
        <w:rPr/>
        <w:t>时</w:t>
      </w:r>
      <w:r>
        <w:rPr>
          <w:spacing w:val="-3"/>
        </w:rPr>
        <w:t>，</w:t>
      </w:r>
      <w:r>
        <w:rPr/>
        <w:t>将</w:t>
      </w:r>
      <w:r>
        <w:rPr>
          <w:spacing w:val="-3"/>
        </w:rPr>
        <w:t>从</w:t>
      </w:r>
      <w:r>
        <w:rPr/>
        <w:t>给</w:t>
      </w:r>
      <w:r>
        <w:rPr>
          <w:spacing w:val="-3"/>
        </w:rPr>
        <w:t>付</w:t>
      </w:r>
      <w:r>
        <w:rPr/>
        <w:t>的</w:t>
      </w:r>
      <w:r>
        <w:rPr>
          <w:spacing w:val="-3"/>
        </w:rPr>
        <w:t>保</w:t>
      </w:r>
      <w:r>
        <w:rPr/>
        <w:t>险金</w:t>
      </w:r>
      <w:r>
        <w:rPr>
          <w:spacing w:val="-3"/>
        </w:rPr>
        <w:t>中</w:t>
      </w:r>
      <w:r>
        <w:rPr/>
        <w:t>扣</w:t>
      </w:r>
      <w:r>
        <w:rPr>
          <w:spacing w:val="-3"/>
        </w:rPr>
        <w:t>除</w:t>
      </w:r>
      <w:r>
        <w:rPr/>
        <w:t>欠</w:t>
      </w:r>
      <w:r>
        <w:rPr>
          <w:spacing w:val="-3"/>
        </w:rPr>
        <w:t>缴</w:t>
      </w:r>
      <w:r>
        <w:rPr/>
        <w:t>的</w:t>
      </w:r>
      <w:r>
        <w:rPr>
          <w:spacing w:val="-3"/>
        </w:rPr>
        <w:t>保</w:t>
      </w:r>
      <w:r>
        <w:rPr/>
        <w:t>险</w:t>
      </w:r>
      <w:r>
        <w:rPr>
          <w:spacing w:val="-3"/>
        </w:rPr>
        <w:t>费</w:t>
      </w:r>
      <w:r>
        <w:rPr/>
        <w:t>。</w:t>
      </w:r>
      <w:r>
        <w:rPr>
          <w:b/>
        </w:rPr>
        <w:t>第六条</w:t>
        <w:tab/>
        <w:t>责任免除</w:t>
      </w:r>
    </w:p>
    <w:p>
      <w:pPr>
        <w:pStyle w:val="Heading1"/>
        <w:spacing w:line="217" w:lineRule="exact"/>
        <w:ind w:left="461"/>
      </w:pPr>
      <w:r>
        <w:rPr/>
        <w:t>因下列情形之一，导致被保险人达到本附加合同定义的重大疾病之疾病状态、或者被确诊首次</w:t>
      </w:r>
    </w:p>
    <w:p>
      <w:pPr>
        <w:spacing w:line="273" w:lineRule="auto" w:before="37"/>
        <w:ind w:left="821" w:right="690" w:hanging="360"/>
        <w:jc w:val="left"/>
        <w:rPr>
          <w:b/>
          <w:sz w:val="21"/>
        </w:rPr>
      </w:pPr>
      <w:r>
        <w:rPr>
          <w:b/>
          <w:sz w:val="21"/>
        </w:rPr>
        <w:t>患本附加合同定义的重大疾病或进行本附加合同定义的手术，本公司不承担保险责任： 一、 投保人故意造成被保险人的死亡、伤残或疾病的；</w:t>
      </w:r>
    </w:p>
    <w:p>
      <w:pPr>
        <w:spacing w:line="273" w:lineRule="auto" w:before="7"/>
        <w:ind w:left="821" w:right="274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2</w:t>
      </w:r>
      <w:r>
        <w:rPr>
          <w:b/>
          <w:sz w:val="21"/>
        </w:rPr>
        <w:t>；</w:t>
      </w:r>
    </w:p>
    <w:p>
      <w:pPr>
        <w:spacing w:line="273" w:lineRule="auto" w:before="36"/>
        <w:ind w:left="821" w:right="462" w:firstLine="0"/>
        <w:jc w:val="left"/>
        <w:rPr>
          <w:b/>
          <w:sz w:val="21"/>
        </w:rPr>
      </w:pPr>
      <w:r>
        <w:rPr>
          <w:b/>
          <w:sz w:val="21"/>
        </w:rPr>
        <w:t>五、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六、 战争、军事冲突、暴乱或武装叛乱；</w:t>
      </w:r>
    </w:p>
    <w:p>
      <w:pPr>
        <w:spacing w:before="7"/>
        <w:ind w:left="821" w:right="0" w:firstLine="0"/>
        <w:jc w:val="left"/>
        <w:rPr>
          <w:b/>
          <w:sz w:val="21"/>
        </w:rPr>
      </w:pPr>
      <w:r>
        <w:rPr>
          <w:b/>
          <w:sz w:val="21"/>
        </w:rPr>
        <w:t>七、 核爆炸、核辐射或核污染；</w:t>
      </w:r>
    </w:p>
    <w:p>
      <w:pPr>
        <w:spacing w:after="0"/>
        <w:jc w:val="left"/>
        <w:rPr>
          <w:sz w:val="21"/>
        </w:rPr>
        <w:sectPr>
          <w:pgSz w:w="11910" w:h="16840"/>
          <w:pgMar w:header="0" w:footer="770" w:top="1180" w:bottom="960" w:left="1600" w:right="1140"/>
        </w:sectPr>
      </w:pPr>
    </w:p>
    <w:p>
      <w:pPr>
        <w:spacing w:line="273" w:lineRule="auto" w:before="37"/>
        <w:ind w:left="1362" w:right="0" w:hanging="540"/>
        <w:jc w:val="left"/>
        <w:rPr>
          <w:b/>
          <w:sz w:val="21"/>
        </w:rPr>
      </w:pPr>
      <w:r>
        <w:rPr>
          <w:b/>
          <w:w w:val="100"/>
          <w:sz w:val="21"/>
        </w:rPr>
        <w:t>八、</w:t>
      </w:r>
      <w:r>
        <w:rPr>
          <w:b/>
          <w:spacing w:val="10"/>
          <w:sz w:val="21"/>
        </w:rPr>
        <w:t> </w:t>
      </w:r>
      <w:r>
        <w:rPr>
          <w:b/>
          <w:spacing w:val="-2"/>
          <w:w w:val="100"/>
          <w:sz w:val="21"/>
        </w:rPr>
        <w:t>被保险人感染艾滋病病毒</w:t>
      </w:r>
      <w:r>
        <w:rPr>
          <w:b/>
          <w:spacing w:val="1"/>
          <w:w w:val="99"/>
          <w:position w:val="11"/>
          <w:sz w:val="11"/>
        </w:rPr>
        <w:t>6</w:t>
      </w:r>
      <w:r>
        <w:rPr>
          <w:b/>
          <w:spacing w:val="-4"/>
          <w:w w:val="100"/>
          <w:sz w:val="21"/>
        </w:rPr>
        <w:t>或患艾滋病</w:t>
      </w:r>
      <w:r>
        <w:rPr>
          <w:b/>
          <w:spacing w:val="-200"/>
          <w:w w:val="100"/>
          <w:sz w:val="21"/>
        </w:rPr>
        <w:t>（</w:t>
      </w:r>
      <w:r>
        <w:rPr>
          <w:b/>
          <w:w w:val="99"/>
          <w:position w:val="11"/>
          <w:sz w:val="11"/>
        </w:rPr>
        <w:t>7</w:t>
      </w:r>
      <w:r>
        <w:rPr>
          <w:b/>
          <w:spacing w:val="-1"/>
          <w:w w:val="100"/>
          <w:sz w:val="21"/>
        </w:rPr>
        <w:t>染艾滋病”的情形除外</w:t>
      </w:r>
      <w:r>
        <w:rPr>
          <w:b/>
          <w:spacing w:val="-106"/>
          <w:w w:val="100"/>
          <w:sz w:val="21"/>
        </w:rPr>
        <w:t>）</w:t>
      </w:r>
      <w:r>
        <w:rPr>
          <w:b/>
          <w:w w:val="100"/>
          <w:sz w:val="21"/>
        </w:rPr>
        <w:t>；</w:t>
      </w:r>
    </w:p>
    <w:p>
      <w:pPr>
        <w:spacing w:before="37"/>
        <w:ind w:left="104" w:right="0" w:firstLine="0"/>
        <w:jc w:val="left"/>
        <w:rPr>
          <w:b/>
          <w:sz w:val="21"/>
        </w:rPr>
      </w:pPr>
      <w:r>
        <w:rPr/>
        <w:br w:type="column"/>
      </w:r>
      <w:r>
        <w:rPr>
          <w:b/>
          <w:sz w:val="21"/>
        </w:rPr>
        <w:t>符合本条款第十六条第二十三项“因输血 感</w:t>
      </w:r>
    </w:p>
    <w:p>
      <w:pPr>
        <w:spacing w:after="0"/>
        <w:jc w:val="left"/>
        <w:rPr>
          <w:sz w:val="21"/>
        </w:rPr>
        <w:sectPr>
          <w:type w:val="continuous"/>
          <w:pgSz w:w="11910" w:h="16840"/>
          <w:pgMar w:top="1520" w:bottom="960" w:left="1600" w:right="1140"/>
          <w:cols w:num="2" w:equalWidth="0">
            <w:col w:w="4846" w:space="40"/>
            <w:col w:w="4284"/>
          </w:cols>
        </w:sectPr>
      </w:pPr>
    </w:p>
    <w:p>
      <w:pPr>
        <w:spacing w:before="7"/>
        <w:ind w:left="821" w:right="0" w:firstLine="0"/>
        <w:jc w:val="left"/>
        <w:rPr>
          <w:b/>
          <w:sz w:val="21"/>
        </w:rPr>
      </w:pPr>
      <w:r>
        <w:rPr>
          <w:b/>
          <w:sz w:val="21"/>
        </w:rPr>
        <w:t>九、 遗传性疾病</w:t>
      </w:r>
      <w:r>
        <w:rPr>
          <w:b/>
          <w:position w:val="11"/>
          <w:sz w:val="11"/>
        </w:rPr>
        <w:t>8</w:t>
      </w:r>
      <w:r>
        <w:rPr>
          <w:b/>
          <w:sz w:val="21"/>
        </w:rPr>
        <w:t>，先天性畸形、变形或染色体异常</w:t>
      </w:r>
      <w:r>
        <w:rPr>
          <w:b/>
          <w:position w:val="11"/>
          <w:sz w:val="11"/>
        </w:rPr>
        <w:t>9</w:t>
      </w:r>
      <w:r>
        <w:rPr>
          <w:b/>
          <w:sz w:val="21"/>
        </w:rPr>
        <w:t>。</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4"/>
        <w:rPr>
          <w:b/>
          <w:sz w:val="16"/>
        </w:rPr>
      </w:pPr>
      <w:r>
        <w:rPr/>
        <w:pict>
          <v:line style="position:absolute;mso-position-horizontal-relative:page;mso-position-vertical-relative:paragraph;z-index:0;mso-wrap-distance-left:0;mso-wrap-distance-right:0" from="85.103996pt,12.891811pt" to="229.123996pt,12.891811pt" stroked="true" strokeweight=".47998pt" strokecolor="#000000">
            <v:stroke dashstyle="solid"/>
            <w10:wrap type="topAndBottom"/>
          </v:line>
        </w:pict>
      </w:r>
    </w:p>
    <w:p>
      <w:pPr>
        <w:pStyle w:val="ListParagraph"/>
        <w:numPr>
          <w:ilvl w:val="0"/>
          <w:numId w:val="2"/>
        </w:numPr>
        <w:tabs>
          <w:tab w:pos="285" w:val="left" w:leader="none"/>
        </w:tabs>
        <w:spacing w:line="235" w:lineRule="exact" w:before="36" w:after="0"/>
        <w:ind w:left="102"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285" w:val="left" w:leader="none"/>
        </w:tabs>
        <w:spacing w:line="237" w:lineRule="auto" w:before="1" w:after="0"/>
        <w:ind w:left="102" w:right="103" w:firstLine="0"/>
        <w:jc w:val="both"/>
        <w:rPr>
          <w:sz w:val="18"/>
        </w:rPr>
      </w:pPr>
      <w:r>
        <w:rPr>
          <w:sz w:val="18"/>
        </w:rPr>
        <w:t>毒品：指中华人民共和国刑法规定的鸦片、海洛因、甲基苯丙胺（冰毒</w:t>
      </w:r>
      <w:r>
        <w:rPr>
          <w:spacing w:val="-92"/>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285" w:val="left" w:leader="none"/>
        </w:tabs>
        <w:spacing w:line="240" w:lineRule="auto" w:before="0" w:after="0"/>
        <w:ind w:left="102" w:right="103"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285" w:val="left" w:leader="none"/>
        </w:tabs>
        <w:spacing w:line="231" w:lineRule="exact" w:before="3" w:after="0"/>
        <w:ind w:left="102" w:right="0" w:firstLine="0"/>
        <w:jc w:val="both"/>
        <w:rPr>
          <w:sz w:val="18"/>
        </w:rPr>
      </w:pPr>
      <w:r>
        <w:rPr>
          <w:spacing w:val="-1"/>
          <w:sz w:val="18"/>
        </w:rPr>
        <w:t>无合法有效驾驶证驾驶：指下列情形之一</w:t>
      </w:r>
    </w:p>
    <w:p>
      <w:pPr>
        <w:spacing w:line="234" w:lineRule="exact" w:before="0"/>
        <w:ind w:left="102" w:right="0" w:firstLine="0"/>
        <w:jc w:val="both"/>
        <w:rPr>
          <w:sz w:val="18"/>
        </w:rPr>
      </w:pPr>
      <w:r>
        <w:rPr>
          <w:sz w:val="18"/>
        </w:rPr>
        <w:t>（1）没有取得驾驶资格；</w:t>
      </w:r>
    </w:p>
    <w:p>
      <w:pPr>
        <w:spacing w:line="234" w:lineRule="exact" w:before="0"/>
        <w:ind w:left="102" w:right="0" w:firstLine="0"/>
        <w:jc w:val="both"/>
        <w:rPr>
          <w:sz w:val="18"/>
        </w:rPr>
      </w:pPr>
      <w:r>
        <w:rPr>
          <w:sz w:val="18"/>
        </w:rPr>
        <w:t>（2）驾驶与驾驶证准驾车型不相符合的车辆；</w:t>
      </w:r>
    </w:p>
    <w:p>
      <w:pPr>
        <w:spacing w:line="233" w:lineRule="exact" w:before="0"/>
        <w:ind w:left="102" w:right="0" w:firstLine="0"/>
        <w:jc w:val="both"/>
        <w:rPr>
          <w:sz w:val="18"/>
        </w:rPr>
      </w:pPr>
      <w:r>
        <w:rPr>
          <w:sz w:val="18"/>
        </w:rPr>
        <w:t>（3）持审验不合格的驾驶证驾驶；</w:t>
      </w:r>
    </w:p>
    <w:p>
      <w:pPr>
        <w:spacing w:line="233" w:lineRule="exact" w:before="0"/>
        <w:ind w:left="102" w:right="0" w:firstLine="0"/>
        <w:jc w:val="both"/>
        <w:rPr>
          <w:sz w:val="18"/>
        </w:rPr>
      </w:pPr>
      <w:r>
        <w:rPr>
          <w:sz w:val="18"/>
        </w:rPr>
        <w:t>（4）持学习驾驶证学习驾车时，无教练员随车指导，或不按指定时间、路线学习驾车。</w:t>
      </w:r>
    </w:p>
    <w:p>
      <w:pPr>
        <w:pStyle w:val="ListParagraph"/>
        <w:numPr>
          <w:ilvl w:val="0"/>
          <w:numId w:val="2"/>
        </w:numPr>
        <w:tabs>
          <w:tab w:pos="285" w:val="left" w:leader="none"/>
        </w:tabs>
        <w:spacing w:line="234" w:lineRule="exact" w:before="0" w:after="0"/>
        <w:ind w:left="102" w:right="0" w:firstLine="0"/>
        <w:jc w:val="both"/>
        <w:rPr>
          <w:sz w:val="18"/>
        </w:rPr>
      </w:pPr>
      <w:r>
        <w:rPr>
          <w:sz w:val="18"/>
        </w:rPr>
        <w:t>无有效行驶证：</w:t>
      </w:r>
    </w:p>
    <w:p>
      <w:pPr>
        <w:spacing w:line="234" w:lineRule="exact" w:before="0"/>
        <w:ind w:left="102" w:right="0" w:firstLine="0"/>
        <w:jc w:val="both"/>
        <w:rPr>
          <w:sz w:val="18"/>
        </w:rPr>
      </w:pPr>
      <w:r>
        <w:rPr>
          <w:sz w:val="18"/>
        </w:rPr>
        <w:t>（1）机动车被依法注销登记的；</w:t>
      </w:r>
    </w:p>
    <w:p>
      <w:pPr>
        <w:spacing w:line="233" w:lineRule="exact" w:before="0"/>
        <w:ind w:left="102" w:right="0" w:firstLine="0"/>
        <w:jc w:val="both"/>
        <w:rPr>
          <w:sz w:val="18"/>
        </w:rPr>
      </w:pPr>
      <w:r>
        <w:rPr>
          <w:sz w:val="18"/>
        </w:rPr>
        <w:t>（2）未依法按时进行或通过机动车安全技术检验。</w:t>
      </w:r>
    </w:p>
    <w:p>
      <w:pPr>
        <w:pStyle w:val="ListParagraph"/>
        <w:numPr>
          <w:ilvl w:val="0"/>
          <w:numId w:val="2"/>
        </w:numPr>
        <w:tabs>
          <w:tab w:pos="285" w:val="left" w:leader="none"/>
        </w:tabs>
        <w:spacing w:line="237" w:lineRule="auto" w:before="1" w:after="0"/>
        <w:ind w:left="102" w:right="104" w:firstLine="0"/>
        <w:jc w:val="left"/>
        <w:rPr>
          <w:sz w:val="18"/>
        </w:rPr>
      </w:pPr>
      <w:r>
        <w:rPr>
          <w:spacing w:val="-2"/>
          <w:sz w:val="18"/>
        </w:rPr>
        <w:t>艾滋病病毒：指人类免疫缺陷病毒，英文缩写为 </w:t>
      </w:r>
      <w:r>
        <w:rPr>
          <w:sz w:val="18"/>
        </w:rPr>
        <w:t>HIV</w:t>
      </w:r>
      <w:r>
        <w:rPr>
          <w:spacing w:val="-1"/>
          <w:sz w:val="18"/>
        </w:rPr>
        <w:t>。若在被保险人的血液或其他样本中检测到艾滋病病毒或其抗体呈阳性，没有出现临床症状或体征的，为感染艾滋病病毒。</w:t>
      </w:r>
    </w:p>
    <w:p>
      <w:pPr>
        <w:pStyle w:val="ListParagraph"/>
        <w:numPr>
          <w:ilvl w:val="0"/>
          <w:numId w:val="2"/>
        </w:numPr>
        <w:tabs>
          <w:tab w:pos="285" w:val="left" w:leader="none"/>
        </w:tabs>
        <w:spacing w:line="237" w:lineRule="auto" w:before="1" w:after="0"/>
        <w:ind w:left="102"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2"/>
        </w:numPr>
        <w:tabs>
          <w:tab w:pos="285" w:val="left" w:leader="none"/>
        </w:tabs>
        <w:spacing w:line="237" w:lineRule="auto" w:before="0" w:after="0"/>
        <w:ind w:left="102" w:right="102" w:firstLine="0"/>
        <w:jc w:val="left"/>
        <w:rPr>
          <w:sz w:val="18"/>
        </w:rPr>
      </w:pPr>
      <w:r>
        <w:rPr>
          <w:spacing w:val="-4"/>
          <w:sz w:val="18"/>
        </w:rPr>
        <w:t>遗传性疾病：指生殖细胞或受精卵的遗传物质</w:t>
      </w:r>
      <w:r>
        <w:rPr>
          <w:sz w:val="18"/>
        </w:rPr>
        <w:t>（染色体和基因</w:t>
      </w:r>
      <w:r>
        <w:rPr>
          <w:spacing w:val="-10"/>
          <w:sz w:val="18"/>
        </w:rPr>
        <w:t>）</w:t>
      </w:r>
      <w:r>
        <w:rPr>
          <w:spacing w:val="-2"/>
          <w:sz w:val="18"/>
        </w:rPr>
        <w:t>发生突变或畸变所引起的疾病，通常具有由亲代传至后代的垂直传递的特征。</w:t>
      </w:r>
    </w:p>
    <w:p>
      <w:pPr>
        <w:pStyle w:val="ListParagraph"/>
        <w:numPr>
          <w:ilvl w:val="0"/>
          <w:numId w:val="2"/>
        </w:numPr>
        <w:tabs>
          <w:tab w:pos="285" w:val="left" w:leader="none"/>
        </w:tabs>
        <w:spacing w:line="237" w:lineRule="auto" w:before="3" w:after="0"/>
        <w:ind w:left="102" w:right="103"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spacing w:after="0" w:line="237" w:lineRule="auto"/>
        <w:jc w:val="left"/>
        <w:rPr>
          <w:sz w:val="18"/>
        </w:rPr>
        <w:sectPr>
          <w:type w:val="continuous"/>
          <w:pgSz w:w="11910" w:h="16840"/>
          <w:pgMar w:top="1520" w:bottom="960" w:left="1600" w:right="1140"/>
        </w:sectPr>
      </w:pPr>
    </w:p>
    <w:p>
      <w:pPr>
        <w:pStyle w:val="Heading1"/>
        <w:spacing w:line="273" w:lineRule="auto" w:before="17"/>
        <w:ind w:left="510" w:right="123"/>
      </w:pPr>
      <w:r>
        <w:rPr/>
        <w:t>发生上述第一、二项情形的，本附加合同终止，投保人已交足两年以上保险费的，本公司退还本附加合同的现金价值</w:t>
      </w:r>
      <w:r>
        <w:rPr>
          <w:position w:val="11"/>
          <w:sz w:val="11"/>
        </w:rPr>
        <w:t>10</w:t>
      </w:r>
      <w:r>
        <w:rPr/>
        <w:t>。</w:t>
      </w:r>
    </w:p>
    <w:p>
      <w:pPr>
        <w:spacing w:before="4"/>
        <w:ind w:left="521" w:right="0" w:firstLine="0"/>
        <w:jc w:val="both"/>
        <w:rPr>
          <w:b/>
          <w:sz w:val="21"/>
        </w:rPr>
      </w:pPr>
      <w:r>
        <w:rPr>
          <w:b/>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2" w:val="left" w:leader="none"/>
        </w:tabs>
        <w:spacing w:before="137"/>
        <w:ind w:left="0" w:right="2" w:firstLine="0"/>
        <w:jc w:val="center"/>
        <w:rPr>
          <w:b/>
          <w:sz w:val="21"/>
        </w:rPr>
      </w:pPr>
      <w:r>
        <w:rPr>
          <w:b/>
          <w:sz w:val="21"/>
        </w:rPr>
        <w:t>第三章</w:t>
        <w:tab/>
        <w:t>基本保险金额</w:t>
      </w:r>
      <w:r>
        <w:rPr>
          <w:b/>
          <w:spacing w:val="-3"/>
          <w:sz w:val="21"/>
        </w:rPr>
        <w:t>和</w:t>
      </w:r>
      <w:r>
        <w:rPr>
          <w:b/>
          <w:sz w:val="21"/>
        </w:rPr>
        <w:t>保险费</w:t>
      </w:r>
    </w:p>
    <w:p>
      <w:pPr>
        <w:pStyle w:val="BodyText"/>
        <w:spacing w:before="8"/>
        <w:rPr>
          <w:b/>
          <w:sz w:val="26"/>
        </w:rPr>
      </w:pPr>
    </w:p>
    <w:p>
      <w:pPr>
        <w:tabs>
          <w:tab w:pos="941" w:val="left" w:leader="none"/>
        </w:tabs>
        <w:spacing w:before="1"/>
        <w:ind w:left="102" w:right="0" w:firstLine="0"/>
        <w:jc w:val="left"/>
        <w:rPr>
          <w:b/>
          <w:sz w:val="21"/>
        </w:rPr>
      </w:pPr>
      <w:r>
        <w:rPr>
          <w:b/>
          <w:sz w:val="21"/>
        </w:rPr>
        <w:t>第七条</w:t>
        <w:tab/>
        <w:t>基本保险金额和保</w:t>
      </w:r>
      <w:r>
        <w:rPr>
          <w:b/>
          <w:spacing w:val="-3"/>
          <w:sz w:val="21"/>
        </w:rPr>
        <w:t>险</w:t>
      </w:r>
      <w:r>
        <w:rPr>
          <w:b/>
          <w:sz w:val="21"/>
        </w:rPr>
        <w:t>费</w:t>
      </w:r>
    </w:p>
    <w:p>
      <w:pPr>
        <w:pStyle w:val="BodyText"/>
        <w:ind w:left="521"/>
        <w:jc w:val="both"/>
      </w:pPr>
      <w:r>
        <w:rPr/>
        <w:t>本附加合同的基本保险金额由投保人和本公司约定并载明于保险单上。</w:t>
      </w:r>
    </w:p>
    <w:p>
      <w:pPr>
        <w:pStyle w:val="BodyText"/>
        <w:spacing w:line="273" w:lineRule="auto"/>
        <w:ind w:left="521" w:right="99"/>
      </w:pPr>
      <w:r>
        <w:rPr>
          <w:spacing w:val="-6"/>
        </w:rPr>
        <w:t>投保人可选择一次性支付或分期支付保险费，若选择分期支付保险费的，投保人在支付了首期</w:t>
      </w:r>
      <w:r>
        <w:rPr>
          <w:spacing w:val="-3"/>
        </w:rPr>
        <w:t>保险费后，应按本附加合同的约定支付余下各期保险费。</w:t>
      </w:r>
    </w:p>
    <w:p>
      <w:pPr>
        <w:pStyle w:val="BodyText"/>
        <w:spacing w:before="5"/>
        <w:rPr>
          <w:sz w:val="24"/>
        </w:rPr>
      </w:pPr>
    </w:p>
    <w:p>
      <w:pPr>
        <w:pStyle w:val="Heading1"/>
        <w:tabs>
          <w:tab w:pos="941" w:val="left" w:leader="none"/>
        </w:tabs>
        <w:spacing w:before="1"/>
      </w:pPr>
      <w:r>
        <w:rPr/>
        <w:t>第八条</w:t>
        <w:tab/>
        <w:t>宽限期及保险合同</w:t>
      </w:r>
      <w:r>
        <w:rPr>
          <w:spacing w:val="-3"/>
        </w:rPr>
        <w:t>效</w:t>
      </w:r>
      <w:r>
        <w:rPr/>
        <w:t>力</w:t>
      </w:r>
      <w:r>
        <w:rPr>
          <w:spacing w:val="-3"/>
        </w:rPr>
        <w:t>的</w:t>
      </w:r>
      <w:r>
        <w:rPr/>
        <w:t>中止</w:t>
      </w:r>
    </w:p>
    <w:p>
      <w:pPr>
        <w:pStyle w:val="BodyText"/>
        <w:spacing w:line="273" w:lineRule="auto"/>
        <w:ind w:left="521" w:right="99"/>
        <w:jc w:val="both"/>
      </w:pPr>
      <w:r>
        <w:rPr>
          <w:spacing w:val="-8"/>
        </w:rPr>
        <w:t>分期支付保险费的，投保人支付首期保险费后，除本附加合同另有约定外，如果投保人到期未</w:t>
      </w:r>
      <w:r>
        <w:rPr>
          <w:spacing w:val="-12"/>
        </w:rPr>
        <w:t>支付当期保险费，自接到本公司催告之日的次日起三十日或保险合同约定的保险费支付日的次日起六十日为宽限期</w:t>
      </w:r>
      <w:r>
        <w:rPr>
          <w:spacing w:val="-3"/>
        </w:rPr>
        <w:t>（前述期间以先届满者为准</w:t>
      </w:r>
      <w:r>
        <w:rPr>
          <w:spacing w:val="-106"/>
        </w:rPr>
        <w:t>）</w:t>
      </w:r>
      <w:r>
        <w:rPr>
          <w:spacing w:val="-3"/>
        </w:rPr>
        <w:t>。宽限期内发生的保险事故，本公司仍会承担保险责任，但在给付保险金时会扣减投保人欠交的保险费。</w:t>
      </w:r>
    </w:p>
    <w:p>
      <w:pPr>
        <w:pStyle w:val="BodyText"/>
        <w:spacing w:line="273" w:lineRule="auto" w:before="7"/>
        <w:ind w:left="521" w:right="99"/>
      </w:pPr>
      <w:r>
        <w:rPr>
          <w:spacing w:val="-7"/>
        </w:rPr>
        <w:t>如果投保人在宽限期届满前仍未支付当期保险费，则本附加合同自宽限期届满的次日零时起效</w:t>
      </w:r>
      <w:r>
        <w:rPr>
          <w:spacing w:val="-5"/>
        </w:rPr>
        <w:t>力中止。</w:t>
      </w:r>
    </w:p>
    <w:p>
      <w:pPr>
        <w:pStyle w:val="BodyText"/>
        <w:spacing w:before="5"/>
        <w:rPr>
          <w:sz w:val="24"/>
        </w:rPr>
      </w:pPr>
    </w:p>
    <w:p>
      <w:pPr>
        <w:pStyle w:val="Heading1"/>
        <w:tabs>
          <w:tab w:pos="941" w:val="left" w:leader="none"/>
        </w:tabs>
      </w:pPr>
      <w:r>
        <w:rPr>
          <w:w w:val="100"/>
        </w:rPr>
        <w:t>第九条</w:t>
      </w:r>
      <w:r>
        <w:rPr/>
        <w:tab/>
      </w:r>
      <w:r>
        <w:rPr>
          <w:w w:val="100"/>
        </w:rPr>
        <w:t>保险合同效力的恢</w:t>
      </w:r>
      <w:r>
        <w:rPr>
          <w:spacing w:val="-3"/>
          <w:w w:val="100"/>
        </w:rPr>
        <w:t>复</w:t>
      </w:r>
      <w:r>
        <w:rPr>
          <w:w w:val="100"/>
        </w:rPr>
        <w:t>（</w:t>
      </w:r>
      <w:r>
        <w:rPr>
          <w:spacing w:val="-3"/>
          <w:w w:val="100"/>
        </w:rPr>
        <w:t>简</w:t>
      </w:r>
      <w:r>
        <w:rPr>
          <w:w w:val="100"/>
        </w:rPr>
        <w:t>称“复效</w:t>
      </w:r>
      <w:r>
        <w:rPr>
          <w:spacing w:val="-106"/>
          <w:w w:val="100"/>
        </w:rPr>
        <w:t>”</w:t>
      </w:r>
      <w:r>
        <w:rPr>
          <w:w w:val="100"/>
        </w:rPr>
        <w:t>）</w:t>
      </w:r>
    </w:p>
    <w:p>
      <w:pPr>
        <w:pStyle w:val="BodyText"/>
        <w:spacing w:line="273" w:lineRule="auto"/>
        <w:ind w:left="521" w:right="99"/>
      </w:pPr>
      <w:r>
        <w:rPr>
          <w:spacing w:val="-8"/>
        </w:rPr>
        <w:t>本附加合同效力中止后两年内，投保人可以申请恢复合同效力。经本公司与投保人协商并达成</w:t>
      </w:r>
      <w:r>
        <w:rPr>
          <w:spacing w:val="-3"/>
        </w:rPr>
        <w:t>协议，在投保人补交保险费当日二十四时起，本附加合同效力恢复。</w:t>
      </w:r>
    </w:p>
    <w:p>
      <w:pPr>
        <w:pStyle w:val="BodyText"/>
        <w:spacing w:line="273" w:lineRule="auto" w:before="8"/>
        <w:ind w:left="521" w:right="99"/>
      </w:pPr>
      <w:r>
        <w:rPr>
          <w:spacing w:val="-6"/>
        </w:rPr>
        <w:t>自本附加合同效力中止之日起满两年投保人和本公司未达成协议的，本公司有权解除合同。本</w:t>
      </w:r>
      <w:r>
        <w:rPr>
          <w:spacing w:val="-3"/>
        </w:rPr>
        <w:t>公司解除合同的，向投保人退还合同效力中止时本附加合同的现金价值。</w:t>
      </w:r>
    </w:p>
    <w:p>
      <w:pPr>
        <w:pStyle w:val="BodyText"/>
        <w:spacing w:before="0"/>
        <w:rPr>
          <w:sz w:val="20"/>
        </w:rPr>
      </w:pPr>
    </w:p>
    <w:p>
      <w:pPr>
        <w:pStyle w:val="BodyText"/>
        <w:spacing w:before="4"/>
        <w:rPr>
          <w:sz w:val="28"/>
        </w:rPr>
      </w:pPr>
    </w:p>
    <w:p>
      <w:pPr>
        <w:pStyle w:val="Heading1"/>
        <w:ind w:left="0" w:right="4"/>
        <w:jc w:val="center"/>
      </w:pPr>
      <w:r>
        <w:rPr/>
        <w:t>第四章 保险金的申请</w:t>
      </w:r>
    </w:p>
    <w:p>
      <w:pPr>
        <w:pStyle w:val="BodyText"/>
        <w:spacing w:before="8"/>
        <w:rPr>
          <w:b/>
          <w:sz w:val="26"/>
        </w:rPr>
      </w:pPr>
    </w:p>
    <w:p>
      <w:pPr>
        <w:tabs>
          <w:tab w:pos="941" w:val="left" w:leader="none"/>
        </w:tabs>
        <w:spacing w:before="0"/>
        <w:ind w:left="102" w:right="0" w:firstLine="0"/>
        <w:jc w:val="left"/>
        <w:rPr>
          <w:b/>
          <w:sz w:val="21"/>
        </w:rPr>
      </w:pPr>
      <w:r>
        <w:rPr>
          <w:b/>
          <w:sz w:val="21"/>
        </w:rPr>
        <w:t>第十条</w:t>
        <w:tab/>
        <w:t>受益人的指定和变更</w:t>
      </w:r>
    </w:p>
    <w:p>
      <w:pPr>
        <w:pStyle w:val="BodyText"/>
        <w:spacing w:before="36"/>
        <w:ind w:left="521"/>
      </w:pPr>
      <w:r>
        <w:rPr/>
        <w:t>本附加合同受益人约定为被保险人本人。</w:t>
      </w:r>
    </w:p>
    <w:p>
      <w:pPr>
        <w:pStyle w:val="BodyText"/>
        <w:spacing w:line="273" w:lineRule="auto" w:before="36"/>
        <w:ind w:left="521" w:right="98"/>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before="8"/>
        <w:rPr>
          <w:sz w:val="26"/>
        </w:rPr>
      </w:pPr>
    </w:p>
    <w:p>
      <w:pPr>
        <w:tabs>
          <w:tab w:pos="1181" w:val="left" w:leader="none"/>
        </w:tabs>
        <w:spacing w:line="273" w:lineRule="auto" w:before="1"/>
        <w:ind w:left="461" w:right="6539" w:hanging="360"/>
        <w:jc w:val="left"/>
        <w:rPr>
          <w:sz w:val="21"/>
        </w:rPr>
      </w:pPr>
      <w:r>
        <w:rPr>
          <w:b/>
          <w:sz w:val="21"/>
        </w:rPr>
        <w:t>第十一条</w:t>
        <w:tab/>
        <w:t>保险金的申请 </w:t>
      </w:r>
      <w:r>
        <w:rPr>
          <w:sz w:val="21"/>
        </w:rPr>
        <w:t>一、</w:t>
      </w:r>
      <w:r>
        <w:rPr>
          <w:spacing w:val="-36"/>
          <w:sz w:val="21"/>
        </w:rPr>
        <w:t> </w:t>
      </w:r>
      <w:r>
        <w:rPr>
          <w:sz w:val="21"/>
        </w:rPr>
        <w:t>保险</w:t>
      </w:r>
      <w:r>
        <w:rPr>
          <w:spacing w:val="-3"/>
          <w:sz w:val="21"/>
        </w:rPr>
        <w:t>金</w:t>
      </w:r>
      <w:r>
        <w:rPr>
          <w:sz w:val="21"/>
        </w:rPr>
        <w:t>给</w:t>
      </w:r>
      <w:r>
        <w:rPr>
          <w:spacing w:val="-3"/>
          <w:sz w:val="21"/>
        </w:rPr>
        <w:t>付</w:t>
      </w:r>
      <w:r>
        <w:rPr>
          <w:sz w:val="21"/>
        </w:rPr>
        <w:t>的</w:t>
      </w:r>
      <w:r>
        <w:rPr>
          <w:spacing w:val="-3"/>
          <w:sz w:val="21"/>
        </w:rPr>
        <w:t>申</w:t>
      </w:r>
      <w:r>
        <w:rPr>
          <w:sz w:val="21"/>
        </w:rPr>
        <w:t>请</w:t>
      </w:r>
    </w:p>
    <w:p>
      <w:pPr>
        <w:pStyle w:val="BodyText"/>
        <w:spacing w:before="8"/>
        <w:ind w:left="941"/>
      </w:pPr>
      <w:r>
        <w:rPr/>
        <w:t>在申请重大疾病保险金、特种重大疾病额外保险金时，申请人须提供下列证明和资料：</w:t>
      </w:r>
    </w:p>
    <w:p>
      <w:pPr>
        <w:pStyle w:val="ListParagraph"/>
        <w:numPr>
          <w:ilvl w:val="1"/>
          <w:numId w:val="2"/>
        </w:numPr>
        <w:tabs>
          <w:tab w:pos="1362" w:val="left" w:leader="none"/>
        </w:tabs>
        <w:spacing w:line="240" w:lineRule="auto" w:before="38" w:after="0"/>
        <w:ind w:left="1362" w:right="0" w:hanging="360"/>
        <w:jc w:val="left"/>
        <w:rPr>
          <w:sz w:val="21"/>
        </w:rPr>
      </w:pPr>
      <w:r>
        <w:rPr>
          <w:spacing w:val="-3"/>
          <w:sz w:val="21"/>
        </w:rPr>
        <w:t>保险金给予申请书合同；</w:t>
      </w:r>
    </w:p>
    <w:p>
      <w:pPr>
        <w:pStyle w:val="ListParagraph"/>
        <w:numPr>
          <w:ilvl w:val="1"/>
          <w:numId w:val="2"/>
        </w:numPr>
        <w:tabs>
          <w:tab w:pos="1362" w:val="left" w:leader="none"/>
        </w:tabs>
        <w:spacing w:line="240" w:lineRule="auto" w:before="37" w:after="0"/>
        <w:ind w:left="1362" w:right="0" w:hanging="360"/>
        <w:jc w:val="left"/>
        <w:rPr>
          <w:sz w:val="21"/>
        </w:rPr>
      </w:pPr>
      <w:r>
        <w:rPr>
          <w:spacing w:val="-3"/>
          <w:sz w:val="21"/>
        </w:rPr>
        <w:t>本附加合同原件或其他保险凭证；</w:t>
      </w:r>
    </w:p>
    <w:p>
      <w:pPr>
        <w:pStyle w:val="ListParagraph"/>
        <w:numPr>
          <w:ilvl w:val="1"/>
          <w:numId w:val="2"/>
        </w:numPr>
        <w:tabs>
          <w:tab w:pos="1362" w:val="left" w:leader="none"/>
        </w:tabs>
        <w:spacing w:line="240" w:lineRule="auto" w:before="37" w:after="0"/>
        <w:ind w:left="1362" w:right="0" w:hanging="360"/>
        <w:jc w:val="left"/>
        <w:rPr>
          <w:sz w:val="21"/>
        </w:rPr>
      </w:pPr>
      <w:r>
        <w:rPr>
          <w:spacing w:val="-3"/>
          <w:sz w:val="21"/>
        </w:rPr>
        <w:t>受益人的身份证件；</w:t>
      </w:r>
    </w:p>
    <w:p>
      <w:pPr>
        <w:pStyle w:val="ListParagraph"/>
        <w:numPr>
          <w:ilvl w:val="1"/>
          <w:numId w:val="2"/>
        </w:numPr>
        <w:tabs>
          <w:tab w:pos="1362" w:val="left" w:leader="none"/>
        </w:tabs>
        <w:spacing w:line="240" w:lineRule="auto" w:before="37" w:after="0"/>
        <w:ind w:left="1362" w:right="0" w:hanging="360"/>
        <w:jc w:val="left"/>
        <w:rPr>
          <w:sz w:val="21"/>
        </w:rPr>
      </w:pPr>
      <w:r>
        <w:rPr>
          <w:spacing w:val="-3"/>
          <w:sz w:val="21"/>
        </w:rPr>
        <w:t>最近一期保险费的缴纳凭证；</w:t>
      </w:r>
    </w:p>
    <w:p>
      <w:pPr>
        <w:pStyle w:val="ListParagraph"/>
        <w:numPr>
          <w:ilvl w:val="1"/>
          <w:numId w:val="2"/>
        </w:numPr>
        <w:tabs>
          <w:tab w:pos="1362" w:val="left" w:leader="none"/>
        </w:tabs>
        <w:spacing w:line="240" w:lineRule="auto" w:before="37" w:after="0"/>
        <w:ind w:left="1362" w:right="0" w:hanging="360"/>
        <w:jc w:val="left"/>
        <w:rPr>
          <w:sz w:val="21"/>
        </w:rPr>
      </w:pPr>
      <w:r>
        <w:rPr>
          <w:spacing w:val="-1"/>
          <w:sz w:val="21"/>
        </w:rPr>
        <w:t>由医院</w:t>
      </w:r>
      <w:r>
        <w:rPr>
          <w:position w:val="11"/>
          <w:sz w:val="11"/>
        </w:rPr>
        <w:t>11</w:t>
      </w:r>
      <w:r>
        <w:rPr>
          <w:spacing w:val="-3"/>
          <w:sz w:val="21"/>
        </w:rPr>
        <w:t>出具的可证明被保险人患重大疾病的诊断证明书和诊断所患重大疾病必需的</w:t>
      </w:r>
    </w:p>
    <w:p>
      <w:pPr>
        <w:pStyle w:val="BodyText"/>
        <w:spacing w:before="9"/>
        <w:rPr>
          <w:sz w:val="27"/>
        </w:rPr>
      </w:pPr>
      <w:r>
        <w:rPr/>
        <w:pict>
          <v:line style="position:absolute;mso-position-horizontal-relative:page;mso-position-vertical-relative:paragraph;z-index:1048;mso-wrap-distance-left:0;mso-wrap-distance-right:0" from="85.103996pt,20.361385pt" to="229.123996pt,20.361385pt" stroked="true" strokeweight=".47998pt" strokecolor="#000000">
            <v:stroke dashstyle="solid"/>
            <w10:wrap type="topAndBottom"/>
          </v:line>
        </w:pict>
      </w:r>
    </w:p>
    <w:p>
      <w:pPr>
        <w:pStyle w:val="ListParagraph"/>
        <w:numPr>
          <w:ilvl w:val="0"/>
          <w:numId w:val="2"/>
        </w:numPr>
        <w:tabs>
          <w:tab w:pos="376" w:val="left" w:leader="none"/>
        </w:tabs>
        <w:spacing w:line="237" w:lineRule="auto" w:before="41" w:after="0"/>
        <w:ind w:left="102" w:right="148"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0" w:top="1200" w:bottom="960" w:left="1600" w:right="1140"/>
        </w:sectPr>
      </w:pPr>
    </w:p>
    <w:p>
      <w:pPr>
        <w:pStyle w:val="BodyText"/>
        <w:spacing w:before="17"/>
        <w:ind w:left="1362"/>
      </w:pPr>
      <w:r>
        <w:rPr/>
        <w:t>检查报告；</w:t>
      </w:r>
    </w:p>
    <w:p>
      <w:pPr>
        <w:pStyle w:val="ListParagraph"/>
        <w:numPr>
          <w:ilvl w:val="0"/>
          <w:numId w:val="3"/>
        </w:numPr>
        <w:tabs>
          <w:tab w:pos="1362" w:val="left" w:leader="none"/>
        </w:tabs>
        <w:spacing w:line="240" w:lineRule="auto" w:before="37" w:after="0"/>
        <w:ind w:left="1362" w:right="0" w:hanging="360"/>
        <w:jc w:val="left"/>
        <w:rPr>
          <w:sz w:val="21"/>
        </w:rPr>
      </w:pPr>
      <w:r>
        <w:rPr>
          <w:spacing w:val="-3"/>
          <w:sz w:val="21"/>
        </w:rPr>
        <w:t>受益人所能提供的与确认保险事故的性质、原因等相关的其他证明、资料；</w:t>
      </w:r>
    </w:p>
    <w:p>
      <w:pPr>
        <w:pStyle w:val="ListParagraph"/>
        <w:numPr>
          <w:ilvl w:val="0"/>
          <w:numId w:val="3"/>
        </w:numPr>
        <w:tabs>
          <w:tab w:pos="1362" w:val="left" w:leader="none"/>
        </w:tabs>
        <w:spacing w:line="240" w:lineRule="auto" w:before="37" w:after="0"/>
        <w:ind w:left="1362" w:right="0" w:hanging="360"/>
        <w:jc w:val="left"/>
        <w:rPr>
          <w:sz w:val="21"/>
        </w:rPr>
      </w:pPr>
      <w:r>
        <w:rPr>
          <w:spacing w:val="-3"/>
          <w:sz w:val="21"/>
        </w:rPr>
        <w:t>若经办人为代理人，则应另提供授权委托书、代理人身份证件等证明文件。</w:t>
      </w:r>
    </w:p>
    <w:p>
      <w:pPr>
        <w:pStyle w:val="BodyText"/>
        <w:spacing w:before="8"/>
        <w:rPr>
          <w:sz w:val="26"/>
        </w:rPr>
      </w:pPr>
    </w:p>
    <w:p>
      <w:pPr>
        <w:pStyle w:val="BodyText"/>
        <w:spacing w:line="273" w:lineRule="auto" w:before="0"/>
        <w:ind w:left="521" w:right="199"/>
      </w:pPr>
      <w:r>
        <w:rPr>
          <w:spacing w:val="-7"/>
        </w:rPr>
        <w:t>以上保险金申请所提交的证明和资料不完整的，本公司将及时一次性通知申请人补充提供有关</w:t>
      </w:r>
      <w:r>
        <w:rPr>
          <w:spacing w:val="-5"/>
        </w:rPr>
        <w:t>证明和资料。</w:t>
      </w:r>
    </w:p>
    <w:p>
      <w:pPr>
        <w:pStyle w:val="BodyText"/>
        <w:spacing w:before="5"/>
        <w:rPr>
          <w:sz w:val="29"/>
        </w:rPr>
      </w:pPr>
    </w:p>
    <w:p>
      <w:pPr>
        <w:pStyle w:val="BodyText"/>
        <w:spacing w:line="237" w:lineRule="auto" w:before="0"/>
        <w:ind w:left="941" w:right="199" w:hanging="420"/>
        <w:jc w:val="both"/>
      </w:pPr>
      <w:r>
        <w:rPr>
          <w:spacing w:val="-7"/>
        </w:rPr>
        <w:t>二、受益人申请领取重大疾病保险金时，本公司有权聘请医疗专家对被保险人所患的重大疾病</w:t>
      </w:r>
      <w:r>
        <w:rPr>
          <w:spacing w:val="-5"/>
        </w:rPr>
        <w:t>进行检查核实和会诊。</w:t>
      </w:r>
    </w:p>
    <w:p>
      <w:pPr>
        <w:pStyle w:val="BodyText"/>
        <w:spacing w:before="0"/>
        <w:rPr>
          <w:sz w:val="20"/>
        </w:rPr>
      </w:pPr>
    </w:p>
    <w:p>
      <w:pPr>
        <w:pStyle w:val="BodyText"/>
        <w:spacing w:line="237" w:lineRule="auto" w:before="136"/>
        <w:ind w:left="941" w:right="197" w:hanging="420"/>
        <w:jc w:val="both"/>
      </w:pPr>
      <w:r>
        <w:rPr>
          <w:spacing w:val="-2"/>
        </w:rPr>
        <w:t>三、本公司在收到保险金给付申请书及合同约定的证明和资料后，将在五个工作日内作出核</w:t>
      </w:r>
      <w:r>
        <w:rPr>
          <w:spacing w:val="-10"/>
        </w:rPr>
        <w:t>定；情形复杂的，在三十日内作出核定。对属于保险责任的，本公司在与受益人达成给付</w:t>
      </w:r>
      <w:r>
        <w:rPr>
          <w:spacing w:val="-5"/>
        </w:rPr>
        <w:t>保险金的协议后十日内，履行给付保险金义务。</w:t>
      </w:r>
    </w:p>
    <w:p>
      <w:pPr>
        <w:pStyle w:val="BodyText"/>
        <w:spacing w:before="59"/>
        <w:ind w:left="941"/>
      </w:pPr>
      <w:r>
        <w:rPr/>
        <w:t>本公司未及时履行前款规定义务的，除支付保险金外，应当赔偿受益人因此受到的损失。</w:t>
      </w:r>
    </w:p>
    <w:p>
      <w:pPr>
        <w:pStyle w:val="BodyText"/>
        <w:spacing w:before="59"/>
        <w:ind w:left="941" w:right="199"/>
      </w:pPr>
      <w:r>
        <w:rPr>
          <w:spacing w:val="-10"/>
        </w:rPr>
        <w:t>对不属于保险责任的，本公司自作出核定之日起三日内向受益人发出拒绝给付保险金通知</w:t>
      </w:r>
      <w:r>
        <w:rPr>
          <w:spacing w:val="-5"/>
        </w:rPr>
        <w:t>书并说明理由。</w:t>
      </w:r>
    </w:p>
    <w:p>
      <w:pPr>
        <w:pStyle w:val="BodyText"/>
        <w:spacing w:line="237" w:lineRule="auto" w:before="61"/>
        <w:ind w:left="941" w:right="199"/>
        <w:jc w:val="both"/>
      </w:pPr>
      <w:r>
        <w:rPr>
          <w:spacing w:val="-6"/>
        </w:rPr>
        <w:t>本公司在收到保险金给付申请书及有关证明和资料之日起六十日内，对给付保险金的数额</w:t>
      </w:r>
      <w:r>
        <w:rPr>
          <w:spacing w:val="-10"/>
        </w:rPr>
        <w:t>不能确定的，根据已有证明和资料可以确定的数额先予支付；本公司最终确定给付保险金</w:t>
      </w:r>
      <w:r>
        <w:rPr>
          <w:spacing w:val="-5"/>
        </w:rPr>
        <w:t>的数额后，将支付相应的差额。</w:t>
      </w:r>
    </w:p>
    <w:p>
      <w:pPr>
        <w:pStyle w:val="BodyText"/>
        <w:spacing w:before="0"/>
        <w:rPr>
          <w:sz w:val="20"/>
        </w:rPr>
      </w:pPr>
    </w:p>
    <w:p>
      <w:pPr>
        <w:pStyle w:val="BodyText"/>
        <w:spacing w:before="171"/>
        <w:ind w:left="941" w:right="199" w:hanging="420"/>
        <w:jc w:val="both"/>
      </w:pPr>
      <w:r>
        <w:rPr>
          <w:spacing w:val="-7"/>
        </w:rPr>
        <w:t>四、受益人向本公司请求给付重大疾病保险金、特种重大疾病额外保险金的诉讼时效期间为两</w:t>
      </w:r>
      <w:r>
        <w:rPr>
          <w:spacing w:val="-5"/>
        </w:rPr>
        <w:t>年，自其知道或者应当知道保险事故发生之日起计算。</w:t>
      </w:r>
    </w:p>
    <w:p>
      <w:pPr>
        <w:pStyle w:val="BodyText"/>
        <w:spacing w:before="12"/>
        <w:rPr>
          <w:sz w:val="29"/>
        </w:rPr>
      </w:pPr>
    </w:p>
    <w:p>
      <w:pPr>
        <w:pStyle w:val="Heading1"/>
        <w:tabs>
          <w:tab w:pos="1361" w:val="left" w:leader="none"/>
        </w:tabs>
      </w:pPr>
      <w:r>
        <w:rPr/>
        <w:t>第十二条</w:t>
        <w:tab/>
        <w:t>司法鉴定</w:t>
      </w:r>
    </w:p>
    <w:p>
      <w:pPr>
        <w:pStyle w:val="BodyText"/>
        <w:spacing w:before="36"/>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2" w:val="left" w:leader="none"/>
        </w:tabs>
        <w:spacing w:before="137"/>
        <w:ind w:left="0" w:right="104"/>
        <w:jc w:val="center"/>
      </w:pPr>
      <w:r>
        <w:rPr/>
        <w:t>第五章</w:t>
        <w:tab/>
        <w:t>一般约定</w:t>
      </w:r>
    </w:p>
    <w:p>
      <w:pPr>
        <w:pStyle w:val="BodyText"/>
        <w:spacing w:before="8"/>
        <w:rPr>
          <w:b/>
          <w:sz w:val="26"/>
        </w:rPr>
      </w:pPr>
    </w:p>
    <w:p>
      <w:pPr>
        <w:tabs>
          <w:tab w:pos="1361" w:val="left" w:leader="none"/>
        </w:tabs>
        <w:spacing w:before="0"/>
        <w:ind w:left="102" w:right="0" w:firstLine="0"/>
        <w:jc w:val="left"/>
        <w:rPr>
          <w:b/>
          <w:sz w:val="21"/>
        </w:rPr>
      </w:pPr>
      <w:r>
        <w:rPr>
          <w:b/>
          <w:sz w:val="21"/>
        </w:rPr>
        <w:t>第十三条</w:t>
        <w:tab/>
        <w:t>年龄确定与错误处理</w:t>
      </w:r>
    </w:p>
    <w:p>
      <w:pPr>
        <w:pStyle w:val="BodyText"/>
        <w:spacing w:line="237" w:lineRule="auto" w:before="80"/>
        <w:ind w:left="941" w:right="199" w:hanging="420"/>
        <w:jc w:val="both"/>
      </w:pPr>
      <w:r>
        <w:rPr/>
        <w:t>一、被保险人的投保年龄以法定证件登记的周岁</w:t>
      </w:r>
      <w:r>
        <w:rPr>
          <w:position w:val="11"/>
          <w:sz w:val="11"/>
        </w:rPr>
        <w:t>12</w:t>
      </w:r>
      <w:r>
        <w:rPr/>
        <w:t>计算。本附加合同可接受的被保险人的投保年龄为出生满三十天以上、十二周岁以下。</w:t>
      </w:r>
    </w:p>
    <w:p>
      <w:pPr>
        <w:pStyle w:val="BodyText"/>
        <w:spacing w:before="0"/>
        <w:rPr>
          <w:sz w:val="20"/>
        </w:rPr>
      </w:pPr>
    </w:p>
    <w:p>
      <w:pPr>
        <w:pStyle w:val="BodyText"/>
        <w:spacing w:line="237" w:lineRule="auto" w:before="135"/>
        <w:ind w:left="941" w:right="127" w:hanging="420"/>
        <w:jc w:val="both"/>
      </w:pPr>
      <w:r>
        <w:rPr/>
        <w:t>二、投保人在申请投保时，应将与有效身份证件相符的被保险人的出生日期在投保单上填明， 如果发生错误按照下列方式办理：</w:t>
      </w:r>
    </w:p>
    <w:p>
      <w:pPr>
        <w:pStyle w:val="ListParagraph"/>
        <w:numPr>
          <w:ilvl w:val="0"/>
          <w:numId w:val="4"/>
        </w:numPr>
        <w:tabs>
          <w:tab w:pos="1362" w:val="left" w:leader="none"/>
        </w:tabs>
        <w:spacing w:line="240" w:lineRule="auto" w:before="82" w:after="0"/>
        <w:ind w:left="1362" w:right="0" w:hanging="360"/>
        <w:jc w:val="left"/>
        <w:rPr>
          <w:sz w:val="21"/>
        </w:rPr>
      </w:pPr>
      <w:r>
        <w:rPr>
          <w:spacing w:val="-8"/>
          <w:sz w:val="21"/>
        </w:rPr>
        <w:t>投保人申报的被保险人年龄不真实，并且其真实年龄不符合本附加合同约定投保年龄</w:t>
      </w:r>
    </w:p>
    <w:p>
      <w:pPr>
        <w:pStyle w:val="BodyText"/>
        <w:spacing w:before="6"/>
        <w:rPr>
          <w:sz w:val="28"/>
        </w:rPr>
      </w:pPr>
      <w:r>
        <w:rPr/>
        <w:pict>
          <v:line style="position:absolute;mso-position-horizontal-relative:page;mso-position-vertical-relative:paragraph;z-index:1072;mso-wrap-distance-left:0;mso-wrap-distance-right:0" from="85.103996pt,20.829393pt" to="533.133996pt,20.829393pt" stroked="true" strokeweight=".48004pt" strokecolor="#000000">
            <v:stroke dashstyle="solid"/>
            <w10:wrap type="topAndBottom"/>
          </v:line>
        </w:pict>
      </w:r>
    </w:p>
    <w:p>
      <w:pPr>
        <w:pStyle w:val="ListParagraph"/>
        <w:numPr>
          <w:ilvl w:val="0"/>
          <w:numId w:val="2"/>
        </w:numPr>
        <w:tabs>
          <w:tab w:pos="376" w:val="left" w:leader="none"/>
        </w:tabs>
        <w:spacing w:line="237" w:lineRule="auto" w:before="39" w:after="0"/>
        <w:ind w:left="102" w:right="114" w:firstLine="0"/>
        <w:jc w:val="left"/>
        <w:rPr>
          <w:sz w:val="18"/>
        </w:rPr>
      </w:pPr>
      <w:r>
        <w:rPr>
          <w:spacing w:val="-8"/>
          <w:sz w:val="18"/>
        </w:rPr>
        <w:t>医院：是指拥有卫生行政部门核发的《医疗机构执业许可证》</w:t>
      </w:r>
      <w:r>
        <w:rPr>
          <w:sz w:val="18"/>
        </w:rPr>
        <w:t>（</w:t>
      </w:r>
      <w:r>
        <w:rPr>
          <w:spacing w:val="-3"/>
          <w:sz w:val="18"/>
        </w:rPr>
        <w:t>国家不核拨经费、实行企业化经营的医院，还需依法申领营业执照</w:t>
      </w:r>
      <w:r>
        <w:rPr>
          <w:spacing w:val="-92"/>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8"/>
          <w:sz w:val="18"/>
        </w:rPr>
        <w:t>病医院、疗养院、美容医院、护理院、戒酒或戒毒中心、精神心理治疗中心、急诊或门诊观察室、二级或三级医院</w:t>
      </w:r>
      <w:r>
        <w:rPr>
          <w:spacing w:val="-12"/>
          <w:sz w:val="18"/>
        </w:rPr>
        <w:t>的联合医院或联合病房</w:t>
      </w:r>
      <w:r>
        <w:rPr>
          <w:sz w:val="18"/>
        </w:rPr>
        <w:t>（联合医院或联合病房本身是符合卫生部颁发的医疗机构基本标准的二级或二级以上医院的不受此限</w:t>
      </w:r>
      <w:r>
        <w:rPr>
          <w:spacing w:val="-92"/>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2" w:right="202"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7"/>
          <w:sz w:val="18"/>
        </w:rPr>
        <w:t>3）</w:t>
      </w:r>
      <w:r>
        <w:rPr>
          <w:spacing w:val="-1"/>
          <w:sz w:val="18"/>
        </w:rPr>
        <w:t>具有有效的中华人民共和国主治医师或主治医师</w:t>
      </w:r>
      <w:r>
        <w:rPr>
          <w:spacing w:val="-8"/>
          <w:sz w:val="18"/>
        </w:rPr>
        <w:t>以上职称的《医师职称证书》；</w:t>
      </w:r>
      <w:r>
        <w:rPr>
          <w:sz w:val="18"/>
        </w:rPr>
        <w:t>4）在二级或二级以上医院的相应科室从事临床工作三年以上。</w:t>
      </w:r>
    </w:p>
    <w:p>
      <w:pPr>
        <w:pStyle w:val="ListParagraph"/>
        <w:numPr>
          <w:ilvl w:val="0"/>
          <w:numId w:val="2"/>
        </w:numPr>
        <w:tabs>
          <w:tab w:pos="376" w:val="left" w:leader="none"/>
        </w:tabs>
        <w:spacing w:line="233" w:lineRule="exact" w:before="1" w:after="0"/>
        <w:ind w:left="375" w:right="0" w:hanging="273"/>
        <w:jc w:val="left"/>
        <w:rPr>
          <w:sz w:val="18"/>
        </w:rPr>
      </w:pPr>
      <w:r>
        <w:rPr>
          <w:sz w:val="18"/>
        </w:rPr>
        <w:t>周岁：指以法定身份证件中记载的出生日期为基础计算的年龄。</w:t>
      </w:r>
    </w:p>
    <w:p>
      <w:pPr>
        <w:spacing w:after="0" w:line="233" w:lineRule="exact"/>
        <w:jc w:val="left"/>
        <w:rPr>
          <w:sz w:val="18"/>
        </w:rPr>
        <w:sectPr>
          <w:pgSz w:w="11910" w:h="16840"/>
          <w:pgMar w:header="0" w:footer="770" w:top="1200" w:bottom="960" w:left="1600" w:right="1040"/>
        </w:sectPr>
      </w:pPr>
    </w:p>
    <w:p>
      <w:pPr>
        <w:pStyle w:val="BodyText"/>
        <w:spacing w:line="273" w:lineRule="auto" w:before="17"/>
        <w:ind w:left="1362" w:right="99"/>
      </w:pPr>
      <w:r>
        <w:rPr>
          <w:spacing w:val="-9"/>
        </w:rPr>
        <w:t>限制的，本公司有权解除合同，并向投保人退还本附加合同的现金价值。本公司行使</w:t>
      </w:r>
      <w:r>
        <w:rPr>
          <w:spacing w:val="-3"/>
        </w:rPr>
        <w:t>合同解除权适用主保险合同中“本公司合同解除权的限制”的规定。</w:t>
      </w:r>
    </w:p>
    <w:p>
      <w:pPr>
        <w:pStyle w:val="ListParagraph"/>
        <w:numPr>
          <w:ilvl w:val="0"/>
          <w:numId w:val="4"/>
        </w:numPr>
        <w:tabs>
          <w:tab w:pos="1362" w:val="left" w:leader="none"/>
        </w:tabs>
        <w:spacing w:line="273" w:lineRule="auto" w:before="8" w:after="0"/>
        <w:ind w:left="1362" w:right="99" w:hanging="360"/>
        <w:jc w:val="both"/>
        <w:rPr>
          <w:sz w:val="21"/>
        </w:rPr>
      </w:pPr>
      <w:r>
        <w:rPr>
          <w:spacing w:val="-7"/>
          <w:sz w:val="21"/>
        </w:rPr>
        <w:t>投保人申报的被保险人年龄不真实，致使投保人实付保险费少于应付保险费的，本公</w:t>
      </w:r>
      <w:r>
        <w:rPr>
          <w:spacing w:val="-9"/>
          <w:sz w:val="21"/>
        </w:rPr>
        <w:t>司有权更正并要求投保人补交保险费。若已经发生保险事故，在给付保险金时按实付</w:t>
      </w:r>
      <w:r>
        <w:rPr>
          <w:spacing w:val="-3"/>
          <w:sz w:val="21"/>
        </w:rPr>
        <w:t>保险费和应付保险费的比例给付。</w:t>
      </w:r>
    </w:p>
    <w:p>
      <w:pPr>
        <w:pStyle w:val="ListParagraph"/>
        <w:numPr>
          <w:ilvl w:val="0"/>
          <w:numId w:val="4"/>
        </w:numPr>
        <w:tabs>
          <w:tab w:pos="1362" w:val="left" w:leader="none"/>
        </w:tabs>
        <w:spacing w:line="273" w:lineRule="auto" w:before="7" w:after="0"/>
        <w:ind w:left="1362" w:right="99" w:hanging="360"/>
        <w:jc w:val="left"/>
        <w:rPr>
          <w:sz w:val="21"/>
        </w:rPr>
      </w:pPr>
      <w:r>
        <w:rPr>
          <w:spacing w:val="-7"/>
          <w:sz w:val="21"/>
        </w:rPr>
        <w:t>投保人申报的被保险人年龄不真实，致使投保人实付保险费多于应付保险费的，本公</w:t>
      </w:r>
      <w:r>
        <w:rPr>
          <w:spacing w:val="-5"/>
          <w:sz w:val="21"/>
        </w:rPr>
        <w:t>司会将多收的保险费无息退还给投保人。</w:t>
      </w:r>
    </w:p>
    <w:p>
      <w:pPr>
        <w:tabs>
          <w:tab w:pos="1361" w:val="left" w:leader="none"/>
        </w:tabs>
        <w:spacing w:line="624" w:lineRule="exact" w:before="65"/>
        <w:ind w:left="102" w:right="86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第十四条</w:t>
        <w:tab/>
        <w:t>投保人解除合同的</w:t>
      </w:r>
      <w:r>
        <w:rPr>
          <w:b/>
          <w:spacing w:val="-3"/>
          <w:sz w:val="21"/>
        </w:rPr>
        <w:t>手</w:t>
      </w:r>
      <w:r>
        <w:rPr>
          <w:b/>
          <w:sz w:val="21"/>
        </w:rPr>
        <w:t>续</w:t>
      </w:r>
    </w:p>
    <w:p>
      <w:pPr>
        <w:pStyle w:val="BodyText"/>
        <w:spacing w:line="217" w:lineRule="exact" w:before="0"/>
        <w:ind w:left="521"/>
      </w:pPr>
      <w:r>
        <w:rPr/>
        <w:t>本附加合同生效后，投保人可以以书面形式通知本公司解除本附加合同。要求解除本附加合同</w:t>
      </w:r>
    </w:p>
    <w:p>
      <w:pPr>
        <w:pStyle w:val="BodyText"/>
        <w:spacing w:line="273" w:lineRule="auto"/>
        <w:ind w:left="821" w:right="5277" w:hanging="300"/>
      </w:pPr>
      <w:r>
        <w:rPr/>
        <w:t>时，投保人应提供下列文件和资料： 一、解除合同申请书；</w:t>
      </w:r>
    </w:p>
    <w:p>
      <w:pPr>
        <w:pStyle w:val="BodyText"/>
        <w:spacing w:line="273" w:lineRule="auto" w:before="8"/>
        <w:ind w:left="821" w:right="4977"/>
      </w:pPr>
      <w:r>
        <w:rPr/>
        <w:t>二、保险合同原件或其它保险凭证； 三、投保人的身份证件；</w:t>
      </w:r>
    </w:p>
    <w:p>
      <w:pPr>
        <w:pStyle w:val="BodyText"/>
        <w:spacing w:before="7"/>
        <w:ind w:left="821"/>
      </w:pPr>
      <w:r>
        <w:rPr/>
        <w:t>四、最近一期保险费的缴纳凭证；</w:t>
      </w:r>
    </w:p>
    <w:p>
      <w:pPr>
        <w:pStyle w:val="BodyText"/>
        <w:spacing w:before="36"/>
        <w:ind w:left="821"/>
      </w:pPr>
      <w:r>
        <w:rPr/>
        <w:t>五、若经办人为代理人，则应另提供授权委托书、代理人身份证件等证明文件。</w:t>
      </w:r>
    </w:p>
    <w:p>
      <w:pPr>
        <w:pStyle w:val="BodyText"/>
        <w:spacing w:line="273" w:lineRule="auto" w:before="36"/>
        <w:ind w:left="521" w:right="98"/>
      </w:pPr>
      <w:r>
        <w:rPr>
          <w:spacing w:val="-7"/>
        </w:rPr>
        <w:t>自本公司收到解除合同申请书的当日二十四时起，本附加合同终止。本公司自收到上述证明文</w:t>
      </w:r>
      <w:r>
        <w:rPr>
          <w:spacing w:val="-3"/>
        </w:rPr>
        <w:t>件和资料之日起三十日内向投保人退还本附加合同的现金价值。</w:t>
      </w:r>
    </w:p>
    <w:p>
      <w:pPr>
        <w:pStyle w:val="BodyText"/>
        <w:spacing w:before="4"/>
        <w:rPr>
          <w:sz w:val="24"/>
        </w:rPr>
      </w:pPr>
    </w:p>
    <w:p>
      <w:pPr>
        <w:pStyle w:val="Heading1"/>
        <w:tabs>
          <w:tab w:pos="1361" w:val="left" w:leader="none"/>
        </w:tabs>
        <w:spacing w:before="1"/>
      </w:pPr>
      <w:r>
        <w:rPr/>
        <w:t>第十五条</w:t>
        <w:tab/>
        <w:t>附加保险合同的效力</w:t>
      </w:r>
    </w:p>
    <w:p>
      <w:pPr>
        <w:pStyle w:val="BodyText"/>
        <w:ind w:left="459"/>
      </w:pPr>
      <w:r>
        <w:rPr>
          <w:b/>
        </w:rPr>
        <w:t>一</w:t>
      </w:r>
      <w:r>
        <w:rPr/>
        <w:t>、出现下列情况时，本附加合同效力中止：</w:t>
      </w:r>
    </w:p>
    <w:p>
      <w:pPr>
        <w:pStyle w:val="ListParagraph"/>
        <w:numPr>
          <w:ilvl w:val="0"/>
          <w:numId w:val="5"/>
        </w:numPr>
        <w:tabs>
          <w:tab w:pos="1259" w:val="left" w:leader="none"/>
        </w:tabs>
        <w:spacing w:line="240" w:lineRule="auto" w:before="37" w:after="0"/>
        <w:ind w:left="1258" w:right="0" w:hanging="314"/>
        <w:jc w:val="both"/>
        <w:rPr>
          <w:sz w:val="21"/>
        </w:rPr>
      </w:pPr>
      <w:r>
        <w:rPr>
          <w:spacing w:val="-3"/>
          <w:sz w:val="21"/>
        </w:rPr>
        <w:t>主保险合同效力中止；</w:t>
      </w:r>
    </w:p>
    <w:p>
      <w:pPr>
        <w:pStyle w:val="ListParagraph"/>
        <w:numPr>
          <w:ilvl w:val="0"/>
          <w:numId w:val="5"/>
        </w:numPr>
        <w:tabs>
          <w:tab w:pos="1259" w:val="left" w:leader="none"/>
        </w:tabs>
        <w:spacing w:line="240" w:lineRule="auto" w:before="37" w:after="0"/>
        <w:ind w:left="1258" w:right="0" w:hanging="314"/>
        <w:jc w:val="both"/>
        <w:rPr>
          <w:sz w:val="21"/>
        </w:rPr>
      </w:pPr>
      <w:r>
        <w:rPr>
          <w:spacing w:val="-3"/>
          <w:sz w:val="21"/>
        </w:rPr>
        <w:t>本附加合同约定的本附加合同效力中止情形。</w:t>
      </w:r>
    </w:p>
    <w:p>
      <w:pPr>
        <w:pStyle w:val="BodyText"/>
        <w:spacing w:before="9"/>
        <w:rPr>
          <w:sz w:val="26"/>
        </w:rPr>
      </w:pPr>
    </w:p>
    <w:p>
      <w:pPr>
        <w:pStyle w:val="BodyText"/>
        <w:spacing w:before="0"/>
        <w:ind w:left="524"/>
      </w:pPr>
      <w:r>
        <w:rPr/>
        <w:t>二、出现下列情况时，本附加合同终止：</w:t>
      </w:r>
    </w:p>
    <w:p>
      <w:pPr>
        <w:pStyle w:val="BodyText"/>
        <w:ind w:left="956"/>
        <w:jc w:val="both"/>
      </w:pPr>
      <w:r>
        <w:rPr/>
        <w:t>1.主保险合同撤销、解除、期满、终止；</w:t>
      </w:r>
    </w:p>
    <w:p>
      <w:pPr>
        <w:pStyle w:val="BodyText"/>
        <w:ind w:left="941"/>
        <w:jc w:val="both"/>
      </w:pPr>
      <w:r>
        <w:rPr/>
        <w:t>2.本附加合同约定的本附加合同终止情形。</w:t>
      </w:r>
    </w:p>
    <w:p>
      <w:pPr>
        <w:pStyle w:val="BodyText"/>
        <w:spacing w:before="8"/>
        <w:rPr>
          <w:sz w:val="26"/>
        </w:rPr>
      </w:pPr>
    </w:p>
    <w:p>
      <w:pPr>
        <w:pStyle w:val="Heading1"/>
        <w:tabs>
          <w:tab w:pos="1361" w:val="left" w:leader="none"/>
        </w:tabs>
        <w:spacing w:before="1"/>
      </w:pPr>
      <w:r>
        <w:rPr/>
        <w:t>第十六条</w:t>
        <w:tab/>
        <w:t>重大疾病的定义</w:t>
      </w:r>
    </w:p>
    <w:p>
      <w:pPr>
        <w:pStyle w:val="BodyText"/>
        <w:spacing w:line="273" w:lineRule="auto"/>
        <w:ind w:left="521" w:right="102"/>
      </w:pPr>
      <w:r>
        <w:rPr/>
        <w:t>以下第一至十三项重大疾病定义是中国保险行业协会制定的重大疾病保险的疾病定义，第十四至二十三项为非中国保险行业协会制定的重大疾病定义。</w:t>
      </w:r>
    </w:p>
    <w:p>
      <w:pPr>
        <w:pStyle w:val="BodyText"/>
        <w:spacing w:before="5"/>
        <w:rPr>
          <w:sz w:val="24"/>
        </w:rPr>
      </w:pPr>
    </w:p>
    <w:p>
      <w:pPr>
        <w:pStyle w:val="BodyText"/>
        <w:spacing w:before="0"/>
        <w:ind w:left="521"/>
      </w:pPr>
      <w:r>
        <w:rPr/>
        <w:t>一、恶性肿瘤</w:t>
      </w:r>
    </w:p>
    <w:p>
      <w:pPr>
        <w:pStyle w:val="BodyText"/>
        <w:spacing w:line="273" w:lineRule="auto"/>
        <w:ind w:left="941" w:right="99"/>
        <w:jc w:val="both"/>
      </w:pPr>
      <w:r>
        <w:rPr>
          <w:spacing w:val="-7"/>
        </w:rPr>
        <w:t>指恶性细胞不受控制的进行性增长和扩散，浸润和破坏周围正常组织，可以经血管、淋巴</w:t>
      </w:r>
      <w:r>
        <w:rPr>
          <w:spacing w:val="-8"/>
        </w:rPr>
        <w:t>管和体腔扩散转移到身体其它部位的疾病。经病理学检查结果明确诊断，临床诊断属于世界卫生组织《疾病和有关健康问题的国际统计分类》</w:t>
      </w:r>
      <w:r>
        <w:rPr/>
        <w:t>（ICD-10）</w:t>
      </w:r>
      <w:r>
        <w:rPr>
          <w:spacing w:val="-3"/>
        </w:rPr>
        <w:t>的恶性肿瘤范畴。</w:t>
      </w:r>
    </w:p>
    <w:p>
      <w:pPr>
        <w:pStyle w:val="BodyText"/>
        <w:spacing w:before="8"/>
        <w:ind w:left="941"/>
        <w:jc w:val="both"/>
      </w:pPr>
      <w:r>
        <w:rPr/>
        <w:t>下列疾病不在保障范围内：</w:t>
      </w:r>
    </w:p>
    <w:p>
      <w:pPr>
        <w:pStyle w:val="ListParagraph"/>
        <w:numPr>
          <w:ilvl w:val="1"/>
          <w:numId w:val="5"/>
        </w:numPr>
        <w:tabs>
          <w:tab w:pos="1365" w:val="left" w:leader="none"/>
        </w:tabs>
        <w:spacing w:line="240" w:lineRule="auto" w:before="36" w:after="0"/>
        <w:ind w:left="1364" w:right="0" w:hanging="314"/>
        <w:jc w:val="left"/>
        <w:rPr>
          <w:sz w:val="21"/>
        </w:rPr>
      </w:pPr>
      <w:r>
        <w:rPr>
          <w:spacing w:val="-3"/>
          <w:sz w:val="21"/>
        </w:rPr>
        <w:t>原位癌；</w:t>
      </w:r>
    </w:p>
    <w:p>
      <w:pPr>
        <w:pStyle w:val="ListParagraph"/>
        <w:numPr>
          <w:ilvl w:val="1"/>
          <w:numId w:val="5"/>
        </w:numPr>
        <w:tabs>
          <w:tab w:pos="1365" w:val="left" w:leader="none"/>
        </w:tabs>
        <w:spacing w:line="240" w:lineRule="auto" w:before="36" w:after="0"/>
        <w:ind w:left="1364" w:right="0" w:hanging="314"/>
        <w:jc w:val="left"/>
        <w:rPr>
          <w:sz w:val="21"/>
        </w:rPr>
      </w:pPr>
      <w:r>
        <w:rPr>
          <w:spacing w:val="-3"/>
          <w:sz w:val="21"/>
        </w:rPr>
        <w:t>相当于</w:t>
      </w:r>
      <w:r>
        <w:rPr>
          <w:sz w:val="21"/>
        </w:rPr>
        <w:t>Binet 分期方案A</w:t>
      </w:r>
      <w:r>
        <w:rPr>
          <w:spacing w:val="-3"/>
          <w:sz w:val="21"/>
        </w:rPr>
        <w:t> 期程度的慢性淋巴细胞白血病；</w:t>
      </w:r>
    </w:p>
    <w:p>
      <w:pPr>
        <w:pStyle w:val="ListParagraph"/>
        <w:numPr>
          <w:ilvl w:val="1"/>
          <w:numId w:val="5"/>
        </w:numPr>
        <w:tabs>
          <w:tab w:pos="1365" w:val="left" w:leader="none"/>
        </w:tabs>
        <w:spacing w:line="240" w:lineRule="auto" w:before="36" w:after="0"/>
        <w:ind w:left="1364" w:right="0" w:hanging="314"/>
        <w:jc w:val="left"/>
        <w:rPr>
          <w:sz w:val="21"/>
        </w:rPr>
      </w:pPr>
      <w:r>
        <w:rPr>
          <w:spacing w:val="-3"/>
          <w:sz w:val="21"/>
        </w:rPr>
        <w:t>相当于</w:t>
      </w:r>
      <w:r>
        <w:rPr>
          <w:sz w:val="21"/>
        </w:rPr>
        <w:t>Ann</w:t>
      </w:r>
      <w:r>
        <w:rPr>
          <w:spacing w:val="5"/>
          <w:sz w:val="21"/>
        </w:rPr>
        <w:t> </w:t>
      </w:r>
      <w:r>
        <w:rPr>
          <w:sz w:val="21"/>
        </w:rPr>
        <w:t>Arbor 分期方案I</w:t>
      </w:r>
      <w:r>
        <w:rPr>
          <w:spacing w:val="-3"/>
          <w:sz w:val="21"/>
        </w:rPr>
        <w:t> 期程度的何杰金氏病；</w:t>
      </w:r>
    </w:p>
    <w:p>
      <w:pPr>
        <w:pStyle w:val="ListParagraph"/>
        <w:numPr>
          <w:ilvl w:val="1"/>
          <w:numId w:val="5"/>
        </w:numPr>
        <w:tabs>
          <w:tab w:pos="1365" w:val="left" w:leader="none"/>
        </w:tabs>
        <w:spacing w:line="240" w:lineRule="auto" w:before="36" w:after="0"/>
        <w:ind w:left="1364" w:right="0" w:hanging="314"/>
        <w:jc w:val="left"/>
        <w:rPr>
          <w:sz w:val="21"/>
        </w:rPr>
      </w:pP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ListParagraph"/>
        <w:numPr>
          <w:ilvl w:val="1"/>
          <w:numId w:val="5"/>
        </w:numPr>
        <w:tabs>
          <w:tab w:pos="1365" w:val="left" w:leader="none"/>
        </w:tabs>
        <w:spacing w:line="240" w:lineRule="auto" w:before="36" w:after="0"/>
        <w:ind w:left="1364" w:right="0" w:hanging="314"/>
        <w:jc w:val="left"/>
        <w:rPr>
          <w:sz w:val="21"/>
        </w:rPr>
      </w:pPr>
      <w:r>
        <w:rPr>
          <w:spacing w:val="-1"/>
          <w:position w:val="1"/>
          <w:sz w:val="21"/>
        </w:rPr>
        <w:t>TNM</w:t>
      </w:r>
      <w:r>
        <w:rPr>
          <w:spacing w:val="-2"/>
          <w:position w:val="1"/>
          <w:sz w:val="21"/>
        </w:rPr>
        <w:t>分期为</w:t>
      </w:r>
      <w:r>
        <w:rPr>
          <w:spacing w:val="-1"/>
          <w:position w:val="1"/>
          <w:sz w:val="21"/>
        </w:rPr>
        <w:t>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spacing w:val="-3"/>
          <w:position w:val="1"/>
          <w:sz w:val="21"/>
        </w:rPr>
        <w:t>期或更轻分期的前列腺癌；</w:t>
      </w:r>
    </w:p>
    <w:p>
      <w:pPr>
        <w:pStyle w:val="ListParagraph"/>
        <w:numPr>
          <w:ilvl w:val="1"/>
          <w:numId w:val="5"/>
        </w:numPr>
        <w:tabs>
          <w:tab w:pos="1365" w:val="left" w:leader="none"/>
        </w:tabs>
        <w:spacing w:line="240" w:lineRule="auto" w:before="37" w:after="0"/>
        <w:ind w:left="1364" w:right="0" w:hanging="314"/>
        <w:jc w:val="left"/>
        <w:rPr>
          <w:sz w:val="21"/>
        </w:rPr>
      </w:pPr>
      <w:r>
        <w:rPr>
          <w:spacing w:val="-3"/>
          <w:sz w:val="21"/>
        </w:rPr>
        <w:t>感染艾滋病病毒或患艾滋病期间所患恶性肿瘤。</w:t>
      </w:r>
    </w:p>
    <w:p>
      <w:pPr>
        <w:spacing w:after="0" w:line="240" w:lineRule="auto"/>
        <w:jc w:val="left"/>
        <w:rPr>
          <w:sz w:val="21"/>
        </w:rPr>
        <w:sectPr>
          <w:pgSz w:w="11910" w:h="16840"/>
          <w:pgMar w:header="0" w:footer="770" w:top="1200" w:bottom="960" w:left="1600" w:right="1140"/>
        </w:sectPr>
      </w:pPr>
    </w:p>
    <w:p>
      <w:pPr>
        <w:pStyle w:val="BodyText"/>
        <w:spacing w:before="17"/>
        <w:ind w:left="521"/>
      </w:pPr>
      <w:r>
        <w:rPr/>
        <w:t>二、重大器官移植术或造血干细胞移植术</w:t>
      </w:r>
    </w:p>
    <w:p>
      <w:pPr>
        <w:pStyle w:val="BodyText"/>
        <w:spacing w:line="273" w:lineRule="auto"/>
        <w:ind w:left="941" w:right="179"/>
        <w:jc w:val="both"/>
      </w:pPr>
      <w:r>
        <w:rPr>
          <w:spacing w:val="-8"/>
        </w:rPr>
        <w:t>重大器官移植术，指因相应器官功能衰竭，已经实施了肾脏、肝脏、心脏或肺脏的异体移</w:t>
      </w:r>
      <w:r>
        <w:rPr>
          <w:spacing w:val="-6"/>
        </w:rPr>
        <w:t>植手术。</w:t>
      </w:r>
    </w:p>
    <w:p>
      <w:pPr>
        <w:pStyle w:val="BodyText"/>
        <w:spacing w:line="273" w:lineRule="auto" w:before="7"/>
        <w:ind w:left="941" w:right="179"/>
        <w:jc w:val="both"/>
      </w:pPr>
      <w:r>
        <w:rPr>
          <w:spacing w:val="-8"/>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5"/>
        <w:rPr>
          <w:sz w:val="24"/>
        </w:rPr>
      </w:pPr>
    </w:p>
    <w:p>
      <w:pPr>
        <w:pStyle w:val="BodyText"/>
        <w:spacing w:before="0"/>
        <w:ind w:left="521"/>
      </w:pPr>
      <w:r>
        <w:rPr/>
        <w:t>三、终末期肾病（或称慢性肾功能衰竭尿毒症期）</w:t>
      </w:r>
    </w:p>
    <w:p>
      <w:pPr>
        <w:pStyle w:val="BodyText"/>
        <w:spacing w:line="273" w:lineRule="auto"/>
        <w:ind w:left="941" w:right="178"/>
        <w:jc w:val="both"/>
      </w:pPr>
      <w:r>
        <w:rPr>
          <w:spacing w:val="-8"/>
        </w:rPr>
        <w:t>指双肾功能慢性不可逆性衰竭，达到尿毒症期，经诊断后已经进行了至少</w:t>
      </w:r>
      <w:r>
        <w:rPr/>
        <w:t>90</w:t>
      </w:r>
      <w:r>
        <w:rPr>
          <w:spacing w:val="-3"/>
        </w:rPr>
        <w:t>天的规律性透析治疗或实施了肾脏移植手术。</w:t>
      </w:r>
    </w:p>
    <w:p>
      <w:pPr>
        <w:pStyle w:val="BodyText"/>
        <w:spacing w:before="5"/>
        <w:rPr>
          <w:sz w:val="24"/>
        </w:rPr>
      </w:pPr>
    </w:p>
    <w:p>
      <w:pPr>
        <w:pStyle w:val="BodyText"/>
        <w:spacing w:before="0"/>
        <w:ind w:left="521"/>
      </w:pPr>
      <w:r>
        <w:rPr/>
        <w:t>四、多个肢体缺失</w:t>
      </w:r>
    </w:p>
    <w:p>
      <w:pPr>
        <w:pStyle w:val="BodyText"/>
        <w:spacing w:line="273" w:lineRule="auto" w:before="36"/>
        <w:ind w:left="941" w:right="179"/>
        <w:jc w:val="both"/>
      </w:pPr>
      <w:r>
        <w:rPr>
          <w:spacing w:val="-5"/>
        </w:rPr>
        <w:t>指因疾病或意外伤害导致两个或两个以上肢体自腕关节或踝关节近端</w:t>
      </w:r>
      <w:r>
        <w:rPr>
          <w:spacing w:val="-3"/>
        </w:rPr>
        <w:t>（靠近躯干端</w:t>
      </w:r>
      <w:r>
        <w:rPr>
          <w:spacing w:val="-39"/>
        </w:rPr>
        <w:t>）</w:t>
      </w:r>
      <w:r>
        <w:rPr>
          <w:spacing w:val="-2"/>
        </w:rPr>
        <w:t>以上</w:t>
      </w:r>
      <w:r>
        <w:rPr>
          <w:spacing w:val="-3"/>
        </w:rPr>
        <w:t>完全性断离。</w:t>
      </w:r>
    </w:p>
    <w:p>
      <w:pPr>
        <w:pStyle w:val="BodyText"/>
        <w:spacing w:before="5"/>
        <w:rPr>
          <w:sz w:val="24"/>
        </w:rPr>
      </w:pPr>
    </w:p>
    <w:p>
      <w:pPr>
        <w:pStyle w:val="BodyText"/>
        <w:spacing w:before="0"/>
        <w:ind w:left="521"/>
      </w:pPr>
      <w:r>
        <w:rPr/>
        <w:t>五、良性脑肿瘤</w:t>
      </w:r>
    </w:p>
    <w:p>
      <w:pPr>
        <w:pStyle w:val="BodyText"/>
        <w:spacing w:line="273" w:lineRule="auto" w:before="36"/>
        <w:ind w:left="941" w:right="179"/>
        <w:jc w:val="both"/>
      </w:pPr>
      <w:r>
        <w:rPr>
          <w:spacing w:val="-8"/>
        </w:rPr>
        <w:t>指脑的良性肿瘤，已经引起颅内压增高，临床表现为视神经乳头水肿、精神症状、癫痫及</w:t>
      </w:r>
      <w:r>
        <w:rPr>
          <w:spacing w:val="-8"/>
          <w:w w:val="100"/>
        </w:rPr>
        <w:t>运动感觉障碍等，并危及生命。须由头颅断层扫描</w:t>
      </w:r>
      <w:r>
        <w:rPr>
          <w:w w:val="100"/>
        </w:rPr>
        <w:t>（CT</w:t>
      </w:r>
      <w:r>
        <w:rPr>
          <w:spacing w:val="-108"/>
          <w:w w:val="100"/>
        </w:rPr>
        <w:t>）</w:t>
      </w:r>
      <w:r>
        <w:rPr>
          <w:spacing w:val="-7"/>
          <w:w w:val="100"/>
        </w:rPr>
        <w:t>、核磁共振检查</w:t>
      </w:r>
      <w:r>
        <w:rPr>
          <w:w w:val="100"/>
        </w:rPr>
        <w:t>（</w:t>
      </w:r>
      <w:r>
        <w:rPr>
          <w:spacing w:val="-3"/>
          <w:w w:val="100"/>
        </w:rPr>
        <w:t>MR</w:t>
      </w:r>
      <w:r>
        <w:rPr>
          <w:w w:val="100"/>
        </w:rPr>
        <w:t>I</w:t>
      </w:r>
      <w:r>
        <w:rPr>
          <w:spacing w:val="-13"/>
          <w:w w:val="100"/>
        </w:rPr>
        <w:t>）</w:t>
      </w:r>
      <w:r>
        <w:rPr>
          <w:spacing w:val="-3"/>
          <w:w w:val="100"/>
        </w:rPr>
        <w:t>或正电子</w:t>
      </w:r>
      <w:r>
        <w:rPr>
          <w:spacing w:val="-3"/>
        </w:rPr>
        <w:t>发射断层扫描</w:t>
      </w:r>
      <w:r>
        <w:rPr>
          <w:spacing w:val="-1"/>
        </w:rPr>
        <w:t>（PET）</w:t>
      </w:r>
      <w:r>
        <w:rPr>
          <w:spacing w:val="-3"/>
        </w:rPr>
        <w:t>等影像学检查证实，并须满足下列至少一项条件：</w:t>
      </w:r>
    </w:p>
    <w:p>
      <w:pPr>
        <w:pStyle w:val="BodyText"/>
        <w:spacing w:before="7"/>
        <w:ind w:left="1047"/>
      </w:pPr>
      <w:r>
        <w:rPr/>
        <w:t>1．实际实施了开颅进行的脑肿瘤完全切除或部分切除的手术；</w:t>
      </w:r>
    </w:p>
    <w:p>
      <w:pPr>
        <w:pStyle w:val="BodyText"/>
        <w:ind w:left="1047"/>
      </w:pPr>
      <w:r>
        <w:rPr/>
        <w:t>2. 实际实施了对脑肿瘤进行的放射治疗。</w:t>
      </w:r>
    </w:p>
    <w:p>
      <w:pPr>
        <w:pStyle w:val="BodyText"/>
        <w:ind w:left="941"/>
        <w:jc w:val="both"/>
      </w:pPr>
      <w:r>
        <w:rPr/>
        <w:t>脑垂体瘤、脑囊肿、脑血管性疾病不在保障范围内。</w:t>
      </w:r>
    </w:p>
    <w:p>
      <w:pPr>
        <w:pStyle w:val="BodyText"/>
        <w:spacing w:before="8"/>
        <w:rPr>
          <w:sz w:val="26"/>
        </w:rPr>
      </w:pPr>
    </w:p>
    <w:p>
      <w:pPr>
        <w:pStyle w:val="BodyText"/>
        <w:spacing w:before="0"/>
        <w:ind w:left="521"/>
      </w:pPr>
      <w:r>
        <w:rPr/>
        <w:t>六、脑炎后遗症或脑膜炎后遗症</w:t>
      </w:r>
    </w:p>
    <w:p>
      <w:pPr>
        <w:pStyle w:val="BodyText"/>
        <w:spacing w:line="273" w:lineRule="auto" w:before="36"/>
        <w:ind w:left="941" w:right="179"/>
        <w:jc w:val="both"/>
      </w:pPr>
      <w:r>
        <w:rPr>
          <w:spacing w:val="-6"/>
        </w:rPr>
        <w:t>指因患脑炎或脑膜炎导致的神经系统永久性的功能障碍。神经系统永久性的功能障碍，指</w:t>
      </w:r>
      <w:r>
        <w:rPr>
          <w:spacing w:val="-2"/>
        </w:rPr>
        <w:t>疾病确诊</w:t>
      </w:r>
      <w:r>
        <w:rPr>
          <w:spacing w:val="-1"/>
        </w:rPr>
        <w:t>180</w:t>
      </w:r>
      <w:r>
        <w:rPr>
          <w:spacing w:val="-3"/>
        </w:rPr>
        <w:t>天后，仍遗留下列一种或一种以上障碍：</w:t>
      </w:r>
    </w:p>
    <w:p>
      <w:pPr>
        <w:pStyle w:val="BodyText"/>
        <w:spacing w:before="7"/>
        <w:ind w:left="1047"/>
      </w:pPr>
      <w:r>
        <w:rPr/>
        <w:t>1.一肢或一肢以上肢体机能完全丧失；</w:t>
      </w:r>
    </w:p>
    <w:p>
      <w:pPr>
        <w:pStyle w:val="BodyText"/>
        <w:ind w:left="1047"/>
      </w:pPr>
      <w:r>
        <w:rPr/>
        <w:t>2.语言能力或咀嚼吞咽能力完全丧失</w:t>
      </w:r>
      <w:r>
        <w:rPr>
          <w:position w:val="11"/>
          <w:sz w:val="11"/>
        </w:rPr>
        <w:t>13</w:t>
      </w:r>
      <w:r>
        <w:rPr/>
        <w:t>；</w:t>
      </w:r>
    </w:p>
    <w:p>
      <w:pPr>
        <w:pStyle w:val="BodyText"/>
        <w:ind w:left="1047"/>
      </w:pPr>
      <w:r>
        <w:rPr/>
        <w:t>3.自主生活能力完全丧失，无法独立完成六项基本日常生活活动</w:t>
      </w:r>
      <w:r>
        <w:rPr>
          <w:position w:val="11"/>
          <w:sz w:val="11"/>
        </w:rPr>
        <w:t>14</w:t>
      </w:r>
      <w:r>
        <w:rPr/>
        <w:t>中的三项或三项以上。</w:t>
      </w:r>
    </w:p>
    <w:p>
      <w:pPr>
        <w:pStyle w:val="BodyText"/>
        <w:spacing w:before="9"/>
        <w:rPr>
          <w:sz w:val="26"/>
        </w:rPr>
      </w:pPr>
    </w:p>
    <w:p>
      <w:pPr>
        <w:pStyle w:val="BodyText"/>
        <w:spacing w:before="0"/>
        <w:ind w:left="524"/>
      </w:pPr>
      <w:r>
        <w:rPr/>
        <w:t>七、深度昏迷</w:t>
      </w:r>
    </w:p>
    <w:p>
      <w:pPr>
        <w:pStyle w:val="BodyText"/>
        <w:spacing w:line="273" w:lineRule="auto"/>
        <w:ind w:left="941" w:right="179"/>
        <w:jc w:val="both"/>
      </w:pPr>
      <w:r>
        <w:rPr/>
        <w:t>指因疾病或意外伤害导致意识丧失,对外界刺激和体内需求均无反应,昏迷程度按照格拉</w:t>
      </w:r>
      <w:r>
        <w:rPr>
          <w:spacing w:val="-2"/>
        </w:rPr>
        <w:t>斯哥昏迷分级</w:t>
      </w:r>
      <w:r>
        <w:rPr/>
        <w:t>（Glasgow coma scale）</w:t>
      </w:r>
      <w:r>
        <w:rPr>
          <w:spacing w:val="-2"/>
        </w:rPr>
        <w:t>结果为</w:t>
      </w:r>
      <w:r>
        <w:rPr>
          <w:spacing w:val="-3"/>
        </w:rPr>
        <w:t>5</w:t>
      </w:r>
      <w:r>
        <w:rPr>
          <w:spacing w:val="-2"/>
        </w:rPr>
        <w:t>分或</w:t>
      </w:r>
      <w:r>
        <w:rPr>
          <w:spacing w:val="-3"/>
        </w:rPr>
        <w:t>5分以下，且已经持续使用呼吸机及其它生命维持系统</w:t>
      </w:r>
      <w:r>
        <w:rPr/>
        <w:t>96</w:t>
      </w:r>
      <w:r>
        <w:rPr>
          <w:spacing w:val="-3"/>
        </w:rPr>
        <w:t>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4"/>
      </w:pPr>
      <w:r>
        <w:rPr/>
        <w:t>八、双耳失聪</w:t>
      </w:r>
    </w:p>
    <w:p>
      <w:pPr>
        <w:pStyle w:val="BodyText"/>
        <w:spacing w:line="273" w:lineRule="auto"/>
        <w:ind w:left="941" w:right="179"/>
        <w:jc w:val="both"/>
      </w:pPr>
      <w:r>
        <w:rPr>
          <w:spacing w:val="-3"/>
        </w:rPr>
        <w:t>指因疾病或意外伤害导致双耳听力永久不可逆</w:t>
      </w:r>
      <w:r>
        <w:rPr>
          <w:position w:val="11"/>
          <w:sz w:val="11"/>
        </w:rPr>
        <w:t>15</w:t>
      </w:r>
      <w:r>
        <w:rPr>
          <w:spacing w:val="-10"/>
        </w:rPr>
        <w:t>性丧失，在</w:t>
      </w:r>
      <w:r>
        <w:rPr/>
        <w:t>500</w:t>
      </w:r>
      <w:r>
        <w:rPr>
          <w:spacing w:val="-15"/>
        </w:rPr>
        <w:t>赫兹、</w:t>
      </w:r>
      <w:r>
        <w:rPr/>
        <w:t>1000</w:t>
      </w:r>
      <w:r>
        <w:rPr>
          <w:spacing w:val="-2"/>
        </w:rPr>
        <w:t>赫兹和</w:t>
      </w:r>
      <w:r>
        <w:rPr/>
        <w:t>2000</w:t>
      </w:r>
      <w:r>
        <w:rPr>
          <w:spacing w:val="-3"/>
        </w:rPr>
        <w:t>赫兹</w:t>
      </w:r>
      <w:r>
        <w:rPr>
          <w:spacing w:val="-6"/>
        </w:rPr>
        <w:t>语音频率下，平均听阈大于</w:t>
      </w:r>
      <w:r>
        <w:rPr/>
        <w:t>90</w:t>
      </w:r>
      <w:r>
        <w:rPr>
          <w:spacing w:val="-9"/>
        </w:rPr>
        <w:t>分贝，且经纯音听力测试、声导抗检测或听觉诱发电位检测</w:t>
      </w:r>
      <w:r>
        <w:rPr>
          <w:spacing w:val="-6"/>
        </w:rPr>
        <w:t>等证实。</w:t>
      </w:r>
    </w:p>
    <w:p>
      <w:pPr>
        <w:pStyle w:val="BodyText"/>
        <w:spacing w:before="8"/>
        <w:ind w:left="838"/>
      </w:pPr>
      <w:r>
        <w:rPr/>
        <w:t>上述重大疾病需在被保险人年满二周岁后的首个保险合同周年日后发生。</w:t>
      </w:r>
    </w:p>
    <w:p>
      <w:pPr>
        <w:pStyle w:val="BodyText"/>
        <w:spacing w:before="2"/>
        <w:rPr>
          <w:sz w:val="10"/>
        </w:rPr>
      </w:pPr>
      <w:r>
        <w:rPr/>
        <w:pict>
          <v:line style="position:absolute;mso-position-horizontal-relative:page;mso-position-vertical-relative:paragraph;z-index:1096;mso-wrap-distance-left:0;mso-wrap-distance-right:0" from="85.103996pt,8.849473pt" to="229.123996pt,8.849473pt" stroked="true" strokeweight=".47998pt" strokecolor="#000000">
            <v:stroke dashstyle="solid"/>
            <w10:wrap type="topAndBottom"/>
          </v:line>
        </w:pict>
      </w:r>
    </w:p>
    <w:p>
      <w:pPr>
        <w:pStyle w:val="ListParagraph"/>
        <w:numPr>
          <w:ilvl w:val="0"/>
          <w:numId w:val="2"/>
        </w:numPr>
        <w:tabs>
          <w:tab w:pos="376" w:val="left" w:leader="none"/>
        </w:tabs>
        <w:spacing w:line="232" w:lineRule="auto" w:before="44" w:after="0"/>
        <w:ind w:left="102" w:right="182" w:firstLine="0"/>
        <w:jc w:val="both"/>
        <w:rPr>
          <w:rFonts w:ascii="Times New Roman" w:eastAsia="Times New Roman"/>
          <w:sz w:val="18"/>
        </w:rPr>
      </w:pPr>
      <w:r>
        <w:rPr>
          <w:spacing w:val="-1"/>
          <w:sz w:val="18"/>
        </w:rPr>
        <w:t>语言能力或咀嚼吞咽能力完全丧失：语言能力完全丧失，指无法发出四种语音</w:t>
      </w:r>
      <w:r>
        <w:rPr>
          <w:sz w:val="18"/>
        </w:rPr>
        <w:t>（包括口唇音、齿舌音、口盖音和喉头音</w:t>
      </w:r>
      <w:r>
        <w:rPr>
          <w:spacing w:val="-10"/>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376" w:val="left" w:leader="none"/>
        </w:tabs>
        <w:spacing w:line="225" w:lineRule="auto" w:before="12" w:after="0"/>
        <w:ind w:left="102" w:right="182" w:firstLine="0"/>
        <w:jc w:val="both"/>
        <w:rPr>
          <w:rFonts w:ascii="Times New Roman" w:eastAsia="Times New Roman"/>
          <w:sz w:val="18"/>
        </w:rPr>
      </w:pPr>
      <w:r>
        <w:rPr>
          <w:spacing w:val="-9"/>
          <w:sz w:val="18"/>
        </w:rPr>
        <w:t>六项基本日常生活活动：</w:t>
      </w:r>
      <w:r>
        <w:rPr>
          <w:sz w:val="18"/>
        </w:rPr>
        <w:t>（</w:t>
      </w:r>
      <w:r>
        <w:rPr>
          <w:rFonts w:ascii="Times New Roman" w:eastAsia="Times New Roman"/>
          <w:spacing w:val="-2"/>
          <w:sz w:val="18"/>
        </w:rPr>
        <w:t>1</w:t>
      </w:r>
      <w:r>
        <w:rPr>
          <w:sz w:val="18"/>
        </w:rPr>
        <w:t>）</w:t>
      </w:r>
      <w:r>
        <w:rPr>
          <w:spacing w:val="-7"/>
          <w:sz w:val="18"/>
        </w:rPr>
        <w:t>穿衣：自己能够穿衣及脱衣；</w:t>
      </w:r>
      <w:r>
        <w:rPr>
          <w:sz w:val="18"/>
        </w:rPr>
        <w:t>（</w:t>
      </w:r>
      <w:r>
        <w:rPr>
          <w:rFonts w:ascii="Times New Roman" w:eastAsia="Times New Roman"/>
          <w:spacing w:val="0"/>
          <w:sz w:val="18"/>
        </w:rPr>
        <w:t>2</w:t>
      </w:r>
      <w:r>
        <w:rPr>
          <w:sz w:val="18"/>
        </w:rPr>
        <w:t>）</w:t>
      </w:r>
      <w:r>
        <w:rPr>
          <w:spacing w:val="-6"/>
          <w:sz w:val="18"/>
        </w:rPr>
        <w:t>移动：自己从一个房间到另一个房间；</w:t>
      </w:r>
      <w:r>
        <w:rPr>
          <w:sz w:val="18"/>
        </w:rPr>
        <w:t>（</w:t>
      </w:r>
      <w:r>
        <w:rPr>
          <w:rFonts w:ascii="Times New Roman" w:eastAsia="Times New Roman"/>
          <w:spacing w:val="0"/>
          <w:sz w:val="18"/>
        </w:rPr>
        <w:t>3</w:t>
      </w:r>
      <w:r>
        <w:rPr>
          <w:sz w:val="18"/>
        </w:rPr>
        <w:t>）行</w:t>
      </w:r>
      <w:r>
        <w:rPr>
          <w:spacing w:val="-11"/>
          <w:sz w:val="18"/>
        </w:rPr>
        <w:t>动：自己上下床或上下轮椅；</w:t>
      </w:r>
      <w:r>
        <w:rPr>
          <w:spacing w:val="1"/>
          <w:sz w:val="18"/>
        </w:rPr>
        <w:t>（</w:t>
      </w:r>
      <w:r>
        <w:rPr>
          <w:rFonts w:ascii="Times New Roman" w:eastAsia="Times New Roman"/>
          <w:spacing w:val="0"/>
          <w:sz w:val="18"/>
        </w:rPr>
        <w:t>4</w:t>
      </w:r>
      <w:r>
        <w:rPr>
          <w:spacing w:val="-8"/>
          <w:sz w:val="18"/>
        </w:rPr>
        <w:t>）</w:t>
      </w:r>
      <w:r>
        <w:rPr>
          <w:spacing w:val="-11"/>
          <w:sz w:val="18"/>
        </w:rPr>
        <w:t>如厕：自己控制进行大小便；</w:t>
      </w:r>
      <w:r>
        <w:rPr>
          <w:sz w:val="18"/>
        </w:rPr>
        <w:t>（</w:t>
      </w:r>
      <w:r>
        <w:rPr>
          <w:rFonts w:ascii="Times New Roman" w:eastAsia="Times New Roman"/>
          <w:spacing w:val="0"/>
          <w:sz w:val="18"/>
        </w:rPr>
        <w:t>5</w:t>
      </w:r>
      <w:r>
        <w:rPr>
          <w:spacing w:val="-8"/>
          <w:sz w:val="18"/>
        </w:rPr>
        <w:t>）</w:t>
      </w:r>
      <w:r>
        <w:rPr>
          <w:spacing w:val="-3"/>
          <w:sz w:val="18"/>
        </w:rPr>
        <w:t>进食：自己从已准备好的碗或碟中取食物放入</w:t>
      </w:r>
      <w:r>
        <w:rPr>
          <w:spacing w:val="-33"/>
          <w:sz w:val="18"/>
        </w:rPr>
        <w:t>口中；</w:t>
      </w:r>
      <w:r>
        <w:rPr>
          <w:spacing w:val="-1"/>
          <w:sz w:val="18"/>
        </w:rPr>
        <w:t>（</w:t>
      </w:r>
      <w:r>
        <w:rPr>
          <w:rFonts w:ascii="Times New Roman" w:eastAsia="Times New Roman"/>
          <w:spacing w:val="0"/>
          <w:sz w:val="18"/>
        </w:rPr>
        <w:t>6</w:t>
      </w:r>
      <w:r>
        <w:rPr>
          <w:sz w:val="18"/>
        </w:rPr>
        <w:t>）洗澡：自己进行淋浴或盆浴。</w:t>
      </w:r>
    </w:p>
    <w:p>
      <w:pPr>
        <w:pStyle w:val="ListParagraph"/>
        <w:numPr>
          <w:ilvl w:val="0"/>
          <w:numId w:val="2"/>
        </w:numPr>
        <w:tabs>
          <w:tab w:pos="376" w:val="left" w:leader="none"/>
        </w:tabs>
        <w:spacing w:line="233" w:lineRule="exact" w:before="0" w:after="0"/>
        <w:ind w:left="375" w:right="0" w:hanging="273"/>
        <w:jc w:val="both"/>
        <w:rPr>
          <w:rFonts w:ascii="Times New Roman" w:eastAsia="Times New Roman"/>
          <w:sz w:val="18"/>
        </w:rPr>
      </w:pPr>
      <w:r>
        <w:rPr>
          <w:spacing w:val="-3"/>
          <w:sz w:val="18"/>
        </w:rPr>
        <w:t>永久不可逆：指自疾病确诊或意外伤害发生之日起，经过积极治疗 </w:t>
      </w:r>
      <w:r>
        <w:rPr>
          <w:rFonts w:ascii="Times New Roman" w:eastAsia="Times New Roman"/>
          <w:sz w:val="18"/>
        </w:rPr>
        <w:t>180 </w:t>
      </w:r>
      <w:r>
        <w:rPr>
          <w:spacing w:val="-1"/>
          <w:sz w:val="18"/>
        </w:rPr>
        <w:t>天后，仍无法通过现有医疗手段恢复。</w:t>
      </w:r>
    </w:p>
    <w:p>
      <w:pPr>
        <w:spacing w:after="0" w:line="233" w:lineRule="exact"/>
        <w:jc w:val="both"/>
        <w:rPr>
          <w:rFonts w:ascii="Times New Roman" w:eastAsia="Times New Roman"/>
          <w:sz w:val="18"/>
        </w:rPr>
        <w:sectPr>
          <w:pgSz w:w="11910" w:h="16840"/>
          <w:pgMar w:header="0" w:footer="770" w:top="1200" w:bottom="960" w:left="1600" w:right="1060"/>
        </w:sectPr>
      </w:pPr>
    </w:p>
    <w:p>
      <w:pPr>
        <w:pStyle w:val="BodyText"/>
        <w:spacing w:before="9"/>
        <w:ind w:left="444"/>
      </w:pPr>
      <w:r>
        <w:rPr/>
        <w:t>九、双目失明</w:t>
      </w:r>
    </w:p>
    <w:p>
      <w:pPr>
        <w:pStyle w:val="BodyText"/>
        <w:spacing w:line="273" w:lineRule="auto"/>
        <w:ind w:left="861" w:right="219"/>
        <w:jc w:val="both"/>
      </w:pPr>
      <w:r>
        <w:rPr>
          <w:spacing w:val="-6"/>
        </w:rPr>
        <w:t>指因疾病或意外伤害导致双眼视力永久不可逆性丧失，双眼中较好眼须满足下列至少一项条件：</w:t>
      </w:r>
    </w:p>
    <w:p>
      <w:pPr>
        <w:pStyle w:val="ListParagraph"/>
        <w:numPr>
          <w:ilvl w:val="1"/>
          <w:numId w:val="2"/>
        </w:numPr>
        <w:tabs>
          <w:tab w:pos="1285" w:val="left" w:leader="none"/>
        </w:tabs>
        <w:spacing w:line="240" w:lineRule="auto" w:before="7" w:after="0"/>
        <w:ind w:left="1284" w:right="0" w:hanging="317"/>
        <w:jc w:val="left"/>
        <w:rPr>
          <w:sz w:val="21"/>
        </w:rPr>
      </w:pPr>
      <w:r>
        <w:rPr>
          <w:spacing w:val="-3"/>
          <w:sz w:val="21"/>
        </w:rPr>
        <w:t>眼球缺失或摘除；</w:t>
      </w:r>
    </w:p>
    <w:p>
      <w:pPr>
        <w:pStyle w:val="ListParagraph"/>
        <w:numPr>
          <w:ilvl w:val="1"/>
          <w:numId w:val="2"/>
        </w:numPr>
        <w:tabs>
          <w:tab w:pos="1285" w:val="left" w:leader="none"/>
        </w:tabs>
        <w:spacing w:line="240" w:lineRule="auto" w:before="37" w:after="0"/>
        <w:ind w:left="1284" w:right="0" w:hanging="317"/>
        <w:jc w:val="left"/>
        <w:rPr>
          <w:sz w:val="21"/>
        </w:rPr>
      </w:pPr>
      <w:r>
        <w:rPr>
          <w:spacing w:val="-3"/>
          <w:w w:val="100"/>
          <w:sz w:val="21"/>
        </w:rPr>
        <w:t>矫正视力低于</w:t>
      </w:r>
      <w:r>
        <w:rPr>
          <w:w w:val="100"/>
          <w:sz w:val="21"/>
        </w:rPr>
        <w:t>0.</w:t>
      </w:r>
      <w:r>
        <w:rPr>
          <w:spacing w:val="-3"/>
          <w:w w:val="100"/>
          <w:sz w:val="21"/>
        </w:rPr>
        <w:t>0</w:t>
      </w:r>
      <w:r>
        <w:rPr>
          <w:spacing w:val="-1"/>
          <w:w w:val="100"/>
          <w:sz w:val="21"/>
        </w:rPr>
        <w:t>2</w:t>
      </w:r>
      <w:r>
        <w:rPr>
          <w:spacing w:val="-3"/>
          <w:w w:val="100"/>
          <w:sz w:val="21"/>
        </w:rPr>
        <w:t>（采用国际标准视力表，如果使用其它视力表应进行换算</w:t>
      </w:r>
      <w:r>
        <w:rPr>
          <w:spacing w:val="-106"/>
          <w:w w:val="100"/>
          <w:sz w:val="21"/>
        </w:rPr>
        <w:t>）</w:t>
      </w:r>
      <w:r>
        <w:rPr>
          <w:w w:val="100"/>
          <w:sz w:val="21"/>
        </w:rPr>
        <w:t>；</w:t>
      </w:r>
    </w:p>
    <w:p>
      <w:pPr>
        <w:pStyle w:val="ListParagraph"/>
        <w:numPr>
          <w:ilvl w:val="1"/>
          <w:numId w:val="2"/>
        </w:numPr>
        <w:tabs>
          <w:tab w:pos="1285" w:val="left" w:leader="none"/>
        </w:tabs>
        <w:spacing w:line="240" w:lineRule="auto" w:before="37" w:after="0"/>
        <w:ind w:left="1284" w:right="0" w:hanging="317"/>
        <w:jc w:val="left"/>
        <w:rPr>
          <w:sz w:val="21"/>
        </w:rPr>
      </w:pPr>
      <w:r>
        <w:rPr>
          <w:spacing w:val="-3"/>
          <w:sz w:val="21"/>
        </w:rPr>
        <w:t>视野半径小于</w:t>
      </w:r>
      <w:r>
        <w:rPr>
          <w:sz w:val="21"/>
        </w:rPr>
        <w:t>5</w:t>
      </w:r>
      <w:r>
        <w:rPr>
          <w:spacing w:val="-3"/>
          <w:sz w:val="21"/>
        </w:rPr>
        <w:t>度。</w:t>
      </w:r>
    </w:p>
    <w:p>
      <w:pPr>
        <w:pStyle w:val="BodyText"/>
        <w:ind w:left="864"/>
        <w:jc w:val="both"/>
      </w:pPr>
      <w:r>
        <w:rPr/>
        <w:t>上述重大疾病需在被保险人年满二周岁后的首个保险合同周年日后发生。</w:t>
      </w:r>
    </w:p>
    <w:p>
      <w:pPr>
        <w:pStyle w:val="BodyText"/>
        <w:spacing w:before="9"/>
        <w:rPr>
          <w:sz w:val="26"/>
        </w:rPr>
      </w:pPr>
    </w:p>
    <w:p>
      <w:pPr>
        <w:pStyle w:val="BodyText"/>
        <w:spacing w:before="0"/>
        <w:ind w:left="444"/>
      </w:pPr>
      <w:r>
        <w:rPr/>
        <w:t>十、瘫痪</w:t>
      </w:r>
    </w:p>
    <w:p>
      <w:pPr>
        <w:pStyle w:val="BodyText"/>
        <w:spacing w:line="273" w:lineRule="auto"/>
        <w:ind w:left="861" w:right="219"/>
        <w:jc w:val="both"/>
      </w:pPr>
      <w:r>
        <w:rPr/>
        <w:t>指因疾病或意外伤害导致两肢或两肢以上肢体机能永久完全丧失。肢体机能永久完全丧</w:t>
      </w:r>
      <w:r>
        <w:rPr>
          <w:spacing w:val="-8"/>
        </w:rPr>
        <w:t>失，指疾病确诊</w:t>
      </w:r>
      <w:r>
        <w:rPr/>
        <w:t>180</w:t>
      </w:r>
      <w:r>
        <w:rPr>
          <w:spacing w:val="-3"/>
        </w:rPr>
        <w:t>天后或意外伤害发生</w:t>
      </w:r>
      <w:r>
        <w:rPr/>
        <w:t>180</w:t>
      </w:r>
      <w:r>
        <w:rPr>
          <w:spacing w:val="-8"/>
        </w:rPr>
        <w:t>天后，每肢三大关节中的两大关节仍然完全僵</w:t>
      </w:r>
      <w:r>
        <w:rPr>
          <w:spacing w:val="-5"/>
        </w:rPr>
        <w:t>硬，或不能随意识活动。</w:t>
      </w:r>
    </w:p>
    <w:p>
      <w:pPr>
        <w:pStyle w:val="BodyText"/>
        <w:spacing w:before="6"/>
        <w:rPr>
          <w:sz w:val="24"/>
        </w:rPr>
      </w:pPr>
    </w:p>
    <w:p>
      <w:pPr>
        <w:pStyle w:val="BodyText"/>
        <w:spacing w:before="0"/>
        <w:ind w:left="441"/>
      </w:pPr>
      <w:r>
        <w:rPr/>
        <w:t>十一、严重脑损伤</w:t>
      </w:r>
    </w:p>
    <w:p>
      <w:pPr>
        <w:pStyle w:val="BodyText"/>
        <w:spacing w:line="273" w:lineRule="auto"/>
        <w:ind w:left="861" w:right="115"/>
        <w:jc w:val="both"/>
      </w:pPr>
      <w:r>
        <w:rPr>
          <w:spacing w:val="-7"/>
        </w:rPr>
        <w:t>指因头部遭受机械性外力，引起脑重要部位损伤，导致神经系统永久性的功能障碍。须由</w:t>
      </w:r>
      <w:r>
        <w:rPr>
          <w:spacing w:val="-7"/>
          <w:w w:val="100"/>
        </w:rPr>
        <w:t>头颅断层扫描（C</w:t>
      </w:r>
      <w:r>
        <w:rPr>
          <w:spacing w:val="-3"/>
          <w:w w:val="100"/>
        </w:rPr>
        <w:t>T</w:t>
      </w:r>
      <w:r>
        <w:rPr>
          <w:spacing w:val="-104"/>
          <w:w w:val="100"/>
        </w:rPr>
        <w:t>）</w:t>
      </w:r>
      <w:r>
        <w:rPr>
          <w:spacing w:val="-1"/>
          <w:w w:val="100"/>
        </w:rPr>
        <w:t>、核磁共振检查</w:t>
      </w:r>
      <w:r>
        <w:rPr>
          <w:w w:val="100"/>
        </w:rPr>
        <w:t>（MRI）</w:t>
      </w:r>
      <w:r>
        <w:rPr>
          <w:spacing w:val="-2"/>
          <w:w w:val="100"/>
        </w:rPr>
        <w:t>或正电子发射断层扫描</w:t>
      </w:r>
      <w:r>
        <w:rPr>
          <w:w w:val="100"/>
        </w:rPr>
        <w:t>（PET）</w:t>
      </w:r>
      <w:r>
        <w:rPr>
          <w:spacing w:val="-2"/>
          <w:w w:val="100"/>
        </w:rPr>
        <w:t>等影像学检查</w:t>
      </w:r>
      <w:r>
        <w:rPr>
          <w:spacing w:val="-8"/>
        </w:rPr>
        <w:t>证实。神经系统永久性的功能障碍，指脑损伤</w:t>
      </w:r>
      <w:r>
        <w:rPr/>
        <w:t>180</w:t>
      </w:r>
      <w:r>
        <w:rPr>
          <w:spacing w:val="-7"/>
        </w:rPr>
        <w:t>天后，仍遗留下列一种或一种以上障碍：</w:t>
      </w:r>
    </w:p>
    <w:p>
      <w:pPr>
        <w:pStyle w:val="ListParagraph"/>
        <w:numPr>
          <w:ilvl w:val="0"/>
          <w:numId w:val="6"/>
        </w:numPr>
        <w:tabs>
          <w:tab w:pos="1285" w:val="left" w:leader="none"/>
        </w:tabs>
        <w:spacing w:line="240" w:lineRule="auto" w:before="8" w:after="0"/>
        <w:ind w:left="1284" w:right="0" w:hanging="317"/>
        <w:jc w:val="left"/>
        <w:rPr>
          <w:sz w:val="21"/>
        </w:rPr>
      </w:pPr>
      <w:r>
        <w:rPr>
          <w:spacing w:val="-3"/>
          <w:sz w:val="21"/>
        </w:rPr>
        <w:t>一肢或一肢以上肢体机能完全丧失；</w:t>
      </w:r>
    </w:p>
    <w:p>
      <w:pPr>
        <w:pStyle w:val="ListParagraph"/>
        <w:numPr>
          <w:ilvl w:val="0"/>
          <w:numId w:val="6"/>
        </w:numPr>
        <w:tabs>
          <w:tab w:pos="1285" w:val="left" w:leader="none"/>
        </w:tabs>
        <w:spacing w:line="240" w:lineRule="auto" w:before="37" w:after="0"/>
        <w:ind w:left="1284" w:right="0" w:hanging="317"/>
        <w:jc w:val="left"/>
        <w:rPr>
          <w:sz w:val="21"/>
        </w:rPr>
      </w:pPr>
      <w:r>
        <w:rPr>
          <w:spacing w:val="-3"/>
          <w:sz w:val="21"/>
        </w:rPr>
        <w:t>语言能力或咀嚼吞咽能力完全丧失；</w:t>
      </w:r>
    </w:p>
    <w:p>
      <w:pPr>
        <w:pStyle w:val="ListParagraph"/>
        <w:numPr>
          <w:ilvl w:val="0"/>
          <w:numId w:val="6"/>
        </w:numPr>
        <w:tabs>
          <w:tab w:pos="1285" w:val="left" w:leader="none"/>
        </w:tabs>
        <w:spacing w:line="240" w:lineRule="auto" w:before="37" w:after="0"/>
        <w:ind w:left="1284" w:right="0" w:hanging="317"/>
        <w:jc w:val="left"/>
        <w:rPr>
          <w:sz w:val="21"/>
        </w:rPr>
      </w:pPr>
      <w:r>
        <w:rPr>
          <w:spacing w:val="-3"/>
          <w:sz w:val="21"/>
        </w:rPr>
        <w:t>自主生活能力完全丧失，无法独立完成六项基本日常生活活动中的三项或三项以上。</w:t>
      </w:r>
    </w:p>
    <w:p>
      <w:pPr>
        <w:pStyle w:val="BodyText"/>
        <w:spacing w:before="9"/>
        <w:rPr>
          <w:sz w:val="26"/>
        </w:rPr>
      </w:pPr>
    </w:p>
    <w:p>
      <w:pPr>
        <w:pStyle w:val="BodyText"/>
        <w:spacing w:before="0"/>
        <w:ind w:left="441"/>
      </w:pPr>
      <w:r>
        <w:rPr/>
        <w:t>十二、严重Ⅲ度烧伤</w:t>
      </w:r>
    </w:p>
    <w:p>
      <w:pPr>
        <w:pStyle w:val="BodyText"/>
        <w:spacing w:line="273" w:lineRule="auto"/>
        <w:ind w:left="861" w:right="219"/>
        <w:jc w:val="both"/>
      </w:pPr>
      <w:r>
        <w:rPr>
          <w:spacing w:val="-7"/>
        </w:rPr>
        <w:t>指烧伤程度为Ⅲ度，且Ⅲ度烧伤的面积达到全身体表面积的</w:t>
      </w:r>
      <w:r>
        <w:rPr/>
        <w:t>20</w:t>
      </w:r>
      <w:r>
        <w:rPr>
          <w:spacing w:val="-2"/>
        </w:rPr>
        <w:t>％或</w:t>
      </w:r>
      <w:r>
        <w:rPr/>
        <w:t>20</w:t>
      </w:r>
      <w:r>
        <w:rPr>
          <w:spacing w:val="-8"/>
        </w:rPr>
        <w:t>％以上。体表面积根</w:t>
      </w:r>
      <w:r>
        <w:rPr>
          <w:spacing w:val="-5"/>
        </w:rPr>
        <w:t>据《中国新九分法》计算。</w:t>
      </w:r>
    </w:p>
    <w:p>
      <w:pPr>
        <w:pStyle w:val="BodyText"/>
        <w:spacing w:before="6"/>
        <w:rPr>
          <w:sz w:val="24"/>
        </w:rPr>
      </w:pPr>
    </w:p>
    <w:p>
      <w:pPr>
        <w:pStyle w:val="BodyText"/>
        <w:spacing w:before="0"/>
        <w:ind w:left="441"/>
      </w:pPr>
      <w:r>
        <w:rPr/>
        <w:t>十三、重型再生障碍性贫血</w:t>
      </w:r>
    </w:p>
    <w:p>
      <w:pPr>
        <w:pStyle w:val="BodyText"/>
        <w:spacing w:line="273" w:lineRule="auto"/>
        <w:ind w:left="861" w:right="219"/>
        <w:jc w:val="both"/>
      </w:pPr>
      <w:r>
        <w:rPr>
          <w:spacing w:val="-6"/>
        </w:rPr>
        <w:t>指因骨髓造血功能慢性持续性衰竭导致的贫血、中性粒细胞减少及血小板减少。须满足下</w:t>
      </w:r>
      <w:r>
        <w:rPr>
          <w:spacing w:val="-4"/>
        </w:rPr>
        <w:t>列全部条件：</w:t>
      </w:r>
    </w:p>
    <w:p>
      <w:pPr>
        <w:pStyle w:val="ListParagraph"/>
        <w:numPr>
          <w:ilvl w:val="0"/>
          <w:numId w:val="7"/>
        </w:numPr>
        <w:tabs>
          <w:tab w:pos="1285" w:val="left" w:leader="none"/>
        </w:tabs>
        <w:spacing w:line="240" w:lineRule="auto" w:before="7" w:after="0"/>
        <w:ind w:left="1284" w:right="0" w:hanging="317"/>
        <w:jc w:val="left"/>
        <w:rPr>
          <w:sz w:val="21"/>
        </w:rPr>
      </w:pPr>
      <w:r>
        <w:rPr>
          <w:spacing w:val="-3"/>
          <w:sz w:val="21"/>
        </w:rPr>
        <w:t>骨髓穿刺检查或骨髓活检结果支持诊断；</w:t>
      </w:r>
    </w:p>
    <w:p>
      <w:pPr>
        <w:pStyle w:val="ListParagraph"/>
        <w:numPr>
          <w:ilvl w:val="0"/>
          <w:numId w:val="7"/>
        </w:numPr>
        <w:tabs>
          <w:tab w:pos="1285" w:val="left" w:leader="none"/>
        </w:tabs>
        <w:spacing w:line="240" w:lineRule="auto" w:before="36" w:after="0"/>
        <w:ind w:left="1284" w:right="0" w:hanging="317"/>
        <w:jc w:val="left"/>
        <w:rPr>
          <w:sz w:val="21"/>
        </w:rPr>
      </w:pPr>
      <w:r>
        <w:rPr>
          <w:spacing w:val="-3"/>
          <w:sz w:val="21"/>
        </w:rPr>
        <w:t>外周血象须具备以下三项条件：</w:t>
      </w:r>
    </w:p>
    <w:p>
      <w:pPr>
        <w:pStyle w:val="BodyText"/>
        <w:spacing w:before="36"/>
        <w:ind w:left="1284"/>
      </w:pPr>
      <w:r>
        <w:rPr/>
        <w:t>① 中性粒细胞绝对值≤0.5×10</w:t>
      </w:r>
      <w:r>
        <w:rPr>
          <w:position w:val="11"/>
          <w:sz w:val="11"/>
        </w:rPr>
        <w:t>9</w:t>
      </w:r>
      <w:r>
        <w:rPr/>
        <w:t>/L ；</w:t>
      </w:r>
    </w:p>
    <w:p>
      <w:pPr>
        <w:pStyle w:val="BodyText"/>
        <w:spacing w:before="36"/>
        <w:ind w:left="1284"/>
      </w:pPr>
      <w:r>
        <w:rPr/>
        <w:t>② 网织红细胞＜1%；</w:t>
      </w:r>
    </w:p>
    <w:p>
      <w:pPr>
        <w:pStyle w:val="BodyText"/>
        <w:spacing w:before="36"/>
        <w:ind w:left="1284"/>
      </w:pPr>
      <w:r>
        <w:rPr/>
        <w:t>③ 血小板绝对值≤20×10</w:t>
      </w:r>
      <w:r>
        <w:rPr>
          <w:position w:val="11"/>
          <w:sz w:val="11"/>
        </w:rPr>
        <w:t>9</w:t>
      </w:r>
      <w:r>
        <w:rPr/>
        <w:t>/L。</w:t>
      </w:r>
    </w:p>
    <w:p>
      <w:pPr>
        <w:pStyle w:val="BodyText"/>
        <w:spacing w:before="8"/>
        <w:rPr>
          <w:sz w:val="26"/>
        </w:rPr>
      </w:pPr>
    </w:p>
    <w:p>
      <w:pPr>
        <w:pStyle w:val="BodyText"/>
        <w:spacing w:before="0"/>
        <w:ind w:left="441"/>
      </w:pPr>
      <w:r>
        <w:rPr/>
        <w:t>十四、白血病</w:t>
      </w:r>
    </w:p>
    <w:p>
      <w:pPr>
        <w:pStyle w:val="BodyText"/>
        <w:spacing w:line="273" w:lineRule="auto"/>
        <w:ind w:left="861" w:right="219"/>
        <w:jc w:val="both"/>
      </w:pPr>
      <w:r>
        <w:rPr>
          <w:spacing w:val="-8"/>
        </w:rPr>
        <w:t>白血病是一种造血组织的恶性疾病，特点是某一类型的白血病细胞在骨髓或其他造血组织</w:t>
      </w:r>
      <w:r>
        <w:rPr>
          <w:spacing w:val="-11"/>
        </w:rPr>
        <w:t>中的肿瘤性增生，导致正常造血细胞受抑制，可浸润体内各器官、组织，使各个脏器的功</w:t>
      </w:r>
      <w:r>
        <w:rPr>
          <w:spacing w:val="-12"/>
        </w:rPr>
        <w:t>能受损，产生相应的症状和体征。临床上常有贫血、发热、感染、出血和肝、脾、淋巴结</w:t>
      </w:r>
      <w:r>
        <w:rPr>
          <w:spacing w:val="-6"/>
        </w:rPr>
        <w:t>不同程度的肿大等。骨髓及外周血中可出现幼稚细胞。</w:t>
      </w:r>
    </w:p>
    <w:p>
      <w:pPr>
        <w:pStyle w:val="BodyText"/>
        <w:spacing w:before="8"/>
        <w:ind w:left="861"/>
        <w:jc w:val="both"/>
      </w:pPr>
      <w:r>
        <w:rPr/>
        <w:t>相当于 Binet 分期方案 A 期程度的慢性淋巴细胞白血病不在保障范围内。</w:t>
      </w:r>
    </w:p>
    <w:p>
      <w:pPr>
        <w:pStyle w:val="BodyText"/>
        <w:spacing w:before="9"/>
        <w:rPr>
          <w:sz w:val="26"/>
        </w:rPr>
      </w:pPr>
    </w:p>
    <w:p>
      <w:pPr>
        <w:pStyle w:val="BodyText"/>
        <w:spacing w:before="0"/>
        <w:ind w:left="441"/>
      </w:pPr>
      <w:r>
        <w:rPr/>
        <w:t>十五、小儿麻痹症</w:t>
      </w:r>
    </w:p>
    <w:p>
      <w:pPr>
        <w:pStyle w:val="BodyText"/>
        <w:spacing w:line="273" w:lineRule="auto"/>
        <w:ind w:left="861" w:right="219"/>
        <w:jc w:val="both"/>
      </w:pPr>
      <w:r>
        <w:rPr>
          <w:spacing w:val="-7"/>
        </w:rPr>
        <w:t>因感染脊髓灰质炎病毒而导致的瘫痪，出现运动神经功能障碍或呼吸减弱，需经过认可医院神经专科医师确诊并提供脊髓灰质炎病毒检查的证据</w:t>
      </w:r>
      <w:r>
        <w:rPr>
          <w:spacing w:val="-3"/>
        </w:rPr>
        <w:t>（</w:t>
      </w:r>
      <w:r>
        <w:rPr>
          <w:spacing w:val="-7"/>
        </w:rPr>
        <w:t>如粪便或脑脊液检查，血液中抗</w:t>
      </w:r>
      <w:r>
        <w:rPr>
          <w:spacing w:val="-1"/>
        </w:rPr>
        <w:t>体检查</w:t>
      </w:r>
      <w:r>
        <w:rPr>
          <w:spacing w:val="-106"/>
        </w:rPr>
        <w:t>）</w:t>
      </w:r>
      <w:r>
        <w:rPr>
          <w:spacing w:val="-3"/>
        </w:rPr>
        <w:t>。没有涉及瘫痪的病例将不能获得保险金。其它原因导致的瘫痪也属除外责任。</w:t>
      </w:r>
    </w:p>
    <w:p>
      <w:pPr>
        <w:spacing w:after="0" w:line="273" w:lineRule="auto"/>
        <w:jc w:val="both"/>
        <w:sectPr>
          <w:pgSz w:w="11910" w:h="16840"/>
          <w:pgMar w:header="0" w:footer="770" w:top="1520" w:bottom="960" w:left="1680" w:right="1020"/>
        </w:sectPr>
      </w:pPr>
    </w:p>
    <w:p>
      <w:pPr>
        <w:pStyle w:val="BodyText"/>
        <w:spacing w:before="9"/>
        <w:ind w:left="441"/>
      </w:pPr>
      <w:r>
        <w:rPr/>
        <w:t>十六、胰岛素依赖型糖尿病（I 型糖尿病）</w:t>
      </w:r>
    </w:p>
    <w:p>
      <w:pPr>
        <w:pStyle w:val="BodyText"/>
        <w:spacing w:line="273" w:lineRule="auto"/>
        <w:ind w:left="861" w:right="219"/>
      </w:pPr>
      <w:r>
        <w:rPr>
          <w:spacing w:val="-6"/>
        </w:rPr>
        <w:t>因完全和不可逆的胰岛素缺乏导致的慢性碳水化合物、脂肪和蛋白质的代谢障碍。应由儿</w:t>
      </w:r>
      <w:r>
        <w:rPr>
          <w:spacing w:val="-7"/>
        </w:rPr>
        <w:t>科医师确诊，且病情持续至少 </w:t>
      </w:r>
      <w:r>
        <w:rPr/>
        <w:t>6</w:t>
      </w:r>
      <w:r>
        <w:rPr>
          <w:spacing w:val="-8"/>
        </w:rPr>
        <w:t> 个月。要求正在接受胰岛素治疗。</w:t>
      </w:r>
    </w:p>
    <w:p>
      <w:pPr>
        <w:pStyle w:val="BodyText"/>
        <w:spacing w:before="5"/>
        <w:rPr>
          <w:sz w:val="24"/>
        </w:rPr>
      </w:pPr>
    </w:p>
    <w:p>
      <w:pPr>
        <w:pStyle w:val="BodyText"/>
        <w:spacing w:before="0"/>
        <w:ind w:left="441"/>
      </w:pPr>
      <w:r>
        <w:rPr/>
        <w:t>十七、全身型幼年类风湿性关节炎（斯蒂尔病）</w:t>
      </w:r>
    </w:p>
    <w:p>
      <w:pPr>
        <w:pStyle w:val="BodyText"/>
        <w:spacing w:line="273" w:lineRule="auto"/>
        <w:ind w:left="861" w:right="114"/>
      </w:pPr>
      <w:r>
        <w:rPr>
          <w:spacing w:val="-8"/>
        </w:rPr>
        <w:t>一种慢性少儿关节炎，表现为高热和全身性病变，并在关节炎发作前持续数月。这种病情</w:t>
      </w:r>
      <w:r>
        <w:rPr>
          <w:spacing w:val="-14"/>
        </w:rPr>
        <w:t>必须出现典型的主要表现，包括持张热、日发热、易消散皮疹、关节炎、脾大、淋巴结病、</w:t>
      </w:r>
      <w:r>
        <w:rPr>
          <w:spacing w:val="-12"/>
        </w:rPr>
        <w:t>浆膜炎、体重减轻、中性粒细胞增多、急性期蛋白升高，以及血清抗核抗体</w:t>
      </w:r>
      <w:r>
        <w:rPr/>
        <w:t>（ANA）</w:t>
      </w:r>
      <w:r>
        <w:rPr>
          <w:spacing w:val="-2"/>
        </w:rPr>
        <w:t>和类</w:t>
      </w:r>
      <w:r>
        <w:rPr>
          <w:spacing w:val="-8"/>
        </w:rPr>
        <w:t>风湿因子</w:t>
      </w:r>
      <w:r>
        <w:rPr>
          <w:spacing w:val="-6"/>
        </w:rPr>
        <w:t>（RF）</w:t>
      </w:r>
      <w:r>
        <w:rPr>
          <w:spacing w:val="-9"/>
        </w:rPr>
        <w:t>检查阴性。只有当儿科风湿病医师确诊，并有至少 </w:t>
      </w:r>
      <w:r>
        <w:rPr/>
        <w:t>6</w:t>
      </w:r>
      <w:r>
        <w:rPr>
          <w:spacing w:val="-8"/>
        </w:rPr>
        <w:t> 个月的医疗记录才能</w:t>
      </w:r>
      <w:r>
        <w:rPr>
          <w:spacing w:val="-5"/>
        </w:rPr>
        <w:t>获得赔付。</w:t>
      </w:r>
    </w:p>
    <w:p>
      <w:pPr>
        <w:pStyle w:val="BodyText"/>
        <w:spacing w:before="5"/>
        <w:rPr>
          <w:sz w:val="24"/>
        </w:rPr>
      </w:pPr>
    </w:p>
    <w:p>
      <w:pPr>
        <w:pStyle w:val="BodyText"/>
        <w:spacing w:before="1"/>
        <w:ind w:left="441"/>
      </w:pPr>
      <w:r>
        <w:rPr/>
        <w:t>十八、严重癫痫</w:t>
      </w:r>
    </w:p>
    <w:p>
      <w:pPr>
        <w:pStyle w:val="BodyText"/>
        <w:spacing w:line="273" w:lineRule="auto"/>
        <w:ind w:left="861" w:right="219"/>
        <w:jc w:val="both"/>
      </w:pPr>
      <w:r>
        <w:rPr>
          <w:spacing w:val="-6"/>
        </w:rPr>
        <w:t>由神经科专科医师或儿科医师确诊，并出现典型的临床症状及有脑电图（EEG）</w:t>
      </w:r>
      <w:r>
        <w:rPr/>
        <w:t>和</w:t>
      </w:r>
      <w:r>
        <w:rPr>
          <w:spacing w:val="-3"/>
        </w:rPr>
        <w:t>/</w:t>
      </w:r>
      <w:r>
        <w:rPr>
          <w:spacing w:val="-2"/>
        </w:rPr>
        <w:t>或其它</w:t>
      </w:r>
      <w:r>
        <w:rPr>
          <w:spacing w:val="-17"/>
          <w:w w:val="100"/>
        </w:rPr>
        <w:t>脑影像学检查</w:t>
      </w:r>
      <w:r>
        <w:rPr>
          <w:w w:val="100"/>
        </w:rPr>
        <w:t>（</w:t>
      </w:r>
      <w:r>
        <w:rPr>
          <w:spacing w:val="-15"/>
          <w:w w:val="100"/>
        </w:rPr>
        <w:t>如核磁共振成像</w:t>
      </w:r>
      <w:r>
        <w:rPr>
          <w:w w:val="100"/>
        </w:rPr>
        <w:t>（MR</w:t>
      </w:r>
      <w:r>
        <w:rPr>
          <w:spacing w:val="-3"/>
          <w:w w:val="100"/>
        </w:rPr>
        <w:t>I</w:t>
      </w:r>
      <w:r>
        <w:rPr>
          <w:spacing w:val="-106"/>
          <w:w w:val="100"/>
        </w:rPr>
        <w:t>）</w:t>
      </w:r>
      <w:r>
        <w:rPr>
          <w:spacing w:val="-21"/>
          <w:w w:val="100"/>
        </w:rPr>
        <w:t>、正电子发射断层扫描</w:t>
      </w:r>
      <w:r>
        <w:rPr>
          <w:w w:val="100"/>
        </w:rPr>
        <w:t>（</w:t>
      </w:r>
      <w:r>
        <w:rPr>
          <w:spacing w:val="-3"/>
          <w:w w:val="100"/>
        </w:rPr>
        <w:t>P</w:t>
      </w:r>
      <w:r>
        <w:rPr>
          <w:w w:val="100"/>
        </w:rPr>
        <w:t>E</w:t>
      </w:r>
      <w:r>
        <w:rPr>
          <w:spacing w:val="-1"/>
          <w:w w:val="100"/>
        </w:rPr>
        <w:t>T</w:t>
      </w:r>
      <w:r>
        <w:rPr>
          <w:spacing w:val="-108"/>
          <w:w w:val="100"/>
        </w:rPr>
        <w:t>）</w:t>
      </w:r>
      <w:r>
        <w:rPr>
          <w:spacing w:val="-24"/>
          <w:w w:val="100"/>
        </w:rPr>
        <w:t>、计算机断层扫描</w:t>
      </w:r>
      <w:r>
        <w:rPr>
          <w:w w:val="100"/>
        </w:rPr>
        <w:t>（CT</w:t>
      </w:r>
      <w:r>
        <w:rPr>
          <w:spacing w:val="-108"/>
          <w:w w:val="100"/>
        </w:rPr>
        <w:t>））</w:t>
      </w:r>
      <w:r>
        <w:rPr>
          <w:spacing w:val="-3"/>
        </w:rPr>
        <w:t>的特征性发现。患儿必须表现为反复自发性的强直-阵挛发作或大发作，且不能被抗癫痫</w:t>
      </w:r>
      <w:r>
        <w:rPr>
          <w:spacing w:val="-6"/>
        </w:rPr>
        <w:t>治疗所控制，持续至少 </w:t>
      </w:r>
      <w:r>
        <w:rPr/>
        <w:t>6</w:t>
      </w:r>
      <w:r>
        <w:rPr>
          <w:spacing w:val="-7"/>
        </w:rPr>
        <w:t> 个月，或已经实施神经外科手术来治疗复发性癫痫发作。</w:t>
      </w:r>
    </w:p>
    <w:p>
      <w:pPr>
        <w:pStyle w:val="BodyText"/>
        <w:spacing w:before="7"/>
        <w:ind w:left="861"/>
        <w:jc w:val="both"/>
      </w:pPr>
      <w:r>
        <w:rPr/>
        <w:t>除外责任：</w:t>
      </w:r>
    </w:p>
    <w:p>
      <w:pPr>
        <w:pStyle w:val="BodyText"/>
        <w:spacing w:before="36"/>
        <w:ind w:left="864"/>
        <w:jc w:val="both"/>
      </w:pPr>
      <w:r>
        <w:rPr/>
        <w:t>仅为发热性抽搐</w:t>
      </w:r>
    </w:p>
    <w:p>
      <w:pPr>
        <w:pStyle w:val="BodyText"/>
        <w:spacing w:before="36"/>
        <w:ind w:left="864"/>
        <w:jc w:val="both"/>
      </w:pPr>
      <w:r>
        <w:rPr/>
        <w:t>仅为癫痫小发作，而无大发作</w:t>
      </w:r>
    </w:p>
    <w:p>
      <w:pPr>
        <w:pStyle w:val="BodyText"/>
        <w:spacing w:before="8"/>
        <w:rPr>
          <w:sz w:val="26"/>
        </w:rPr>
      </w:pPr>
    </w:p>
    <w:p>
      <w:pPr>
        <w:pStyle w:val="BodyText"/>
        <w:spacing w:before="0"/>
        <w:ind w:left="441"/>
      </w:pPr>
      <w:r>
        <w:rPr/>
        <w:t>十九、川崎病</w:t>
      </w:r>
    </w:p>
    <w:p>
      <w:pPr>
        <w:pStyle w:val="BodyText"/>
        <w:spacing w:line="273" w:lineRule="auto" w:before="36"/>
        <w:ind w:left="861" w:right="115"/>
        <w:jc w:val="both"/>
      </w:pPr>
      <w:r>
        <w:rPr>
          <w:spacing w:val="-7"/>
        </w:rPr>
        <w:t>是指一种以损伤冠状动脉血管为主，可同时合并其他大血管损害的系统性血管炎。本病必须由儿科专科医生确诊，并表现有临床症状</w:t>
      </w:r>
      <w:r>
        <w:rPr>
          <w:spacing w:val="-3"/>
        </w:rPr>
        <w:t>（</w:t>
      </w:r>
      <w:r>
        <w:rPr>
          <w:spacing w:val="-9"/>
        </w:rPr>
        <w:t>发热，结膜炎，皮肤损伤，淋巴结病变，关</w:t>
      </w:r>
      <w:r>
        <w:rPr>
          <w:spacing w:val="-5"/>
        </w:rPr>
        <w:t>节炎或精神易激惹症状</w:t>
      </w:r>
      <w:r>
        <w:rPr>
          <w:spacing w:val="-17"/>
        </w:rPr>
        <w:t>）</w:t>
      </w:r>
      <w:r>
        <w:rPr>
          <w:spacing w:val="-5"/>
        </w:rPr>
        <w:t>和一个可能发生的并发症</w:t>
      </w:r>
      <w:r>
        <w:rPr/>
        <w:t>（</w:t>
      </w:r>
      <w:r>
        <w:rPr>
          <w:spacing w:val="-8"/>
        </w:rPr>
        <w:t>心肌炎，心包炎，缺血性心脏病，二</w:t>
      </w:r>
      <w:r>
        <w:rPr>
          <w:spacing w:val="-13"/>
        </w:rPr>
        <w:t>尖瓣关闭不全，冠状动脉瘤，心脏衰竭，胆囊积液，血小板增多症，脑膜炎</w:t>
      </w:r>
      <w:r>
        <w:rPr>
          <w:spacing w:val="-32"/>
        </w:rPr>
        <w:t>）</w:t>
      </w:r>
      <w:r>
        <w:rPr>
          <w:spacing w:val="-2"/>
        </w:rPr>
        <w:t>的医疗记录。</w:t>
      </w:r>
    </w:p>
    <w:p>
      <w:pPr>
        <w:pStyle w:val="BodyText"/>
        <w:spacing w:before="5"/>
        <w:rPr>
          <w:sz w:val="24"/>
        </w:rPr>
      </w:pPr>
    </w:p>
    <w:p>
      <w:pPr>
        <w:pStyle w:val="BodyText"/>
        <w:spacing w:before="0"/>
        <w:ind w:left="441"/>
      </w:pPr>
      <w:r>
        <w:rPr/>
        <w:t>二十、心脏瓣膜置换</w:t>
      </w:r>
    </w:p>
    <w:p>
      <w:pPr>
        <w:pStyle w:val="BodyText"/>
        <w:spacing w:line="273" w:lineRule="auto" w:before="36"/>
        <w:ind w:left="861" w:right="219"/>
        <w:jc w:val="both"/>
      </w:pPr>
      <w:r>
        <w:rPr>
          <w:spacing w:val="-6"/>
        </w:rPr>
        <w:t>指用人工瓣膜替代一个或多个心脏瓣膜的移植手术。包括因主动脉、二尖瓣、三尖瓣或肺</w:t>
      </w:r>
      <w:r>
        <w:rPr>
          <w:spacing w:val="-10"/>
        </w:rPr>
        <w:t>动脉瓣膜的狭窄、关闭不全或两者并存而进行的人工瓣膜置换。该手术的必要性须经专科</w:t>
      </w:r>
      <w:r>
        <w:rPr>
          <w:spacing w:val="-5"/>
        </w:rPr>
        <w:t>医师的鉴定。</w:t>
      </w:r>
    </w:p>
    <w:p>
      <w:pPr>
        <w:pStyle w:val="BodyText"/>
        <w:spacing w:line="273" w:lineRule="auto" w:before="7"/>
        <w:ind w:left="864" w:right="7079" w:hanging="3"/>
      </w:pPr>
      <w:r>
        <w:rPr>
          <w:spacing w:val="-1"/>
        </w:rPr>
        <w:t>除外责任： </w:t>
      </w:r>
      <w:r>
        <w:rPr>
          <w:spacing w:val="-3"/>
        </w:rPr>
        <w:t>心脏瓣膜修复瓣膜切开术 瓣膜成形术</w:t>
      </w:r>
    </w:p>
    <w:p>
      <w:pPr>
        <w:pStyle w:val="BodyText"/>
        <w:spacing w:before="5"/>
        <w:rPr>
          <w:sz w:val="24"/>
        </w:rPr>
      </w:pPr>
    </w:p>
    <w:p>
      <w:pPr>
        <w:pStyle w:val="BodyText"/>
        <w:spacing w:before="0"/>
        <w:ind w:left="441"/>
      </w:pPr>
      <w:r>
        <w:rPr/>
        <w:t>二十一、原发性（先天性）心肌病</w:t>
      </w:r>
    </w:p>
    <w:p>
      <w:pPr>
        <w:pStyle w:val="BodyText"/>
        <w:spacing w:line="273" w:lineRule="auto" w:before="36"/>
        <w:ind w:left="861" w:right="219"/>
        <w:jc w:val="both"/>
      </w:pPr>
      <w:r>
        <w:rPr>
          <w:spacing w:val="-1"/>
        </w:rPr>
        <w:t>须由专科医师确诊，并提供特殊的检查报告</w:t>
      </w:r>
      <w:r>
        <w:rPr/>
        <w:t>（</w:t>
      </w:r>
      <w:r>
        <w:rPr>
          <w:spacing w:val="-2"/>
        </w:rPr>
        <w:t>如超声心动图</w:t>
      </w:r>
      <w:r>
        <w:rPr>
          <w:spacing w:val="-106"/>
        </w:rPr>
        <w:t>）</w:t>
      </w:r>
      <w:r>
        <w:rPr>
          <w:spacing w:val="-2"/>
        </w:rPr>
        <w:t>。心肌病必须引发心室功能</w:t>
      </w:r>
      <w:r>
        <w:rPr>
          <w:spacing w:val="-3"/>
        </w:rPr>
        <w:t>紊乱，并导致至少纽约心脏协会</w:t>
      </w:r>
      <w:r>
        <w:rPr/>
        <w:t>（NYHA）</w:t>
      </w:r>
      <w:r>
        <w:rPr>
          <w:spacing w:val="-8"/>
        </w:rPr>
        <w:t>心脏损害分类的 </w:t>
      </w:r>
      <w:r>
        <w:rPr/>
        <w:t>III</w:t>
      </w:r>
      <w:r>
        <w:rPr>
          <w:spacing w:val="-21"/>
        </w:rPr>
        <w:t> 级</w:t>
      </w:r>
      <w:r>
        <w:rPr/>
        <w:t>（</w:t>
      </w:r>
      <w:r>
        <w:rPr>
          <w:spacing w:val="-19"/>
        </w:rPr>
        <w:t>或 </w:t>
      </w:r>
      <w:r>
        <w:rPr/>
        <w:t>IV</w:t>
      </w:r>
      <w:r>
        <w:rPr>
          <w:spacing w:val="-20"/>
        </w:rPr>
        <w:t> 级</w:t>
      </w:r>
      <w:r>
        <w:rPr>
          <w:spacing w:val="-3"/>
        </w:rPr>
        <w:t>）</w:t>
      </w:r>
      <w:r>
        <w:rPr>
          <w:spacing w:val="-2"/>
        </w:rPr>
        <w:t>损害。这些</w:t>
      </w:r>
      <w:r>
        <w:rPr>
          <w:spacing w:val="-8"/>
        </w:rPr>
        <w:t>病变必须有至少 </w:t>
      </w:r>
      <w:r>
        <w:rPr/>
        <w:t>3</w:t>
      </w:r>
      <w:r>
        <w:rPr>
          <w:spacing w:val="-8"/>
        </w:rPr>
        <w:t> 个月的医疗记录。</w:t>
      </w:r>
    </w:p>
    <w:p>
      <w:pPr>
        <w:pStyle w:val="BodyText"/>
        <w:spacing w:before="5"/>
        <w:rPr>
          <w:sz w:val="24"/>
        </w:rPr>
      </w:pPr>
    </w:p>
    <w:p>
      <w:pPr>
        <w:pStyle w:val="BodyText"/>
        <w:spacing w:before="0"/>
        <w:ind w:left="441"/>
      </w:pPr>
      <w:r>
        <w:rPr/>
        <w:t>二十二、去皮质综合症（植物状态）</w:t>
      </w:r>
    </w:p>
    <w:p>
      <w:pPr>
        <w:pStyle w:val="BodyText"/>
        <w:spacing w:line="273" w:lineRule="auto"/>
        <w:ind w:left="861" w:right="115"/>
      </w:pPr>
      <w:r>
        <w:rPr>
          <w:spacing w:val="-8"/>
        </w:rPr>
        <w:t>脑皮质的完全坏死，但脑干保留完整无缺。明确的诊断须由神经专科医师的鉴定，并提供</w:t>
      </w:r>
      <w:r>
        <w:rPr>
          <w:spacing w:val="-12"/>
        </w:rPr>
        <w:t>神经影像学</w:t>
      </w:r>
      <w:r>
        <w:rPr/>
        <w:t>（</w:t>
      </w:r>
      <w:r>
        <w:rPr>
          <w:spacing w:val="-3"/>
        </w:rPr>
        <w:t>如脑部 </w:t>
      </w:r>
      <w:r>
        <w:rPr/>
        <w:t>CT</w:t>
      </w:r>
      <w:r>
        <w:rPr>
          <w:spacing w:val="-34"/>
        </w:rPr>
        <w:t>、</w:t>
      </w:r>
      <w:r>
        <w:rPr>
          <w:spacing w:val="-9"/>
        </w:rPr>
        <w:t>MRI）</w:t>
      </w:r>
      <w:r>
        <w:rPr>
          <w:spacing w:val="-7"/>
        </w:rPr>
        <w:t>报告的特异性发现，该病症必须有至少一个月的医疗记录。</w:t>
      </w:r>
    </w:p>
    <w:p>
      <w:pPr>
        <w:pStyle w:val="BodyText"/>
        <w:spacing w:before="5"/>
        <w:rPr>
          <w:sz w:val="24"/>
        </w:rPr>
      </w:pPr>
    </w:p>
    <w:p>
      <w:pPr>
        <w:pStyle w:val="BodyText"/>
        <w:spacing w:before="0"/>
        <w:ind w:left="441"/>
      </w:pPr>
      <w:r>
        <w:rPr/>
        <w:t>二十三、艾滋病：由于输血感染艾滋病病毒</w:t>
      </w:r>
    </w:p>
    <w:p>
      <w:pPr>
        <w:spacing w:after="0"/>
        <w:sectPr>
          <w:pgSz w:w="11910" w:h="16840"/>
          <w:pgMar w:header="0" w:footer="770" w:top="1520" w:bottom="960" w:left="1680" w:right="1020"/>
        </w:sectPr>
      </w:pPr>
    </w:p>
    <w:p>
      <w:pPr>
        <w:pStyle w:val="BodyText"/>
        <w:spacing w:line="273" w:lineRule="auto" w:before="17"/>
        <w:ind w:left="861" w:right="99"/>
      </w:pPr>
      <w:r>
        <w:rPr>
          <w:spacing w:val="-5"/>
          <w:w w:val="100"/>
        </w:rPr>
        <w:t>由于输血引起的任何艾滋病病毒</w:t>
      </w:r>
      <w:r>
        <w:rPr>
          <w:spacing w:val="-3"/>
          <w:w w:val="100"/>
        </w:rPr>
        <w:t>（</w:t>
      </w:r>
      <w:r>
        <w:rPr>
          <w:w w:val="100"/>
        </w:rPr>
        <w:t>HIV</w:t>
      </w:r>
      <w:r>
        <w:rPr>
          <w:spacing w:val="-22"/>
          <w:w w:val="100"/>
        </w:rPr>
        <w:t>）</w:t>
      </w:r>
      <w:r>
        <w:rPr>
          <w:spacing w:val="-5"/>
          <w:w w:val="100"/>
        </w:rPr>
        <w:t>感染或诊断为艾滋病患者</w:t>
      </w:r>
      <w:r>
        <w:rPr>
          <w:spacing w:val="-1"/>
          <w:w w:val="100"/>
        </w:rPr>
        <w:t>（</w:t>
      </w:r>
      <w:r>
        <w:rPr>
          <w:w w:val="100"/>
        </w:rPr>
        <w:t>A</w:t>
      </w:r>
      <w:r>
        <w:rPr>
          <w:spacing w:val="-3"/>
          <w:w w:val="100"/>
        </w:rPr>
        <w:t>I</w:t>
      </w:r>
      <w:r>
        <w:rPr>
          <w:w w:val="100"/>
        </w:rPr>
        <w:t>D</w:t>
      </w:r>
      <w:r>
        <w:rPr>
          <w:spacing w:val="-1"/>
          <w:w w:val="100"/>
        </w:rPr>
        <w:t>S</w:t>
      </w:r>
      <w:r>
        <w:rPr>
          <w:spacing w:val="-108"/>
          <w:w w:val="100"/>
        </w:rPr>
        <w:t>）</w:t>
      </w:r>
      <w:r>
        <w:rPr>
          <w:spacing w:val="-5"/>
          <w:w w:val="100"/>
        </w:rPr>
        <w:t>，需要满足所有</w:t>
      </w:r>
      <w:r>
        <w:rPr>
          <w:spacing w:val="-4"/>
        </w:rPr>
        <w:t>的下列条件：</w:t>
      </w:r>
    </w:p>
    <w:p>
      <w:pPr>
        <w:pStyle w:val="BodyText"/>
        <w:spacing w:line="273" w:lineRule="auto" w:before="8"/>
        <w:ind w:left="861" w:right="2125"/>
      </w:pPr>
      <w:r>
        <w:rPr/>
        <w:t>感染是由于必要的医疗性输血引起的，且是在保单生效后发生的。提供输血的机构承认责任。</w:t>
      </w:r>
    </w:p>
    <w:p>
      <w:pPr>
        <w:pStyle w:val="BodyText"/>
        <w:spacing w:before="7"/>
        <w:ind w:left="861"/>
      </w:pPr>
      <w:r>
        <w:rPr/>
        <w:t>被保险人不是血友病患者。</w:t>
      </w:r>
    </w:p>
    <w:p>
      <w:pPr>
        <w:pStyle w:val="BodyText"/>
        <w:spacing w:before="8"/>
        <w:rPr>
          <w:sz w:val="26"/>
        </w:rPr>
      </w:pPr>
    </w:p>
    <w:p>
      <w:pPr>
        <w:pStyle w:val="Heading1"/>
        <w:ind w:left="0" w:right="101"/>
        <w:jc w:val="right"/>
      </w:pPr>
      <w:r>
        <w:rPr/>
        <w:t>&lt;本页内容结束&gt;</w:t>
      </w:r>
    </w:p>
    <w:sectPr>
      <w:pgSz w:w="11910" w:h="16840"/>
      <w:pgMar w:header="0" w:footer="770" w:top="120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5.570007pt;margin-top:792.420471pt;width:87.1pt;height:13.05pt;mso-position-horizontal-relative:page;mso-position-vertical-relative:page;z-index:-11584"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10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284" w:hanging="317"/>
        <w:jc w:val="left"/>
      </w:pPr>
      <w:rPr>
        <w:rFonts w:hint="default" w:ascii="宋体" w:hAnsi="宋体" w:eastAsia="宋体" w:cs="宋体"/>
        <w:w w:val="100"/>
        <w:sz w:val="21"/>
        <w:szCs w:val="21"/>
      </w:rPr>
    </w:lvl>
    <w:lvl w:ilvl="1">
      <w:start w:val="0"/>
      <w:numFmt w:val="bullet"/>
      <w:lvlText w:val="•"/>
      <w:lvlJc w:val="left"/>
      <w:pPr>
        <w:ind w:left="2072" w:hanging="317"/>
      </w:pPr>
      <w:rPr>
        <w:rFonts w:hint="default"/>
      </w:rPr>
    </w:lvl>
    <w:lvl w:ilvl="2">
      <w:start w:val="0"/>
      <w:numFmt w:val="bullet"/>
      <w:lvlText w:val="•"/>
      <w:lvlJc w:val="left"/>
      <w:pPr>
        <w:ind w:left="2865" w:hanging="317"/>
      </w:pPr>
      <w:rPr>
        <w:rFonts w:hint="default"/>
      </w:rPr>
    </w:lvl>
    <w:lvl w:ilvl="3">
      <w:start w:val="0"/>
      <w:numFmt w:val="bullet"/>
      <w:lvlText w:val="•"/>
      <w:lvlJc w:val="left"/>
      <w:pPr>
        <w:ind w:left="3657" w:hanging="317"/>
      </w:pPr>
      <w:rPr>
        <w:rFonts w:hint="default"/>
      </w:rPr>
    </w:lvl>
    <w:lvl w:ilvl="4">
      <w:start w:val="0"/>
      <w:numFmt w:val="bullet"/>
      <w:lvlText w:val="•"/>
      <w:lvlJc w:val="left"/>
      <w:pPr>
        <w:ind w:left="4450" w:hanging="317"/>
      </w:pPr>
      <w:rPr>
        <w:rFonts w:hint="default"/>
      </w:rPr>
    </w:lvl>
    <w:lvl w:ilvl="5">
      <w:start w:val="0"/>
      <w:numFmt w:val="bullet"/>
      <w:lvlText w:val="•"/>
      <w:lvlJc w:val="left"/>
      <w:pPr>
        <w:ind w:left="5243" w:hanging="317"/>
      </w:pPr>
      <w:rPr>
        <w:rFonts w:hint="default"/>
      </w:rPr>
    </w:lvl>
    <w:lvl w:ilvl="6">
      <w:start w:val="0"/>
      <w:numFmt w:val="bullet"/>
      <w:lvlText w:val="•"/>
      <w:lvlJc w:val="left"/>
      <w:pPr>
        <w:ind w:left="6035" w:hanging="317"/>
      </w:pPr>
      <w:rPr>
        <w:rFonts w:hint="default"/>
      </w:rPr>
    </w:lvl>
    <w:lvl w:ilvl="7">
      <w:start w:val="0"/>
      <w:numFmt w:val="bullet"/>
      <w:lvlText w:val="•"/>
      <w:lvlJc w:val="left"/>
      <w:pPr>
        <w:ind w:left="6828" w:hanging="317"/>
      </w:pPr>
      <w:rPr>
        <w:rFonts w:hint="default"/>
      </w:rPr>
    </w:lvl>
    <w:lvl w:ilvl="8">
      <w:start w:val="0"/>
      <w:numFmt w:val="bullet"/>
      <w:lvlText w:val="•"/>
      <w:lvlJc w:val="left"/>
      <w:pPr>
        <w:ind w:left="7621" w:hanging="317"/>
      </w:pPr>
      <w:rPr>
        <w:rFonts w:hint="default"/>
      </w:rPr>
    </w:lvl>
  </w:abstractNum>
  <w:abstractNum w:abstractNumId="5">
    <w:multiLevelType w:val="hybridMultilevel"/>
    <w:lvl w:ilvl="0">
      <w:start w:val="1"/>
      <w:numFmt w:val="decimal"/>
      <w:lvlText w:val="%1."/>
      <w:lvlJc w:val="left"/>
      <w:pPr>
        <w:ind w:left="1284" w:hanging="317"/>
        <w:jc w:val="left"/>
      </w:pPr>
      <w:rPr>
        <w:rFonts w:hint="default" w:ascii="宋体" w:hAnsi="宋体" w:eastAsia="宋体" w:cs="宋体"/>
        <w:w w:val="100"/>
        <w:sz w:val="21"/>
        <w:szCs w:val="21"/>
      </w:rPr>
    </w:lvl>
    <w:lvl w:ilvl="1">
      <w:start w:val="0"/>
      <w:numFmt w:val="bullet"/>
      <w:lvlText w:val="•"/>
      <w:lvlJc w:val="left"/>
      <w:pPr>
        <w:ind w:left="2072" w:hanging="317"/>
      </w:pPr>
      <w:rPr>
        <w:rFonts w:hint="default"/>
      </w:rPr>
    </w:lvl>
    <w:lvl w:ilvl="2">
      <w:start w:val="0"/>
      <w:numFmt w:val="bullet"/>
      <w:lvlText w:val="•"/>
      <w:lvlJc w:val="left"/>
      <w:pPr>
        <w:ind w:left="2865" w:hanging="317"/>
      </w:pPr>
      <w:rPr>
        <w:rFonts w:hint="default"/>
      </w:rPr>
    </w:lvl>
    <w:lvl w:ilvl="3">
      <w:start w:val="0"/>
      <w:numFmt w:val="bullet"/>
      <w:lvlText w:val="•"/>
      <w:lvlJc w:val="left"/>
      <w:pPr>
        <w:ind w:left="3657" w:hanging="317"/>
      </w:pPr>
      <w:rPr>
        <w:rFonts w:hint="default"/>
      </w:rPr>
    </w:lvl>
    <w:lvl w:ilvl="4">
      <w:start w:val="0"/>
      <w:numFmt w:val="bullet"/>
      <w:lvlText w:val="•"/>
      <w:lvlJc w:val="left"/>
      <w:pPr>
        <w:ind w:left="4450" w:hanging="317"/>
      </w:pPr>
      <w:rPr>
        <w:rFonts w:hint="default"/>
      </w:rPr>
    </w:lvl>
    <w:lvl w:ilvl="5">
      <w:start w:val="0"/>
      <w:numFmt w:val="bullet"/>
      <w:lvlText w:val="•"/>
      <w:lvlJc w:val="left"/>
      <w:pPr>
        <w:ind w:left="5243" w:hanging="317"/>
      </w:pPr>
      <w:rPr>
        <w:rFonts w:hint="default"/>
      </w:rPr>
    </w:lvl>
    <w:lvl w:ilvl="6">
      <w:start w:val="0"/>
      <w:numFmt w:val="bullet"/>
      <w:lvlText w:val="•"/>
      <w:lvlJc w:val="left"/>
      <w:pPr>
        <w:ind w:left="6035" w:hanging="317"/>
      </w:pPr>
      <w:rPr>
        <w:rFonts w:hint="default"/>
      </w:rPr>
    </w:lvl>
    <w:lvl w:ilvl="7">
      <w:start w:val="0"/>
      <w:numFmt w:val="bullet"/>
      <w:lvlText w:val="•"/>
      <w:lvlJc w:val="left"/>
      <w:pPr>
        <w:ind w:left="6828" w:hanging="317"/>
      </w:pPr>
      <w:rPr>
        <w:rFonts w:hint="default"/>
      </w:rPr>
    </w:lvl>
    <w:lvl w:ilvl="8">
      <w:start w:val="0"/>
      <w:numFmt w:val="bullet"/>
      <w:lvlText w:val="•"/>
      <w:lvlJc w:val="left"/>
      <w:pPr>
        <w:ind w:left="7621" w:hanging="317"/>
      </w:pPr>
      <w:rPr>
        <w:rFonts w:hint="default"/>
      </w:rPr>
    </w:lvl>
  </w:abstractNum>
  <w:abstractNum w:abstractNumId="4">
    <w:multiLevelType w:val="hybridMultilevel"/>
    <w:lvl w:ilvl="0">
      <w:start w:val="1"/>
      <w:numFmt w:val="decimal"/>
      <w:lvlText w:val="%1."/>
      <w:lvlJc w:val="left"/>
      <w:pPr>
        <w:ind w:left="1258" w:hanging="315"/>
        <w:jc w:val="left"/>
      </w:pPr>
      <w:rPr>
        <w:rFonts w:hint="default" w:ascii="宋体" w:hAnsi="宋体" w:eastAsia="宋体" w:cs="宋体"/>
        <w:w w:val="100"/>
        <w:sz w:val="21"/>
        <w:szCs w:val="21"/>
      </w:rPr>
    </w:lvl>
    <w:lvl w:ilvl="1">
      <w:start w:val="1"/>
      <w:numFmt w:val="decimal"/>
      <w:lvlText w:val="%2."/>
      <w:lvlJc w:val="left"/>
      <w:pPr>
        <w:ind w:left="1364" w:hanging="315"/>
        <w:jc w:val="left"/>
      </w:pPr>
      <w:rPr>
        <w:rFonts w:hint="default" w:ascii="宋体" w:hAnsi="宋体" w:eastAsia="宋体" w:cs="宋体"/>
        <w:spacing w:val="-3"/>
        <w:w w:val="100"/>
        <w:sz w:val="21"/>
        <w:szCs w:val="21"/>
      </w:rPr>
    </w:lvl>
    <w:lvl w:ilvl="2">
      <w:start w:val="0"/>
      <w:numFmt w:val="bullet"/>
      <w:lvlText w:val="•"/>
      <w:lvlJc w:val="left"/>
      <w:pPr>
        <w:ind w:left="2227" w:hanging="315"/>
      </w:pPr>
      <w:rPr>
        <w:rFonts w:hint="default"/>
      </w:rPr>
    </w:lvl>
    <w:lvl w:ilvl="3">
      <w:start w:val="0"/>
      <w:numFmt w:val="bullet"/>
      <w:lvlText w:val="•"/>
      <w:lvlJc w:val="left"/>
      <w:pPr>
        <w:ind w:left="3094" w:hanging="315"/>
      </w:pPr>
      <w:rPr>
        <w:rFonts w:hint="default"/>
      </w:rPr>
    </w:lvl>
    <w:lvl w:ilvl="4">
      <w:start w:val="0"/>
      <w:numFmt w:val="bullet"/>
      <w:lvlText w:val="•"/>
      <w:lvlJc w:val="left"/>
      <w:pPr>
        <w:ind w:left="3962" w:hanging="315"/>
      </w:pPr>
      <w:rPr>
        <w:rFonts w:hint="default"/>
      </w:rPr>
    </w:lvl>
    <w:lvl w:ilvl="5">
      <w:start w:val="0"/>
      <w:numFmt w:val="bullet"/>
      <w:lvlText w:val="•"/>
      <w:lvlJc w:val="left"/>
      <w:pPr>
        <w:ind w:left="4829" w:hanging="315"/>
      </w:pPr>
      <w:rPr>
        <w:rFonts w:hint="default"/>
      </w:rPr>
    </w:lvl>
    <w:lvl w:ilvl="6">
      <w:start w:val="0"/>
      <w:numFmt w:val="bullet"/>
      <w:lvlText w:val="•"/>
      <w:lvlJc w:val="left"/>
      <w:pPr>
        <w:ind w:left="5696" w:hanging="315"/>
      </w:pPr>
      <w:rPr>
        <w:rFonts w:hint="default"/>
      </w:rPr>
    </w:lvl>
    <w:lvl w:ilvl="7">
      <w:start w:val="0"/>
      <w:numFmt w:val="bullet"/>
      <w:lvlText w:val="•"/>
      <w:lvlJc w:val="left"/>
      <w:pPr>
        <w:ind w:left="6564" w:hanging="315"/>
      </w:pPr>
      <w:rPr>
        <w:rFonts w:hint="default"/>
      </w:rPr>
    </w:lvl>
    <w:lvl w:ilvl="8">
      <w:start w:val="0"/>
      <w:numFmt w:val="bullet"/>
      <w:lvlText w:val="•"/>
      <w:lvlJc w:val="left"/>
      <w:pPr>
        <w:ind w:left="7431" w:hanging="315"/>
      </w:pPr>
      <w:rPr>
        <w:rFonts w:hint="default"/>
      </w:rPr>
    </w:lvl>
  </w:abstractNum>
  <w:abstractNum w:abstractNumId="3">
    <w:multiLevelType w:val="hybridMultilevel"/>
    <w:lvl w:ilvl="0">
      <w:start w:val="1"/>
      <w:numFmt w:val="decimal"/>
      <w:lvlText w:val="%1."/>
      <w:lvlJc w:val="left"/>
      <w:pPr>
        <w:ind w:left="1362" w:hanging="360"/>
        <w:jc w:val="left"/>
      </w:pPr>
      <w:rPr>
        <w:rFonts w:hint="default" w:ascii="宋体" w:hAnsi="宋体" w:eastAsia="宋体" w:cs="宋体"/>
        <w:w w:val="100"/>
        <w:sz w:val="21"/>
        <w:szCs w:val="21"/>
      </w:rPr>
    </w:lvl>
    <w:lvl w:ilvl="1">
      <w:start w:val="0"/>
      <w:numFmt w:val="bullet"/>
      <w:lvlText w:val="•"/>
      <w:lvlJc w:val="left"/>
      <w:pPr>
        <w:ind w:left="2150" w:hanging="360"/>
      </w:pPr>
      <w:rPr>
        <w:rFonts w:hint="default"/>
      </w:rPr>
    </w:lvl>
    <w:lvl w:ilvl="2">
      <w:start w:val="0"/>
      <w:numFmt w:val="bullet"/>
      <w:lvlText w:val="•"/>
      <w:lvlJc w:val="left"/>
      <w:pPr>
        <w:ind w:left="2941" w:hanging="360"/>
      </w:pPr>
      <w:rPr>
        <w:rFonts w:hint="default"/>
      </w:rPr>
    </w:lvl>
    <w:lvl w:ilvl="3">
      <w:start w:val="0"/>
      <w:numFmt w:val="bullet"/>
      <w:lvlText w:val="•"/>
      <w:lvlJc w:val="left"/>
      <w:pPr>
        <w:ind w:left="3731" w:hanging="360"/>
      </w:pPr>
      <w:rPr>
        <w:rFonts w:hint="default"/>
      </w:rPr>
    </w:lvl>
    <w:lvl w:ilvl="4">
      <w:start w:val="0"/>
      <w:numFmt w:val="bullet"/>
      <w:lvlText w:val="•"/>
      <w:lvlJc w:val="left"/>
      <w:pPr>
        <w:ind w:left="4522" w:hanging="360"/>
      </w:pPr>
      <w:rPr>
        <w:rFonts w:hint="default"/>
      </w:rPr>
    </w:lvl>
    <w:lvl w:ilvl="5">
      <w:start w:val="0"/>
      <w:numFmt w:val="bullet"/>
      <w:lvlText w:val="•"/>
      <w:lvlJc w:val="left"/>
      <w:pPr>
        <w:ind w:left="5313" w:hanging="360"/>
      </w:pPr>
      <w:rPr>
        <w:rFonts w:hint="default"/>
      </w:rPr>
    </w:lvl>
    <w:lvl w:ilvl="6">
      <w:start w:val="0"/>
      <w:numFmt w:val="bullet"/>
      <w:lvlText w:val="•"/>
      <w:lvlJc w:val="left"/>
      <w:pPr>
        <w:ind w:left="6103" w:hanging="360"/>
      </w:pPr>
      <w:rPr>
        <w:rFonts w:hint="default"/>
      </w:rPr>
    </w:lvl>
    <w:lvl w:ilvl="7">
      <w:start w:val="0"/>
      <w:numFmt w:val="bullet"/>
      <w:lvlText w:val="•"/>
      <w:lvlJc w:val="left"/>
      <w:pPr>
        <w:ind w:left="6894" w:hanging="360"/>
      </w:pPr>
      <w:rPr>
        <w:rFonts w:hint="default"/>
      </w:rPr>
    </w:lvl>
    <w:lvl w:ilvl="8">
      <w:start w:val="0"/>
      <w:numFmt w:val="bullet"/>
      <w:lvlText w:val="•"/>
      <w:lvlJc w:val="left"/>
      <w:pPr>
        <w:ind w:left="7685" w:hanging="360"/>
      </w:pPr>
      <w:rPr>
        <w:rFonts w:hint="default"/>
      </w:rPr>
    </w:lvl>
  </w:abstractNum>
  <w:abstractNum w:abstractNumId="2">
    <w:multiLevelType w:val="hybridMultilevel"/>
    <w:lvl w:ilvl="0">
      <w:start w:val="6"/>
      <w:numFmt w:val="decimal"/>
      <w:lvlText w:val="%1."/>
      <w:lvlJc w:val="left"/>
      <w:pPr>
        <w:ind w:left="1362" w:hanging="360"/>
        <w:jc w:val="left"/>
      </w:pPr>
      <w:rPr>
        <w:rFonts w:hint="default" w:ascii="宋体" w:hAnsi="宋体" w:eastAsia="宋体" w:cs="宋体"/>
        <w:w w:val="100"/>
        <w:sz w:val="21"/>
        <w:szCs w:val="21"/>
      </w:rPr>
    </w:lvl>
    <w:lvl w:ilvl="1">
      <w:start w:val="0"/>
      <w:numFmt w:val="bullet"/>
      <w:lvlText w:val="•"/>
      <w:lvlJc w:val="left"/>
      <w:pPr>
        <w:ind w:left="2150" w:hanging="360"/>
      </w:pPr>
      <w:rPr>
        <w:rFonts w:hint="default"/>
      </w:rPr>
    </w:lvl>
    <w:lvl w:ilvl="2">
      <w:start w:val="0"/>
      <w:numFmt w:val="bullet"/>
      <w:lvlText w:val="•"/>
      <w:lvlJc w:val="left"/>
      <w:pPr>
        <w:ind w:left="2941" w:hanging="360"/>
      </w:pPr>
      <w:rPr>
        <w:rFonts w:hint="default"/>
      </w:rPr>
    </w:lvl>
    <w:lvl w:ilvl="3">
      <w:start w:val="0"/>
      <w:numFmt w:val="bullet"/>
      <w:lvlText w:val="•"/>
      <w:lvlJc w:val="left"/>
      <w:pPr>
        <w:ind w:left="3731" w:hanging="360"/>
      </w:pPr>
      <w:rPr>
        <w:rFonts w:hint="default"/>
      </w:rPr>
    </w:lvl>
    <w:lvl w:ilvl="4">
      <w:start w:val="0"/>
      <w:numFmt w:val="bullet"/>
      <w:lvlText w:val="•"/>
      <w:lvlJc w:val="left"/>
      <w:pPr>
        <w:ind w:left="4522" w:hanging="360"/>
      </w:pPr>
      <w:rPr>
        <w:rFonts w:hint="default"/>
      </w:rPr>
    </w:lvl>
    <w:lvl w:ilvl="5">
      <w:start w:val="0"/>
      <w:numFmt w:val="bullet"/>
      <w:lvlText w:val="•"/>
      <w:lvlJc w:val="left"/>
      <w:pPr>
        <w:ind w:left="5313" w:hanging="360"/>
      </w:pPr>
      <w:rPr>
        <w:rFonts w:hint="default"/>
      </w:rPr>
    </w:lvl>
    <w:lvl w:ilvl="6">
      <w:start w:val="0"/>
      <w:numFmt w:val="bullet"/>
      <w:lvlText w:val="•"/>
      <w:lvlJc w:val="left"/>
      <w:pPr>
        <w:ind w:left="6103" w:hanging="360"/>
      </w:pPr>
      <w:rPr>
        <w:rFonts w:hint="default"/>
      </w:rPr>
    </w:lvl>
    <w:lvl w:ilvl="7">
      <w:start w:val="0"/>
      <w:numFmt w:val="bullet"/>
      <w:lvlText w:val="•"/>
      <w:lvlJc w:val="left"/>
      <w:pPr>
        <w:ind w:left="6894" w:hanging="360"/>
      </w:pPr>
      <w:rPr>
        <w:rFonts w:hint="default"/>
      </w:rPr>
    </w:lvl>
    <w:lvl w:ilvl="8">
      <w:start w:val="0"/>
      <w:numFmt w:val="bullet"/>
      <w:lvlText w:val="•"/>
      <w:lvlJc w:val="left"/>
      <w:pPr>
        <w:ind w:left="7685" w:hanging="360"/>
      </w:pPr>
      <w:rPr>
        <w:rFonts w:hint="default"/>
      </w:rPr>
    </w:lvl>
  </w:abstractNum>
  <w:abstractNum w:abstractNumId="1">
    <w:multiLevelType w:val="hybridMultilevel"/>
    <w:lvl w:ilvl="0">
      <w:start w:val="1"/>
      <w:numFmt w:val="decimal"/>
      <w:lvlText w:val="%1"/>
      <w:lvlJc w:val="left"/>
      <w:pPr>
        <w:ind w:left="102" w:hanging="183"/>
        <w:jc w:val="left"/>
      </w:pPr>
      <w:rPr>
        <w:rFonts w:hint="default"/>
        <w:w w:val="100"/>
      </w:rPr>
    </w:lvl>
    <w:lvl w:ilvl="1">
      <w:start w:val="1"/>
      <w:numFmt w:val="decimal"/>
      <w:lvlText w:val="%2."/>
      <w:lvlJc w:val="left"/>
      <w:pPr>
        <w:ind w:left="1362" w:hanging="360"/>
        <w:jc w:val="left"/>
      </w:pPr>
      <w:rPr>
        <w:rFonts w:hint="default" w:ascii="宋体" w:hAnsi="宋体" w:eastAsia="宋体" w:cs="宋体"/>
        <w:w w:val="100"/>
        <w:sz w:val="21"/>
        <w:szCs w:val="21"/>
      </w:rPr>
    </w:lvl>
    <w:lvl w:ilvl="2">
      <w:start w:val="0"/>
      <w:numFmt w:val="bullet"/>
      <w:lvlText w:val="•"/>
      <w:lvlJc w:val="left"/>
      <w:pPr>
        <w:ind w:left="1360" w:hanging="360"/>
      </w:pPr>
      <w:rPr>
        <w:rFonts w:hint="default"/>
      </w:rPr>
    </w:lvl>
    <w:lvl w:ilvl="3">
      <w:start w:val="0"/>
      <w:numFmt w:val="bullet"/>
      <w:lvlText w:val="•"/>
      <w:lvlJc w:val="left"/>
      <w:pPr>
        <w:ind w:left="2325" w:hanging="360"/>
      </w:pPr>
      <w:rPr>
        <w:rFonts w:hint="default"/>
      </w:rPr>
    </w:lvl>
    <w:lvl w:ilvl="4">
      <w:start w:val="0"/>
      <w:numFmt w:val="bullet"/>
      <w:lvlText w:val="•"/>
      <w:lvlJc w:val="left"/>
      <w:pPr>
        <w:ind w:left="3291" w:hanging="360"/>
      </w:pPr>
      <w:rPr>
        <w:rFonts w:hint="default"/>
      </w:rPr>
    </w:lvl>
    <w:lvl w:ilvl="5">
      <w:start w:val="0"/>
      <w:numFmt w:val="bullet"/>
      <w:lvlText w:val="•"/>
      <w:lvlJc w:val="left"/>
      <w:pPr>
        <w:ind w:left="4257" w:hanging="360"/>
      </w:pPr>
      <w:rPr>
        <w:rFonts w:hint="default"/>
      </w:rPr>
    </w:lvl>
    <w:lvl w:ilvl="6">
      <w:start w:val="0"/>
      <w:numFmt w:val="bullet"/>
      <w:lvlText w:val="•"/>
      <w:lvlJc w:val="left"/>
      <w:pPr>
        <w:ind w:left="5223" w:hanging="360"/>
      </w:pPr>
      <w:rPr>
        <w:rFonts w:hint="default"/>
      </w:rPr>
    </w:lvl>
    <w:lvl w:ilvl="7">
      <w:start w:val="0"/>
      <w:numFmt w:val="bullet"/>
      <w:lvlText w:val="•"/>
      <w:lvlJc w:val="left"/>
      <w:pPr>
        <w:ind w:left="6189" w:hanging="360"/>
      </w:pPr>
      <w:rPr>
        <w:rFonts w:hint="default"/>
      </w:rPr>
    </w:lvl>
    <w:lvl w:ilvl="8">
      <w:start w:val="0"/>
      <w:numFmt w:val="bullet"/>
      <w:lvlText w:val="•"/>
      <w:lvlJc w:val="left"/>
      <w:pPr>
        <w:ind w:left="7154" w:hanging="360"/>
      </w:pPr>
      <w:rPr>
        <w:rFonts w:hint="default"/>
      </w:rPr>
    </w:lvl>
  </w:abstractNum>
  <w:abstractNum w:abstractNumId="0">
    <w:multiLevelType w:val="hybridMultilevel"/>
    <w:lvl w:ilvl="0">
      <w:start w:val="1"/>
      <w:numFmt w:val="decimal"/>
      <w:lvlText w:val="%1."/>
      <w:lvlJc w:val="left"/>
      <w:pPr>
        <w:ind w:left="1676" w:hanging="317"/>
        <w:jc w:val="left"/>
      </w:pPr>
      <w:rPr>
        <w:rFonts w:hint="default" w:ascii="宋体" w:hAnsi="宋体" w:eastAsia="宋体" w:cs="宋体"/>
        <w:w w:val="100"/>
        <w:sz w:val="21"/>
        <w:szCs w:val="21"/>
      </w:rPr>
    </w:lvl>
    <w:lvl w:ilvl="1">
      <w:start w:val="0"/>
      <w:numFmt w:val="bullet"/>
      <w:lvlText w:val="•"/>
      <w:lvlJc w:val="left"/>
      <w:pPr>
        <w:ind w:left="2436" w:hanging="317"/>
      </w:pPr>
      <w:rPr>
        <w:rFonts w:hint="default"/>
      </w:rPr>
    </w:lvl>
    <w:lvl w:ilvl="2">
      <w:start w:val="0"/>
      <w:numFmt w:val="bullet"/>
      <w:lvlText w:val="•"/>
      <w:lvlJc w:val="left"/>
      <w:pPr>
        <w:ind w:left="3193" w:hanging="317"/>
      </w:pPr>
      <w:rPr>
        <w:rFonts w:hint="default"/>
      </w:rPr>
    </w:lvl>
    <w:lvl w:ilvl="3">
      <w:start w:val="0"/>
      <w:numFmt w:val="bullet"/>
      <w:lvlText w:val="•"/>
      <w:lvlJc w:val="left"/>
      <w:pPr>
        <w:ind w:left="3949" w:hanging="317"/>
      </w:pPr>
      <w:rPr>
        <w:rFonts w:hint="default"/>
      </w:rPr>
    </w:lvl>
    <w:lvl w:ilvl="4">
      <w:start w:val="0"/>
      <w:numFmt w:val="bullet"/>
      <w:lvlText w:val="•"/>
      <w:lvlJc w:val="left"/>
      <w:pPr>
        <w:ind w:left="4706" w:hanging="317"/>
      </w:pPr>
      <w:rPr>
        <w:rFonts w:hint="default"/>
      </w:rPr>
    </w:lvl>
    <w:lvl w:ilvl="5">
      <w:start w:val="0"/>
      <w:numFmt w:val="bullet"/>
      <w:lvlText w:val="•"/>
      <w:lvlJc w:val="left"/>
      <w:pPr>
        <w:ind w:left="5463" w:hanging="317"/>
      </w:pPr>
      <w:rPr>
        <w:rFonts w:hint="default"/>
      </w:rPr>
    </w:lvl>
    <w:lvl w:ilvl="6">
      <w:start w:val="0"/>
      <w:numFmt w:val="bullet"/>
      <w:lvlText w:val="•"/>
      <w:lvlJc w:val="left"/>
      <w:pPr>
        <w:ind w:left="6219" w:hanging="317"/>
      </w:pPr>
      <w:rPr>
        <w:rFonts w:hint="default"/>
      </w:rPr>
    </w:lvl>
    <w:lvl w:ilvl="7">
      <w:start w:val="0"/>
      <w:numFmt w:val="bullet"/>
      <w:lvlText w:val="•"/>
      <w:lvlJc w:val="left"/>
      <w:pPr>
        <w:ind w:left="6976" w:hanging="317"/>
      </w:pPr>
      <w:rPr>
        <w:rFonts w:hint="default"/>
      </w:rPr>
    </w:lvl>
    <w:lvl w:ilvl="8">
      <w:start w:val="0"/>
      <w:numFmt w:val="bullet"/>
      <w:lvlText w:val="•"/>
      <w:lvlJc w:val="left"/>
      <w:pPr>
        <w:ind w:left="7733" w:hanging="317"/>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2"/>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02"/>
    </w:pPr>
    <w:rPr>
      <w:rFonts w:ascii="宋体" w:hAnsi="宋体" w:eastAsia="宋体" w:cs="宋体"/>
    </w:rPr>
  </w:style>
  <w:style w:styleId="TableParagraph" w:type="paragraph">
    <w:name w:val="Table Paragraph"/>
    <w:basedOn w:val="Normal"/>
    <w:uiPriority w:val="1"/>
    <w:qFormat/>
    <w:pPr>
      <w:spacing w:line="246" w:lineRule="exact"/>
      <w:ind w:left="52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woyuan.li</dc:creator>
  <dcterms:created xsi:type="dcterms:W3CDTF">2018-10-20T00:34:31Z</dcterms:created>
  <dcterms:modified xsi:type="dcterms:W3CDTF">2018-10-20T00:34:31Z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Microsoft® Word 2010</vt:lpwstr>
  </property>
  <property fmtid="{D5CDD505-2E9C-101B-9397-08002B2CF9AE}" pid="4" name="LastSaved">
    <vt:filetime>2018-10-19T00:00:00Z</vt:filetime>
  </property>
</Properties>
</file>