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8"/>
        <w:ind w:left="0" w:right="114"/>
        <w:jc w:val="right"/>
      </w:pPr>
      <w:r>
        <w:rPr/>
        <w:drawing>
          <wp:anchor distT="0" distB="0" distL="0" distR="0" allowOverlap="1" layoutInCell="1" locked="0" behindDoc="0" simplePos="0" relativeHeight="0">
            <wp:simplePos x="0" y="0"/>
            <wp:positionH relativeFrom="page">
              <wp:posOffset>5778577</wp:posOffset>
            </wp:positionH>
            <wp:positionV relativeFrom="paragraph">
              <wp:posOffset>230524</wp:posOffset>
            </wp:positionV>
            <wp:extent cx="723845" cy="72387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45" cy="723873"/>
                    </a:xfrm>
                    <a:prstGeom prst="rect">
                      <a:avLst/>
                    </a:prstGeom>
                  </pic:spPr>
                </pic:pic>
              </a:graphicData>
            </a:graphic>
          </wp:anchor>
        </w:drawing>
      </w:r>
      <w:r>
        <w:rPr/>
        <w:t>北大方正人寿[2014]疾病保险 011 号</w:t>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3"/>
        </w:rPr>
      </w:pPr>
    </w:p>
    <w:p>
      <w:pPr>
        <w:spacing w:after="0"/>
        <w:rPr>
          <w:sz w:val="23"/>
        </w:rPr>
        <w:sectPr>
          <w:footerReference w:type="default" r:id="rId5"/>
          <w:type w:val="continuous"/>
          <w:pgSz w:w="11960" w:h="16850"/>
          <w:pgMar w:footer="1001" w:top="280" w:bottom="1200" w:left="1600" w:right="760"/>
          <w:pgNumType w:start="1"/>
        </w:sectPr>
      </w:pPr>
    </w:p>
    <w:p>
      <w:pPr>
        <w:spacing w:line="237" w:lineRule="auto" w:before="30"/>
        <w:ind w:left="2906" w:right="0" w:firstLine="0"/>
        <w:jc w:val="center"/>
        <w:rPr>
          <w:b/>
          <w:sz w:val="24"/>
        </w:rPr>
      </w:pPr>
      <w:r>
        <w:rPr>
          <w:b/>
          <w:w w:val="95"/>
          <w:sz w:val="24"/>
        </w:rPr>
        <w:t>北大方正人寿保险有限公司附加福佑今生疾病保险条款</w:t>
      </w:r>
    </w:p>
    <w:p>
      <w:pPr>
        <w:spacing w:line="330" w:lineRule="exact" w:before="0"/>
        <w:ind w:left="2907" w:right="0" w:firstLine="0"/>
        <w:jc w:val="center"/>
        <w:rPr>
          <w:b/>
          <w:sz w:val="24"/>
        </w:rPr>
      </w:pPr>
      <w:r>
        <w:rPr>
          <w:b/>
          <w:sz w:val="24"/>
        </w:rPr>
        <w:t>（</w:t>
      </w:r>
      <w:r>
        <w:rPr>
          <w:rFonts w:ascii="Times New Roman" w:eastAsia="Times New Roman"/>
          <w:b/>
          <w:sz w:val="24"/>
        </w:rPr>
        <w:t>2014 </w:t>
      </w:r>
      <w:r>
        <w:rPr>
          <w:b/>
          <w:sz w:val="24"/>
        </w:rPr>
        <w:t>年 </w:t>
      </w:r>
      <w:r>
        <w:rPr>
          <w:rFonts w:ascii="Times New Roman" w:eastAsia="Times New Roman"/>
          <w:b/>
          <w:sz w:val="24"/>
        </w:rPr>
        <w:t>7 </w:t>
      </w:r>
      <w:r>
        <w:rPr>
          <w:b/>
          <w:sz w:val="24"/>
        </w:rPr>
        <w:t>月）</w:t>
      </w:r>
    </w:p>
    <w:p>
      <w:pPr>
        <w:pStyle w:val="BodyText"/>
        <w:ind w:left="0"/>
        <w:rPr>
          <w:b/>
          <w:sz w:val="26"/>
        </w:rPr>
      </w:pPr>
    </w:p>
    <w:p>
      <w:pPr>
        <w:pStyle w:val="BodyText"/>
        <w:spacing w:before="3"/>
        <w:ind w:left="0"/>
        <w:rPr>
          <w:b/>
          <w:sz w:val="22"/>
        </w:rPr>
      </w:pPr>
    </w:p>
    <w:p>
      <w:pPr>
        <w:spacing w:before="0"/>
        <w:ind w:left="0" w:right="1230" w:firstLine="0"/>
        <w:jc w:val="right"/>
        <w:rPr>
          <w:sz w:val="21"/>
        </w:rPr>
      </w:pPr>
      <w:r>
        <w:rPr>
          <w:sz w:val="21"/>
        </w:rPr>
        <w:t>目录</w:t>
      </w:r>
    </w:p>
    <w:p>
      <w:pPr>
        <w:pStyle w:val="BodyText"/>
        <w:spacing w:before="3"/>
        <w:ind w:left="0"/>
        <w:rPr>
          <w:sz w:val="13"/>
        </w:rPr>
      </w:pPr>
      <w:r>
        <w:rPr/>
        <w:br w:type="column"/>
      </w:r>
      <w:r>
        <w:rPr>
          <w:sz w:val="13"/>
        </w:rPr>
      </w:r>
    </w:p>
    <w:p>
      <w:pPr>
        <w:pStyle w:val="BodyText"/>
        <w:ind w:left="1297"/>
      </w:pPr>
      <w:r>
        <w:rPr/>
        <w:t>请扫描以查询验证条款</w:t>
      </w:r>
    </w:p>
    <w:p>
      <w:pPr>
        <w:spacing w:after="0"/>
        <w:sectPr>
          <w:type w:val="continuous"/>
          <w:pgSz w:w="11960" w:h="16850"/>
          <w:pgMar w:top="280" w:bottom="1200" w:left="1600" w:right="760"/>
          <w:cols w:num="2" w:equalWidth="0">
            <w:col w:w="5798" w:space="40"/>
            <w:col w:w="3762"/>
          </w:cols>
        </w:sectPr>
      </w:pPr>
    </w:p>
    <w:p>
      <w:pPr>
        <w:pStyle w:val="BodyText"/>
        <w:spacing w:before="9"/>
        <w:ind w:left="0"/>
        <w:rPr>
          <w:sz w:val="9"/>
        </w:rPr>
      </w:pPr>
    </w:p>
    <w:sdt>
      <w:sdtPr>
        <w:docPartObj>
          <w:docPartGallery w:val="Table of Contents"/>
          <w:docPartUnique/>
        </w:docPartObj>
      </w:sdtPr>
      <w:sdtEndPr/>
      <w:sdtContent>
        <w:p>
          <w:pPr>
            <w:pStyle w:val="TOC1"/>
            <w:tabs>
              <w:tab w:pos="8401" w:val="left" w:leader="middleDot"/>
            </w:tabs>
            <w:rPr>
              <w:rFonts w:ascii="Times New Roman" w:hAnsi="Times New Roman" w:eastAsia="Times New Roman"/>
            </w:rPr>
          </w:pPr>
          <w:r>
            <w:rPr/>
            <w:t>第一部分</w:t>
          </w:r>
          <w:r>
            <w:rPr>
              <w:spacing w:val="-53"/>
            </w:rPr>
            <w:t> </w:t>
          </w:r>
          <w:r>
            <w:rPr>
              <w:rFonts w:ascii="Calibri" w:hAnsi="Calibri" w:eastAsia="Calibri"/>
            </w:rPr>
            <w:t>······</w:t>
          </w:r>
          <w:r>
            <w:rPr>
              <w:rFonts w:ascii="Calibri" w:hAnsi="Calibri" w:eastAsia="Calibri"/>
              <w:spacing w:val="-25"/>
            </w:rPr>
            <w:t> </w:t>
          </w:r>
          <w:r>
            <w:rPr/>
            <w:t>您（投保人）与我们（北大方正人寿保险有限公司）的合同</w:t>
            <w:tab/>
          </w:r>
          <w:r>
            <w:rPr>
              <w:rFonts w:ascii="Times New Roman" w:hAnsi="Times New Roman" w:eastAsia="Times New Roman"/>
              <w:spacing w:val="-6"/>
            </w:rPr>
            <w:t>2·····</w:t>
          </w:r>
        </w:p>
        <w:p>
          <w:pPr>
            <w:pStyle w:val="TOC4"/>
            <w:tabs>
              <w:tab w:pos="1361" w:val="left" w:leader="none"/>
              <w:tab w:pos="8488" w:val="left" w:leader="middleDot"/>
            </w:tabs>
            <w:spacing w:before="182"/>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4"/>
            <w:tabs>
              <w:tab w:pos="1361" w:val="left" w:leader="none"/>
              <w:tab w:pos="8488" w:val="left" w:leader="middleDot"/>
            </w:tabs>
            <w:spacing w:before="56"/>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4"/>
            <w:tabs>
              <w:tab w:pos="1361" w:val="left" w:leader="none"/>
              <w:tab w:pos="8488" w:val="left" w:leader="middleDot"/>
            </w:tabs>
            <w:spacing w:before="56"/>
            <w:rPr>
              <w:rFonts w:ascii="Times New Roman" w:hAnsi="Times New Roman" w:eastAsia="Times New Roman"/>
              <w:b w:val="0"/>
              <w:i w:val="0"/>
              <w:sz w:val="21"/>
            </w:rPr>
          </w:pPr>
          <w:hyperlink w:history="true" w:anchor="_TOC_250014">
            <w:r>
              <w:rPr>
                <w:b w:val="0"/>
                <w:i w:val="0"/>
                <w:sz w:val="18"/>
              </w:rPr>
              <w:t>第三条</w:t>
              <w:tab/>
              <w:t>保险期间</w:t>
              <w:tab/>
            </w:r>
            <w:r>
              <w:rPr>
                <w:rFonts w:ascii="Times New Roman" w:hAnsi="Times New Roman" w:eastAsia="Times New Roman"/>
                <w:b w:val="0"/>
                <w:i w:val="0"/>
                <w:spacing w:val="-9"/>
                <w:sz w:val="21"/>
              </w:rPr>
              <w:t>2···</w:t>
            </w:r>
          </w:hyperlink>
        </w:p>
        <w:p>
          <w:pPr>
            <w:pStyle w:val="TOC3"/>
            <w:tabs>
              <w:tab w:pos="1361" w:val="left" w:leader="none"/>
              <w:tab w:pos="8488" w:val="left" w:leader="middleDot"/>
            </w:tabs>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4"/>
            <w:tabs>
              <w:tab w:pos="1361" w:val="left" w:leader="none"/>
              <w:tab w:pos="8488" w:val="left" w:leader="middleDot"/>
            </w:tabs>
            <w:spacing w:before="56"/>
            <w:rPr>
              <w:rFonts w:ascii="Times New Roman" w:hAnsi="Times New Roman" w:eastAsia="Times New Roman"/>
              <w:b w:val="0"/>
              <w:i w:val="0"/>
              <w:sz w:val="21"/>
            </w:rPr>
          </w:pPr>
          <w:hyperlink w:history="true" w:anchor="_TOC_250013">
            <w:r>
              <w:rPr>
                <w:b w:val="0"/>
                <w:i w:val="0"/>
                <w:sz w:val="18"/>
              </w:rPr>
              <w:t>第五条</w:t>
              <w:tab/>
              <w:t>犹豫期</w:t>
              <w:tab/>
            </w:r>
            <w:r>
              <w:rPr>
                <w:rFonts w:ascii="Times New Roman" w:hAnsi="Times New Roman" w:eastAsia="Times New Roman"/>
                <w:b w:val="0"/>
                <w:i w:val="0"/>
                <w:spacing w:val="-11"/>
                <w:sz w:val="21"/>
              </w:rPr>
              <w:t>2····</w:t>
            </w:r>
          </w:hyperlink>
        </w:p>
        <w:p>
          <w:pPr>
            <w:pStyle w:val="TOC2"/>
            <w:tabs>
              <w:tab w:pos="8724" w:val="right" w:leader="middleDot"/>
            </w:tabs>
            <w:rPr>
              <w:rFonts w:ascii="Times New Roman" w:hAnsi="Times New Roman" w:eastAsia="Times New Roman"/>
            </w:rPr>
          </w:pPr>
          <w:hyperlink w:history="true" w:anchor="_TOC_250012">
            <w:r>
              <w:rPr/>
              <w:t>第二部分</w:t>
            </w:r>
            <w:r>
              <w:rPr>
                <w:spacing w:val="-51"/>
              </w:rPr>
              <w:t> </w:t>
            </w:r>
            <w:r>
              <w:rPr>
                <w:rFonts w:ascii="Calibri" w:hAnsi="Calibri" w:eastAsia="Calibri"/>
              </w:rPr>
              <w:t>······</w:t>
            </w:r>
            <w:r>
              <w:rPr>
                <w:rFonts w:ascii="Calibri" w:hAnsi="Calibri" w:eastAsia="Calibri"/>
                <w:spacing w:val="-23"/>
              </w:rPr>
              <w:t> </w:t>
            </w:r>
            <w:r>
              <w:rPr/>
              <w:t>我们提供的保障</w:t>
              <w:tab/>
            </w:r>
            <w:r>
              <w:rPr>
                <w:rFonts w:ascii="Times New Roman" w:hAnsi="Times New Roman" w:eastAsia="Times New Roman"/>
                <w:spacing w:val="-13"/>
              </w:rPr>
              <w:t>2···</w:t>
            </w:r>
          </w:hyperlink>
        </w:p>
        <w:p>
          <w:pPr>
            <w:pStyle w:val="TOC4"/>
            <w:tabs>
              <w:tab w:pos="1361" w:val="left" w:leader="none"/>
              <w:tab w:pos="8652" w:val="right" w:leader="middleDot"/>
            </w:tabs>
            <w:spacing w:before="182"/>
            <w:rPr>
              <w:rFonts w:ascii="Times New Roman" w:hAnsi="Times New Roman" w:eastAsia="Times New Roman"/>
              <w:b w:val="0"/>
              <w:i w:val="0"/>
              <w:sz w:val="21"/>
            </w:rPr>
          </w:pPr>
          <w:hyperlink w:history="true" w:anchor="_TOC_250011">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4"/>
            <w:tabs>
              <w:tab w:pos="1361" w:val="left" w:leader="none"/>
              <w:tab w:pos="8774" w:val="right" w:leader="middleDot"/>
            </w:tabs>
            <w:rPr>
              <w:rFonts w:ascii="Times New Roman" w:hAnsi="Times New Roman" w:eastAsia="Times New Roman"/>
              <w:b w:val="0"/>
              <w:i w:val="0"/>
              <w:sz w:val="21"/>
            </w:rPr>
          </w:pPr>
          <w:r>
            <w:rPr>
              <w:b w:val="0"/>
              <w:i w:val="0"/>
              <w:sz w:val="18"/>
            </w:rPr>
            <w:t>第七条</w:t>
            <w:tab/>
            <w:t>保险责任</w:t>
            <w:tab/>
          </w:r>
          <w:r>
            <w:rPr>
              <w:rFonts w:ascii="Times New Roman" w:hAnsi="Times New Roman" w:eastAsia="Times New Roman"/>
              <w:b w:val="0"/>
              <w:i w:val="0"/>
              <w:spacing w:val="-9"/>
              <w:sz w:val="21"/>
            </w:rPr>
            <w:t>2···</w:t>
          </w:r>
        </w:p>
        <w:p>
          <w:pPr>
            <w:pStyle w:val="TOC4"/>
            <w:tabs>
              <w:tab w:pos="1361" w:val="left" w:leader="none"/>
              <w:tab w:pos="8774" w:val="right" w:leader="middleDot"/>
            </w:tabs>
            <w:rPr>
              <w:rFonts w:ascii="Times New Roman" w:hAnsi="Times New Roman" w:eastAsia="Times New Roman"/>
              <w:b w:val="0"/>
              <w:i w:val="0"/>
              <w:sz w:val="21"/>
            </w:rPr>
          </w:pPr>
          <w:hyperlink w:history="true" w:anchor="_TOC_250010">
            <w:r>
              <w:rPr>
                <w:b w:val="0"/>
                <w:i w:val="0"/>
                <w:sz w:val="18"/>
              </w:rPr>
              <w:t>第八条</w:t>
              <w:tab/>
              <w:t>责任免除</w:t>
              <w:tab/>
            </w:r>
            <w:r>
              <w:rPr>
                <w:rFonts w:ascii="Times New Roman" w:hAnsi="Times New Roman" w:eastAsia="Times New Roman"/>
                <w:b w:val="0"/>
                <w:i w:val="0"/>
                <w:spacing w:val="-9"/>
                <w:sz w:val="21"/>
              </w:rPr>
              <w:t>4···</w:t>
            </w:r>
          </w:hyperlink>
        </w:p>
        <w:p>
          <w:pPr>
            <w:pStyle w:val="TOC2"/>
            <w:tabs>
              <w:tab w:pos="8907" w:val="right" w:leader="middleDot"/>
            </w:tabs>
            <w:rPr>
              <w:rFonts w:ascii="Times New Roman" w:hAnsi="Times New Roman" w:eastAsia="Times New Roman"/>
            </w:rPr>
          </w:pPr>
          <w:hyperlink w:history="true" w:anchor="_TOC_250009">
            <w:r>
              <w:rPr/>
              <w:t>第三部分</w:t>
            </w:r>
            <w:r>
              <w:rPr>
                <w:spacing w:val="-51"/>
              </w:rPr>
              <w:t> </w:t>
            </w:r>
            <w:r>
              <w:rPr>
                <w:rFonts w:ascii="Calibri" w:hAnsi="Calibri" w:eastAsia="Calibri"/>
              </w:rPr>
              <w:t>······</w:t>
            </w:r>
            <w:r>
              <w:rPr>
                <w:rFonts w:ascii="Calibri" w:hAnsi="Calibri" w:eastAsia="Calibri"/>
                <w:spacing w:val="-23"/>
              </w:rPr>
              <w:t> </w:t>
            </w:r>
            <w:r>
              <w:rPr/>
              <w:t>如何申请领取保险金</w:t>
              <w:tab/>
            </w:r>
            <w:r>
              <w:rPr>
                <w:rFonts w:ascii="Times New Roman" w:hAnsi="Times New Roman" w:eastAsia="Times New Roman"/>
                <w:spacing w:val="-7"/>
              </w:rPr>
              <w:t>4······</w:t>
            </w:r>
          </w:hyperlink>
        </w:p>
        <w:p>
          <w:pPr>
            <w:pStyle w:val="TOC4"/>
            <w:tabs>
              <w:tab w:pos="1361" w:val="left" w:leader="none"/>
              <w:tab w:pos="8836" w:val="right" w:leader="middleDot"/>
            </w:tabs>
            <w:spacing w:before="183"/>
            <w:rPr>
              <w:rFonts w:ascii="Times New Roman" w:hAnsi="Times New Roman" w:eastAsia="Times New Roman"/>
              <w:b w:val="0"/>
              <w:i w:val="0"/>
              <w:sz w:val="21"/>
            </w:rPr>
          </w:pPr>
          <w:hyperlink w:history="true" w:anchor="_TOC_250008">
            <w:r>
              <w:rPr>
                <w:b w:val="0"/>
                <w:i w:val="0"/>
                <w:sz w:val="18"/>
              </w:rPr>
              <w:t>第九条</w:t>
              <w:tab/>
              <w:t>受益人的指定和变更</w:t>
              <w:tab/>
            </w:r>
            <w:r>
              <w:rPr>
                <w:rFonts w:ascii="Times New Roman" w:hAnsi="Times New Roman" w:eastAsia="Times New Roman"/>
                <w:b w:val="0"/>
                <w:i w:val="0"/>
                <w:spacing w:val="-9"/>
                <w:sz w:val="21"/>
              </w:rPr>
              <w:t>4····</w:t>
            </w:r>
          </w:hyperlink>
        </w:p>
        <w:p>
          <w:pPr>
            <w:pStyle w:val="TOC4"/>
            <w:tabs>
              <w:tab w:pos="1361" w:val="left" w:leader="none"/>
              <w:tab w:pos="8774" w:val="right" w:leader="middleDot"/>
            </w:tabs>
            <w:spacing w:before="56"/>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9"/>
              <w:sz w:val="21"/>
            </w:rPr>
            <w:t>4···</w:t>
          </w:r>
        </w:p>
        <w:p>
          <w:pPr>
            <w:pStyle w:val="TOC4"/>
            <w:tabs>
              <w:tab w:pos="1361" w:val="left" w:leader="none"/>
              <w:tab w:pos="8774" w:val="right" w:leader="middleDot"/>
            </w:tabs>
            <w:spacing w:before="56"/>
            <w:rPr>
              <w:rFonts w:ascii="Times New Roman" w:hAnsi="Times New Roman" w:eastAsia="Times New Roman"/>
              <w:b w:val="0"/>
              <w:i w:val="0"/>
              <w:sz w:val="21"/>
            </w:rPr>
          </w:pPr>
          <w:hyperlink w:history="true" w:anchor="_TOC_250007">
            <w:r>
              <w:rPr>
                <w:b w:val="0"/>
                <w:i w:val="0"/>
                <w:sz w:val="18"/>
              </w:rPr>
              <w:t>第十一条</w:t>
              <w:tab/>
              <w:t>诉讼时效</w:t>
              <w:tab/>
            </w:r>
            <w:r>
              <w:rPr>
                <w:rFonts w:ascii="Times New Roman" w:hAnsi="Times New Roman" w:eastAsia="Times New Roman"/>
                <w:b w:val="0"/>
                <w:i w:val="0"/>
                <w:spacing w:val="-9"/>
                <w:sz w:val="21"/>
              </w:rPr>
              <w:t>5···</w:t>
            </w:r>
          </w:hyperlink>
        </w:p>
        <w:p>
          <w:pPr>
            <w:pStyle w:val="TOC2"/>
            <w:tabs>
              <w:tab w:pos="8724" w:val="right" w:leader="middleDot"/>
            </w:tabs>
            <w:rPr>
              <w:rFonts w:ascii="Times New Roman" w:hAnsi="Times New Roman" w:eastAsia="Times New Roman"/>
            </w:rPr>
          </w:pPr>
          <w:hyperlink w:history="true" w:anchor="_TOC_250006">
            <w:r>
              <w:rPr/>
              <w:t>第四部分</w:t>
            </w:r>
            <w:r>
              <w:rPr>
                <w:spacing w:val="-51"/>
              </w:rPr>
              <w:t> </w:t>
            </w:r>
            <w:r>
              <w:rPr>
                <w:rFonts w:ascii="Calibri" w:hAnsi="Calibri" w:eastAsia="Calibri"/>
              </w:rPr>
              <w:t>······</w:t>
            </w:r>
            <w:r>
              <w:rPr>
                <w:rFonts w:ascii="Calibri" w:hAnsi="Calibri" w:eastAsia="Calibri"/>
                <w:spacing w:val="-23"/>
              </w:rPr>
              <w:t> </w:t>
            </w:r>
            <w:r>
              <w:rPr/>
              <w:t>如何交纳保险费</w:t>
              <w:tab/>
            </w:r>
            <w:r>
              <w:rPr>
                <w:rFonts w:ascii="Times New Roman" w:hAnsi="Times New Roman" w:eastAsia="Times New Roman"/>
                <w:spacing w:val="-13"/>
              </w:rPr>
              <w:t>5···</w:t>
            </w:r>
          </w:hyperlink>
        </w:p>
        <w:p>
          <w:pPr>
            <w:pStyle w:val="TOC4"/>
            <w:tabs>
              <w:tab w:pos="1361" w:val="left" w:leader="none"/>
              <w:tab w:pos="8652" w:val="right" w:leader="middleDot"/>
            </w:tabs>
            <w:spacing w:before="182"/>
            <w:rPr>
              <w:rFonts w:ascii="Times New Roman" w:hAnsi="Times New Roman" w:eastAsia="Times New Roman"/>
              <w:b w:val="0"/>
              <w:i w:val="0"/>
              <w:sz w:val="21"/>
            </w:rPr>
          </w:pPr>
          <w:hyperlink w:history="true" w:anchor="_TOC_250005">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8595" w:val="right" w:leader="middleDot"/>
            </w:tabs>
            <w:rPr>
              <w:rFonts w:ascii="Times New Roman" w:hAnsi="Times New Roman" w:eastAsia="Times New Roman"/>
              <w:b/>
            </w:rPr>
          </w:pPr>
          <w:hyperlink w:history="true" w:anchor="_TOC_250004">
            <w:r>
              <w:rPr/>
              <w:t>第五部分</w:t>
            </w:r>
            <w:r>
              <w:rPr>
                <w:spacing w:val="-51"/>
              </w:rPr>
              <w:t> </w:t>
            </w:r>
            <w:r>
              <w:rPr>
                <w:rFonts w:ascii="Calibri" w:hAnsi="Calibri" w:eastAsia="Calibri"/>
              </w:rPr>
              <w:t>······</w:t>
            </w:r>
            <w:r>
              <w:rPr>
                <w:rFonts w:ascii="Calibri" w:hAnsi="Calibri" w:eastAsia="Calibri"/>
                <w:spacing w:val="-23"/>
              </w:rPr>
              <w:t> </w:t>
            </w:r>
            <w:r>
              <w:rPr/>
              <w:t>现金价值权益</w:t>
              <w:tab/>
            </w:r>
            <w:r>
              <w:rPr>
                <w:rFonts w:ascii="Times New Roman" w:hAnsi="Times New Roman" w:eastAsia="Times New Roman"/>
                <w:spacing w:val="-29"/>
              </w:rPr>
              <w:t>5</w:t>
            </w:r>
            <w:r>
              <w:rPr>
                <w:rFonts w:ascii="Times New Roman" w:hAnsi="Times New Roman" w:eastAsia="Times New Roman"/>
                <w:b/>
                <w:spacing w:val="-29"/>
              </w:rPr>
              <w:t>·</w:t>
            </w:r>
          </w:hyperlink>
        </w:p>
        <w:p>
          <w:pPr>
            <w:pStyle w:val="TOC4"/>
            <w:tabs>
              <w:tab w:pos="1361" w:val="left" w:leader="none"/>
              <w:tab w:pos="8774" w:val="right" w:leader="middleDot"/>
            </w:tabs>
            <w:spacing w:before="182"/>
            <w:rPr>
              <w:rFonts w:ascii="Times New Roman" w:hAnsi="Times New Roman" w:eastAsia="Times New Roman"/>
              <w:b w:val="0"/>
              <w:i w:val="0"/>
              <w:sz w:val="21"/>
            </w:rPr>
          </w:pPr>
          <w:hyperlink w:history="true" w:anchor="_TOC_250003">
            <w:r>
              <w:rPr>
                <w:b w:val="0"/>
                <w:i w:val="0"/>
                <w:sz w:val="18"/>
              </w:rPr>
              <w:t>第十三条</w:t>
              <w:tab/>
              <w:t>现金价值</w:t>
              <w:tab/>
            </w:r>
            <w:r>
              <w:rPr>
                <w:rFonts w:ascii="Times New Roman" w:hAnsi="Times New Roman" w:eastAsia="Times New Roman"/>
                <w:b w:val="0"/>
                <w:i w:val="0"/>
                <w:spacing w:val="-9"/>
                <w:sz w:val="21"/>
              </w:rPr>
              <w:t>5···</w:t>
            </w:r>
          </w:hyperlink>
        </w:p>
        <w:p>
          <w:pPr>
            <w:pStyle w:val="TOC4"/>
            <w:tabs>
              <w:tab w:pos="1361" w:val="left" w:leader="none"/>
              <w:tab w:pos="8774" w:val="right" w:leader="middleDot"/>
            </w:tabs>
            <w:rPr>
              <w:rFonts w:ascii="Times New Roman" w:hAnsi="Times New Roman" w:eastAsia="Times New Roman"/>
              <w:b w:val="0"/>
              <w:i w:val="0"/>
              <w:sz w:val="21"/>
            </w:rPr>
          </w:pPr>
          <w:r>
            <w:rPr>
              <w:b w:val="0"/>
              <w:i w:val="0"/>
              <w:sz w:val="18"/>
            </w:rPr>
            <w:t>第十四条</w:t>
            <w:tab/>
            <w:t>减额交清</w:t>
            <w:tab/>
          </w:r>
          <w:r>
            <w:rPr>
              <w:rFonts w:ascii="Times New Roman" w:hAnsi="Times New Roman" w:eastAsia="Times New Roman"/>
              <w:b w:val="0"/>
              <w:i w:val="0"/>
              <w:spacing w:val="-9"/>
              <w:sz w:val="21"/>
            </w:rPr>
            <w:t>5···</w:t>
          </w:r>
        </w:p>
        <w:p>
          <w:pPr>
            <w:pStyle w:val="TOC2"/>
            <w:tabs>
              <w:tab w:pos="8724" w:val="right" w:leader="middleDot"/>
            </w:tabs>
            <w:rPr>
              <w:rFonts w:ascii="Times New Roman" w:hAnsi="Times New Roman" w:eastAsia="Times New Roman"/>
            </w:rPr>
          </w:pPr>
          <w:r>
            <w:rPr/>
            <w:t>第六部分</w:t>
          </w:r>
          <w:r>
            <w:rPr>
              <w:spacing w:val="-51"/>
            </w:rPr>
            <w:t> </w:t>
          </w:r>
          <w:r>
            <w:rPr>
              <w:rFonts w:ascii="Calibri" w:hAnsi="Calibri" w:eastAsia="Calibri"/>
            </w:rPr>
            <w:t>······</w:t>
          </w:r>
          <w:r>
            <w:rPr>
              <w:rFonts w:ascii="Calibri" w:hAnsi="Calibri" w:eastAsia="Calibri"/>
              <w:spacing w:val="-23"/>
            </w:rPr>
            <w:t> </w:t>
          </w:r>
          <w:r>
            <w:rPr/>
            <w:t>合同效力的终止</w:t>
            <w:tab/>
          </w:r>
          <w:r>
            <w:rPr>
              <w:rFonts w:ascii="Times New Roman" w:hAnsi="Times New Roman" w:eastAsia="Times New Roman"/>
              <w:spacing w:val="-13"/>
            </w:rPr>
            <w:t>5···</w:t>
          </w:r>
        </w:p>
        <w:p>
          <w:pPr>
            <w:pStyle w:val="TOC4"/>
            <w:tabs>
              <w:tab w:pos="1361" w:val="left" w:leader="none"/>
              <w:tab w:pos="8984" w:val="right" w:leader="middleDot"/>
            </w:tabs>
            <w:spacing w:before="183"/>
            <w:rPr>
              <w:rFonts w:ascii="Times New Roman" w:hAnsi="Times New Roman" w:eastAsia="Times New Roman"/>
              <w:b w:val="0"/>
              <w:i w:val="0"/>
              <w:sz w:val="21"/>
            </w:rPr>
          </w:pPr>
          <w:r>
            <w:rPr>
              <w:b w:val="0"/>
              <w:i w:val="0"/>
              <w:sz w:val="18"/>
            </w:rPr>
            <w:t>第十五条</w:t>
            <w:tab/>
            <w:t>您主动解除合同的权利</w:t>
            <w:tab/>
          </w:r>
          <w:r>
            <w:rPr>
              <w:rFonts w:ascii="Times New Roman" w:hAnsi="Times New Roman" w:eastAsia="Times New Roman"/>
              <w:b w:val="0"/>
              <w:i w:val="0"/>
              <w:spacing w:val="-6"/>
              <w:sz w:val="21"/>
            </w:rPr>
            <w:t>5······</w:t>
          </w:r>
        </w:p>
        <w:p>
          <w:pPr>
            <w:pStyle w:val="TOC3"/>
            <w:tabs>
              <w:tab w:pos="1361" w:val="left" w:leader="none"/>
              <w:tab w:pos="8600" w:val="right" w:leader="middleDot"/>
            </w:tabs>
            <w:rPr>
              <w:rFonts w:ascii="Times New Roman" w:hAnsi="Times New Roman" w:eastAsia="Times New Roman"/>
              <w:sz w:val="21"/>
            </w:rPr>
          </w:pPr>
          <w:r>
            <w:rPr/>
            <w:t>第十六条</w:t>
            <w:tab/>
            <w:t>合同效力的终止</w:t>
            <w:tab/>
          </w:r>
          <w:r>
            <w:rPr>
              <w:rFonts w:ascii="Times New Roman" w:hAnsi="Times New Roman" w:eastAsia="Times New Roman"/>
              <w:spacing w:val="-33"/>
              <w:sz w:val="21"/>
            </w:rPr>
            <w:t>5·</w:t>
          </w:r>
        </w:p>
        <w:p>
          <w:pPr>
            <w:pStyle w:val="TOC2"/>
            <w:tabs>
              <w:tab w:pos="8848" w:val="right" w:leader="middleDot"/>
            </w:tabs>
            <w:rPr>
              <w:rFonts w:ascii="Times New Roman" w:hAnsi="Times New Roman" w:eastAsia="Times New Roman"/>
            </w:rPr>
          </w:pPr>
          <w:r>
            <w:rPr/>
            <w:t>第七部分</w:t>
          </w:r>
          <w:r>
            <w:rPr>
              <w:spacing w:val="-51"/>
            </w:rPr>
            <w:t> </w:t>
          </w:r>
          <w:r>
            <w:rPr>
              <w:rFonts w:ascii="Calibri" w:hAnsi="Calibri" w:eastAsia="Calibri"/>
            </w:rPr>
            <w:t>······</w:t>
          </w:r>
          <w:r>
            <w:rPr>
              <w:rFonts w:ascii="Calibri" w:hAnsi="Calibri" w:eastAsia="Calibri"/>
              <w:spacing w:val="-23"/>
            </w:rPr>
            <w:t> </w:t>
          </w:r>
          <w:r>
            <w:rPr/>
            <w:t>您必须了解的其他事项</w:t>
            <w:tab/>
          </w:r>
          <w:r>
            <w:rPr>
              <w:rFonts w:ascii="Times New Roman" w:hAnsi="Times New Roman" w:eastAsia="Times New Roman"/>
              <w:spacing w:val="-8"/>
            </w:rPr>
            <w:t>5·····</w:t>
          </w:r>
        </w:p>
        <w:p>
          <w:pPr>
            <w:pStyle w:val="TOC4"/>
            <w:tabs>
              <w:tab w:pos="1361" w:val="left" w:leader="none"/>
              <w:tab w:pos="8836" w:val="right" w:leader="middleDot"/>
            </w:tabs>
            <w:spacing w:before="182"/>
            <w:rPr>
              <w:rFonts w:ascii="Times New Roman" w:hAnsi="Times New Roman" w:eastAsia="Times New Roman"/>
              <w:b w:val="0"/>
              <w:i w:val="0"/>
              <w:sz w:val="21"/>
            </w:rPr>
          </w:pPr>
          <w:r>
            <w:rPr>
              <w:b w:val="0"/>
              <w:i w:val="0"/>
              <w:sz w:val="18"/>
            </w:rPr>
            <w:t>第十七条</w:t>
            <w:tab/>
            <w:t>明确说明与如实告知</w:t>
            <w:tab/>
          </w:r>
          <w:r>
            <w:rPr>
              <w:rFonts w:ascii="Times New Roman" w:hAnsi="Times New Roman" w:eastAsia="Times New Roman"/>
              <w:b w:val="0"/>
              <w:i w:val="0"/>
              <w:spacing w:val="-9"/>
              <w:sz w:val="21"/>
            </w:rPr>
            <w:t>5····</w:t>
          </w:r>
        </w:p>
        <w:p>
          <w:pPr>
            <w:pStyle w:val="TOC4"/>
            <w:tabs>
              <w:tab w:pos="1361" w:val="left" w:leader="none"/>
              <w:tab w:pos="8932" w:val="right" w:leader="middleDot"/>
            </w:tabs>
            <w:rPr>
              <w:rFonts w:ascii="Times New Roman" w:hAnsi="Times New Roman" w:eastAsia="Times New Roman"/>
              <w:b w:val="0"/>
              <w:i w:val="0"/>
              <w:sz w:val="21"/>
            </w:rPr>
          </w:pPr>
          <w:hyperlink w:history="true" w:anchor="_TOC_250002">
            <w:r>
              <w:rPr>
                <w:b w:val="0"/>
                <w:i w:val="0"/>
                <w:w w:val="100"/>
                <w:sz w:val="18"/>
              </w:rPr>
              <w:t>第十八条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6</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4"/>
            <w:tabs>
              <w:tab w:pos="1361" w:val="left" w:leader="none"/>
              <w:tab w:pos="8774" w:val="right" w:leader="middleDot"/>
            </w:tabs>
            <w:rPr>
              <w:rFonts w:ascii="Times New Roman" w:hAnsi="Times New Roman" w:eastAsia="Times New Roman"/>
              <w:b w:val="0"/>
              <w:i w:val="0"/>
              <w:sz w:val="21"/>
            </w:rPr>
          </w:pPr>
          <w:hyperlink w:history="true" w:anchor="_TOC_250001">
            <w:r>
              <w:rPr>
                <w:b w:val="0"/>
                <w:i w:val="0"/>
                <w:sz w:val="18"/>
              </w:rPr>
              <w:t>第十九条</w:t>
              <w:tab/>
              <w:t>未还款项</w:t>
              <w:tab/>
            </w:r>
            <w:r>
              <w:rPr>
                <w:rFonts w:ascii="Times New Roman" w:hAnsi="Times New Roman" w:eastAsia="Times New Roman"/>
                <w:b w:val="0"/>
                <w:i w:val="0"/>
                <w:spacing w:val="-9"/>
                <w:sz w:val="21"/>
              </w:rPr>
              <w:t>6···</w:t>
            </w:r>
          </w:hyperlink>
        </w:p>
        <w:p>
          <w:pPr>
            <w:pStyle w:val="TOC2"/>
            <w:tabs>
              <w:tab w:pos="8833" w:val="right" w:leader="middleDot"/>
            </w:tabs>
            <w:rPr>
              <w:rFonts w:ascii="Times New Roman" w:hAnsi="Times New Roman" w:eastAsia="Times New Roman"/>
            </w:rPr>
          </w:pPr>
          <w:hyperlink w:history="true" w:anchor="_TOC_250000">
            <w:r>
              <w:rPr/>
              <w:t>第八部分</w:t>
            </w:r>
            <w:r>
              <w:rPr>
                <w:spacing w:val="-51"/>
              </w:rPr>
              <w:t> </w:t>
            </w:r>
            <w:r>
              <w:rPr>
                <w:rFonts w:ascii="Calibri" w:hAnsi="Calibri" w:eastAsia="Calibri"/>
              </w:rPr>
              <w:t>······</w:t>
            </w:r>
            <w:r>
              <w:rPr>
                <w:rFonts w:ascii="Calibri" w:hAnsi="Calibri" w:eastAsia="Calibri"/>
                <w:spacing w:val="-23"/>
              </w:rPr>
              <w:t> </w:t>
            </w:r>
            <w:r>
              <w:rPr/>
              <w:t>释义</w:t>
              <w:tab/>
            </w:r>
            <w:r>
              <w:rPr>
                <w:rFonts w:ascii="Times New Roman" w:hAnsi="Times New Roman" w:eastAsia="Times New Roman"/>
                <w:spacing w:val="-11"/>
              </w:rPr>
              <w:t>6·····</w:t>
            </w:r>
          </w:hyperlink>
        </w:p>
      </w:sdtContent>
    </w:sdt>
    <w:p>
      <w:pPr>
        <w:spacing w:after="0"/>
        <w:rPr>
          <w:rFonts w:ascii="Times New Roman" w:hAnsi="Times New Roman" w:eastAsia="Times New Roman"/>
        </w:rPr>
        <w:sectPr>
          <w:type w:val="continuous"/>
          <w:pgSz w:w="11960" w:h="16850"/>
          <w:pgMar w:top="280" w:bottom="1200" w:left="1600" w:right="760"/>
        </w:sectPr>
      </w:pPr>
    </w:p>
    <w:p>
      <w:pPr>
        <w:pStyle w:val="Heading1"/>
        <w:tabs>
          <w:tab w:pos="1361" w:val="left" w:leader="none"/>
          <w:tab w:pos="2901" w:val="left" w:leader="none"/>
        </w:tabs>
        <w:spacing w:line="561" w:lineRule="auto" w:before="112"/>
        <w:ind w:right="1209" w:firstLine="1000"/>
      </w:pPr>
      <w:r>
        <w:rPr/>
        <w:t>第一部分</w:t>
        <w:tab/>
      </w:r>
      <w:r>
        <w:rPr>
          <w:w w:val="95"/>
        </w:rPr>
        <w:t>您（投保人）与我们（北大方正人寿保险有限公司）的合同   </w:t>
      </w:r>
      <w:r>
        <w:rPr/>
        <w:t>第一条</w:t>
        <w:tab/>
      </w:r>
      <w:r>
        <w:rPr>
          <w:w w:val="95"/>
        </w:rPr>
        <w:t>合同的构成</w:t>
      </w:r>
    </w:p>
    <w:p>
      <w:pPr>
        <w:pStyle w:val="BodyText"/>
        <w:spacing w:line="191" w:lineRule="exact"/>
        <w:ind w:left="10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01" w:right="208"/>
        <w:jc w:val="both"/>
      </w:pPr>
      <w:r>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tabs>
          <w:tab w:pos="1361" w:val="left" w:leader="none"/>
        </w:tabs>
        <w:spacing w:line="415" w:lineRule="auto" w:before="18"/>
        <w:ind w:left="101" w:right="5922" w:firstLine="0"/>
        <w:jc w:val="left"/>
        <w:rPr>
          <w:b/>
          <w:sz w:val="18"/>
        </w:rPr>
      </w:pPr>
      <w:r>
        <w:rPr>
          <w:sz w:val="18"/>
        </w:rPr>
        <w:t>本附加合同的英文简称为</w:t>
      </w:r>
      <w:r>
        <w:rPr>
          <w:spacing w:val="-45"/>
          <w:sz w:val="18"/>
        </w:rPr>
        <w:t> </w:t>
      </w:r>
      <w:r>
        <w:rPr>
          <w:rFonts w:ascii="Times New Roman" w:eastAsia="Times New Roman"/>
          <w:sz w:val="18"/>
        </w:rPr>
        <w:t>ARR_C</w:t>
      </w:r>
      <w:r>
        <w:rPr>
          <w:sz w:val="18"/>
        </w:rPr>
        <w:t>。</w:t>
      </w:r>
      <w:r>
        <w:rPr>
          <w:b/>
          <w:sz w:val="18"/>
        </w:rPr>
        <w:t>第二条</w:t>
        <w:tab/>
      </w:r>
      <w:r>
        <w:rPr>
          <w:b/>
          <w:w w:val="95"/>
          <w:sz w:val="18"/>
        </w:rPr>
        <w:t>投保范围</w:t>
      </w:r>
    </w:p>
    <w:p>
      <w:pPr>
        <w:spacing w:line="103" w:lineRule="exact" w:before="36"/>
        <w:ind w:left="5323" w:right="0" w:firstLine="0"/>
        <w:jc w:val="left"/>
        <w:rPr>
          <w:b/>
          <w:sz w:val="12"/>
        </w:rPr>
      </w:pPr>
      <w:r>
        <w:rPr>
          <w:b/>
          <w:sz w:val="12"/>
        </w:rPr>
        <w:t>释义 1</w:t>
      </w:r>
    </w:p>
    <w:p>
      <w:pPr>
        <w:pStyle w:val="BodyText"/>
        <w:tabs>
          <w:tab w:pos="5656" w:val="left" w:leader="none"/>
        </w:tabs>
        <w:spacing w:line="182" w:lineRule="exact"/>
        <w:ind w:left="101"/>
      </w:pPr>
      <w:r>
        <w:rPr/>
        <w:t>本附加合同接受的被保险人的投保年龄为出生满七天至五十四</w:t>
      </w:r>
      <w:r>
        <w:rPr>
          <w:b/>
        </w:rPr>
        <w:t>周岁</w:t>
        <w:tab/>
      </w:r>
      <w:r>
        <w:rPr/>
        <w:t>。</w:t>
      </w:r>
    </w:p>
    <w:p>
      <w:pPr>
        <w:pStyle w:val="BodyText"/>
        <w:spacing w:before="4"/>
        <w:ind w:left="0"/>
        <w:rPr>
          <w:sz w:val="13"/>
        </w:rPr>
      </w:pPr>
    </w:p>
    <w:p>
      <w:pPr>
        <w:pStyle w:val="Heading1"/>
        <w:tabs>
          <w:tab w:pos="1361" w:val="left" w:leader="none"/>
        </w:tabs>
        <w:spacing w:before="1"/>
      </w:pPr>
      <w:bookmarkStart w:name="_TOC_250014" w:id="1"/>
      <w:r>
        <w:rPr/>
        <w:t>第三条</w:t>
        <w:tab/>
      </w:r>
      <w:bookmarkEnd w:id="1"/>
      <w:r>
        <w:rPr>
          <w:w w:val="95"/>
        </w:rPr>
        <w:t>保险期间</w:t>
      </w:r>
    </w:p>
    <w:p>
      <w:pPr>
        <w:pStyle w:val="BodyText"/>
        <w:ind w:left="0"/>
        <w:rPr>
          <w:b/>
          <w:sz w:val="15"/>
        </w:rPr>
      </w:pPr>
    </w:p>
    <w:p>
      <w:pPr>
        <w:tabs>
          <w:tab w:pos="1361" w:val="left" w:leader="none"/>
        </w:tabs>
        <w:spacing w:line="439" w:lineRule="auto" w:before="0"/>
        <w:ind w:left="10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ind w:left="101"/>
        <w:rPr>
          <w:b/>
        </w:rPr>
      </w:pPr>
      <w:r>
        <w:rPr/>
        <w:t>在我们同意承保、签发正式保险合同并收到您交付的首期保险费的条件下，我们所承担的保险责任自</w:t>
      </w:r>
      <w:r>
        <w:rPr>
          <w:b/>
        </w:rPr>
        <w:t>本附加</w:t>
      </w:r>
    </w:p>
    <w:p>
      <w:pPr>
        <w:spacing w:line="103" w:lineRule="exact" w:before="48"/>
        <w:ind w:left="1006" w:right="0" w:firstLine="0"/>
        <w:jc w:val="left"/>
        <w:rPr>
          <w:b/>
          <w:sz w:val="12"/>
        </w:rPr>
      </w:pPr>
      <w:r>
        <w:rPr>
          <w:b/>
          <w:sz w:val="12"/>
        </w:rPr>
        <w:t>释义 2</w:t>
      </w:r>
    </w:p>
    <w:p>
      <w:pPr>
        <w:pStyle w:val="BodyText"/>
        <w:tabs>
          <w:tab w:pos="1406" w:val="left" w:leader="none"/>
        </w:tabs>
        <w:spacing w:line="182" w:lineRule="exact"/>
        <w:ind w:left="101"/>
      </w:pPr>
      <w:r>
        <w:rPr>
          <w:b/>
        </w:rPr>
        <w:t>合同生效日</w:t>
        <w:tab/>
      </w:r>
      <w:r>
        <w:rPr>
          <w:spacing w:val="-1"/>
        </w:rPr>
        <w:t>的次日零时</w:t>
      </w:r>
      <w:r>
        <w:rPr>
          <w:spacing w:val="-3"/>
        </w:rPr>
        <w:t>开</w:t>
      </w:r>
      <w:r>
        <w:rPr/>
        <w:t>始，至本附加合同约定情形发生时终止。如果我们已经同意承保并签发保险合</w:t>
      </w:r>
    </w:p>
    <w:p>
      <w:pPr>
        <w:pStyle w:val="BodyText"/>
        <w:spacing w:line="316" w:lineRule="auto" w:before="55"/>
        <w:ind w:left="101" w:right="208"/>
      </w:pPr>
      <w:r>
        <w:rPr/>
        <w:t>同，但因为您的原因导致我们未能在和您约定的时间内收到首期保险费的，本附加合同自始不生效，我们自始不承担保险责任，您应当将我们签发的保险合同返还给我们。</w:t>
      </w:r>
    </w:p>
    <w:p>
      <w:pPr>
        <w:pStyle w:val="Heading1"/>
        <w:tabs>
          <w:tab w:pos="1361" w:val="left" w:leader="none"/>
        </w:tabs>
        <w:spacing w:before="138"/>
      </w:pPr>
      <w:bookmarkStart w:name="_TOC_250013" w:id="2"/>
      <w:r>
        <w:rPr/>
        <w:t>第五条</w:t>
        <w:tab/>
      </w:r>
      <w:bookmarkEnd w:id="2"/>
      <w:r>
        <w:rPr>
          <w:w w:val="95"/>
        </w:rPr>
        <w:t>犹豫期</w:t>
      </w:r>
    </w:p>
    <w:p>
      <w:pPr>
        <w:pStyle w:val="BodyText"/>
        <w:spacing w:before="12"/>
        <w:ind w:left="0"/>
        <w:rPr>
          <w:b/>
          <w:sz w:val="14"/>
        </w:rPr>
      </w:pPr>
    </w:p>
    <w:p>
      <w:pPr>
        <w:pStyle w:val="BodyText"/>
        <w:ind w:left="101"/>
      </w:pPr>
      <w:r>
        <w:rPr/>
        <w:t>您收到本附加合同并书面签收之日起，我们给予您十日的犹豫期，以便您在此期间浏览本附加合同。</w:t>
      </w:r>
    </w:p>
    <w:p>
      <w:pPr>
        <w:pStyle w:val="BodyText"/>
        <w:spacing w:line="316" w:lineRule="auto" w:before="76"/>
        <w:ind w:left="10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9"/>
        <w:ind w:left="10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10"/>
        <w:ind w:left="0"/>
        <w:rPr>
          <w:sz w:val="19"/>
        </w:rPr>
      </w:pPr>
    </w:p>
    <w:p>
      <w:pPr>
        <w:pStyle w:val="Heading1"/>
        <w:tabs>
          <w:tab w:pos="1799" w:val="left" w:leader="none"/>
        </w:tabs>
        <w:ind w:left="0" w:right="104"/>
        <w:jc w:val="center"/>
      </w:pPr>
      <w:bookmarkStart w:name="_TOC_250012" w:id="3"/>
      <w:r>
        <w:rPr/>
        <w:t>第二部分</w:t>
        <w:tab/>
      </w:r>
      <w:bookmarkEnd w:id="3"/>
      <w:r>
        <w:rPr>
          <w:w w:val="95"/>
        </w:rPr>
        <w:t>我们提供的保障</w:t>
      </w:r>
    </w:p>
    <w:p>
      <w:pPr>
        <w:pStyle w:val="BodyText"/>
        <w:spacing w:before="2"/>
        <w:ind w:left="0"/>
        <w:rPr>
          <w:b/>
          <w:sz w:val="24"/>
        </w:rPr>
      </w:pPr>
    </w:p>
    <w:p>
      <w:pPr>
        <w:pStyle w:val="Heading1"/>
        <w:tabs>
          <w:tab w:pos="1361" w:val="left" w:leader="none"/>
        </w:tabs>
      </w:pPr>
      <w:bookmarkStart w:name="_TOC_250011" w:id="4"/>
      <w:r>
        <w:rPr/>
        <w:t>第六条</w:t>
        <w:tab/>
      </w:r>
      <w:bookmarkEnd w:id="4"/>
      <w:r>
        <w:rPr>
          <w:w w:val="95"/>
        </w:rPr>
        <w:t>基本保险金额</w:t>
      </w:r>
    </w:p>
    <w:p>
      <w:pPr>
        <w:pStyle w:val="BodyText"/>
        <w:ind w:left="0"/>
        <w:rPr>
          <w:b/>
          <w:sz w:val="15"/>
        </w:rPr>
      </w:pPr>
    </w:p>
    <w:p>
      <w:pPr>
        <w:pStyle w:val="BodyText"/>
        <w:spacing w:line="316" w:lineRule="auto"/>
        <w:ind w:left="101" w:right="208"/>
      </w:pPr>
      <w:r>
        <w:rPr/>
        <w:t>本附加合同的基本保险金额由您在投保时与我们约定并在保险单或批注上载明。如果该金额因本附加合同其他条款的约定而发生变更，则以变更后的金额为基本保险金额；同时其主合同的基本保险金额也须变更为与</w:t>
      </w:r>
    </w:p>
    <w:p>
      <w:pPr>
        <w:spacing w:line="94" w:lineRule="exact" w:before="0"/>
        <w:ind w:left="5503" w:right="0" w:firstLine="0"/>
        <w:jc w:val="left"/>
        <w:rPr>
          <w:b/>
          <w:sz w:val="12"/>
        </w:rPr>
      </w:pPr>
      <w:r>
        <w:rPr>
          <w:b/>
          <w:sz w:val="12"/>
        </w:rPr>
        <w:t>释义 3</w:t>
      </w:r>
    </w:p>
    <w:p>
      <w:pPr>
        <w:pStyle w:val="BodyText"/>
        <w:tabs>
          <w:tab w:pos="5906" w:val="left" w:leader="none"/>
        </w:tabs>
        <w:spacing w:line="182" w:lineRule="exact"/>
        <w:ind w:left="101"/>
      </w:pPr>
      <w:r>
        <w:rPr/>
        <w:t>本附加合同相同的基本保险金额。在发生本附加合同规定的</w:t>
      </w:r>
      <w:r>
        <w:rPr>
          <w:b/>
        </w:rPr>
        <w:t>保险事故</w:t>
        <w:tab/>
      </w:r>
      <w:r>
        <w:rPr>
          <w:spacing w:val="-1"/>
        </w:rPr>
        <w:t>后，</w:t>
      </w:r>
      <w:r>
        <w:rPr/>
        <w:t>我们将不</w:t>
      </w:r>
      <w:r>
        <w:rPr>
          <w:spacing w:val="-3"/>
        </w:rPr>
        <w:t>受</w:t>
      </w:r>
      <w:r>
        <w:rPr/>
        <w:t>理任何关于变更本</w:t>
      </w:r>
    </w:p>
    <w:p>
      <w:pPr>
        <w:tabs>
          <w:tab w:pos="1361" w:val="left" w:leader="none"/>
        </w:tabs>
        <w:spacing w:line="439" w:lineRule="auto" w:before="55"/>
        <w:ind w:left="101" w:right="5288" w:firstLine="0"/>
        <w:jc w:val="left"/>
        <w:rPr>
          <w:b/>
          <w:sz w:val="18"/>
        </w:rPr>
      </w:pPr>
      <w:r>
        <w:rPr>
          <w:sz w:val="18"/>
        </w:rPr>
        <w:t>附加合同及其主合同基本保险金额的要求。</w:t>
      </w:r>
      <w:r>
        <w:rPr>
          <w:b/>
          <w:sz w:val="18"/>
        </w:rPr>
        <w:t>第七条</w:t>
        <w:tab/>
      </w:r>
      <w:r>
        <w:rPr>
          <w:b/>
          <w:w w:val="95"/>
          <w:sz w:val="18"/>
        </w:rPr>
        <w:t>保险责任</w:t>
      </w:r>
    </w:p>
    <w:p>
      <w:pPr>
        <w:pStyle w:val="BodyText"/>
        <w:spacing w:before="47"/>
        <w:ind w:left="101"/>
      </w:pPr>
      <w:r>
        <w:rPr/>
        <w:t>在本附加合同的有效保险期间内，我们将承担下列保险责任：</w:t>
      </w:r>
    </w:p>
    <w:p>
      <w:pPr>
        <w:pStyle w:val="Heading1"/>
        <w:spacing w:line="309" w:lineRule="auto" w:before="76"/>
        <w:ind w:right="206"/>
        <w:jc w:val="both"/>
      </w:pPr>
      <w:r>
        <w:rPr>
          <w:spacing w:val="-3"/>
        </w:rPr>
        <w:t>本附加合同重大疾病保险金、少儿特定重大疾病保险金、男性</w:t>
      </w:r>
      <w:r>
        <w:rPr>
          <w:rFonts w:ascii="Times New Roman" w:eastAsia="Times New Roman"/>
          <w:spacing w:val="-3"/>
        </w:rPr>
        <w:t>/</w:t>
      </w:r>
      <w:r>
        <w:rPr>
          <w:spacing w:val="-2"/>
        </w:rPr>
        <w:t>女性特定重大疾病保险金、高发重大疾病保险金、轻症疾病保险金、生命关爱提前给付保险金和全面保障保险金的等待期是指本附加合同生效日或最后复</w:t>
      </w:r>
      <w:r>
        <w:rPr>
          <w:spacing w:val="-2"/>
          <w:w w:val="95"/>
        </w:rPr>
        <w:t>效日（以较迟者为准）起一百八十天内</w:t>
      </w:r>
      <w:r>
        <w:rPr>
          <w:rFonts w:ascii="Times New Roman" w:eastAsia="Times New Roman"/>
          <w:spacing w:val="-3"/>
          <w:w w:val="95"/>
        </w:rPr>
        <w:t>(</w:t>
      </w:r>
      <w:r>
        <w:rPr>
          <w:w w:val="95"/>
        </w:rPr>
        <w:t>含第一百八十天</w:t>
      </w:r>
      <w:r>
        <w:rPr>
          <w:rFonts w:ascii="Times New Roman" w:eastAsia="Times New Roman"/>
          <w:w w:val="95"/>
        </w:rPr>
        <w:t>)</w:t>
      </w:r>
      <w:r>
        <w:rPr>
          <w:w w:val="95"/>
        </w:rPr>
        <w:t>的期间。</w:t>
      </w:r>
    </w:p>
    <w:p>
      <w:pPr>
        <w:spacing w:line="262" w:lineRule="exact" w:before="0"/>
        <w:ind w:left="101" w:right="0" w:firstLine="0"/>
        <w:jc w:val="left"/>
        <w:rPr>
          <w:sz w:val="18"/>
        </w:rPr>
      </w:pPr>
      <w:r>
        <w:rPr>
          <w:sz w:val="18"/>
        </w:rPr>
        <w:t>如果被保险人在等待期内首次</w:t>
      </w:r>
      <w:r>
        <w:rPr>
          <w:b/>
          <w:sz w:val="18"/>
        </w:rPr>
        <w:t>发病</w:t>
      </w:r>
      <w:r>
        <w:rPr>
          <w:b/>
          <w:position w:val="12"/>
          <w:sz w:val="12"/>
        </w:rPr>
        <w:t>释义 4 </w:t>
      </w:r>
      <w:r>
        <w:rPr>
          <w:sz w:val="18"/>
        </w:rPr>
        <w:t>并经</w:t>
      </w:r>
      <w:r>
        <w:rPr>
          <w:b/>
          <w:sz w:val="18"/>
        </w:rPr>
        <w:t>医生</w:t>
      </w:r>
      <w:r>
        <w:rPr>
          <w:b/>
          <w:position w:val="12"/>
          <w:sz w:val="12"/>
        </w:rPr>
        <w:t>释义 5 </w:t>
      </w:r>
      <w:r>
        <w:rPr>
          <w:sz w:val="18"/>
        </w:rPr>
        <w:t>确诊初次患有本附加合同内所界定的重大疾病、少儿特</w:t>
      </w:r>
    </w:p>
    <w:p>
      <w:pPr>
        <w:spacing w:before="26"/>
        <w:ind w:left="101" w:right="0" w:firstLine="0"/>
        <w:jc w:val="left"/>
        <w:rPr>
          <w:b/>
          <w:sz w:val="12"/>
        </w:rPr>
      </w:pPr>
      <w:r>
        <w:rPr>
          <w:sz w:val="18"/>
        </w:rPr>
        <w:t>定重大疾病、</w:t>
      </w:r>
      <w:r>
        <w:rPr>
          <w:b/>
          <w:sz w:val="18"/>
        </w:rPr>
        <w:t>男性特定重大疾病</w:t>
      </w:r>
      <w:r>
        <w:rPr>
          <w:b/>
          <w:position w:val="12"/>
          <w:sz w:val="12"/>
        </w:rPr>
        <w:t>释义 6</w:t>
      </w:r>
      <w:r>
        <w:rPr>
          <w:sz w:val="18"/>
        </w:rPr>
        <w:t>、</w:t>
      </w:r>
      <w:r>
        <w:rPr>
          <w:b/>
          <w:sz w:val="18"/>
        </w:rPr>
        <w:t>女性特定重大疾病</w:t>
      </w:r>
      <w:r>
        <w:rPr>
          <w:b/>
          <w:position w:val="12"/>
          <w:sz w:val="12"/>
        </w:rPr>
        <w:t>释义 7</w:t>
      </w:r>
      <w:r>
        <w:rPr>
          <w:sz w:val="18"/>
        </w:rPr>
        <w:t>、</w:t>
      </w:r>
      <w:r>
        <w:rPr>
          <w:b/>
          <w:sz w:val="18"/>
        </w:rPr>
        <w:t>高发重大疾病</w:t>
      </w:r>
      <w:r>
        <w:rPr>
          <w:b/>
          <w:position w:val="12"/>
          <w:sz w:val="12"/>
        </w:rPr>
        <w:t>释义 8</w:t>
      </w:r>
      <w:r>
        <w:rPr>
          <w:sz w:val="18"/>
        </w:rPr>
        <w:t>、轻症疾病、</w:t>
      </w:r>
      <w:r>
        <w:rPr>
          <w:b/>
          <w:sz w:val="18"/>
        </w:rPr>
        <w:t>终末期疾病</w:t>
      </w:r>
      <w:r>
        <w:rPr>
          <w:b/>
          <w:position w:val="12"/>
          <w:sz w:val="12"/>
        </w:rPr>
        <w:t>释</w:t>
      </w:r>
    </w:p>
    <w:p>
      <w:pPr>
        <w:spacing w:after="0"/>
        <w:jc w:val="left"/>
        <w:rPr>
          <w:sz w:val="12"/>
        </w:rPr>
        <w:sectPr>
          <w:pgSz w:w="11960" w:h="16850"/>
          <w:pgMar w:header="0" w:footer="1001" w:top="1600" w:bottom="1200" w:left="1600" w:right="1540"/>
        </w:sectPr>
      </w:pPr>
    </w:p>
    <w:p>
      <w:pPr>
        <w:spacing w:line="266" w:lineRule="auto" w:before="83"/>
        <w:ind w:left="101" w:right="105" w:firstLine="0"/>
        <w:jc w:val="both"/>
        <w:rPr>
          <w:sz w:val="18"/>
        </w:rPr>
      </w:pPr>
      <w:r>
        <w:rPr>
          <w:b/>
          <w:spacing w:val="-6"/>
          <w:position w:val="12"/>
          <w:sz w:val="12"/>
        </w:rPr>
        <w:t>义 </w:t>
      </w:r>
      <w:r>
        <w:rPr>
          <w:b/>
          <w:position w:val="12"/>
          <w:sz w:val="12"/>
        </w:rPr>
        <w:t>9 </w:t>
      </w:r>
      <w:r>
        <w:rPr>
          <w:spacing w:val="-1"/>
          <w:sz w:val="18"/>
        </w:rPr>
        <w:t>或初次达到</w:t>
      </w:r>
      <w:r>
        <w:rPr>
          <w:b/>
          <w:sz w:val="18"/>
        </w:rPr>
        <w:t>扩展性独立生活能力丧失</w:t>
      </w:r>
      <w:r>
        <w:rPr>
          <w:b/>
          <w:spacing w:val="-4"/>
          <w:position w:val="12"/>
          <w:sz w:val="12"/>
        </w:rPr>
        <w:t>释义 </w:t>
      </w:r>
      <w:r>
        <w:rPr>
          <w:b/>
          <w:position w:val="12"/>
          <w:sz w:val="12"/>
        </w:rPr>
        <w:t>10 </w:t>
      </w:r>
      <w:r>
        <w:rPr>
          <w:spacing w:val="-1"/>
          <w:sz w:val="18"/>
        </w:rPr>
        <w:t>状态，我们将无息返还本附加合同及其主合同</w:t>
      </w:r>
      <w:r>
        <w:rPr>
          <w:b/>
          <w:sz w:val="18"/>
        </w:rPr>
        <w:t>所有已交的保险费</w:t>
      </w:r>
      <w:r>
        <w:rPr>
          <w:b/>
          <w:spacing w:val="-11"/>
          <w:position w:val="12"/>
          <w:sz w:val="12"/>
        </w:rPr>
        <w:t>释义 </w:t>
      </w:r>
      <w:r>
        <w:rPr>
          <w:b/>
          <w:position w:val="12"/>
          <w:sz w:val="12"/>
        </w:rPr>
        <w:t>11</w:t>
      </w:r>
      <w:r>
        <w:rPr>
          <w:spacing w:val="-1"/>
          <w:sz w:val="18"/>
        </w:rPr>
        <w:t>，同时本附加合同及其主合同终止。</w:t>
      </w:r>
    </w:p>
    <w:p>
      <w:pPr>
        <w:pStyle w:val="BodyText"/>
        <w:spacing w:line="292" w:lineRule="auto" w:before="27"/>
        <w:ind w:left="101" w:right="105"/>
        <w:jc w:val="both"/>
      </w:pPr>
      <w:r>
        <w:rPr/>
        <w:t>但如果重大疾病、少儿特定重大疾病、男性特定重大疾病、女性特定重大疾病、高发重大疾病、轻症疾病、终末期疾病或扩展性独立生活能力丧失是由于被保险人遭受</w:t>
      </w:r>
      <w:r>
        <w:rPr>
          <w:b/>
        </w:rPr>
        <w:t>意外伤害事故</w:t>
      </w:r>
      <w:r>
        <w:rPr>
          <w:b/>
          <w:spacing w:val="-11"/>
          <w:position w:val="12"/>
          <w:sz w:val="12"/>
        </w:rPr>
        <w:t>释义 </w:t>
      </w:r>
      <w:r>
        <w:rPr>
          <w:b/>
          <w:position w:val="12"/>
          <w:sz w:val="12"/>
        </w:rPr>
        <w:t>12 </w:t>
      </w:r>
      <w:r>
        <w:rPr>
          <w:spacing w:val="-6"/>
        </w:rPr>
        <w:t>引起的，则无须受等待期的限</w:t>
      </w:r>
      <w:r>
        <w:rPr>
          <w:spacing w:val="-1"/>
        </w:rPr>
        <w:t>制。</w:t>
      </w:r>
    </w:p>
    <w:p>
      <w:pPr>
        <w:pStyle w:val="BodyText"/>
        <w:spacing w:before="37"/>
        <w:ind w:left="101"/>
        <w:jc w:val="both"/>
      </w:pPr>
      <w:r>
        <w:rPr/>
        <w:t>一、重大疾病保险金</w:t>
      </w:r>
    </w:p>
    <w:p>
      <w:pPr>
        <w:pStyle w:val="BodyText"/>
        <w:spacing w:line="316" w:lineRule="auto" w:before="76"/>
        <w:ind w:left="101" w:right="108"/>
        <w:jc w:val="both"/>
      </w:pPr>
      <w:r>
        <w:rPr/>
        <w:t>在等待期后，如果被保险人在年满十八周岁之前首次发病并经医生确诊初次患有本附加合同附表一中所界定的重大疾病中的任何一种疾病，我们将按基本保险金额给付重大疾病保险金，同时本附加合同及其主合同终止。</w:t>
      </w:r>
    </w:p>
    <w:p>
      <w:pPr>
        <w:pStyle w:val="BodyText"/>
        <w:spacing w:line="316" w:lineRule="auto" w:before="18"/>
        <w:ind w:left="101" w:right="108"/>
        <w:jc w:val="both"/>
      </w:pPr>
      <w:r>
        <w:rPr/>
        <w:t>在等待期后，如果被保险人在年满十八周岁时及以后首次发病并经医生确诊初次患有本附加合同附表二中所界定的重大疾病中的任何一种疾病，我们将按基本保险金额给付重大疾病保险金，同时本附加合同及其主合同终止。</w:t>
      </w:r>
    </w:p>
    <w:p>
      <w:pPr>
        <w:pStyle w:val="BodyText"/>
        <w:spacing w:before="18"/>
        <w:ind w:left="101"/>
        <w:jc w:val="both"/>
      </w:pPr>
      <w:r>
        <w:rPr/>
        <w:t>二、少儿特定重大疾病保险金</w:t>
      </w:r>
    </w:p>
    <w:p>
      <w:pPr>
        <w:pStyle w:val="BodyText"/>
        <w:spacing w:line="297" w:lineRule="auto" w:before="47"/>
        <w:ind w:left="101" w:right="103"/>
        <w:jc w:val="both"/>
      </w:pPr>
      <w:r>
        <w:rPr/>
        <w:t>在等待期后，如果被保险人在年满十八周岁之前首次发病并经医生确诊初次患有</w:t>
      </w:r>
      <w:r>
        <w:rPr>
          <w:b/>
        </w:rPr>
        <w:t>白血病</w:t>
      </w:r>
      <w:r>
        <w:rPr>
          <w:b/>
          <w:spacing w:val="-9"/>
          <w:position w:val="12"/>
          <w:sz w:val="12"/>
        </w:rPr>
        <w:t>释义 </w:t>
      </w:r>
      <w:r>
        <w:rPr>
          <w:b/>
          <w:position w:val="12"/>
          <w:sz w:val="12"/>
        </w:rPr>
        <w:t>13</w:t>
      </w:r>
      <w:r>
        <w:rPr/>
        <w:t>，我们在已给付</w:t>
      </w:r>
      <w:r>
        <w:rPr>
          <w:spacing w:val="-2"/>
        </w:rPr>
        <w:t>重大疾病保险金的情况下，将另外按 </w:t>
      </w:r>
      <w:r>
        <w:rPr>
          <w:rFonts w:ascii="Times New Roman" w:eastAsia="Times New Roman"/>
        </w:rPr>
        <w:t>50%</w:t>
      </w:r>
      <w:r>
        <w:rPr>
          <w:spacing w:val="-1"/>
        </w:rPr>
        <w:t>的基本保险金额给付少儿特定重大疾病保险金，同时本附加合同及其主合同终止。</w:t>
      </w:r>
    </w:p>
    <w:p>
      <w:pPr>
        <w:pStyle w:val="BodyText"/>
        <w:spacing w:before="32"/>
        <w:ind w:left="101"/>
        <w:jc w:val="both"/>
      </w:pPr>
      <w:r>
        <w:rPr/>
        <w:t>三、男性</w:t>
      </w:r>
      <w:r>
        <w:rPr>
          <w:rFonts w:ascii="Times New Roman" w:eastAsia="Times New Roman"/>
        </w:rPr>
        <w:t>/</w:t>
      </w:r>
      <w:r>
        <w:rPr/>
        <w:t>女性特定重大疾病保险金</w:t>
      </w:r>
    </w:p>
    <w:p>
      <w:pPr>
        <w:pStyle w:val="BodyText"/>
        <w:spacing w:before="62"/>
        <w:ind w:left="101"/>
        <w:jc w:val="both"/>
      </w:pPr>
      <w:r>
        <w:rPr/>
        <w:t>（</w:t>
      </w:r>
      <w:r>
        <w:rPr>
          <w:rFonts w:ascii="Times New Roman" w:eastAsia="Times New Roman"/>
        </w:rPr>
        <w:t>1</w:t>
      </w:r>
      <w:r>
        <w:rPr/>
        <w:t>）如果被保险人为男性</w:t>
      </w:r>
    </w:p>
    <w:p>
      <w:pPr>
        <w:pStyle w:val="BodyText"/>
        <w:spacing w:line="309" w:lineRule="auto" w:before="62"/>
        <w:ind w:left="101" w:right="103"/>
        <w:jc w:val="both"/>
      </w:pPr>
      <w:r>
        <w:rPr/>
        <w:t>在等待期后，如果被保险人在年满十八周岁时及以后首次发病并经医生确诊初次患有本附加合同内所界定的</w:t>
      </w:r>
      <w:r>
        <w:rPr>
          <w:spacing w:val="-1"/>
        </w:rPr>
        <w:t>男性特定重大疾病中的任何一种疾病，我们在已给付重大疾病保险金的情况下，将另外按 </w:t>
      </w:r>
      <w:r>
        <w:rPr>
          <w:rFonts w:ascii="Times New Roman" w:eastAsia="Times New Roman"/>
        </w:rPr>
        <w:t>50%</w:t>
      </w:r>
      <w:r>
        <w:rPr/>
        <w:t>的基本保险金</w:t>
      </w:r>
      <w:r>
        <w:rPr>
          <w:spacing w:val="-1"/>
        </w:rPr>
        <w:t>额给付男性特定重大疾病保险金，同时本附加合同及其主合同终止。</w:t>
      </w:r>
    </w:p>
    <w:p>
      <w:pPr>
        <w:pStyle w:val="BodyText"/>
        <w:spacing w:before="23"/>
        <w:ind w:left="101"/>
        <w:jc w:val="both"/>
      </w:pPr>
      <w:r>
        <w:rPr/>
        <w:t>（</w:t>
      </w:r>
      <w:r>
        <w:rPr>
          <w:rFonts w:ascii="Times New Roman" w:eastAsia="Times New Roman"/>
        </w:rPr>
        <w:t>2</w:t>
      </w:r>
      <w:r>
        <w:rPr/>
        <w:t>）如果被保险人为女性</w:t>
      </w:r>
    </w:p>
    <w:p>
      <w:pPr>
        <w:pStyle w:val="BodyText"/>
        <w:spacing w:line="309" w:lineRule="auto" w:before="62"/>
        <w:ind w:left="101" w:right="103"/>
        <w:jc w:val="both"/>
      </w:pPr>
      <w:r>
        <w:rPr/>
        <w:t>在等待期后，如果被保险人在年满十八周岁时及以后首次发病并经医生确诊初次患有本附加合同内所界定的</w:t>
      </w:r>
      <w:r>
        <w:rPr>
          <w:spacing w:val="-1"/>
        </w:rPr>
        <w:t>女性特定重大疾病中的任何一种疾病，我们在已给付重大疾病保险金的情况下，将另外按 </w:t>
      </w:r>
      <w:r>
        <w:rPr>
          <w:rFonts w:ascii="Times New Roman" w:eastAsia="Times New Roman"/>
        </w:rPr>
        <w:t>50%</w:t>
      </w:r>
      <w:r>
        <w:rPr/>
        <w:t>的基本保险金</w:t>
      </w:r>
      <w:r>
        <w:rPr>
          <w:spacing w:val="-1"/>
        </w:rPr>
        <w:t>额给付女性特定重大疾病保险金，同时本附加合同及其主合同终止。</w:t>
      </w:r>
    </w:p>
    <w:p>
      <w:pPr>
        <w:pStyle w:val="BodyText"/>
        <w:spacing w:before="24"/>
        <w:ind w:left="101"/>
        <w:jc w:val="both"/>
      </w:pPr>
      <w:r>
        <w:rPr/>
        <w:t>四、高发重大疾病保险金</w:t>
      </w:r>
    </w:p>
    <w:p>
      <w:pPr>
        <w:pStyle w:val="BodyText"/>
        <w:spacing w:line="309" w:lineRule="auto" w:before="76"/>
        <w:ind w:left="101" w:right="103"/>
        <w:jc w:val="both"/>
      </w:pPr>
      <w:r>
        <w:rPr/>
        <w:t>在等待期后，如果被保险人首次发病并经医生确诊初次患有本附加合同内所界定的高发重大疾病中的任何一</w:t>
      </w:r>
      <w:r>
        <w:rPr>
          <w:spacing w:val="-1"/>
        </w:rPr>
        <w:t>种疾病，我们在已给付重大疾病保险金的情况下，将另外按 </w:t>
      </w:r>
      <w:r>
        <w:rPr>
          <w:rFonts w:ascii="Times New Roman" w:eastAsia="Times New Roman"/>
        </w:rPr>
        <w:t>50%</w:t>
      </w:r>
      <w:r>
        <w:rPr/>
        <w:t>的基本保险金额给付高发重大疾病保险金， </w:t>
      </w:r>
      <w:r>
        <w:rPr>
          <w:spacing w:val="-1"/>
        </w:rPr>
        <w:t>同时本附加合同及其主合同终止。</w:t>
      </w:r>
    </w:p>
    <w:p>
      <w:pPr>
        <w:pStyle w:val="BodyText"/>
        <w:spacing w:before="24"/>
        <w:ind w:left="101"/>
        <w:jc w:val="both"/>
      </w:pPr>
      <w:r>
        <w:rPr/>
        <w:t>五、轻症疾病保险金</w:t>
      </w:r>
    </w:p>
    <w:p>
      <w:pPr>
        <w:pStyle w:val="BodyText"/>
        <w:spacing w:line="295" w:lineRule="auto" w:before="76"/>
        <w:ind w:left="101" w:right="103"/>
        <w:jc w:val="both"/>
      </w:pPr>
      <w:r>
        <w:rPr/>
        <w:t>在等待期后，如果被保险人在年满十八周岁之前首次发病并经医生确诊初次患有本附加合同附表三中所界定</w:t>
      </w:r>
      <w:r>
        <w:rPr>
          <w:spacing w:val="-2"/>
        </w:rPr>
        <w:t>的轻症疾病中的任何一种疾病，且该轻症疾病未达到其</w:t>
      </w:r>
      <w:r>
        <w:rPr>
          <w:b/>
        </w:rPr>
        <w:t>对应重大疾病</w:t>
      </w:r>
      <w:r>
        <w:rPr>
          <w:b/>
          <w:spacing w:val="-11"/>
          <w:position w:val="12"/>
          <w:sz w:val="12"/>
        </w:rPr>
        <w:t>释义 </w:t>
      </w:r>
      <w:r>
        <w:rPr>
          <w:b/>
          <w:position w:val="12"/>
          <w:sz w:val="12"/>
        </w:rPr>
        <w:t>14 </w:t>
      </w:r>
      <w:r>
        <w:rPr>
          <w:spacing w:val="-8"/>
        </w:rPr>
        <w:t>的赔付标准，我们将按 </w:t>
      </w:r>
      <w:r>
        <w:rPr>
          <w:rFonts w:ascii="Times New Roman" w:eastAsia="Times New Roman"/>
        </w:rPr>
        <w:t>20%</w:t>
      </w:r>
      <w:r>
        <w:rPr/>
        <w:t>的基本保险金额给付轻症疾病保险金（被保险人若同时符合一种以上本附加合同内所界定的轻症疾病，该给付以一</w:t>
      </w:r>
      <w:r>
        <w:rPr>
          <w:spacing w:val="-1"/>
        </w:rPr>
        <w:t>次为限</w:t>
      </w:r>
      <w:r>
        <w:rPr>
          <w:spacing w:val="-92"/>
        </w:rPr>
        <w:t>）</w:t>
      </w:r>
      <w:r>
        <w:rPr>
          <w:spacing w:val="-1"/>
        </w:rPr>
        <w:t>，同时本项保险责任终止。</w:t>
      </w:r>
    </w:p>
    <w:p>
      <w:pPr>
        <w:pStyle w:val="BodyText"/>
        <w:spacing w:line="312" w:lineRule="auto" w:before="34"/>
        <w:ind w:left="101" w:right="103"/>
        <w:jc w:val="both"/>
      </w:pPr>
      <w:r>
        <w:rPr/>
        <w:t>在等待期后，如果被保险人在年满十八周岁时及以后首次发病并经医生确诊初次患有本附加合同附表四中所</w:t>
      </w:r>
      <w:r>
        <w:rPr>
          <w:spacing w:val="-1"/>
        </w:rPr>
        <w:t>界定的轻症疾病中的任何一种疾病，且该轻症疾病未达到其对应重大疾病的赔付标准，我们将按 </w:t>
      </w:r>
      <w:r>
        <w:rPr>
          <w:rFonts w:ascii="Times New Roman" w:eastAsia="Times New Roman"/>
        </w:rPr>
        <w:t>20%</w:t>
      </w:r>
      <w:r>
        <w:rPr/>
        <w:t>的基本保险金额给付轻症疾病保险金（被保险人若同时符合一种以上本附加合同内所界定的轻症疾病，该给付以一</w:t>
      </w:r>
      <w:r>
        <w:rPr>
          <w:spacing w:val="-1"/>
          <w:w w:val="100"/>
        </w:rPr>
        <w:t>次为限</w:t>
      </w:r>
      <w:r>
        <w:rPr>
          <w:spacing w:val="-92"/>
          <w:w w:val="100"/>
        </w:rPr>
        <w:t>）</w:t>
      </w:r>
      <w:r>
        <w:rPr>
          <w:spacing w:val="-1"/>
          <w:w w:val="100"/>
        </w:rPr>
        <w:t>，同时本项保险责任终止。</w:t>
      </w:r>
    </w:p>
    <w:p>
      <w:pPr>
        <w:pStyle w:val="BodyText"/>
        <w:spacing w:before="22"/>
        <w:ind w:left="101"/>
        <w:jc w:val="both"/>
      </w:pPr>
      <w:r>
        <w:rPr/>
        <w:t>六、生命关爱提前给付保险金</w:t>
      </w:r>
    </w:p>
    <w:p>
      <w:pPr>
        <w:pStyle w:val="BodyText"/>
        <w:spacing w:line="316" w:lineRule="auto" w:before="76"/>
        <w:ind w:left="101" w:right="108"/>
        <w:jc w:val="both"/>
      </w:pPr>
      <w:r>
        <w:rPr/>
        <w:t>在等待期后，如果被保险人首次发病并经医生确诊初次患有终末期疾病，我们将按基本保险金额给付生命关爱提前给付保险金，同时本附加合同及其主合同终止。</w:t>
      </w:r>
    </w:p>
    <w:p>
      <w:pPr>
        <w:pStyle w:val="BodyText"/>
        <w:spacing w:before="18"/>
        <w:ind w:left="101"/>
        <w:jc w:val="both"/>
      </w:pPr>
      <w:r>
        <w:rPr/>
        <w:t>七、全面保障保险金</w:t>
      </w:r>
    </w:p>
    <w:p>
      <w:pPr>
        <w:spacing w:after="0"/>
        <w:jc w:val="both"/>
        <w:sectPr>
          <w:pgSz w:w="11960" w:h="16850"/>
          <w:pgMar w:header="0" w:footer="1001" w:top="1600" w:bottom="1200" w:left="1600" w:right="1640"/>
        </w:sectPr>
      </w:pPr>
    </w:p>
    <w:p>
      <w:pPr>
        <w:pStyle w:val="BodyText"/>
        <w:spacing w:line="316" w:lineRule="auto" w:before="112"/>
        <w:ind w:left="101" w:right="210"/>
      </w:pPr>
      <w:r>
        <w:rPr/>
        <w:t>在等待期后，如果被保险人因首次发病的疾病导致扩展性独立生活能力丧失，我们将按基本保险金额给付全面保障保险金，同时本附加合同及其主合同终止。</w:t>
      </w:r>
    </w:p>
    <w:p>
      <w:pPr>
        <w:pStyle w:val="BodyText"/>
        <w:spacing w:line="316" w:lineRule="auto" w:before="19"/>
        <w:ind w:left="101" w:right="208"/>
      </w:pPr>
      <w:r>
        <w:rPr/>
        <w:t>对于本附加合同以上第一、六、七项保险金及其主合同中的身故保险金，我们只给付其中的一项。在给付其中任意一项后，本附加合同及其主合同同时终止。</w:t>
      </w:r>
    </w:p>
    <w:p>
      <w:pPr>
        <w:pStyle w:val="Heading1"/>
        <w:tabs>
          <w:tab w:pos="1361" w:val="left" w:leader="none"/>
        </w:tabs>
        <w:spacing w:before="139"/>
      </w:pPr>
      <w:bookmarkStart w:name="_TOC_250010" w:id="5"/>
      <w:r>
        <w:rPr/>
        <w:t>第八条</w:t>
        <w:tab/>
      </w:r>
      <w:bookmarkEnd w:id="5"/>
      <w:r>
        <w:rPr>
          <w:w w:val="95"/>
        </w:rPr>
        <w:t>责任免除</w:t>
      </w:r>
    </w:p>
    <w:p>
      <w:pPr>
        <w:pStyle w:val="BodyText"/>
        <w:ind w:left="0"/>
        <w:rPr>
          <w:b/>
          <w:sz w:val="15"/>
        </w:rPr>
      </w:pPr>
    </w:p>
    <w:p>
      <w:pPr>
        <w:spacing w:line="309" w:lineRule="auto" w:before="0"/>
        <w:ind w:left="101" w:right="203" w:firstLine="0"/>
        <w:jc w:val="both"/>
        <w:rPr>
          <w:b/>
          <w:sz w:val="18"/>
        </w:rPr>
      </w:pPr>
      <w:r>
        <w:rPr>
          <w:b/>
          <w:sz w:val="18"/>
        </w:rPr>
        <w:t>因下列情形之一导致被保险人初次患有本附加合同内所界定的重大疾病或少儿特定重大疾病或男性</w:t>
      </w:r>
      <w:r>
        <w:rPr>
          <w:rFonts w:ascii="Times New Roman" w:eastAsia="Times New Roman"/>
          <w:b/>
          <w:sz w:val="18"/>
        </w:rPr>
        <w:t>/</w:t>
      </w:r>
      <w:r>
        <w:rPr>
          <w:b/>
          <w:sz w:val="18"/>
        </w:rPr>
        <w:t>女性特定重大疾病或高发重大疾病或轻症疾病或终末期疾病或扩展性独立生活能力丧失的，我们不承担给付相应保</w:t>
      </w:r>
      <w:r>
        <w:rPr>
          <w:b/>
          <w:w w:val="95"/>
          <w:sz w:val="18"/>
        </w:rPr>
        <w:t>险金的责任：</w:t>
      </w:r>
    </w:p>
    <w:p>
      <w:pPr>
        <w:spacing w:before="24"/>
        <w:ind w:left="101" w:right="0" w:firstLine="0"/>
        <w:jc w:val="both"/>
        <w:rPr>
          <w:b/>
          <w:sz w:val="18"/>
        </w:rPr>
      </w:pPr>
      <w:r>
        <w:rPr>
          <w:b/>
          <w:w w:val="95"/>
          <w:sz w:val="18"/>
        </w:rPr>
        <w:t>（</w:t>
      </w:r>
      <w:r>
        <w:rPr>
          <w:rFonts w:ascii="Times New Roman" w:eastAsia="Times New Roman"/>
          <w:b/>
          <w:w w:val="95"/>
          <w:sz w:val="18"/>
        </w:rPr>
        <w:t>1</w:t>
      </w:r>
      <w:r>
        <w:rPr>
          <w:b/>
          <w:w w:val="95"/>
          <w:sz w:val="18"/>
        </w:rPr>
        <w:t>）投保人对被保险人的故意杀害、故意伤害；</w:t>
      </w:r>
    </w:p>
    <w:p>
      <w:pPr>
        <w:spacing w:before="63"/>
        <w:ind w:left="101" w:right="0" w:firstLine="0"/>
        <w:jc w:val="both"/>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4"/>
        <w:ind w:left="0" w:right="2614" w:firstLine="0"/>
        <w:jc w:val="center"/>
        <w:rPr>
          <w:b/>
          <w:sz w:val="12"/>
        </w:rPr>
      </w:pPr>
      <w:r>
        <w:rPr>
          <w:b/>
          <w:sz w:val="12"/>
        </w:rPr>
        <w:t>释义 15</w:t>
      </w:r>
    </w:p>
    <w:p>
      <w:pPr>
        <w:pStyle w:val="Heading1"/>
        <w:spacing w:line="196" w:lineRule="exact"/>
        <w:jc w:val="both"/>
      </w:pPr>
      <w:r>
        <w:rPr/>
        <w:t>（</w:t>
      </w:r>
      <w:r>
        <w:rPr>
          <w:rFonts w:ascii="Times New Roman" w:eastAsia="Times New Roman"/>
        </w:rPr>
        <w:t>3</w:t>
      </w:r>
      <w:r>
        <w:rPr/>
        <w:t>）被保险人主动吸食或注射毒品    ；</w:t>
      </w:r>
    </w:p>
    <w:p>
      <w:pPr>
        <w:spacing w:after="0" w:line="196" w:lineRule="exact"/>
        <w:jc w:val="both"/>
        <w:sectPr>
          <w:pgSz w:w="11960" w:h="16850"/>
          <w:pgMar w:header="0" w:footer="1001" w:top="1600" w:bottom="1200" w:left="1600" w:right="1540"/>
        </w:sectPr>
      </w:pPr>
    </w:p>
    <w:p>
      <w:pPr>
        <w:spacing w:line="100" w:lineRule="exact" w:before="13"/>
        <w:ind w:left="0" w:right="0" w:firstLine="0"/>
        <w:jc w:val="right"/>
        <w:rPr>
          <w:b/>
          <w:sz w:val="12"/>
        </w:rPr>
      </w:pPr>
      <w:r>
        <w:rPr>
          <w:b/>
          <w:sz w:val="12"/>
        </w:rPr>
        <w:t>释义 16</w:t>
      </w:r>
    </w:p>
    <w:p>
      <w:pPr>
        <w:spacing w:line="100" w:lineRule="exact" w:before="13"/>
        <w:ind w:left="0" w:right="0" w:firstLine="0"/>
        <w:jc w:val="right"/>
        <w:rPr>
          <w:b/>
          <w:sz w:val="12"/>
        </w:rPr>
      </w:pPr>
      <w:r>
        <w:rPr/>
        <w:br w:type="column"/>
      </w:r>
      <w:r>
        <w:rPr>
          <w:b/>
          <w:sz w:val="12"/>
        </w:rPr>
        <w:t>释义 17</w:t>
      </w:r>
    </w:p>
    <w:p>
      <w:pPr>
        <w:spacing w:line="100" w:lineRule="exact" w:before="13"/>
        <w:ind w:left="0" w:right="0" w:firstLine="0"/>
        <w:jc w:val="right"/>
        <w:rPr>
          <w:b/>
          <w:sz w:val="12"/>
        </w:rPr>
      </w:pPr>
      <w:r>
        <w:rPr/>
        <w:br w:type="column"/>
      </w:r>
      <w:r>
        <w:rPr>
          <w:b/>
          <w:sz w:val="12"/>
        </w:rPr>
        <w:t>释义 18</w:t>
      </w:r>
    </w:p>
    <w:p>
      <w:pPr>
        <w:spacing w:line="100" w:lineRule="exact" w:before="13"/>
        <w:ind w:left="651" w:right="846" w:firstLine="0"/>
        <w:jc w:val="center"/>
        <w:rPr>
          <w:b/>
          <w:sz w:val="12"/>
        </w:rPr>
      </w:pPr>
      <w:r>
        <w:rPr/>
        <w:br w:type="column"/>
      </w:r>
      <w:r>
        <w:rPr>
          <w:b/>
          <w:sz w:val="12"/>
        </w:rPr>
        <w:t>释义 19</w:t>
      </w:r>
    </w:p>
    <w:p>
      <w:pPr>
        <w:spacing w:after="0" w:line="100" w:lineRule="exact"/>
        <w:jc w:val="center"/>
        <w:rPr>
          <w:sz w:val="12"/>
        </w:rPr>
        <w:sectPr>
          <w:type w:val="continuous"/>
          <w:pgSz w:w="11960" w:h="16850"/>
          <w:pgMar w:top="280" w:bottom="1200" w:left="1600" w:right="1540"/>
          <w:cols w:num="4" w:equalWidth="0">
            <w:col w:w="2391" w:space="40"/>
            <w:col w:w="2339" w:space="39"/>
            <w:col w:w="2010" w:space="40"/>
            <w:col w:w="1961"/>
          </w:cols>
        </w:sectPr>
      </w:pPr>
    </w:p>
    <w:p>
      <w:pPr>
        <w:pStyle w:val="Heading1"/>
        <w:spacing w:line="199" w:lineRule="exact"/>
      </w:pPr>
      <w:r>
        <w:rPr>
          <w:w w:val="95"/>
        </w:rPr>
        <w:t>（</w:t>
      </w:r>
      <w:r>
        <w:rPr>
          <w:rFonts w:ascii="Times New Roman" w:eastAsia="Times New Roman"/>
          <w:w w:val="95"/>
        </w:rPr>
        <w:t>4</w:t>
      </w:r>
      <w:r>
        <w:rPr>
          <w:w w:val="95"/>
        </w:rPr>
        <w:t>）被保险人酒后驾驶</w:t>
      </w:r>
    </w:p>
    <w:p>
      <w:pPr>
        <w:spacing w:line="185" w:lineRule="exact" w:before="0"/>
        <w:ind w:left="101" w:right="0" w:firstLine="0"/>
        <w:jc w:val="left"/>
        <w:rPr>
          <w:b/>
          <w:sz w:val="18"/>
        </w:rPr>
      </w:pPr>
      <w:r>
        <w:rPr/>
        <w:br w:type="column"/>
      </w:r>
      <w:r>
        <w:rPr>
          <w:b/>
          <w:w w:val="95"/>
          <w:sz w:val="18"/>
        </w:rPr>
        <w:t>、无合法有效驾驶证驾驶</w:t>
      </w:r>
    </w:p>
    <w:p>
      <w:pPr>
        <w:spacing w:line="185" w:lineRule="exact" w:before="0"/>
        <w:ind w:left="101" w:right="0" w:firstLine="0"/>
        <w:jc w:val="left"/>
        <w:rPr>
          <w:b/>
          <w:sz w:val="18"/>
        </w:rPr>
      </w:pPr>
      <w:r>
        <w:rPr/>
        <w:br w:type="column"/>
      </w:r>
      <w:r>
        <w:rPr>
          <w:b/>
          <w:w w:val="95"/>
          <w:sz w:val="18"/>
        </w:rPr>
        <w:t>或驾驶无有效行驶证</w:t>
      </w:r>
    </w:p>
    <w:p>
      <w:pPr>
        <w:tabs>
          <w:tab w:pos="1183" w:val="left" w:leader="none"/>
        </w:tabs>
        <w:spacing w:line="185" w:lineRule="exact" w:before="0"/>
        <w:ind w:left="101" w:right="0" w:firstLine="0"/>
        <w:jc w:val="left"/>
        <w:rPr>
          <w:b/>
          <w:sz w:val="18"/>
        </w:rPr>
      </w:pPr>
      <w:r>
        <w:rPr/>
        <w:br w:type="column"/>
      </w:r>
      <w:r>
        <w:rPr>
          <w:b/>
          <w:spacing w:val="-8"/>
          <w:sz w:val="18"/>
        </w:rPr>
        <w:t>的</w:t>
      </w:r>
      <w:r>
        <w:rPr>
          <w:b/>
          <w:spacing w:val="-10"/>
          <w:sz w:val="18"/>
        </w:rPr>
        <w:t>机</w:t>
      </w:r>
      <w:r>
        <w:rPr>
          <w:b/>
          <w:spacing w:val="-8"/>
          <w:sz w:val="18"/>
        </w:rPr>
        <w:t>动</w:t>
      </w:r>
      <w:r>
        <w:rPr>
          <w:b/>
          <w:sz w:val="18"/>
        </w:rPr>
        <w:t>车</w:t>
        <w:tab/>
        <w:t>；</w:t>
      </w:r>
    </w:p>
    <w:p>
      <w:pPr>
        <w:spacing w:after="0" w:line="185" w:lineRule="exact"/>
        <w:jc w:val="left"/>
        <w:rPr>
          <w:sz w:val="18"/>
        </w:rPr>
        <w:sectPr>
          <w:type w:val="continuous"/>
          <w:pgSz w:w="11960" w:h="16850"/>
          <w:pgMar w:top="280" w:bottom="1200" w:left="1600" w:right="1540"/>
          <w:cols w:num="4" w:equalWidth="0">
            <w:col w:w="1998" w:space="292"/>
            <w:col w:w="2089" w:space="320"/>
            <w:col w:w="1729" w:space="323"/>
            <w:col w:w="2069"/>
          </w:cols>
        </w:sectPr>
      </w:pPr>
    </w:p>
    <w:p>
      <w:pPr>
        <w:tabs>
          <w:tab w:pos="4627" w:val="left" w:leader="none"/>
        </w:tabs>
        <w:spacing w:line="103" w:lineRule="exact" w:before="13"/>
        <w:ind w:left="1999" w:right="0" w:firstLine="0"/>
        <w:jc w:val="left"/>
        <w:rPr>
          <w:b/>
          <w:sz w:val="12"/>
        </w:rPr>
      </w:pPr>
      <w:r>
        <w:rPr>
          <w:b/>
          <w:sz w:val="12"/>
        </w:rPr>
        <w:t>释义</w:t>
      </w:r>
      <w:r>
        <w:rPr>
          <w:b/>
          <w:spacing w:val="-31"/>
          <w:sz w:val="12"/>
        </w:rPr>
        <w:t> </w:t>
      </w:r>
      <w:r>
        <w:rPr>
          <w:b/>
          <w:sz w:val="12"/>
        </w:rPr>
        <w:t>20</w:t>
        <w:tab/>
        <w:t>释义</w:t>
      </w:r>
      <w:r>
        <w:rPr>
          <w:b/>
          <w:spacing w:val="-33"/>
          <w:sz w:val="12"/>
        </w:rPr>
        <w:t> </w:t>
      </w:r>
      <w:r>
        <w:rPr>
          <w:b/>
          <w:sz w:val="12"/>
        </w:rPr>
        <w:t>21</w:t>
      </w:r>
    </w:p>
    <w:p>
      <w:pPr>
        <w:pStyle w:val="Heading1"/>
        <w:tabs>
          <w:tab w:pos="2390" w:val="left" w:leader="none"/>
          <w:tab w:pos="5018" w:val="left" w:leader="none"/>
        </w:tabs>
        <w:spacing w:line="196" w:lineRule="exact"/>
      </w:pPr>
      <w:r>
        <w:rPr>
          <w:spacing w:val="1"/>
          <w:w w:val="99"/>
        </w:rPr>
        <w:t>（</w:t>
      </w:r>
      <w:r>
        <w:rPr>
          <w:rFonts w:ascii="Times New Roman" w:eastAsia="Times New Roman"/>
          <w:spacing w:val="-2"/>
          <w:w w:val="100"/>
        </w:rPr>
        <w:t>5</w:t>
      </w:r>
      <w:r>
        <w:rPr>
          <w:spacing w:val="-1"/>
          <w:w w:val="99"/>
        </w:rPr>
        <w:t>）</w:t>
      </w:r>
      <w:r>
        <w:rPr>
          <w:spacing w:val="1"/>
          <w:w w:val="99"/>
        </w:rPr>
        <w:t>被</w:t>
      </w:r>
      <w:r>
        <w:rPr>
          <w:w w:val="99"/>
        </w:rPr>
        <w:t>保险</w:t>
      </w:r>
      <w:r>
        <w:rPr>
          <w:spacing w:val="1"/>
          <w:w w:val="99"/>
        </w:rPr>
        <w:t>人</w:t>
      </w:r>
      <w:r>
        <w:rPr>
          <w:w w:val="99"/>
        </w:rPr>
        <w:t>患艾滋病</w:t>
      </w:r>
      <w:r>
        <w:rPr/>
        <w:tab/>
      </w:r>
      <w:r>
        <w:rPr>
          <w:spacing w:val="1"/>
          <w:w w:val="99"/>
        </w:rPr>
        <w:t>（</w:t>
      </w:r>
      <w:r>
        <w:rPr>
          <w:rFonts w:ascii="Times New Roman" w:eastAsia="Times New Roman"/>
          <w:spacing w:val="-1"/>
          <w:w w:val="100"/>
        </w:rPr>
        <w:t>AID</w:t>
      </w:r>
      <w:r>
        <w:rPr>
          <w:rFonts w:ascii="Times New Roman" w:eastAsia="Times New Roman"/>
          <w:w w:val="100"/>
        </w:rPr>
        <w:t>S</w:t>
      </w:r>
      <w:r>
        <w:rPr>
          <w:spacing w:val="-1"/>
          <w:w w:val="99"/>
        </w:rPr>
        <w:t>）</w:t>
      </w:r>
      <w:r>
        <w:rPr>
          <w:w w:val="99"/>
        </w:rPr>
        <w:t>或</w:t>
      </w:r>
      <w:r>
        <w:rPr>
          <w:spacing w:val="1"/>
          <w:w w:val="99"/>
        </w:rPr>
        <w:t>感</w:t>
      </w:r>
      <w:r>
        <w:rPr>
          <w:w w:val="99"/>
        </w:rPr>
        <w:t>染艾</w:t>
      </w:r>
      <w:r>
        <w:rPr>
          <w:spacing w:val="1"/>
          <w:w w:val="99"/>
        </w:rPr>
        <w:t>滋</w:t>
      </w:r>
      <w:r>
        <w:rPr>
          <w:w w:val="99"/>
        </w:rPr>
        <w:t>病病毒</w:t>
      </w:r>
      <w:r>
        <w:rPr/>
        <w:tab/>
      </w:r>
      <w:r>
        <w:rPr>
          <w:spacing w:val="1"/>
          <w:w w:val="99"/>
        </w:rPr>
        <w:t>（</w:t>
      </w:r>
      <w:r>
        <w:rPr>
          <w:rFonts w:ascii="Times New Roman" w:eastAsia="Times New Roman"/>
          <w:spacing w:val="-1"/>
          <w:w w:val="100"/>
        </w:rPr>
        <w:t>HI</w:t>
      </w:r>
      <w:r>
        <w:rPr>
          <w:rFonts w:ascii="Times New Roman" w:eastAsia="Times New Roman"/>
          <w:w w:val="100"/>
        </w:rPr>
        <w:t>V</w:t>
      </w:r>
      <w:r>
        <w:rPr>
          <w:rFonts w:ascii="Times New Roman" w:eastAsia="Times New Roman"/>
          <w:spacing w:val="-3"/>
          <w:w w:val="100"/>
        </w:rPr>
        <w:t> </w:t>
      </w:r>
      <w:r>
        <w:rPr>
          <w:spacing w:val="1"/>
          <w:w w:val="99"/>
        </w:rPr>
        <w:t>呈阳性</w:t>
      </w:r>
      <w:r>
        <w:rPr>
          <w:spacing w:val="-92"/>
          <w:w w:val="99"/>
        </w:rPr>
        <w:t>）</w:t>
      </w:r>
      <w:r>
        <w:rPr>
          <w:w w:val="99"/>
        </w:rPr>
        <w:t>；</w:t>
      </w:r>
    </w:p>
    <w:p>
      <w:pPr>
        <w:spacing w:before="41"/>
        <w:ind w:left="10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0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3102" w:val="left" w:leader="none"/>
        </w:tabs>
        <w:spacing w:line="103" w:lineRule="exact" w:before="33"/>
        <w:ind w:left="0" w:right="2401" w:firstLine="0"/>
        <w:jc w:val="center"/>
        <w:rPr>
          <w:b/>
          <w:sz w:val="12"/>
        </w:rPr>
      </w:pPr>
      <w:r>
        <w:rPr>
          <w:b/>
          <w:sz w:val="12"/>
        </w:rPr>
        <w:t>释义</w:t>
      </w:r>
      <w:r>
        <w:rPr>
          <w:b/>
          <w:spacing w:val="-31"/>
          <w:sz w:val="12"/>
        </w:rPr>
        <w:t> </w:t>
      </w:r>
      <w:r>
        <w:rPr>
          <w:b/>
          <w:sz w:val="12"/>
        </w:rPr>
        <w:t>22</w:t>
        <w:tab/>
        <w:t>释义</w:t>
      </w:r>
      <w:r>
        <w:rPr>
          <w:b/>
          <w:spacing w:val="-33"/>
          <w:sz w:val="12"/>
        </w:rPr>
        <w:t> </w:t>
      </w:r>
      <w:r>
        <w:rPr>
          <w:b/>
          <w:sz w:val="12"/>
        </w:rPr>
        <w:t>23</w:t>
      </w:r>
    </w:p>
    <w:p>
      <w:pPr>
        <w:pStyle w:val="Heading1"/>
        <w:tabs>
          <w:tab w:pos="1848" w:val="left" w:leader="none"/>
          <w:tab w:pos="4953" w:val="left" w:leader="none"/>
        </w:tabs>
        <w:spacing w:line="196" w:lineRule="exact"/>
      </w:pPr>
      <w:r>
        <w:rPr/>
        <w:t>（</w:t>
      </w:r>
      <w:r>
        <w:rPr>
          <w:rFonts w:ascii="Times New Roman" w:eastAsia="Times New Roman"/>
        </w:rPr>
        <w:t>8</w:t>
      </w:r>
      <w:r>
        <w:rPr/>
        <w:t>）遗传性疾病</w:t>
        <w:tab/>
        <w:t>，先天性畸形、变形或染色体异常</w:t>
        <w:tab/>
        <w:t>；</w:t>
      </w:r>
    </w:p>
    <w:p>
      <w:pPr>
        <w:spacing w:line="103" w:lineRule="exact" w:before="13"/>
        <w:ind w:left="0" w:right="3699" w:firstLine="0"/>
        <w:jc w:val="center"/>
        <w:rPr>
          <w:b/>
          <w:sz w:val="12"/>
        </w:rPr>
      </w:pPr>
      <w:r>
        <w:rPr>
          <w:b/>
          <w:sz w:val="12"/>
        </w:rPr>
        <w:t>释义 24</w:t>
      </w:r>
    </w:p>
    <w:p>
      <w:pPr>
        <w:pStyle w:val="Heading1"/>
        <w:tabs>
          <w:tab w:pos="2781" w:val="left" w:leader="none"/>
        </w:tabs>
        <w:spacing w:line="196" w:lineRule="exact"/>
      </w:pPr>
      <w:r>
        <w:rPr/>
        <w:t>（</w:t>
      </w:r>
      <w:r>
        <w:rPr>
          <w:rFonts w:ascii="Times New Roman" w:eastAsia="Times New Roman"/>
        </w:rPr>
        <w:t>9</w:t>
      </w:r>
      <w:r>
        <w:rPr/>
        <w:t>）被保险人因精神类疾病</w:t>
        <w:tab/>
      </w:r>
      <w:r>
        <w:rPr>
          <w:w w:val="95"/>
        </w:rPr>
        <w:t>导致的全面保障责任事故。</w:t>
      </w:r>
    </w:p>
    <w:p>
      <w:pPr>
        <w:spacing w:line="304" w:lineRule="auto" w:before="42"/>
        <w:ind w:left="101" w:right="112" w:firstLine="0"/>
        <w:jc w:val="left"/>
        <w:rPr>
          <w:b/>
          <w:sz w:val="18"/>
        </w:rPr>
      </w:pPr>
      <w:r>
        <w:rPr>
          <w:b/>
          <w:sz w:val="18"/>
        </w:rPr>
        <w:t>发生上述（</w:t>
      </w:r>
      <w:r>
        <w:rPr>
          <w:rFonts w:ascii="Times New Roman" w:hAnsi="Times New Roman" w:eastAsia="Times New Roman"/>
          <w:b/>
          <w:sz w:val="18"/>
        </w:rPr>
        <w:t>1</w:t>
      </w:r>
      <w:r>
        <w:rPr>
          <w:b/>
          <w:sz w:val="18"/>
        </w:rPr>
        <w:t>）至（</w:t>
      </w:r>
      <w:r>
        <w:rPr>
          <w:rFonts w:ascii="Times New Roman" w:hAnsi="Times New Roman" w:eastAsia="Times New Roman"/>
          <w:b/>
          <w:sz w:val="18"/>
        </w:rPr>
        <w:t>8</w:t>
      </w:r>
      <w:r>
        <w:rPr>
          <w:b/>
          <w:sz w:val="18"/>
        </w:rPr>
        <w:t>）情形之一，导致被保险人初次患有本附加合同内所界定的重大疾病或少儿特定重大疾病或男性</w:t>
      </w:r>
      <w:r>
        <w:rPr>
          <w:rFonts w:ascii="Times New Roman" w:hAnsi="Times New Roman" w:eastAsia="Times New Roman"/>
          <w:b/>
          <w:spacing w:val="-3"/>
          <w:sz w:val="18"/>
        </w:rPr>
        <w:t>/</w:t>
      </w:r>
      <w:r>
        <w:rPr>
          <w:b/>
          <w:spacing w:val="-1"/>
          <w:sz w:val="18"/>
        </w:rPr>
        <w:t>女性特定重大疾病或高发重大疾病或轻症疾病或终末期疾病或扩展性独立生活能力丧失的，我们不</w:t>
      </w:r>
      <w:r>
        <w:rPr>
          <w:b/>
          <w:spacing w:val="-7"/>
          <w:sz w:val="18"/>
        </w:rPr>
        <w:t>承担相应的保险金给付责任。但符合本附加合同内重大疾病释义中所界定的“经输血导致的艾滋病病毒感染” </w:t>
      </w:r>
      <w:r>
        <w:rPr>
          <w:b/>
          <w:spacing w:val="-8"/>
          <w:sz w:val="18"/>
        </w:rPr>
        <w:t>不受上述情形</w:t>
      </w:r>
      <w:r>
        <w:rPr>
          <w:b/>
          <w:spacing w:val="-6"/>
          <w:sz w:val="18"/>
        </w:rPr>
        <w:t>（</w:t>
      </w:r>
      <w:r>
        <w:rPr>
          <w:rFonts w:ascii="Times New Roman" w:hAnsi="Times New Roman" w:eastAsia="Times New Roman"/>
          <w:b/>
          <w:spacing w:val="-6"/>
          <w:sz w:val="18"/>
        </w:rPr>
        <w:t>5</w:t>
      </w:r>
      <w:r>
        <w:rPr>
          <w:b/>
          <w:spacing w:val="-6"/>
          <w:sz w:val="18"/>
        </w:rPr>
        <w:t>）</w:t>
      </w:r>
      <w:r>
        <w:rPr>
          <w:b/>
          <w:spacing w:val="-7"/>
          <w:sz w:val="18"/>
        </w:rPr>
        <w:t>的限制；符合本附加合同内重大疾病释义中所界定的“肌营养不良症”不受上述情形</w:t>
      </w:r>
      <w:r>
        <w:rPr>
          <w:b/>
          <w:sz w:val="18"/>
        </w:rPr>
        <w:t>（</w:t>
      </w:r>
      <w:r>
        <w:rPr>
          <w:rFonts w:ascii="Times New Roman" w:hAnsi="Times New Roman" w:eastAsia="Times New Roman"/>
          <w:b/>
          <w:sz w:val="18"/>
        </w:rPr>
        <w:t>8</w:t>
      </w:r>
      <w:r>
        <w:rPr>
          <w:b/>
          <w:sz w:val="18"/>
        </w:rPr>
        <w:t>） </w:t>
      </w:r>
      <w:r>
        <w:rPr>
          <w:b/>
          <w:w w:val="95"/>
          <w:sz w:val="18"/>
        </w:rPr>
        <w:t>的限制。</w:t>
      </w:r>
    </w:p>
    <w:p>
      <w:pPr>
        <w:spacing w:line="300" w:lineRule="auto" w:before="28"/>
        <w:ind w:left="101" w:right="130" w:firstLine="0"/>
        <w:jc w:val="left"/>
        <w:rPr>
          <w:b/>
          <w:sz w:val="18"/>
        </w:rPr>
      </w:pPr>
      <w:r>
        <w:rPr>
          <w:b/>
          <w:sz w:val="18"/>
        </w:rPr>
        <w:t>发生上述情形（</w:t>
      </w:r>
      <w:r>
        <w:rPr>
          <w:rFonts w:ascii="Times New Roman" w:eastAsia="Times New Roman"/>
          <w:b/>
          <w:sz w:val="18"/>
        </w:rPr>
        <w:t>9</w:t>
      </w:r>
      <w:r>
        <w:rPr>
          <w:b/>
          <w:sz w:val="18"/>
        </w:rPr>
        <w:t>）导致被保险人初次患有本附加合同内所界定的扩展性独立生活能力丧失的，我们不承担全</w:t>
      </w:r>
      <w:r>
        <w:rPr>
          <w:b/>
          <w:w w:val="95"/>
          <w:sz w:val="18"/>
        </w:rPr>
        <w:t>面保障保险金给付责任。</w:t>
      </w:r>
    </w:p>
    <w:p>
      <w:pPr>
        <w:pStyle w:val="BodyText"/>
        <w:spacing w:before="9"/>
        <w:ind w:left="0"/>
        <w:rPr>
          <w:b/>
          <w:sz w:val="20"/>
        </w:rPr>
      </w:pPr>
    </w:p>
    <w:p>
      <w:pPr>
        <w:pStyle w:val="Heading1"/>
        <w:tabs>
          <w:tab w:pos="4437" w:val="left" w:leader="none"/>
        </w:tabs>
        <w:ind w:left="2638"/>
      </w:pPr>
      <w:bookmarkStart w:name="_TOC_250009" w:id="6"/>
      <w:r>
        <w:rPr/>
        <w:t>第三部分</w:t>
        <w:tab/>
      </w:r>
      <w:bookmarkEnd w:id="6"/>
      <w:r>
        <w:rPr>
          <w:w w:val="95"/>
        </w:rPr>
        <w:t>如何申请领取保险金</w:t>
      </w:r>
    </w:p>
    <w:p>
      <w:pPr>
        <w:pStyle w:val="BodyText"/>
        <w:spacing w:before="1"/>
        <w:ind w:left="0"/>
        <w:rPr>
          <w:b/>
          <w:sz w:val="24"/>
        </w:rPr>
      </w:pPr>
    </w:p>
    <w:p>
      <w:pPr>
        <w:pStyle w:val="Heading1"/>
        <w:tabs>
          <w:tab w:pos="1361" w:val="left" w:leader="none"/>
        </w:tabs>
      </w:pPr>
      <w:bookmarkStart w:name="_TOC_250008" w:id="7"/>
      <w:r>
        <w:rPr/>
        <w:t>第九条</w:t>
        <w:tab/>
      </w:r>
      <w:bookmarkEnd w:id="7"/>
      <w:r>
        <w:rPr>
          <w:w w:val="95"/>
        </w:rPr>
        <w:t>受益人的指定和变更</w:t>
      </w:r>
    </w:p>
    <w:p>
      <w:pPr>
        <w:pStyle w:val="BodyText"/>
        <w:spacing w:before="12"/>
        <w:ind w:left="0"/>
        <w:rPr>
          <w:b/>
          <w:sz w:val="14"/>
        </w:rPr>
      </w:pPr>
    </w:p>
    <w:p>
      <w:pPr>
        <w:tabs>
          <w:tab w:pos="1361" w:val="left" w:leader="none"/>
        </w:tabs>
        <w:spacing w:line="439" w:lineRule="auto" w:before="0"/>
        <w:ind w:left="101" w:right="4748" w:firstLine="0"/>
        <w:jc w:val="left"/>
        <w:rPr>
          <w:b/>
          <w:sz w:val="18"/>
        </w:rPr>
      </w:pPr>
      <w:r>
        <w:rPr>
          <w:sz w:val="18"/>
        </w:rPr>
        <w:t>本附加合同各项保险金的受益人为被保险人本人。</w:t>
      </w:r>
      <w:r>
        <w:rPr>
          <w:b/>
          <w:sz w:val="18"/>
        </w:rPr>
        <w:t>第十条</w:t>
        <w:tab/>
      </w:r>
      <w:r>
        <w:rPr>
          <w:b/>
          <w:w w:val="95"/>
          <w:sz w:val="18"/>
        </w:rPr>
        <w:t>申请资料</w:t>
      </w:r>
    </w:p>
    <w:p>
      <w:pPr>
        <w:pStyle w:val="BodyText"/>
        <w:spacing w:line="316" w:lineRule="auto" w:before="46"/>
        <w:ind w:left="101" w:right="208"/>
      </w:pPr>
      <w:r>
        <w:rPr/>
        <w:t>在符合保险责任有关规定的条件下，由受益人作为申请人填写申请书，并凭下列证明、资料的原件向我们申请给付保险金：</w:t>
      </w:r>
    </w:p>
    <w:p>
      <w:pPr>
        <w:pStyle w:val="BodyText"/>
        <w:spacing w:before="18"/>
        <w:ind w:left="101"/>
      </w:pPr>
      <w:r>
        <w:rPr/>
        <w:t>（</w:t>
      </w:r>
      <w:r>
        <w:rPr>
          <w:rFonts w:ascii="Times New Roman" w:eastAsia="Times New Roman"/>
        </w:rPr>
        <w:t>1</w:t>
      </w:r>
      <w:r>
        <w:rPr/>
        <w:t>）申请书；</w:t>
      </w:r>
    </w:p>
    <w:p>
      <w:pPr>
        <w:pStyle w:val="BodyText"/>
        <w:spacing w:before="62"/>
        <w:ind w:left="101"/>
      </w:pPr>
      <w:r>
        <w:rPr/>
        <w:t>（</w:t>
      </w:r>
      <w:r>
        <w:rPr>
          <w:rFonts w:ascii="Times New Roman" w:eastAsia="Times New Roman"/>
        </w:rPr>
        <w:t>2</w:t>
      </w:r>
      <w:r>
        <w:rPr/>
        <w:t>）保险合同；</w:t>
      </w:r>
    </w:p>
    <w:p>
      <w:pPr>
        <w:pStyle w:val="BodyText"/>
        <w:spacing w:before="62"/>
        <w:ind w:left="101"/>
      </w:pPr>
      <w:r>
        <w:rPr/>
        <w:t>（</w:t>
      </w:r>
      <w:r>
        <w:rPr>
          <w:rFonts w:ascii="Times New Roman" w:eastAsia="Times New Roman"/>
        </w:rPr>
        <w:t>3</w:t>
      </w:r>
      <w:r>
        <w:rPr/>
        <w:t>）受益人户籍证明及身份证明；</w:t>
      </w:r>
    </w:p>
    <w:p>
      <w:pPr>
        <w:spacing w:line="280" w:lineRule="auto" w:before="34"/>
        <w:ind w:left="101" w:right="205" w:firstLine="0"/>
        <w:jc w:val="left"/>
        <w:rPr>
          <w:sz w:val="18"/>
        </w:rPr>
      </w:pPr>
      <w:r>
        <w:rPr>
          <w:sz w:val="18"/>
        </w:rPr>
        <w:t>（</w:t>
      </w:r>
      <w:r>
        <w:rPr>
          <w:rFonts w:ascii="Times New Roman" w:eastAsia="Times New Roman"/>
          <w:sz w:val="18"/>
        </w:rPr>
        <w:t>4</w:t>
      </w:r>
      <w:r>
        <w:rPr>
          <w:sz w:val="18"/>
        </w:rPr>
        <w:t>）</w:t>
      </w:r>
      <w:r>
        <w:rPr>
          <w:b/>
          <w:sz w:val="18"/>
        </w:rPr>
        <w:t>我们指定或认可的医院</w:t>
      </w:r>
      <w:r>
        <w:rPr>
          <w:b/>
          <w:position w:val="12"/>
          <w:sz w:val="12"/>
        </w:rPr>
        <w:t>释义 25 </w:t>
      </w:r>
      <w:r>
        <w:rPr>
          <w:sz w:val="18"/>
        </w:rPr>
        <w:t>出具的附有被保险人完整病历、病理、血液及其它科学方法检验报告的诊断证明文件；</w:t>
      </w:r>
    </w:p>
    <w:p>
      <w:pPr>
        <w:pStyle w:val="BodyText"/>
        <w:spacing w:before="46"/>
        <w:ind w:left="101"/>
      </w:pPr>
      <w:r>
        <w:rPr/>
        <w:t>（</w:t>
      </w:r>
      <w:r>
        <w:rPr>
          <w:rFonts w:ascii="Times New Roman" w:eastAsia="Times New Roman"/>
        </w:rPr>
        <w:t>5</w:t>
      </w:r>
      <w:r>
        <w:rPr/>
        <w:t>）所能提供的与确认保险事故的性质、原因等有关的其他证明和资料。</w:t>
      </w:r>
    </w:p>
    <w:p>
      <w:pPr>
        <w:pStyle w:val="BodyText"/>
        <w:spacing w:before="63"/>
        <w:ind w:left="101"/>
      </w:pPr>
      <w:r>
        <w:rPr/>
        <w:t>以上证明和资料不完整的，我们将及时一次性以书面形式向您告知需要补充的有关材料。</w:t>
      </w:r>
    </w:p>
    <w:p>
      <w:pPr>
        <w:spacing w:after="0"/>
        <w:sectPr>
          <w:type w:val="continuous"/>
          <w:pgSz w:w="11960" w:h="16850"/>
          <w:pgMar w:top="280" w:bottom="1200" w:left="1600" w:right="1540"/>
        </w:sectPr>
      </w:pPr>
    </w:p>
    <w:p>
      <w:pPr>
        <w:pStyle w:val="Heading1"/>
        <w:tabs>
          <w:tab w:pos="1361" w:val="left" w:leader="none"/>
        </w:tabs>
        <w:spacing w:before="112"/>
      </w:pPr>
      <w:bookmarkStart w:name="_TOC_250007" w:id="8"/>
      <w:r>
        <w:rPr/>
        <w:t>第十一条</w:t>
        <w:tab/>
      </w:r>
      <w:bookmarkEnd w:id="8"/>
      <w:r>
        <w:rPr>
          <w:w w:val="95"/>
        </w:rPr>
        <w:t>诉讼时效</w:t>
      </w:r>
    </w:p>
    <w:p>
      <w:pPr>
        <w:pStyle w:val="BodyText"/>
        <w:ind w:left="0"/>
        <w:rPr>
          <w:b/>
          <w:sz w:val="15"/>
        </w:rPr>
      </w:pPr>
    </w:p>
    <w:p>
      <w:pPr>
        <w:pStyle w:val="BodyText"/>
        <w:spacing w:line="316" w:lineRule="auto"/>
        <w:ind w:left="101" w:right="208"/>
      </w:pPr>
      <w:r>
        <w:rPr/>
        <w:t>被保险人或受益人向我们请求给付保险金的诉讼时效期间为二年，自其知道或者应当知道保险事故发生之日起计算。</w:t>
      </w:r>
    </w:p>
    <w:p>
      <w:pPr>
        <w:pStyle w:val="BodyText"/>
        <w:spacing w:before="9"/>
        <w:ind w:left="0"/>
        <w:rPr>
          <w:sz w:val="19"/>
        </w:rPr>
      </w:pPr>
    </w:p>
    <w:p>
      <w:pPr>
        <w:pStyle w:val="Heading1"/>
        <w:tabs>
          <w:tab w:pos="1799" w:val="left" w:leader="none"/>
        </w:tabs>
        <w:spacing w:before="1"/>
        <w:ind w:left="0" w:right="104"/>
        <w:jc w:val="center"/>
      </w:pPr>
      <w:bookmarkStart w:name="_TOC_250006" w:id="9"/>
      <w:r>
        <w:rPr/>
        <w:t>第四部分</w:t>
        <w:tab/>
      </w:r>
      <w:bookmarkEnd w:id="9"/>
      <w:r>
        <w:rPr>
          <w:w w:val="95"/>
        </w:rPr>
        <w:t>如何交纳保险费</w:t>
      </w:r>
    </w:p>
    <w:p>
      <w:pPr>
        <w:pStyle w:val="BodyText"/>
        <w:spacing w:before="2"/>
        <w:ind w:left="0"/>
        <w:rPr>
          <w:b/>
          <w:sz w:val="24"/>
        </w:rPr>
      </w:pPr>
    </w:p>
    <w:p>
      <w:pPr>
        <w:pStyle w:val="Heading1"/>
        <w:tabs>
          <w:tab w:pos="1361" w:val="left" w:leader="none"/>
        </w:tabs>
      </w:pPr>
      <w:bookmarkStart w:name="_TOC_250005" w:id="10"/>
      <w:r>
        <w:rPr/>
        <w:t>第十二条</w:t>
        <w:tab/>
      </w:r>
      <w:bookmarkEnd w:id="10"/>
      <w:r>
        <w:rPr>
          <w:w w:val="95"/>
        </w:rPr>
        <w:t>保险费的交纳</w:t>
      </w:r>
    </w:p>
    <w:p>
      <w:pPr>
        <w:pStyle w:val="BodyText"/>
        <w:spacing w:before="12"/>
        <w:ind w:left="0"/>
        <w:rPr>
          <w:b/>
          <w:sz w:val="14"/>
        </w:rPr>
      </w:pPr>
    </w:p>
    <w:p>
      <w:pPr>
        <w:pStyle w:val="BodyText"/>
        <w:spacing w:line="316" w:lineRule="auto" w:before="1"/>
        <w:ind w:left="101" w:right="208"/>
      </w:pPr>
      <w:r>
        <w:rPr/>
        <w:t>本附加合同的交费方式与主合同相同。在主合同的交费期间内，本附加合同的保险费必须随主合同保险费一同支付，不能单独交纳。</w:t>
      </w:r>
    </w:p>
    <w:p>
      <w:pPr>
        <w:pStyle w:val="BodyText"/>
        <w:spacing w:before="10"/>
        <w:ind w:left="0"/>
        <w:rPr>
          <w:sz w:val="19"/>
        </w:rPr>
      </w:pPr>
    </w:p>
    <w:p>
      <w:pPr>
        <w:pStyle w:val="Heading1"/>
        <w:tabs>
          <w:tab w:pos="1799" w:val="left" w:leader="none"/>
        </w:tabs>
        <w:ind w:left="0" w:right="106"/>
        <w:jc w:val="center"/>
      </w:pPr>
      <w:bookmarkStart w:name="_TOC_250004" w:id="11"/>
      <w:r>
        <w:rPr/>
        <w:t>第五部分</w:t>
        <w:tab/>
      </w:r>
      <w:bookmarkEnd w:id="11"/>
      <w:r>
        <w:rPr>
          <w:w w:val="95"/>
        </w:rPr>
        <w:t>现金价值权益</w:t>
      </w:r>
    </w:p>
    <w:p>
      <w:pPr>
        <w:pStyle w:val="BodyText"/>
        <w:spacing w:before="1"/>
        <w:ind w:left="0"/>
        <w:rPr>
          <w:b/>
          <w:sz w:val="24"/>
        </w:rPr>
      </w:pPr>
    </w:p>
    <w:p>
      <w:pPr>
        <w:pStyle w:val="Heading1"/>
        <w:tabs>
          <w:tab w:pos="1361" w:val="left" w:leader="none"/>
        </w:tabs>
        <w:spacing w:before="1"/>
      </w:pPr>
      <w:bookmarkStart w:name="_TOC_250003" w:id="12"/>
      <w:r>
        <w:rPr/>
        <w:t>第十三条</w:t>
        <w:tab/>
      </w:r>
      <w:bookmarkEnd w:id="12"/>
      <w:r>
        <w:rPr>
          <w:w w:val="95"/>
        </w:rPr>
        <w:t>现金价值</w:t>
      </w:r>
    </w:p>
    <w:p>
      <w:pPr>
        <w:pStyle w:val="BodyText"/>
        <w:spacing w:before="11"/>
        <w:ind w:left="0"/>
        <w:rPr>
          <w:b/>
          <w:sz w:val="12"/>
        </w:rPr>
      </w:pPr>
    </w:p>
    <w:p>
      <w:pPr>
        <w:spacing w:line="103" w:lineRule="exact" w:before="0"/>
        <w:ind w:left="1984" w:right="104" w:firstLine="0"/>
        <w:jc w:val="center"/>
        <w:rPr>
          <w:b/>
          <w:sz w:val="12"/>
        </w:rPr>
      </w:pPr>
      <w:r>
        <w:rPr>
          <w:b/>
          <w:sz w:val="12"/>
        </w:rPr>
        <w:t>释义 27</w:t>
      </w:r>
    </w:p>
    <w:p>
      <w:pPr>
        <w:pStyle w:val="BodyText"/>
        <w:tabs>
          <w:tab w:pos="5548" w:val="left" w:leader="none"/>
        </w:tabs>
        <w:spacing w:line="182" w:lineRule="exact"/>
        <w:ind w:left="101"/>
      </w:pPr>
      <w:r>
        <w:rPr/>
        <w:t>我们会在保险单或批注上载明本附加合同保单年度末的</w:t>
      </w:r>
      <w:r>
        <w:rPr>
          <w:b/>
        </w:rPr>
        <w:t>现金价值</w:t>
        <w:tab/>
      </w:r>
      <w:r>
        <w:rPr>
          <w:spacing w:val="-1"/>
        </w:rPr>
        <w:t>。</w:t>
      </w:r>
      <w:r>
        <w:rPr/>
        <w:t>现金价值可能因</w:t>
      </w:r>
      <w:r>
        <w:rPr>
          <w:spacing w:val="-3"/>
        </w:rPr>
        <w:t>为</w:t>
      </w:r>
      <w:r>
        <w:rPr/>
        <w:t>其他条款的约定发</w:t>
      </w:r>
    </w:p>
    <w:p>
      <w:pPr>
        <w:tabs>
          <w:tab w:pos="1361" w:val="left" w:leader="none"/>
        </w:tabs>
        <w:spacing w:line="439" w:lineRule="auto" w:before="55"/>
        <w:ind w:left="101" w:right="3488" w:firstLine="0"/>
        <w:jc w:val="left"/>
        <w:rPr>
          <w:b/>
          <w:sz w:val="18"/>
        </w:rPr>
      </w:pPr>
      <w:r>
        <w:rPr>
          <w:sz w:val="18"/>
        </w:rPr>
        <w:t>生变更。如果您需要了解保单年度内的现金价值，可向我们查询。</w:t>
      </w:r>
      <w:r>
        <w:rPr>
          <w:b/>
          <w:sz w:val="18"/>
        </w:rPr>
        <w:t>第十四条</w:t>
        <w:tab/>
      </w:r>
      <w:r>
        <w:rPr>
          <w:b/>
          <w:w w:val="95"/>
          <w:sz w:val="18"/>
        </w:rPr>
        <w:t>减额交清</w:t>
      </w:r>
    </w:p>
    <w:p>
      <w:pPr>
        <w:pStyle w:val="BodyText"/>
        <w:spacing w:before="47"/>
        <w:ind w:left="101"/>
      </w:pPr>
      <w:r>
        <w:rPr/>
        <w:t>减额交清保险不适用于本附加合同。</w:t>
      </w:r>
    </w:p>
    <w:p>
      <w:pPr>
        <w:pStyle w:val="BodyText"/>
        <w:spacing w:before="2"/>
        <w:ind w:left="0"/>
        <w:rPr>
          <w:sz w:val="24"/>
        </w:rPr>
      </w:pPr>
    </w:p>
    <w:p>
      <w:pPr>
        <w:pStyle w:val="Heading1"/>
        <w:tabs>
          <w:tab w:pos="1361" w:val="left" w:leader="none"/>
          <w:tab w:pos="4620" w:val="left" w:leader="none"/>
        </w:tabs>
        <w:spacing w:line="561" w:lineRule="auto"/>
        <w:ind w:right="2924" w:firstLine="2718"/>
      </w:pPr>
      <w:r>
        <w:rPr/>
        <w:t>第六部分</w:t>
        <w:tab/>
      </w:r>
      <w:r>
        <w:rPr>
          <w:w w:val="95"/>
        </w:rPr>
        <w:t>合同效力的终止 </w:t>
      </w:r>
      <w:r>
        <w:rPr/>
        <w:t>第十五条</w:t>
        <w:tab/>
      </w:r>
      <w:r>
        <w:rPr>
          <w:w w:val="95"/>
        </w:rPr>
        <w:t>您主动解除合同的权利</w:t>
      </w:r>
    </w:p>
    <w:p>
      <w:pPr>
        <w:pStyle w:val="BodyText"/>
        <w:spacing w:line="191" w:lineRule="exact"/>
        <w:ind w:left="101"/>
      </w:pPr>
      <w:r>
        <w:rPr/>
        <w:t>本附加合同犹豫期过后，您可以书面通知我们要求解除本附加合同，并应提供下列证明和资料：</w:t>
      </w:r>
    </w:p>
    <w:p>
      <w:pPr>
        <w:pStyle w:val="BodyText"/>
        <w:spacing w:before="76"/>
        <w:ind w:left="101"/>
      </w:pPr>
      <w:r>
        <w:rPr/>
        <w:t>（</w:t>
      </w:r>
      <w:r>
        <w:rPr>
          <w:rFonts w:ascii="Times New Roman" w:eastAsia="Times New Roman"/>
        </w:rPr>
        <w:t>1</w:t>
      </w:r>
      <w:r>
        <w:rPr/>
        <w:t>）保险合同终止申请书；</w:t>
      </w:r>
    </w:p>
    <w:p>
      <w:pPr>
        <w:pStyle w:val="BodyText"/>
        <w:spacing w:before="62"/>
        <w:ind w:left="101"/>
      </w:pPr>
      <w:r>
        <w:rPr/>
        <w:t>（</w:t>
      </w:r>
      <w:r>
        <w:rPr>
          <w:rFonts w:ascii="Times New Roman" w:eastAsia="Times New Roman"/>
        </w:rPr>
        <w:t>2</w:t>
      </w:r>
      <w:r>
        <w:rPr/>
        <w:t>）保险合同原件；</w:t>
      </w:r>
    </w:p>
    <w:p>
      <w:pPr>
        <w:pStyle w:val="BodyText"/>
        <w:spacing w:before="62"/>
        <w:ind w:left="101"/>
      </w:pPr>
      <w:r>
        <w:rPr/>
        <w:t>（</w:t>
      </w:r>
      <w:r>
        <w:rPr>
          <w:rFonts w:ascii="Times New Roman" w:eastAsia="Times New Roman"/>
        </w:rPr>
        <w:t>3</w:t>
      </w:r>
      <w:r>
        <w:rPr/>
        <w:t>）您的身份证明复印件。</w:t>
      </w:r>
    </w:p>
    <w:p>
      <w:pPr>
        <w:pStyle w:val="BodyText"/>
        <w:spacing w:line="316" w:lineRule="auto" w:before="62"/>
        <w:ind w:left="101" w:right="208"/>
        <w:jc w:val="both"/>
      </w:pPr>
      <w:r>
        <w:rPr/>
        <w:t>如果您要求解除本附加合同，本附加合同所属的主合同将一并解除。本附加合同及其主合同的保险责任将自我们收到终止保险合同的书面申请之次日零时起终止。我们将于收到上述证明和资料之日起三十日内退还本附加合同及其主合同的现金价值。</w:t>
      </w:r>
    </w:p>
    <w:p>
      <w:pPr>
        <w:tabs>
          <w:tab w:pos="1361" w:val="left" w:leader="none"/>
        </w:tabs>
        <w:spacing w:line="439" w:lineRule="auto" w:before="18"/>
        <w:ind w:left="101" w:right="5648" w:firstLine="0"/>
        <w:jc w:val="left"/>
        <w:rPr>
          <w:b/>
          <w:sz w:val="18"/>
        </w:rPr>
      </w:pPr>
      <w:r>
        <w:rPr>
          <w:sz w:val="18"/>
        </w:rPr>
        <w:t>您犹豫期后解除合同会遭受一定损失。</w:t>
      </w:r>
      <w:r>
        <w:rPr>
          <w:b/>
          <w:sz w:val="18"/>
        </w:rPr>
        <w:t>第十六条</w:t>
        <w:tab/>
      </w:r>
      <w:r>
        <w:rPr>
          <w:b/>
          <w:w w:val="95"/>
          <w:sz w:val="18"/>
        </w:rPr>
        <w:t>合同效力的终止</w:t>
      </w:r>
    </w:p>
    <w:p>
      <w:pPr>
        <w:pStyle w:val="BodyText"/>
        <w:spacing w:before="46"/>
        <w:ind w:left="101"/>
      </w:pPr>
      <w:r>
        <w:rPr/>
        <w:t>本附加合同发生下列情况之一时将会自动终止：</w:t>
      </w:r>
    </w:p>
    <w:p>
      <w:pPr>
        <w:pStyle w:val="BodyText"/>
        <w:spacing w:before="76"/>
        <w:ind w:left="101"/>
      </w:pPr>
      <w:r>
        <w:rPr/>
        <w:t>（</w:t>
      </w:r>
      <w:r>
        <w:rPr>
          <w:rFonts w:ascii="Times New Roman" w:eastAsia="Times New Roman"/>
        </w:rPr>
        <w:t>1</w:t>
      </w:r>
      <w:r>
        <w:rPr/>
        <w:t>）主合同被撤销、解除，或发生其他效力终止的情况；</w:t>
      </w:r>
    </w:p>
    <w:p>
      <w:pPr>
        <w:pStyle w:val="BodyText"/>
        <w:spacing w:before="62"/>
        <w:ind w:left="101"/>
      </w:pPr>
      <w:r>
        <w:rPr/>
        <w:t>（</w:t>
      </w:r>
      <w:r>
        <w:rPr>
          <w:rFonts w:ascii="Times New Roman" w:eastAsia="Times New Roman"/>
        </w:rPr>
        <w:t>2</w:t>
      </w:r>
      <w:r>
        <w:rPr/>
        <w:t>）因出现本附加合同其他条款所列情况而终止。</w:t>
      </w:r>
    </w:p>
    <w:p>
      <w:pPr>
        <w:pStyle w:val="BodyText"/>
        <w:spacing w:before="1"/>
        <w:ind w:left="0"/>
        <w:rPr>
          <w:sz w:val="23"/>
        </w:rPr>
      </w:pPr>
    </w:p>
    <w:p>
      <w:pPr>
        <w:pStyle w:val="Heading1"/>
        <w:tabs>
          <w:tab w:pos="1361" w:val="left" w:leader="none"/>
          <w:tab w:pos="4349" w:val="left" w:leader="none"/>
        </w:tabs>
        <w:spacing w:line="561" w:lineRule="auto"/>
        <w:ind w:right="2653" w:firstLine="2447"/>
      </w:pPr>
      <w:r>
        <w:rPr/>
        <w:t>第七部分</w:t>
        <w:tab/>
      </w:r>
      <w:r>
        <w:rPr>
          <w:w w:val="95"/>
        </w:rPr>
        <w:t>您必须了解的其他事项  </w:t>
      </w:r>
      <w:r>
        <w:rPr/>
        <w:t>第十七条</w:t>
        <w:tab/>
      </w:r>
      <w:r>
        <w:rPr>
          <w:w w:val="95"/>
        </w:rPr>
        <w:t>明确说明与如实告知</w:t>
      </w:r>
    </w:p>
    <w:p>
      <w:pPr>
        <w:pStyle w:val="BodyText"/>
        <w:spacing w:line="191" w:lineRule="exact"/>
        <w:ind w:left="101"/>
      </w:pPr>
      <w:r>
        <w:rPr/>
        <w:t>订立本附加合同时，我们应向您明确说明本附加合同的条款内容。对本附加合同条款中免除我们责任的条款，</w:t>
      </w:r>
    </w:p>
    <w:p>
      <w:pPr>
        <w:pStyle w:val="BodyText"/>
        <w:spacing w:line="316" w:lineRule="auto" w:before="76"/>
        <w:ind w:left="101" w:right="208"/>
      </w:pPr>
      <w:r>
        <w:rPr/>
        <w:t>我们在订立本附加合同时应当在投保单、保险单或者其他保险凭证上做出足以引起您注意的提示，并对该条款的内容以书面或者口头形式向您做出明确说明，未作提示或者明确说明的，该条款不产生效力。</w:t>
      </w:r>
    </w:p>
    <w:p>
      <w:pPr>
        <w:spacing w:after="0" w:line="316" w:lineRule="auto"/>
        <w:sectPr>
          <w:pgSz w:w="11960" w:h="16850"/>
          <w:pgMar w:header="0" w:footer="1001" w:top="1600" w:bottom="1200" w:left="1600" w:right="1540"/>
        </w:sectPr>
      </w:pPr>
    </w:p>
    <w:p>
      <w:pPr>
        <w:pStyle w:val="BodyText"/>
        <w:spacing w:before="112"/>
        <w:ind w:left="101"/>
      </w:pPr>
      <w:r>
        <w:rPr/>
        <w:t>我们可以就您和被保险人的有关情况向您提出书面询问，您应当以书面方式如实告知。</w:t>
      </w:r>
    </w:p>
    <w:p>
      <w:pPr>
        <w:pStyle w:val="BodyText"/>
        <w:spacing w:line="316" w:lineRule="auto" w:before="76"/>
        <w:ind w:left="101" w:right="168"/>
      </w:pPr>
      <w:r>
        <w:rPr/>
        <w:t>您故意或者因重大过失未履行前款规定的如实告知义务，足以影响我们决定是否同意承保或者提高保险费率的，我们有权解除本附加合同。</w:t>
      </w:r>
    </w:p>
    <w:p>
      <w:pPr>
        <w:pStyle w:val="BodyText"/>
        <w:spacing w:line="316" w:lineRule="auto" w:before="18"/>
        <w:ind w:left="101" w:right="170"/>
      </w:pPr>
      <w:r>
        <w:rPr/>
        <w:t>您故意不履行如实告知义务，我们对于本附加合同解除前发生的保险事故，不承担赔偿或者给付保险金的责任，并不退还保险费。</w:t>
      </w:r>
    </w:p>
    <w:p>
      <w:pPr>
        <w:pStyle w:val="BodyText"/>
        <w:spacing w:line="316" w:lineRule="auto" w:before="18"/>
        <w:ind w:left="101" w:right="168"/>
      </w:pPr>
      <w:r>
        <w:rPr/>
        <w:t>您因重大过失没能履行如实告知义务，对保险事故的发生有严重影响的，我们对解除本附加合同前发生的保险事故，不承担赔偿或给付保险金的责任，但应当退还保险费。</w:t>
      </w:r>
    </w:p>
    <w:p>
      <w:pPr>
        <w:pStyle w:val="Heading1"/>
        <w:tabs>
          <w:tab w:pos="1361" w:val="left" w:leader="none"/>
        </w:tabs>
        <w:spacing w:before="138"/>
      </w:pPr>
      <w:bookmarkStart w:name="_TOC_250002" w:id="13"/>
      <w:r>
        <w:rPr/>
        <w:t>第十八条</w:t>
        <w:tab/>
      </w:r>
      <w:bookmarkEnd w:id="13"/>
      <w:r>
        <w:rPr>
          <w:w w:val="95"/>
        </w:rPr>
        <w:t>本公司合同解除权的限制</w:t>
      </w:r>
    </w:p>
    <w:p>
      <w:pPr>
        <w:pStyle w:val="BodyText"/>
        <w:spacing w:before="12"/>
        <w:ind w:left="0"/>
        <w:rPr>
          <w:b/>
          <w:sz w:val="14"/>
        </w:rPr>
      </w:pPr>
    </w:p>
    <w:p>
      <w:pPr>
        <w:pStyle w:val="BodyText"/>
        <w:spacing w:line="300" w:lineRule="auto" w:before="1"/>
        <w:ind w:left="101" w:right="16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left="101" w:right="168"/>
      </w:pPr>
      <w:r>
        <w:rPr/>
        <w:t>我们在合同订立时已经知道您未如实告知的情况的，我们不得解除合同；发生保险事故的，我们承担给付保险金的责任。</w:t>
      </w:r>
    </w:p>
    <w:p>
      <w:pPr>
        <w:pStyle w:val="Heading1"/>
        <w:tabs>
          <w:tab w:pos="1361" w:val="left" w:leader="none"/>
        </w:tabs>
        <w:spacing w:before="138"/>
      </w:pPr>
      <w:bookmarkStart w:name="_TOC_250001" w:id="14"/>
      <w:r>
        <w:rPr/>
        <w:t>第十九条</w:t>
        <w:tab/>
      </w:r>
      <w:bookmarkEnd w:id="14"/>
      <w:r>
        <w:rPr>
          <w:w w:val="95"/>
        </w:rPr>
        <w:t>未还款项</w:t>
      </w:r>
    </w:p>
    <w:p>
      <w:pPr>
        <w:pStyle w:val="BodyText"/>
        <w:spacing w:before="12"/>
        <w:ind w:left="0"/>
        <w:rPr>
          <w:b/>
          <w:sz w:val="14"/>
        </w:rPr>
      </w:pPr>
    </w:p>
    <w:p>
      <w:pPr>
        <w:pStyle w:val="BodyText"/>
        <w:spacing w:line="316" w:lineRule="auto" w:before="1"/>
        <w:ind w:left="101" w:right="16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BodyText"/>
        <w:spacing w:before="10"/>
        <w:ind w:left="0"/>
        <w:rPr>
          <w:sz w:val="19"/>
        </w:rPr>
      </w:pPr>
    </w:p>
    <w:p>
      <w:pPr>
        <w:pStyle w:val="Heading1"/>
        <w:tabs>
          <w:tab w:pos="5071" w:val="left" w:leader="none"/>
        </w:tabs>
        <w:ind w:left="3271"/>
      </w:pPr>
      <w:bookmarkStart w:name="_TOC_250000" w:id="15"/>
      <w:bookmarkEnd w:id="15"/>
      <w:r>
        <w:rPr/>
        <w:t>第八部分</w:t>
        <w:tab/>
        <w:t>释义</w:t>
      </w:r>
    </w:p>
    <w:p>
      <w:pPr>
        <w:pStyle w:val="BodyText"/>
        <w:spacing w:before="2"/>
        <w:ind w:left="0"/>
        <w:rPr>
          <w:b/>
          <w:sz w:val="21"/>
        </w:rPr>
      </w:pPr>
    </w:p>
    <w:p>
      <w:pPr>
        <w:pStyle w:val="BodyText"/>
        <w:tabs>
          <w:tab w:pos="2340" w:val="left" w:leader="none"/>
        </w:tabs>
        <w:spacing w:before="1"/>
        <w:ind w:left="101"/>
      </w:pPr>
      <w:r>
        <w:rPr/>
        <w:t>释义</w:t>
      </w:r>
      <w:r>
        <w:rPr>
          <w:spacing w:val="-45"/>
        </w:rPr>
        <w:t> </w:t>
      </w:r>
      <w:r>
        <w:rPr/>
        <w:t>1、周岁</w:t>
        <w:tab/>
        <w:t>:</w:t>
      </w:r>
      <w:r>
        <w:rPr>
          <w:spacing w:val="16"/>
        </w:rPr>
        <w:t> </w:t>
      </w:r>
      <w:r>
        <w:rPr/>
        <w:t>以法定身份证明文件中记载的出生日期为计算基础计算的年龄。</w:t>
      </w:r>
    </w:p>
    <w:p>
      <w:pPr>
        <w:pStyle w:val="BodyText"/>
        <w:spacing w:line="237" w:lineRule="auto" w:before="7"/>
        <w:ind w:right="109" w:hanging="2439"/>
      </w:pPr>
      <w:r>
        <w:rPr/>
        <w:t>释义 2、本附加合同生效日 : 是指在我们同意承保、签发保险合同并收到您交付的首期保险费的条件下，本附加合同开始生效的日期。此日期载明于保险合同首页上。</w:t>
      </w:r>
    </w:p>
    <w:p>
      <w:pPr>
        <w:pStyle w:val="BodyText"/>
        <w:tabs>
          <w:tab w:pos="2340" w:val="left" w:leader="none"/>
        </w:tabs>
        <w:spacing w:line="233" w:lineRule="exact"/>
        <w:ind w:left="101"/>
      </w:pPr>
      <w:r>
        <w:rPr/>
        <w:t>释义</w:t>
      </w:r>
      <w:r>
        <w:rPr>
          <w:spacing w:val="-45"/>
        </w:rPr>
        <w:t> </w:t>
      </w:r>
      <w:r>
        <w:rPr/>
        <w:t>3、保险事故</w:t>
        <w:tab/>
        <w:t>:</w:t>
      </w:r>
      <w:r>
        <w:rPr>
          <w:spacing w:val="17"/>
        </w:rPr>
        <w:t> </w:t>
      </w:r>
      <w:r>
        <w:rPr/>
        <w:t>是指本附加合同约定的保险责任范围内的事故。</w:t>
      </w:r>
    </w:p>
    <w:p>
      <w:pPr>
        <w:pStyle w:val="BodyText"/>
        <w:tabs>
          <w:tab w:pos="2340" w:val="left" w:leader="none"/>
        </w:tabs>
        <w:spacing w:before="4"/>
        <w:ind w:right="151" w:hanging="2439"/>
      </w:pPr>
      <w:r>
        <w:rPr/>
        <w:t>释义</w:t>
      </w:r>
      <w:r>
        <w:rPr>
          <w:spacing w:val="-45"/>
        </w:rPr>
        <w:t> </w:t>
      </w:r>
      <w:r>
        <w:rPr/>
        <w:t>4、发病</w:t>
        <w:tab/>
        <w:t>:</w:t>
      </w:r>
      <w:r>
        <w:rPr>
          <w:spacing w:val="17"/>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40" w:val="left" w:leader="none"/>
        </w:tabs>
        <w:spacing w:line="237" w:lineRule="auto"/>
        <w:ind w:right="151" w:hanging="2439"/>
      </w:pPr>
      <w:r>
        <w:rPr/>
        <w:t>释义</w:t>
      </w:r>
      <w:r>
        <w:rPr>
          <w:spacing w:val="-45"/>
        </w:rPr>
        <w:t> </w:t>
      </w:r>
      <w:r>
        <w:rPr/>
        <w:t>5、医生</w:t>
        <w:tab/>
        <w:t>:</w:t>
      </w:r>
      <w:r>
        <w:rPr>
          <w:spacing w:val="17"/>
        </w:rPr>
        <w:t> </w:t>
      </w:r>
      <w:r>
        <w:rPr/>
        <w:t>是指接受过高等医学教育和长期从事医疗卫生工作</w:t>
      </w:r>
      <w:r>
        <w:rPr>
          <w:spacing w:val="-41"/>
        </w:rPr>
        <w:t>，</w:t>
      </w:r>
      <w:r>
        <w:rPr/>
        <w:t>且为本附加合同所界定的</w:t>
      </w:r>
      <w:r>
        <w:rPr>
          <w:spacing w:val="-1"/>
        </w:rPr>
        <w:t>医院之正</w:t>
      </w:r>
      <w:r>
        <w:rPr/>
        <w:t>式注册医生，但不包括被保险人本人及其直系亲属。</w:t>
      </w:r>
    </w:p>
    <w:p>
      <w:pPr>
        <w:pStyle w:val="BodyText"/>
        <w:spacing w:line="237" w:lineRule="auto"/>
        <w:ind w:right="101" w:hanging="2439"/>
        <w:jc w:val="both"/>
      </w:pPr>
      <w:r>
        <w:rPr>
          <w:spacing w:val="-16"/>
        </w:rPr>
        <w:t>释义 </w:t>
      </w:r>
      <w:r>
        <w:rPr/>
        <w:t>6、男性特定重大疾病 : 指符合以下恶性肿瘤定义所述条件的，原发于男性前列腺、睾丸的恶性肿瘤。</w:t>
      </w:r>
      <w:r>
        <w:rPr>
          <w:spacing w:val="-2"/>
        </w:rPr>
        <w:t>恶性肿瘤是指恶性细胞不受控制的进行性增长和扩散，浸润和破坏周围正常组</w:t>
      </w:r>
      <w:r>
        <w:rPr>
          <w:spacing w:val="-7"/>
        </w:rPr>
        <w:t>织，可以经血管、淋巴管和体腔扩散转移到身体其它部位的疾病。经病理学检</w:t>
      </w:r>
      <w:r>
        <w:rPr>
          <w:spacing w:val="-9"/>
        </w:rPr>
        <w:t>查结果确诊，临床诊断属于世界卫生组织《疾病和有关健康问题的国际统计分</w:t>
      </w:r>
      <w:r>
        <w:rPr>
          <w:spacing w:val="-51"/>
        </w:rPr>
        <w:t>类》</w:t>
      </w:r>
      <w:r>
        <w:rPr/>
        <w:t>（ICD-10）</w:t>
      </w:r>
      <w:r>
        <w:rPr>
          <w:spacing w:val="-1"/>
        </w:rPr>
        <w:t>的恶性肿瘤范畴。</w:t>
      </w:r>
    </w:p>
    <w:p>
      <w:pPr>
        <w:pStyle w:val="BodyText"/>
        <w:spacing w:line="234" w:lineRule="exact"/>
        <w:jc w:val="both"/>
      </w:pPr>
      <w:r>
        <w:rPr/>
        <w:t>下列疾病不在保障范围内：</w:t>
      </w:r>
    </w:p>
    <w:p>
      <w:pPr>
        <w:pStyle w:val="BodyText"/>
        <w:spacing w:line="233" w:lineRule="exact"/>
        <w:jc w:val="both"/>
      </w:pPr>
      <w:r>
        <w:rPr/>
        <w:t>（1）原位癌；</w:t>
      </w:r>
    </w:p>
    <w:p>
      <w:pPr>
        <w:pStyle w:val="BodyText"/>
        <w:spacing w:line="233" w:lineRule="exact"/>
        <w:jc w:val="both"/>
      </w:pPr>
      <w:r>
        <w:rPr/>
        <w:t>（2）TNM 分期为 T1N0M0 期或更轻分期的前列腺癌；</w:t>
      </w:r>
    </w:p>
    <w:p>
      <w:pPr>
        <w:pStyle w:val="BodyText"/>
        <w:spacing w:line="234" w:lineRule="exact"/>
        <w:jc w:val="both"/>
      </w:pPr>
      <w:r>
        <w:rPr/>
        <w:t>（3）转移至前列腺的其他恶性肿瘤；</w:t>
      </w:r>
    </w:p>
    <w:p>
      <w:pPr>
        <w:pStyle w:val="BodyText"/>
        <w:spacing w:line="234" w:lineRule="exact"/>
        <w:jc w:val="both"/>
      </w:pPr>
      <w:r>
        <w:rPr/>
        <w:t>（4）转移至睾丸的其他恶性肿瘤；</w:t>
      </w:r>
    </w:p>
    <w:p>
      <w:pPr>
        <w:pStyle w:val="BodyText"/>
        <w:spacing w:line="233" w:lineRule="exact"/>
        <w:jc w:val="both"/>
      </w:pPr>
      <w:r>
        <w:rPr/>
        <w:t>（5）感染艾滋病病毒或患艾滋病期间所患恶性肿瘤。</w:t>
      </w:r>
    </w:p>
    <w:p>
      <w:pPr>
        <w:pStyle w:val="BodyText"/>
        <w:ind w:left="2551" w:right="109" w:hanging="2451"/>
      </w:pPr>
      <w:r>
        <w:rPr/>
        <w:t>释义 7、女性特定重大疾病 : 指符合以下恶性肿瘤定义所述条件的，原发于女性乳腺组织、子宫颈的恶性肿瘤。</w:t>
      </w:r>
    </w:p>
    <w:p>
      <w:pPr>
        <w:pStyle w:val="BodyText"/>
        <w:spacing w:line="237" w:lineRule="auto" w:before="1"/>
        <w:ind w:right="148"/>
        <w:jc w:val="both"/>
      </w:pPr>
      <w:r>
        <w:rPr>
          <w:spacing w:val="-2"/>
        </w:rPr>
        <w:t>恶性肿瘤是指恶性细胞不受控制的进行性增长和扩散，浸润和破坏周围正常组</w:t>
      </w:r>
      <w:r>
        <w:rPr>
          <w:spacing w:val="-7"/>
        </w:rPr>
        <w:t>织，可以经血管、淋巴管和体腔扩散转移到身体其它部位的疾病。经病理学检</w:t>
      </w:r>
      <w:r>
        <w:rPr>
          <w:spacing w:val="-9"/>
        </w:rPr>
        <w:t>查结果确诊，临床诊断属于世界卫生组织《疾病和有关健康问题的国际统计分</w:t>
      </w:r>
      <w:r>
        <w:rPr>
          <w:spacing w:val="-51"/>
        </w:rPr>
        <w:t>类》</w:t>
      </w:r>
      <w:r>
        <w:rPr/>
        <w:t>（ICD-10）</w:t>
      </w:r>
      <w:r>
        <w:rPr>
          <w:spacing w:val="-1"/>
        </w:rPr>
        <w:t>的恶性肿瘤范畴。</w:t>
      </w:r>
    </w:p>
    <w:p>
      <w:pPr>
        <w:pStyle w:val="BodyText"/>
        <w:spacing w:line="231" w:lineRule="exact"/>
        <w:jc w:val="both"/>
      </w:pPr>
      <w:r>
        <w:rPr/>
        <w:t>下列疾病不在保障范围内：</w:t>
      </w:r>
    </w:p>
    <w:p>
      <w:pPr>
        <w:pStyle w:val="BodyText"/>
        <w:spacing w:line="233" w:lineRule="exact"/>
        <w:jc w:val="both"/>
      </w:pPr>
      <w:r>
        <w:rPr/>
        <w:t>（1）原位癌；</w:t>
      </w:r>
    </w:p>
    <w:p>
      <w:pPr>
        <w:pStyle w:val="BodyText"/>
        <w:spacing w:line="234" w:lineRule="exact"/>
        <w:jc w:val="both"/>
      </w:pPr>
      <w:r>
        <w:rPr/>
        <w:t>（2）发生于子宫体的恶性肿瘤；</w:t>
      </w:r>
    </w:p>
    <w:p>
      <w:pPr>
        <w:pStyle w:val="BodyText"/>
        <w:spacing w:line="234" w:lineRule="exact"/>
        <w:jc w:val="both"/>
      </w:pPr>
      <w:r>
        <w:rPr/>
        <w:t>（3）转移至乳腺的其他恶性肿瘤；</w:t>
      </w:r>
    </w:p>
    <w:p>
      <w:pPr>
        <w:pStyle w:val="BodyText"/>
        <w:spacing w:line="234" w:lineRule="exact"/>
        <w:jc w:val="both"/>
      </w:pPr>
      <w:r>
        <w:rPr/>
        <w:t>（4）转移至子宫的其他恶性肿瘤；</w:t>
      </w:r>
    </w:p>
    <w:p>
      <w:pPr>
        <w:spacing w:after="0" w:line="234" w:lineRule="exact"/>
        <w:jc w:val="both"/>
        <w:sectPr>
          <w:pgSz w:w="11960" w:h="16850"/>
          <w:pgMar w:header="0" w:footer="1001" w:top="1600" w:bottom="1200" w:left="1600" w:right="1580"/>
        </w:sectPr>
      </w:pPr>
    </w:p>
    <w:p>
      <w:pPr>
        <w:pStyle w:val="BodyText"/>
        <w:spacing w:line="234" w:lineRule="exact" w:before="73"/>
      </w:pPr>
      <w:r>
        <w:rPr>
          <w:spacing w:val="-1"/>
          <w:w w:val="100"/>
        </w:rPr>
        <w:t>（</w:t>
      </w:r>
      <w:r>
        <w:rPr>
          <w:spacing w:val="0"/>
          <w:w w:val="100"/>
        </w:rPr>
        <w:t>5</w:t>
      </w:r>
      <w:r>
        <w:rPr>
          <w:spacing w:val="-1"/>
          <w:w w:val="100"/>
        </w:rPr>
        <w:t>）癌前病变（</w:t>
      </w:r>
      <w:r>
        <w:rPr>
          <w:spacing w:val="-4"/>
          <w:w w:val="100"/>
        </w:rPr>
        <w:t>包括宫颈上皮内瘤样病变 </w:t>
      </w:r>
      <w:r>
        <w:rPr>
          <w:spacing w:val="0"/>
          <w:w w:val="100"/>
        </w:rPr>
        <w:t>C</w:t>
      </w:r>
      <w:r>
        <w:rPr>
          <w:spacing w:val="-2"/>
          <w:w w:val="100"/>
        </w:rPr>
        <w:t>I</w:t>
      </w:r>
      <w:r>
        <w:rPr>
          <w:spacing w:val="0"/>
          <w:w w:val="100"/>
        </w:rPr>
        <w:t>N</w:t>
      </w:r>
      <w:r>
        <w:rPr>
          <w:spacing w:val="-2"/>
          <w:w w:val="100"/>
        </w:rPr>
        <w:t>-</w:t>
      </w:r>
      <w:r>
        <w:rPr>
          <w:spacing w:val="0"/>
          <w:w w:val="100"/>
        </w:rPr>
        <w:t>1</w:t>
      </w:r>
      <w:r>
        <w:rPr>
          <w:spacing w:val="-1"/>
          <w:w w:val="100"/>
        </w:rPr>
        <w:t>，</w:t>
      </w:r>
      <w:r>
        <w:rPr>
          <w:spacing w:val="-2"/>
          <w:w w:val="100"/>
        </w:rPr>
        <w:t>C</w:t>
      </w:r>
      <w:r>
        <w:rPr>
          <w:spacing w:val="0"/>
          <w:w w:val="100"/>
        </w:rPr>
        <w:t>I</w:t>
      </w:r>
      <w:r>
        <w:rPr>
          <w:spacing w:val="-2"/>
          <w:w w:val="100"/>
        </w:rPr>
        <w:t>N</w:t>
      </w:r>
      <w:r>
        <w:rPr>
          <w:spacing w:val="0"/>
          <w:w w:val="100"/>
        </w:rPr>
        <w:t>-2</w:t>
      </w:r>
      <w:r>
        <w:rPr>
          <w:spacing w:val="-2"/>
          <w:w w:val="100"/>
        </w:rPr>
        <w:t>，重度不典型增生</w:t>
      </w:r>
      <w:r>
        <w:rPr>
          <w:spacing w:val="-92"/>
          <w:w w:val="100"/>
        </w:rPr>
        <w:t>）</w:t>
      </w:r>
      <w:r>
        <w:rPr>
          <w:w w:val="100"/>
        </w:rPr>
        <w:t>；</w:t>
      </w:r>
    </w:p>
    <w:p>
      <w:pPr>
        <w:pStyle w:val="BodyText"/>
        <w:spacing w:line="233" w:lineRule="exact"/>
      </w:pPr>
      <w:r>
        <w:rPr/>
        <w:t>（6）感染艾滋病病毒或患艾滋病期间所患恶性肿瘤。</w:t>
      </w:r>
    </w:p>
    <w:p>
      <w:pPr>
        <w:pStyle w:val="BodyText"/>
        <w:ind w:left="2551" w:right="191" w:hanging="2451"/>
        <w:jc w:val="both"/>
      </w:pPr>
      <w:r>
        <w:rPr>
          <w:spacing w:val="-16"/>
        </w:rPr>
        <w:t>释义 </w:t>
      </w:r>
      <w:r>
        <w:rPr/>
        <w:t>8</w:t>
      </w:r>
      <w:r>
        <w:rPr>
          <w:spacing w:val="-3"/>
        </w:rPr>
        <w:t>、高发重大疾病    : 指符合以下恶性肿瘤定义所述条件的，原发于肺组织、肝组织、胃组织的恶性</w:t>
      </w:r>
      <w:r>
        <w:rPr>
          <w:spacing w:val="-1"/>
        </w:rPr>
        <w:t>肿瘤。</w:t>
      </w:r>
    </w:p>
    <w:p>
      <w:pPr>
        <w:pStyle w:val="BodyText"/>
        <w:spacing w:line="237" w:lineRule="auto"/>
        <w:ind w:right="188"/>
        <w:jc w:val="both"/>
      </w:pPr>
      <w:r>
        <w:rPr>
          <w:spacing w:val="-2"/>
        </w:rPr>
        <w:t>恶性肿瘤是指恶性细胞不受控制的进行性增长和扩散，浸润和破坏周围正常组</w:t>
      </w:r>
      <w:r>
        <w:rPr>
          <w:spacing w:val="-7"/>
        </w:rPr>
        <w:t>织，可以经血管、淋巴管和体腔扩散转移到身体其它部位的疾病。经病理学检</w:t>
      </w:r>
      <w:r>
        <w:rPr>
          <w:spacing w:val="-9"/>
        </w:rPr>
        <w:t>查结果确诊，临床诊断属于世界卫生组织《疾病和有关健康问题的国际统计分</w:t>
      </w:r>
      <w:r>
        <w:rPr>
          <w:spacing w:val="-51"/>
        </w:rPr>
        <w:t>类》</w:t>
      </w:r>
      <w:r>
        <w:rPr/>
        <w:t>（ICD-10）</w:t>
      </w:r>
      <w:r>
        <w:rPr>
          <w:spacing w:val="-1"/>
        </w:rPr>
        <w:t>的恶性肿瘤范畴。</w:t>
      </w:r>
    </w:p>
    <w:p>
      <w:pPr>
        <w:pStyle w:val="BodyText"/>
        <w:spacing w:line="231" w:lineRule="exact"/>
        <w:jc w:val="both"/>
      </w:pPr>
      <w:r>
        <w:rPr/>
        <w:t>下列疾病不在保障范围内：</w:t>
      </w:r>
    </w:p>
    <w:p>
      <w:pPr>
        <w:pStyle w:val="BodyText"/>
        <w:spacing w:line="233" w:lineRule="exact"/>
        <w:jc w:val="both"/>
      </w:pPr>
      <w:r>
        <w:rPr/>
        <w:t>（1）原位癌；</w:t>
      </w:r>
    </w:p>
    <w:p>
      <w:pPr>
        <w:pStyle w:val="BodyText"/>
        <w:spacing w:line="234" w:lineRule="exact"/>
        <w:jc w:val="both"/>
      </w:pPr>
      <w:r>
        <w:rPr/>
        <w:t>（2）转移至肺的其他恶性肿瘤；</w:t>
      </w:r>
    </w:p>
    <w:p>
      <w:pPr>
        <w:pStyle w:val="BodyText"/>
        <w:spacing w:line="234" w:lineRule="exact"/>
        <w:jc w:val="both"/>
      </w:pPr>
      <w:r>
        <w:rPr/>
        <w:t>（3）转移至肝的其他恶性肿瘤；</w:t>
      </w:r>
    </w:p>
    <w:p>
      <w:pPr>
        <w:pStyle w:val="BodyText"/>
        <w:spacing w:line="233" w:lineRule="exact"/>
        <w:jc w:val="both"/>
      </w:pPr>
      <w:r>
        <w:rPr/>
        <w:t>（4）转移至胃的其他恶性肿瘤；</w:t>
      </w:r>
    </w:p>
    <w:p>
      <w:pPr>
        <w:pStyle w:val="BodyText"/>
        <w:spacing w:line="233" w:lineRule="exact"/>
        <w:jc w:val="both"/>
      </w:pPr>
      <w:r>
        <w:rPr/>
        <w:t>（5）感染艾滋病病毒或患艾滋病期间所患恶性肿瘤。</w:t>
      </w:r>
    </w:p>
    <w:p>
      <w:pPr>
        <w:pStyle w:val="BodyText"/>
        <w:spacing w:line="237" w:lineRule="auto"/>
        <w:ind w:right="189" w:hanging="2439"/>
        <w:jc w:val="both"/>
      </w:pPr>
      <w:r>
        <w:rPr>
          <w:spacing w:val="-16"/>
        </w:rPr>
        <w:t>释义 </w:t>
      </w:r>
      <w:r>
        <w:rPr/>
        <w:t>9</w:t>
      </w:r>
      <w:r>
        <w:rPr>
          <w:spacing w:val="-1"/>
        </w:rPr>
        <w:t>、终末期疾病      : 是指被保险人在我们指定或认可的医院被确诊为疾病的终末期状态。疾病已无</w:t>
      </w:r>
      <w:r>
        <w:rPr>
          <w:spacing w:val="-4"/>
        </w:rPr>
        <w:t>法以现有的医疗技术医治缓解，并且根据临床医学经验判断被保险人将于未来</w:t>
      </w:r>
      <w:r>
        <w:rPr>
          <w:spacing w:val="-8"/>
        </w:rPr>
        <w:t>六个月内死亡。在家属及患者的要求和医师的同意下积极治疗已被放弃，所有</w:t>
      </w:r>
      <w:r>
        <w:rPr>
          <w:spacing w:val="-11"/>
        </w:rPr>
        <w:t>治疗措施仅以减轻患者痛苦为目的。此疾病状态必须在被保险人生前已经确诊</w:t>
      </w:r>
      <w:r>
        <w:rPr>
          <w:spacing w:val="-1"/>
        </w:rPr>
        <w:t>并且具有医疗证明文件和临床检查依据。</w:t>
      </w:r>
    </w:p>
    <w:p>
      <w:pPr>
        <w:pStyle w:val="BodyText"/>
        <w:spacing w:line="237" w:lineRule="auto"/>
        <w:ind w:right="135"/>
      </w:pPr>
      <w:r>
        <w:rPr/>
        <w:t>如果被保险人的医生与我们指定的医生认定不一致时，我们有权另请具有资质的专科医生进行认定。</w:t>
      </w:r>
    </w:p>
    <w:p>
      <w:pPr>
        <w:pStyle w:val="BodyText"/>
        <w:spacing w:line="233" w:lineRule="exact" w:before="1"/>
        <w:ind w:left="101"/>
      </w:pPr>
      <w:r>
        <w:rPr/>
        <w:t>释义 10、扩展性独立生活能: 是指被保险人经医生确认完全无法独立完成扩展性独立生活能力中的三项或</w:t>
      </w:r>
    </w:p>
    <w:p>
      <w:pPr>
        <w:spacing w:after="0" w:line="233" w:lineRule="exact"/>
        <w:sectPr>
          <w:pgSz w:w="11960" w:h="16850"/>
          <w:pgMar w:header="0" w:footer="1001" w:top="1600" w:bottom="1200" w:left="1600" w:right="1540"/>
        </w:sectPr>
      </w:pPr>
    </w:p>
    <w:p>
      <w:pPr>
        <w:pStyle w:val="BodyText"/>
        <w:spacing w:line="235" w:lineRule="exact"/>
        <w:ind w:left="101"/>
      </w:pPr>
      <w:r>
        <w:rPr/>
        <w:t>力丧失</w:t>
      </w:r>
    </w:p>
    <w:p>
      <w:pPr>
        <w:pStyle w:val="BodyText"/>
        <w:spacing w:line="237" w:lineRule="auto" w:before="2"/>
        <w:ind w:left="101" w:right="1050"/>
      </w:pPr>
      <w:r>
        <w:rPr/>
        <w:br w:type="column"/>
      </w:r>
      <w:r>
        <w:rPr/>
        <w:t>三项以上，且该状态持续至被保险人年满六周岁且达六个月以上。扩展性独立生活能力是指：</w:t>
      </w:r>
    </w:p>
    <w:p>
      <w:pPr>
        <w:pStyle w:val="BodyText"/>
        <w:spacing w:line="237" w:lineRule="auto"/>
        <w:ind w:left="101" w:right="191"/>
      </w:pPr>
      <w:r>
        <w:rPr/>
        <w:t>（1）穿衣：自己能够穿脱包括吊裤带、假肢及其他外科所用协助器械在内的衣物；</w:t>
      </w:r>
    </w:p>
    <w:p>
      <w:pPr>
        <w:pStyle w:val="BodyText"/>
        <w:spacing w:line="234" w:lineRule="exact"/>
        <w:ind w:left="101"/>
      </w:pPr>
      <w:r>
        <w:rPr/>
        <w:t>（2）移动：自己能够独立或在装置协助上下床、单人椅及轮椅；</w:t>
      </w:r>
    </w:p>
    <w:p>
      <w:pPr>
        <w:pStyle w:val="BodyText"/>
        <w:spacing w:line="237" w:lineRule="auto"/>
        <w:ind w:left="101" w:right="189"/>
      </w:pPr>
      <w:r>
        <w:rPr/>
        <w:t>（3）大小便控制：自己能够独立或在保护型内衣或外科装置的协助下自如的控制大小便，以保持合理的卫生水平；</w:t>
      </w:r>
    </w:p>
    <w:p>
      <w:pPr>
        <w:pStyle w:val="BodyText"/>
        <w:spacing w:line="233" w:lineRule="exact"/>
        <w:ind w:left="101"/>
      </w:pPr>
      <w:r>
        <w:rPr>
          <w:spacing w:val="-1"/>
          <w:w w:val="100"/>
        </w:rPr>
        <w:t>（</w:t>
      </w:r>
      <w:r>
        <w:rPr>
          <w:spacing w:val="0"/>
          <w:w w:val="100"/>
        </w:rPr>
        <w:t>4</w:t>
      </w:r>
      <w:r>
        <w:rPr>
          <w:spacing w:val="-1"/>
          <w:w w:val="100"/>
        </w:rPr>
        <w:t>）如厕：自己能够独立完成蹲（坐</w:t>
      </w:r>
      <w:r>
        <w:rPr>
          <w:spacing w:val="-92"/>
          <w:w w:val="100"/>
        </w:rPr>
        <w:t>）</w:t>
      </w:r>
      <w:r>
        <w:rPr>
          <w:spacing w:val="-1"/>
          <w:w w:val="100"/>
        </w:rPr>
        <w:t>，拭净，起立，以及整理衣裤；</w:t>
      </w:r>
    </w:p>
    <w:p>
      <w:pPr>
        <w:pStyle w:val="BodyText"/>
        <w:spacing w:line="234" w:lineRule="exact"/>
        <w:ind w:left="101"/>
      </w:pPr>
      <w:r>
        <w:rPr/>
        <w:t>（5）进食：自己能够使用合适的餐具进食已准备好的食物；</w:t>
      </w:r>
    </w:p>
    <w:p>
      <w:pPr>
        <w:pStyle w:val="BodyText"/>
        <w:spacing w:line="234" w:lineRule="exact"/>
        <w:ind w:left="101"/>
      </w:pPr>
      <w:r>
        <w:rPr/>
        <w:t>（6）洗澡：自己能够独立或在装置协助下进行盆浴、淋浴或者擦浴。</w:t>
      </w:r>
    </w:p>
    <w:p>
      <w:pPr>
        <w:spacing w:after="0" w:line="234" w:lineRule="exact"/>
        <w:sectPr>
          <w:type w:val="continuous"/>
          <w:pgSz w:w="11960" w:h="16850"/>
          <w:pgMar w:top="280" w:bottom="1200" w:left="1600" w:right="1540"/>
          <w:cols w:num="2" w:equalWidth="0">
            <w:col w:w="642" w:space="1796"/>
            <w:col w:w="6382"/>
          </w:cols>
        </w:sectPr>
      </w:pPr>
    </w:p>
    <w:p>
      <w:pPr>
        <w:pStyle w:val="BodyText"/>
        <w:spacing w:line="233" w:lineRule="exact"/>
        <w:ind w:left="101"/>
      </w:pPr>
      <w:r>
        <w:rPr/>
        <w:t>释义 11、所有已交的保险费: 是指以本附加合同的基本保险金额为基础计算的，截至我们给付保险</w:t>
      </w:r>
    </w:p>
    <w:p>
      <w:pPr>
        <w:pStyle w:val="BodyText"/>
        <w:spacing w:line="234" w:lineRule="exact"/>
      </w:pPr>
      <w:r>
        <w:rPr/>
        <w:t>金时，本附加合同及其主合同下所有应交已交的保险费总额。</w:t>
      </w:r>
    </w:p>
    <w:p>
      <w:pPr>
        <w:pStyle w:val="BodyText"/>
        <w:spacing w:line="237" w:lineRule="auto" w:before="1"/>
        <w:ind w:right="188" w:hanging="2439"/>
        <w:jc w:val="both"/>
      </w:pPr>
      <w:r>
        <w:rPr>
          <w:spacing w:val="-16"/>
        </w:rPr>
        <w:t>释义 </w:t>
      </w:r>
      <w:r>
        <w:rPr/>
        <w:t>12</w:t>
      </w:r>
      <w:r>
        <w:rPr>
          <w:spacing w:val="-4"/>
        </w:rPr>
        <w:t>、意外伤害事故   : 是指外来的、突发的、非本意的、非疾病引起的，并以此为直接且单独的原因</w:t>
      </w:r>
      <w:r>
        <w:rPr>
          <w:spacing w:val="-1"/>
        </w:rPr>
        <w:t>使身体受到伤害的客观事件。</w:t>
      </w:r>
    </w:p>
    <w:p>
      <w:pPr>
        <w:pStyle w:val="BodyText"/>
        <w:spacing w:line="237" w:lineRule="auto"/>
        <w:ind w:right="150" w:hanging="2439"/>
        <w:jc w:val="both"/>
      </w:pPr>
      <w:r>
        <w:rPr>
          <w:spacing w:val="-15"/>
        </w:rPr>
        <w:t>释义 </w:t>
      </w:r>
      <w:r>
        <w:rPr/>
        <w:t>13</w:t>
      </w:r>
      <w:r>
        <w:rPr>
          <w:spacing w:val="-2"/>
        </w:rPr>
        <w:t>、白血病         : 指一种造血系统的恶性肿瘤，其主要表现为白血病细胞在骨髓或其他造血组织</w:t>
      </w:r>
      <w:r>
        <w:rPr>
          <w:spacing w:val="-7"/>
        </w:rPr>
        <w:t>中进行性、失控制的异常增生，并浸润至其他组织与器官，使正常血细胞生成</w:t>
      </w:r>
      <w:r>
        <w:rPr>
          <w:spacing w:val="-8"/>
        </w:rPr>
        <w:t>减少，周围白细胞有质和量的变化，产生相应临床表现。被保险人所患白血病必须根据骨髓的活组织检查和周围血象由专科医生（儿科、血液科或肿瘤科） 确诊,并符合国际疾病分类码 </w:t>
      </w:r>
      <w:r>
        <w:rPr/>
        <w:t>ICD10</w:t>
      </w:r>
      <w:r>
        <w:rPr>
          <w:spacing w:val="-32"/>
        </w:rPr>
        <w:t> 中 </w:t>
      </w:r>
      <w:r>
        <w:rPr/>
        <w:t>C90-C95</w:t>
      </w:r>
      <w:r>
        <w:rPr>
          <w:spacing w:val="-8"/>
        </w:rPr>
        <w:t> 的白血病范畴。</w:t>
      </w:r>
    </w:p>
    <w:p>
      <w:pPr>
        <w:pStyle w:val="BodyText"/>
        <w:spacing w:line="234" w:lineRule="exact"/>
      </w:pPr>
      <w:r>
        <w:rPr/>
        <w:t>下列白血病不在保障范围内：</w:t>
      </w:r>
    </w:p>
    <w:p>
      <w:pPr>
        <w:pStyle w:val="BodyText"/>
        <w:spacing w:line="233" w:lineRule="exact"/>
      </w:pPr>
      <w:r>
        <w:rPr/>
        <w:t>（1）相当于 Binet 分期方案 A 期程度的慢性淋巴细胞白血病；</w:t>
      </w:r>
    </w:p>
    <w:p>
      <w:pPr>
        <w:pStyle w:val="BodyText"/>
        <w:tabs>
          <w:tab w:pos="2340" w:val="left" w:leader="none"/>
        </w:tabs>
        <w:spacing w:line="237" w:lineRule="auto" w:before="1" w:after="34"/>
        <w:ind w:left="101" w:right="2039" w:firstLine="2438"/>
      </w:pPr>
      <w:r>
        <w:rPr/>
        <w:t>（2）感染艾滋病病毒或患艾滋病期间所患恶性肿瘤。释义</w:t>
      </w:r>
      <w:r>
        <w:rPr>
          <w:spacing w:val="-45"/>
        </w:rPr>
        <w:t> </w:t>
      </w:r>
      <w:r>
        <w:rPr/>
        <w:t>14、对应重大疾病</w:t>
        <w:tab/>
        <w:t>:</w:t>
      </w:r>
      <w:r>
        <w:rPr>
          <w:spacing w:val="17"/>
        </w:rPr>
        <w:t> </w:t>
      </w:r>
      <w:r>
        <w:rPr/>
        <w:t>轻症疾病所对应的重大疾病如下表。</w:t>
      </w: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1"/>
        <w:gridCol w:w="3178"/>
        <w:gridCol w:w="3372"/>
      </w:tblGrid>
      <w:tr>
        <w:trPr>
          <w:trHeight w:val="369" w:hRule="atLeast"/>
        </w:trPr>
        <w:tc>
          <w:tcPr>
            <w:tcW w:w="1961" w:type="dxa"/>
            <w:vMerge w:val="restart"/>
          </w:tcPr>
          <w:p>
            <w:pPr>
              <w:pStyle w:val="TableParagraph"/>
              <w:spacing w:before="0"/>
              <w:ind w:left="0"/>
              <w:rPr>
                <w:rFonts w:ascii="Times New Roman"/>
                <w:sz w:val="16"/>
              </w:rPr>
            </w:pPr>
          </w:p>
        </w:tc>
        <w:tc>
          <w:tcPr>
            <w:tcW w:w="6550" w:type="dxa"/>
            <w:gridSpan w:val="2"/>
          </w:tcPr>
          <w:p>
            <w:pPr>
              <w:pStyle w:val="TableParagraph"/>
              <w:spacing w:before="106"/>
              <w:ind w:left="2172" w:right="2167"/>
              <w:jc w:val="center"/>
              <w:rPr>
                <w:sz w:val="18"/>
              </w:rPr>
            </w:pPr>
            <w:r>
              <w:rPr>
                <w:sz w:val="18"/>
              </w:rPr>
              <w:t>轻症疾病与重大疾病对应表</w:t>
            </w:r>
          </w:p>
        </w:tc>
      </w:tr>
      <w:tr>
        <w:trPr>
          <w:trHeight w:val="366" w:hRule="atLeast"/>
        </w:trPr>
        <w:tc>
          <w:tcPr>
            <w:tcW w:w="1961" w:type="dxa"/>
            <w:vMerge/>
            <w:tcBorders>
              <w:top w:val="nil"/>
            </w:tcBorders>
          </w:tcPr>
          <w:p>
            <w:pPr>
              <w:rPr>
                <w:sz w:val="2"/>
                <w:szCs w:val="2"/>
              </w:rPr>
            </w:pPr>
          </w:p>
        </w:tc>
        <w:tc>
          <w:tcPr>
            <w:tcW w:w="3178" w:type="dxa"/>
          </w:tcPr>
          <w:p>
            <w:pPr>
              <w:pStyle w:val="TableParagraph"/>
              <w:spacing w:before="104"/>
              <w:ind w:left="865"/>
              <w:rPr>
                <w:sz w:val="18"/>
              </w:rPr>
            </w:pPr>
            <w:r>
              <w:rPr>
                <w:sz w:val="18"/>
              </w:rPr>
              <w:t>轻症疾病病种名称</w:t>
            </w:r>
          </w:p>
        </w:tc>
        <w:tc>
          <w:tcPr>
            <w:tcW w:w="3372" w:type="dxa"/>
          </w:tcPr>
          <w:p>
            <w:pPr>
              <w:pStyle w:val="TableParagraph"/>
              <w:spacing w:before="104"/>
              <w:ind w:left="332"/>
              <w:rPr>
                <w:sz w:val="18"/>
              </w:rPr>
            </w:pPr>
            <w:r>
              <w:rPr>
                <w:sz w:val="18"/>
              </w:rPr>
              <w:t>各轻症疾病对应重大疾病病种名称</w:t>
            </w:r>
          </w:p>
        </w:tc>
      </w:tr>
      <w:tr>
        <w:trPr>
          <w:trHeight w:val="313" w:hRule="atLeast"/>
        </w:trPr>
        <w:tc>
          <w:tcPr>
            <w:tcW w:w="1961" w:type="dxa"/>
            <w:vMerge w:val="restart"/>
          </w:tcPr>
          <w:p>
            <w:pPr>
              <w:pStyle w:val="TableParagraph"/>
              <w:spacing w:line="237" w:lineRule="auto" w:before="46"/>
              <w:ind w:left="170" w:right="158"/>
              <w:jc w:val="center"/>
              <w:rPr>
                <w:sz w:val="18"/>
              </w:rPr>
            </w:pPr>
            <w:r>
              <w:rPr>
                <w:sz w:val="18"/>
              </w:rPr>
              <w:t>附表三中轻症疾病对应的重大疾病</w:t>
            </w:r>
          </w:p>
          <w:p>
            <w:pPr>
              <w:pStyle w:val="TableParagraph"/>
              <w:spacing w:line="237" w:lineRule="auto" w:before="0"/>
              <w:ind w:left="124" w:right="113"/>
              <w:jc w:val="center"/>
              <w:rPr>
                <w:sz w:val="18"/>
              </w:rPr>
            </w:pPr>
            <w:r>
              <w:rPr>
                <w:sz w:val="18"/>
              </w:rPr>
              <w:t>(各重大疾病病种释义详见本附加合同附表一中相同名称重大疾病的释义)</w:t>
            </w:r>
          </w:p>
        </w:tc>
        <w:tc>
          <w:tcPr>
            <w:tcW w:w="3178" w:type="dxa"/>
          </w:tcPr>
          <w:p>
            <w:pPr>
              <w:pStyle w:val="TableParagraph"/>
              <w:spacing w:before="10"/>
              <w:rPr>
                <w:sz w:val="18"/>
              </w:rPr>
            </w:pPr>
            <w:r>
              <w:rPr>
                <w:sz w:val="18"/>
              </w:rPr>
              <w:t>非危及生命的恶性病变</w:t>
            </w:r>
          </w:p>
        </w:tc>
        <w:tc>
          <w:tcPr>
            <w:tcW w:w="3372" w:type="dxa"/>
          </w:tcPr>
          <w:p>
            <w:pPr>
              <w:pStyle w:val="TableParagraph"/>
              <w:spacing w:before="10"/>
              <w:ind w:left="104"/>
              <w:rPr>
                <w:sz w:val="18"/>
              </w:rPr>
            </w:pPr>
            <w:r>
              <w:rPr>
                <w:sz w:val="18"/>
              </w:rPr>
              <w:t>恶性肿瘤</w:t>
            </w:r>
          </w:p>
        </w:tc>
      </w:tr>
      <w:tr>
        <w:trPr>
          <w:trHeight w:val="366" w:hRule="atLeast"/>
        </w:trPr>
        <w:tc>
          <w:tcPr>
            <w:tcW w:w="1961" w:type="dxa"/>
            <w:vMerge/>
            <w:tcBorders>
              <w:top w:val="nil"/>
            </w:tcBorders>
          </w:tcPr>
          <w:p>
            <w:pPr>
              <w:rPr>
                <w:sz w:val="2"/>
                <w:szCs w:val="2"/>
              </w:rPr>
            </w:pPr>
          </w:p>
        </w:tc>
        <w:tc>
          <w:tcPr>
            <w:tcW w:w="3178" w:type="dxa"/>
          </w:tcPr>
          <w:p>
            <w:pPr>
              <w:pStyle w:val="TableParagraph"/>
              <w:rPr>
                <w:sz w:val="18"/>
              </w:rPr>
            </w:pPr>
            <w:r>
              <w:rPr>
                <w:sz w:val="18"/>
              </w:rPr>
              <w:t>一肢缺失</w:t>
            </w:r>
          </w:p>
        </w:tc>
        <w:tc>
          <w:tcPr>
            <w:tcW w:w="3372" w:type="dxa"/>
          </w:tcPr>
          <w:p>
            <w:pPr>
              <w:pStyle w:val="TableParagraph"/>
              <w:ind w:left="104"/>
              <w:rPr>
                <w:sz w:val="18"/>
              </w:rPr>
            </w:pPr>
            <w:r>
              <w:rPr>
                <w:sz w:val="18"/>
              </w:rPr>
              <w:t>多个肢体缺失</w:t>
            </w:r>
          </w:p>
        </w:tc>
      </w:tr>
      <w:tr>
        <w:trPr>
          <w:trHeight w:val="467" w:hRule="atLeast"/>
        </w:trPr>
        <w:tc>
          <w:tcPr>
            <w:tcW w:w="1961" w:type="dxa"/>
            <w:vMerge/>
            <w:tcBorders>
              <w:top w:val="nil"/>
            </w:tcBorders>
          </w:tcPr>
          <w:p>
            <w:pPr>
              <w:rPr>
                <w:sz w:val="2"/>
                <w:szCs w:val="2"/>
              </w:rPr>
            </w:pPr>
          </w:p>
        </w:tc>
        <w:tc>
          <w:tcPr>
            <w:tcW w:w="3178" w:type="dxa"/>
          </w:tcPr>
          <w:p>
            <w:pPr>
              <w:pStyle w:val="TableParagraph"/>
              <w:spacing w:line="205" w:lineRule="exact" w:before="0"/>
              <w:rPr>
                <w:sz w:val="18"/>
              </w:rPr>
            </w:pPr>
            <w:r>
              <w:rPr>
                <w:sz w:val="18"/>
              </w:rPr>
              <w:t>脑垂体瘤、脑囊肿、脑动脉瘤及脑血</w:t>
            </w:r>
          </w:p>
          <w:p>
            <w:pPr>
              <w:pStyle w:val="TableParagraph"/>
              <w:spacing w:before="0"/>
              <w:rPr>
                <w:sz w:val="18"/>
              </w:rPr>
            </w:pPr>
            <w:r>
              <w:rPr>
                <w:sz w:val="18"/>
              </w:rPr>
              <w:t>管瘤</w:t>
            </w:r>
          </w:p>
        </w:tc>
        <w:tc>
          <w:tcPr>
            <w:tcW w:w="3372" w:type="dxa"/>
          </w:tcPr>
          <w:p>
            <w:pPr>
              <w:pStyle w:val="TableParagraph"/>
              <w:spacing w:before="87"/>
              <w:ind w:left="104"/>
              <w:rPr>
                <w:sz w:val="18"/>
              </w:rPr>
            </w:pPr>
            <w:r>
              <w:rPr>
                <w:sz w:val="18"/>
              </w:rPr>
              <w:t>良性脑肿瘤</w:t>
            </w:r>
          </w:p>
        </w:tc>
      </w:tr>
      <w:tr>
        <w:trPr>
          <w:trHeight w:val="366" w:hRule="atLeast"/>
        </w:trPr>
        <w:tc>
          <w:tcPr>
            <w:tcW w:w="1961" w:type="dxa"/>
            <w:vMerge/>
            <w:tcBorders>
              <w:top w:val="nil"/>
            </w:tcBorders>
          </w:tcPr>
          <w:p>
            <w:pPr>
              <w:rPr>
                <w:sz w:val="2"/>
                <w:szCs w:val="2"/>
              </w:rPr>
            </w:pPr>
          </w:p>
        </w:tc>
        <w:tc>
          <w:tcPr>
            <w:tcW w:w="3178" w:type="dxa"/>
          </w:tcPr>
          <w:p>
            <w:pPr>
              <w:pStyle w:val="TableParagraph"/>
              <w:rPr>
                <w:sz w:val="18"/>
              </w:rPr>
            </w:pPr>
            <w:r>
              <w:rPr>
                <w:sz w:val="18"/>
              </w:rPr>
              <w:t>轻度脑炎或脑膜炎后遗症</w:t>
            </w:r>
          </w:p>
        </w:tc>
        <w:tc>
          <w:tcPr>
            <w:tcW w:w="3372" w:type="dxa"/>
          </w:tcPr>
          <w:p>
            <w:pPr>
              <w:pStyle w:val="TableParagraph"/>
              <w:ind w:left="104"/>
              <w:rPr>
                <w:sz w:val="18"/>
              </w:rPr>
            </w:pPr>
            <w:r>
              <w:rPr>
                <w:sz w:val="18"/>
              </w:rPr>
              <w:t>脑炎后遗症或脑膜炎后遗症</w:t>
            </w:r>
          </w:p>
        </w:tc>
      </w:tr>
    </w:tbl>
    <w:p>
      <w:pPr>
        <w:spacing w:after="0"/>
        <w:rPr>
          <w:sz w:val="18"/>
        </w:rPr>
        <w:sectPr>
          <w:type w:val="continuous"/>
          <w:pgSz w:w="11960" w:h="16850"/>
          <w:pgMar w:top="280" w:bottom="1200" w:left="1600" w:right="1540"/>
        </w:sectPr>
      </w:pPr>
    </w:p>
    <w:p>
      <w:pPr>
        <w:pStyle w:val="BodyText"/>
        <w:spacing w:before="7"/>
        <w:ind w:left="0"/>
        <w:rPr>
          <w:sz w:val="7"/>
        </w:rPr>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1"/>
        <w:gridCol w:w="3178"/>
        <w:gridCol w:w="3372"/>
      </w:tblGrid>
      <w:tr>
        <w:trPr>
          <w:trHeight w:val="366" w:hRule="atLeast"/>
        </w:trPr>
        <w:tc>
          <w:tcPr>
            <w:tcW w:w="1961" w:type="dxa"/>
            <w:vMerge w:val="restart"/>
            <w:tcBorders>
              <w:top w:val="nil"/>
            </w:tcBorders>
          </w:tcPr>
          <w:p>
            <w:pPr>
              <w:pStyle w:val="TableParagraph"/>
              <w:spacing w:before="0"/>
              <w:ind w:left="0"/>
              <w:rPr>
                <w:rFonts w:ascii="Times New Roman"/>
                <w:sz w:val="16"/>
              </w:rPr>
            </w:pPr>
          </w:p>
        </w:tc>
        <w:tc>
          <w:tcPr>
            <w:tcW w:w="3178" w:type="dxa"/>
            <w:tcBorders>
              <w:top w:val="nil"/>
            </w:tcBorders>
          </w:tcPr>
          <w:p>
            <w:pPr>
              <w:pStyle w:val="TableParagraph"/>
              <w:spacing w:before="37"/>
              <w:rPr>
                <w:sz w:val="18"/>
              </w:rPr>
            </w:pPr>
            <w:r>
              <w:rPr>
                <w:sz w:val="18"/>
              </w:rPr>
              <w:t>深度昏迷 72 小时</w:t>
            </w:r>
          </w:p>
        </w:tc>
        <w:tc>
          <w:tcPr>
            <w:tcW w:w="3372" w:type="dxa"/>
            <w:tcBorders>
              <w:top w:val="nil"/>
            </w:tcBorders>
          </w:tcPr>
          <w:p>
            <w:pPr>
              <w:pStyle w:val="TableParagraph"/>
              <w:spacing w:before="37"/>
              <w:ind w:left="104"/>
              <w:rPr>
                <w:sz w:val="18"/>
              </w:rPr>
            </w:pPr>
            <w:r>
              <w:rPr>
                <w:sz w:val="18"/>
              </w:rPr>
              <w:t>深度昏迷</w:t>
            </w:r>
          </w:p>
        </w:tc>
      </w:tr>
      <w:tr>
        <w:trPr>
          <w:trHeight w:val="369" w:hRule="atLeast"/>
        </w:trPr>
        <w:tc>
          <w:tcPr>
            <w:tcW w:w="1961" w:type="dxa"/>
            <w:vMerge/>
            <w:tcBorders>
              <w:top w:val="nil"/>
            </w:tcBorders>
          </w:tcPr>
          <w:p>
            <w:pPr>
              <w:rPr>
                <w:sz w:val="2"/>
                <w:szCs w:val="2"/>
              </w:rPr>
            </w:pPr>
          </w:p>
        </w:tc>
        <w:tc>
          <w:tcPr>
            <w:tcW w:w="3178" w:type="dxa"/>
          </w:tcPr>
          <w:p>
            <w:pPr>
              <w:pStyle w:val="TableParagraph"/>
              <w:rPr>
                <w:sz w:val="18"/>
              </w:rPr>
            </w:pPr>
            <w:r>
              <w:rPr>
                <w:sz w:val="18"/>
              </w:rPr>
              <w:t>中度听力受损</w:t>
            </w:r>
          </w:p>
        </w:tc>
        <w:tc>
          <w:tcPr>
            <w:tcW w:w="3372" w:type="dxa"/>
          </w:tcPr>
          <w:p>
            <w:pPr>
              <w:pStyle w:val="TableParagraph"/>
              <w:ind w:left="104"/>
              <w:rPr>
                <w:sz w:val="18"/>
              </w:rPr>
            </w:pPr>
            <w:r>
              <w:rPr>
                <w:sz w:val="18"/>
              </w:rPr>
              <w:t>双耳失聪</w:t>
            </w:r>
          </w:p>
        </w:tc>
      </w:tr>
      <w:tr>
        <w:trPr>
          <w:trHeight w:val="366" w:hRule="atLeast"/>
        </w:trPr>
        <w:tc>
          <w:tcPr>
            <w:tcW w:w="1961" w:type="dxa"/>
            <w:vMerge/>
            <w:tcBorders>
              <w:top w:val="nil"/>
            </w:tcBorders>
          </w:tcPr>
          <w:p>
            <w:pPr>
              <w:rPr>
                <w:sz w:val="2"/>
                <w:szCs w:val="2"/>
              </w:rPr>
            </w:pPr>
          </w:p>
        </w:tc>
        <w:tc>
          <w:tcPr>
            <w:tcW w:w="3178" w:type="dxa"/>
          </w:tcPr>
          <w:p>
            <w:pPr>
              <w:pStyle w:val="TableParagraph"/>
              <w:rPr>
                <w:sz w:val="18"/>
              </w:rPr>
            </w:pPr>
            <w:r>
              <w:rPr>
                <w:sz w:val="18"/>
              </w:rPr>
              <w:t>视力严重受损</w:t>
            </w:r>
          </w:p>
        </w:tc>
        <w:tc>
          <w:tcPr>
            <w:tcW w:w="3372" w:type="dxa"/>
          </w:tcPr>
          <w:p>
            <w:pPr>
              <w:pStyle w:val="TableParagraph"/>
              <w:ind w:left="104"/>
              <w:rPr>
                <w:sz w:val="18"/>
              </w:rPr>
            </w:pPr>
            <w:r>
              <w:rPr>
                <w:sz w:val="18"/>
              </w:rPr>
              <w:t>双目失明</w:t>
            </w:r>
          </w:p>
        </w:tc>
      </w:tr>
      <w:tr>
        <w:trPr>
          <w:trHeight w:val="369" w:hRule="atLeast"/>
        </w:trPr>
        <w:tc>
          <w:tcPr>
            <w:tcW w:w="1961" w:type="dxa"/>
            <w:vMerge/>
            <w:tcBorders>
              <w:top w:val="nil"/>
            </w:tcBorders>
          </w:tcPr>
          <w:p>
            <w:pPr>
              <w:rPr>
                <w:sz w:val="2"/>
                <w:szCs w:val="2"/>
              </w:rPr>
            </w:pPr>
          </w:p>
        </w:tc>
        <w:tc>
          <w:tcPr>
            <w:tcW w:w="3178" w:type="dxa"/>
          </w:tcPr>
          <w:p>
            <w:pPr>
              <w:pStyle w:val="TableParagraph"/>
              <w:rPr>
                <w:sz w:val="18"/>
              </w:rPr>
            </w:pPr>
            <w:r>
              <w:rPr>
                <w:sz w:val="18"/>
              </w:rPr>
              <w:t>中度瘫痪</w:t>
            </w:r>
          </w:p>
        </w:tc>
        <w:tc>
          <w:tcPr>
            <w:tcW w:w="3372" w:type="dxa"/>
          </w:tcPr>
          <w:p>
            <w:pPr>
              <w:pStyle w:val="TableParagraph"/>
              <w:ind w:left="104"/>
              <w:rPr>
                <w:sz w:val="18"/>
              </w:rPr>
            </w:pPr>
            <w:r>
              <w:rPr>
                <w:sz w:val="18"/>
              </w:rPr>
              <w:t>瘫痪</w:t>
            </w:r>
          </w:p>
        </w:tc>
      </w:tr>
      <w:tr>
        <w:trPr>
          <w:trHeight w:val="366" w:hRule="atLeast"/>
        </w:trPr>
        <w:tc>
          <w:tcPr>
            <w:tcW w:w="1961" w:type="dxa"/>
            <w:vMerge/>
            <w:tcBorders>
              <w:top w:val="nil"/>
            </w:tcBorders>
          </w:tcPr>
          <w:p>
            <w:pPr>
              <w:rPr>
                <w:sz w:val="2"/>
                <w:szCs w:val="2"/>
              </w:rPr>
            </w:pPr>
          </w:p>
        </w:tc>
        <w:tc>
          <w:tcPr>
            <w:tcW w:w="3178" w:type="dxa"/>
          </w:tcPr>
          <w:p>
            <w:pPr>
              <w:pStyle w:val="TableParagraph"/>
              <w:rPr>
                <w:sz w:val="18"/>
              </w:rPr>
            </w:pPr>
            <w:r>
              <w:rPr>
                <w:sz w:val="18"/>
              </w:rPr>
              <w:t>心脏瓣膜经皮导管介入手术</w:t>
            </w:r>
          </w:p>
        </w:tc>
        <w:tc>
          <w:tcPr>
            <w:tcW w:w="3372" w:type="dxa"/>
          </w:tcPr>
          <w:p>
            <w:pPr>
              <w:pStyle w:val="TableParagraph"/>
              <w:ind w:left="104"/>
              <w:rPr>
                <w:sz w:val="18"/>
              </w:rPr>
            </w:pPr>
            <w:r>
              <w:rPr>
                <w:sz w:val="18"/>
              </w:rPr>
              <w:t>心脏瓣膜手术</w:t>
            </w:r>
          </w:p>
        </w:tc>
      </w:tr>
      <w:tr>
        <w:trPr>
          <w:trHeight w:val="369" w:hRule="atLeast"/>
        </w:trPr>
        <w:tc>
          <w:tcPr>
            <w:tcW w:w="1961" w:type="dxa"/>
            <w:vMerge/>
            <w:tcBorders>
              <w:top w:val="nil"/>
            </w:tcBorders>
          </w:tcPr>
          <w:p>
            <w:pPr>
              <w:rPr>
                <w:sz w:val="2"/>
                <w:szCs w:val="2"/>
              </w:rPr>
            </w:pPr>
          </w:p>
        </w:tc>
        <w:tc>
          <w:tcPr>
            <w:tcW w:w="3178" w:type="dxa"/>
          </w:tcPr>
          <w:p>
            <w:pPr>
              <w:pStyle w:val="TableParagraph"/>
              <w:rPr>
                <w:sz w:val="18"/>
              </w:rPr>
            </w:pPr>
            <w:r>
              <w:rPr>
                <w:sz w:val="18"/>
              </w:rPr>
              <w:t>轻度头颅外伤</w:t>
            </w:r>
          </w:p>
        </w:tc>
        <w:tc>
          <w:tcPr>
            <w:tcW w:w="3372" w:type="dxa"/>
          </w:tcPr>
          <w:p>
            <w:pPr>
              <w:pStyle w:val="TableParagraph"/>
              <w:ind w:left="104"/>
              <w:rPr>
                <w:sz w:val="18"/>
              </w:rPr>
            </w:pPr>
            <w:r>
              <w:rPr>
                <w:sz w:val="18"/>
              </w:rPr>
              <w:t>严重脑损伤</w:t>
            </w:r>
          </w:p>
        </w:tc>
      </w:tr>
      <w:tr>
        <w:trPr>
          <w:trHeight w:val="366" w:hRule="atLeast"/>
        </w:trPr>
        <w:tc>
          <w:tcPr>
            <w:tcW w:w="1961" w:type="dxa"/>
            <w:vMerge/>
            <w:tcBorders>
              <w:top w:val="nil"/>
            </w:tcBorders>
          </w:tcPr>
          <w:p>
            <w:pPr>
              <w:rPr>
                <w:sz w:val="2"/>
                <w:szCs w:val="2"/>
              </w:rPr>
            </w:pPr>
          </w:p>
        </w:tc>
        <w:tc>
          <w:tcPr>
            <w:tcW w:w="3178" w:type="dxa"/>
          </w:tcPr>
          <w:p>
            <w:pPr>
              <w:pStyle w:val="TableParagraph"/>
              <w:rPr>
                <w:sz w:val="18"/>
              </w:rPr>
            </w:pPr>
            <w:r>
              <w:rPr>
                <w:sz w:val="18"/>
              </w:rPr>
              <w:t>较小面积 III 度烧伤</w:t>
            </w:r>
          </w:p>
        </w:tc>
        <w:tc>
          <w:tcPr>
            <w:tcW w:w="3372" w:type="dxa"/>
          </w:tcPr>
          <w:p>
            <w:pPr>
              <w:pStyle w:val="TableParagraph"/>
              <w:ind w:left="104"/>
              <w:rPr>
                <w:sz w:val="18"/>
              </w:rPr>
            </w:pPr>
            <w:r>
              <w:rPr>
                <w:sz w:val="18"/>
              </w:rPr>
              <w:t>严重Ⅲ度烧伤</w:t>
            </w:r>
          </w:p>
        </w:tc>
      </w:tr>
      <w:tr>
        <w:trPr>
          <w:trHeight w:val="369" w:hRule="atLeast"/>
        </w:trPr>
        <w:tc>
          <w:tcPr>
            <w:tcW w:w="1961" w:type="dxa"/>
            <w:vMerge/>
            <w:tcBorders>
              <w:top w:val="nil"/>
            </w:tcBorders>
          </w:tcPr>
          <w:p>
            <w:pPr>
              <w:rPr>
                <w:sz w:val="2"/>
                <w:szCs w:val="2"/>
              </w:rPr>
            </w:pPr>
          </w:p>
        </w:tc>
        <w:tc>
          <w:tcPr>
            <w:tcW w:w="3178" w:type="dxa"/>
          </w:tcPr>
          <w:p>
            <w:pPr>
              <w:pStyle w:val="TableParagraph"/>
              <w:rPr>
                <w:sz w:val="18"/>
              </w:rPr>
            </w:pPr>
            <w:r>
              <w:rPr>
                <w:sz w:val="18"/>
              </w:rPr>
              <w:t>人工耳蜗植入手术</w:t>
            </w:r>
          </w:p>
        </w:tc>
        <w:tc>
          <w:tcPr>
            <w:tcW w:w="3372" w:type="dxa"/>
          </w:tcPr>
          <w:p>
            <w:pPr>
              <w:pStyle w:val="TableParagraph"/>
              <w:ind w:left="104"/>
              <w:rPr>
                <w:sz w:val="18"/>
              </w:rPr>
            </w:pPr>
            <w:r>
              <w:rPr>
                <w:w w:val="100"/>
                <w:sz w:val="18"/>
              </w:rPr>
              <w:t>无</w:t>
            </w:r>
          </w:p>
        </w:tc>
      </w:tr>
      <w:tr>
        <w:trPr>
          <w:trHeight w:val="311" w:hRule="atLeast"/>
        </w:trPr>
        <w:tc>
          <w:tcPr>
            <w:tcW w:w="1961" w:type="dxa"/>
            <w:vMerge w:val="restart"/>
          </w:tcPr>
          <w:p>
            <w:pPr>
              <w:pStyle w:val="TableParagraph"/>
              <w:spacing w:before="0"/>
              <w:ind w:left="0"/>
              <w:rPr>
                <w:sz w:val="18"/>
              </w:rPr>
            </w:pPr>
          </w:p>
          <w:p>
            <w:pPr>
              <w:pStyle w:val="TableParagraph"/>
              <w:spacing w:before="0"/>
              <w:ind w:left="0"/>
              <w:rPr>
                <w:sz w:val="18"/>
              </w:rPr>
            </w:pPr>
          </w:p>
          <w:p>
            <w:pPr>
              <w:pStyle w:val="TableParagraph"/>
              <w:spacing w:before="0"/>
              <w:ind w:left="0"/>
              <w:rPr>
                <w:sz w:val="18"/>
              </w:rPr>
            </w:pPr>
          </w:p>
          <w:p>
            <w:pPr>
              <w:pStyle w:val="TableParagraph"/>
              <w:spacing w:before="0"/>
              <w:ind w:left="0"/>
              <w:rPr>
                <w:sz w:val="18"/>
              </w:rPr>
            </w:pPr>
          </w:p>
          <w:p>
            <w:pPr>
              <w:pStyle w:val="TableParagraph"/>
              <w:spacing w:before="0"/>
              <w:ind w:left="0"/>
              <w:rPr>
                <w:sz w:val="18"/>
              </w:rPr>
            </w:pPr>
          </w:p>
          <w:p>
            <w:pPr>
              <w:pStyle w:val="TableParagraph"/>
              <w:spacing w:before="10"/>
              <w:ind w:left="0"/>
              <w:rPr>
                <w:sz w:val="18"/>
              </w:rPr>
            </w:pPr>
          </w:p>
          <w:p>
            <w:pPr>
              <w:pStyle w:val="TableParagraph"/>
              <w:spacing w:line="237" w:lineRule="auto" w:before="0"/>
              <w:ind w:left="170" w:right="158"/>
              <w:jc w:val="center"/>
              <w:rPr>
                <w:sz w:val="18"/>
              </w:rPr>
            </w:pPr>
            <w:r>
              <w:rPr>
                <w:sz w:val="18"/>
              </w:rPr>
              <w:t>附表四中轻症疾病对应的重大疾病</w:t>
            </w:r>
          </w:p>
          <w:p>
            <w:pPr>
              <w:pStyle w:val="TableParagraph"/>
              <w:spacing w:line="237" w:lineRule="auto" w:before="0"/>
              <w:ind w:left="124" w:right="113"/>
              <w:jc w:val="center"/>
              <w:rPr>
                <w:sz w:val="18"/>
              </w:rPr>
            </w:pPr>
            <w:r>
              <w:rPr>
                <w:sz w:val="18"/>
              </w:rPr>
              <w:t>(各重大疾病病种释义详见本附加合同附表二中相同名称重大疾病的释义)</w:t>
            </w:r>
          </w:p>
        </w:tc>
        <w:tc>
          <w:tcPr>
            <w:tcW w:w="3178" w:type="dxa"/>
          </w:tcPr>
          <w:p>
            <w:pPr>
              <w:pStyle w:val="TableParagraph"/>
              <w:spacing w:before="8"/>
              <w:rPr>
                <w:sz w:val="18"/>
              </w:rPr>
            </w:pPr>
            <w:r>
              <w:rPr>
                <w:sz w:val="18"/>
              </w:rPr>
              <w:t>非危及生命的恶性病变</w:t>
            </w:r>
          </w:p>
        </w:tc>
        <w:tc>
          <w:tcPr>
            <w:tcW w:w="3372" w:type="dxa"/>
          </w:tcPr>
          <w:p>
            <w:pPr>
              <w:pStyle w:val="TableParagraph"/>
              <w:spacing w:before="8"/>
              <w:ind w:left="104"/>
              <w:rPr>
                <w:sz w:val="18"/>
              </w:rPr>
            </w:pPr>
            <w:r>
              <w:rPr>
                <w:sz w:val="18"/>
              </w:rPr>
              <w:t>恶性肿瘤</w:t>
            </w:r>
          </w:p>
        </w:tc>
      </w:tr>
      <w:tr>
        <w:trPr>
          <w:trHeight w:val="311" w:hRule="atLeast"/>
        </w:trPr>
        <w:tc>
          <w:tcPr>
            <w:tcW w:w="1961" w:type="dxa"/>
            <w:vMerge/>
            <w:tcBorders>
              <w:top w:val="nil"/>
            </w:tcBorders>
          </w:tcPr>
          <w:p>
            <w:pPr>
              <w:rPr>
                <w:sz w:val="2"/>
                <w:szCs w:val="2"/>
              </w:rPr>
            </w:pPr>
          </w:p>
        </w:tc>
        <w:tc>
          <w:tcPr>
            <w:tcW w:w="3178" w:type="dxa"/>
          </w:tcPr>
          <w:p>
            <w:pPr>
              <w:pStyle w:val="TableParagraph"/>
              <w:spacing w:before="8"/>
              <w:rPr>
                <w:sz w:val="18"/>
              </w:rPr>
            </w:pPr>
            <w:r>
              <w:rPr>
                <w:sz w:val="18"/>
              </w:rPr>
              <w:t>轻度急性心肌梗塞</w:t>
            </w:r>
          </w:p>
        </w:tc>
        <w:tc>
          <w:tcPr>
            <w:tcW w:w="3372" w:type="dxa"/>
          </w:tcPr>
          <w:p>
            <w:pPr>
              <w:pStyle w:val="TableParagraph"/>
              <w:spacing w:before="8"/>
              <w:ind w:left="104"/>
              <w:rPr>
                <w:sz w:val="18"/>
              </w:rPr>
            </w:pPr>
            <w:r>
              <w:rPr>
                <w:sz w:val="18"/>
              </w:rPr>
              <w:t>急性心肌梗塞</w:t>
            </w:r>
          </w:p>
        </w:tc>
      </w:tr>
      <w:tr>
        <w:trPr>
          <w:trHeight w:val="311" w:hRule="atLeast"/>
        </w:trPr>
        <w:tc>
          <w:tcPr>
            <w:tcW w:w="1961" w:type="dxa"/>
            <w:vMerge/>
            <w:tcBorders>
              <w:top w:val="nil"/>
            </w:tcBorders>
          </w:tcPr>
          <w:p>
            <w:pPr>
              <w:rPr>
                <w:sz w:val="2"/>
                <w:szCs w:val="2"/>
              </w:rPr>
            </w:pPr>
          </w:p>
        </w:tc>
        <w:tc>
          <w:tcPr>
            <w:tcW w:w="3178" w:type="dxa"/>
          </w:tcPr>
          <w:p>
            <w:pPr>
              <w:pStyle w:val="TableParagraph"/>
              <w:spacing w:before="8"/>
              <w:rPr>
                <w:sz w:val="18"/>
              </w:rPr>
            </w:pPr>
            <w:r>
              <w:rPr>
                <w:sz w:val="18"/>
              </w:rPr>
              <w:t>轻度脑中风</w:t>
            </w:r>
          </w:p>
        </w:tc>
        <w:tc>
          <w:tcPr>
            <w:tcW w:w="3372" w:type="dxa"/>
          </w:tcPr>
          <w:p>
            <w:pPr>
              <w:pStyle w:val="TableParagraph"/>
              <w:spacing w:before="8"/>
              <w:ind w:left="104"/>
              <w:rPr>
                <w:sz w:val="18"/>
              </w:rPr>
            </w:pPr>
            <w:r>
              <w:rPr>
                <w:sz w:val="18"/>
              </w:rPr>
              <w:t>脑中风后遗症</w:t>
            </w:r>
          </w:p>
        </w:tc>
      </w:tr>
      <w:tr>
        <w:trPr>
          <w:trHeight w:val="606" w:hRule="atLeast"/>
        </w:trPr>
        <w:tc>
          <w:tcPr>
            <w:tcW w:w="1961" w:type="dxa"/>
            <w:vMerge/>
            <w:tcBorders>
              <w:top w:val="nil"/>
            </w:tcBorders>
          </w:tcPr>
          <w:p>
            <w:pPr>
              <w:rPr>
                <w:sz w:val="2"/>
                <w:szCs w:val="2"/>
              </w:rPr>
            </w:pPr>
          </w:p>
        </w:tc>
        <w:tc>
          <w:tcPr>
            <w:tcW w:w="3178" w:type="dxa"/>
          </w:tcPr>
          <w:p>
            <w:pPr>
              <w:pStyle w:val="TableParagraph"/>
              <w:spacing w:before="39"/>
              <w:ind w:right="178"/>
              <w:rPr>
                <w:sz w:val="18"/>
              </w:rPr>
            </w:pPr>
            <w:r>
              <w:rPr>
                <w:sz w:val="18"/>
              </w:rPr>
              <w:t>微创冠状动脉搭桥手术（或称微创冠状动脉旁路移植术）</w:t>
            </w:r>
          </w:p>
        </w:tc>
        <w:tc>
          <w:tcPr>
            <w:tcW w:w="3372" w:type="dxa"/>
          </w:tcPr>
          <w:p>
            <w:pPr>
              <w:pStyle w:val="TableParagraph"/>
              <w:spacing w:before="39"/>
              <w:ind w:left="104" w:right="99"/>
              <w:rPr>
                <w:sz w:val="18"/>
              </w:rPr>
            </w:pPr>
            <w:r>
              <w:rPr>
                <w:spacing w:val="-13"/>
                <w:sz w:val="18"/>
              </w:rPr>
              <w:t>冠状动脉搭桥术</w:t>
            </w:r>
            <w:r>
              <w:rPr>
                <w:sz w:val="18"/>
              </w:rPr>
              <w:t>（或称冠状动脉旁路移植</w:t>
            </w:r>
            <w:r>
              <w:rPr>
                <w:spacing w:val="-1"/>
                <w:sz w:val="18"/>
              </w:rPr>
              <w:t>术</w:t>
            </w:r>
            <w:r>
              <w:rPr>
                <w:sz w:val="18"/>
              </w:rPr>
              <w:t>）</w:t>
            </w:r>
          </w:p>
        </w:tc>
      </w:tr>
      <w:tr>
        <w:trPr>
          <w:trHeight w:val="311" w:hRule="atLeast"/>
        </w:trPr>
        <w:tc>
          <w:tcPr>
            <w:tcW w:w="1961" w:type="dxa"/>
            <w:vMerge/>
            <w:tcBorders>
              <w:top w:val="nil"/>
            </w:tcBorders>
          </w:tcPr>
          <w:p>
            <w:pPr>
              <w:rPr>
                <w:sz w:val="2"/>
                <w:szCs w:val="2"/>
              </w:rPr>
            </w:pPr>
          </w:p>
        </w:tc>
        <w:tc>
          <w:tcPr>
            <w:tcW w:w="3178" w:type="dxa"/>
          </w:tcPr>
          <w:p>
            <w:pPr>
              <w:pStyle w:val="TableParagraph"/>
              <w:spacing w:before="10"/>
              <w:rPr>
                <w:sz w:val="18"/>
              </w:rPr>
            </w:pPr>
            <w:r>
              <w:rPr>
                <w:sz w:val="18"/>
              </w:rPr>
              <w:t>一肢缺失</w:t>
            </w:r>
          </w:p>
        </w:tc>
        <w:tc>
          <w:tcPr>
            <w:tcW w:w="3372" w:type="dxa"/>
          </w:tcPr>
          <w:p>
            <w:pPr>
              <w:pStyle w:val="TableParagraph"/>
              <w:spacing w:before="10"/>
              <w:ind w:left="104"/>
              <w:rPr>
                <w:sz w:val="18"/>
              </w:rPr>
            </w:pPr>
            <w:r>
              <w:rPr>
                <w:sz w:val="18"/>
              </w:rPr>
              <w:t>多个肢体缺失</w:t>
            </w:r>
          </w:p>
        </w:tc>
      </w:tr>
      <w:tr>
        <w:trPr>
          <w:trHeight w:val="467" w:hRule="atLeast"/>
        </w:trPr>
        <w:tc>
          <w:tcPr>
            <w:tcW w:w="1961" w:type="dxa"/>
            <w:vMerge/>
            <w:tcBorders>
              <w:top w:val="nil"/>
            </w:tcBorders>
          </w:tcPr>
          <w:p>
            <w:pPr>
              <w:rPr>
                <w:sz w:val="2"/>
                <w:szCs w:val="2"/>
              </w:rPr>
            </w:pPr>
          </w:p>
        </w:tc>
        <w:tc>
          <w:tcPr>
            <w:tcW w:w="3178" w:type="dxa"/>
          </w:tcPr>
          <w:p>
            <w:pPr>
              <w:pStyle w:val="TableParagraph"/>
              <w:spacing w:line="205" w:lineRule="exact" w:before="0"/>
              <w:rPr>
                <w:sz w:val="18"/>
              </w:rPr>
            </w:pPr>
            <w:r>
              <w:rPr>
                <w:sz w:val="18"/>
              </w:rPr>
              <w:t>脑垂体瘤、脑囊肿、脑动脉瘤及脑血</w:t>
            </w:r>
          </w:p>
          <w:p>
            <w:pPr>
              <w:pStyle w:val="TableParagraph"/>
              <w:spacing w:before="0"/>
              <w:rPr>
                <w:sz w:val="18"/>
              </w:rPr>
            </w:pPr>
            <w:r>
              <w:rPr>
                <w:sz w:val="18"/>
              </w:rPr>
              <w:t>管瘤</w:t>
            </w:r>
          </w:p>
        </w:tc>
        <w:tc>
          <w:tcPr>
            <w:tcW w:w="3372" w:type="dxa"/>
          </w:tcPr>
          <w:p>
            <w:pPr>
              <w:pStyle w:val="TableParagraph"/>
              <w:spacing w:before="87"/>
              <w:ind w:left="104"/>
              <w:rPr>
                <w:sz w:val="18"/>
              </w:rPr>
            </w:pPr>
            <w:r>
              <w:rPr>
                <w:sz w:val="18"/>
              </w:rPr>
              <w:t>良性脑肿瘤</w:t>
            </w:r>
          </w:p>
        </w:tc>
      </w:tr>
      <w:tr>
        <w:trPr>
          <w:trHeight w:val="311" w:hRule="atLeast"/>
        </w:trPr>
        <w:tc>
          <w:tcPr>
            <w:tcW w:w="1961" w:type="dxa"/>
            <w:vMerge/>
            <w:tcBorders>
              <w:top w:val="nil"/>
            </w:tcBorders>
          </w:tcPr>
          <w:p>
            <w:pPr>
              <w:rPr>
                <w:sz w:val="2"/>
                <w:szCs w:val="2"/>
              </w:rPr>
            </w:pPr>
          </w:p>
        </w:tc>
        <w:tc>
          <w:tcPr>
            <w:tcW w:w="3178" w:type="dxa"/>
          </w:tcPr>
          <w:p>
            <w:pPr>
              <w:pStyle w:val="TableParagraph"/>
              <w:spacing w:before="10"/>
              <w:rPr>
                <w:sz w:val="18"/>
              </w:rPr>
            </w:pPr>
            <w:r>
              <w:rPr>
                <w:sz w:val="18"/>
              </w:rPr>
              <w:t>中度听力受损</w:t>
            </w:r>
          </w:p>
        </w:tc>
        <w:tc>
          <w:tcPr>
            <w:tcW w:w="3372" w:type="dxa"/>
          </w:tcPr>
          <w:p>
            <w:pPr>
              <w:pStyle w:val="TableParagraph"/>
              <w:spacing w:before="10"/>
              <w:ind w:left="104"/>
              <w:rPr>
                <w:sz w:val="18"/>
              </w:rPr>
            </w:pPr>
            <w:r>
              <w:rPr>
                <w:sz w:val="18"/>
              </w:rPr>
              <w:t>双耳失聪</w:t>
            </w:r>
          </w:p>
        </w:tc>
      </w:tr>
      <w:tr>
        <w:trPr>
          <w:trHeight w:val="311" w:hRule="atLeast"/>
        </w:trPr>
        <w:tc>
          <w:tcPr>
            <w:tcW w:w="1961" w:type="dxa"/>
            <w:vMerge/>
            <w:tcBorders>
              <w:top w:val="nil"/>
            </w:tcBorders>
          </w:tcPr>
          <w:p>
            <w:pPr>
              <w:rPr>
                <w:sz w:val="2"/>
                <w:szCs w:val="2"/>
              </w:rPr>
            </w:pPr>
          </w:p>
        </w:tc>
        <w:tc>
          <w:tcPr>
            <w:tcW w:w="3178" w:type="dxa"/>
          </w:tcPr>
          <w:p>
            <w:pPr>
              <w:pStyle w:val="TableParagraph"/>
              <w:spacing w:before="10"/>
              <w:rPr>
                <w:sz w:val="18"/>
              </w:rPr>
            </w:pPr>
            <w:r>
              <w:rPr>
                <w:sz w:val="18"/>
              </w:rPr>
              <w:t>视力严重受损</w:t>
            </w:r>
          </w:p>
        </w:tc>
        <w:tc>
          <w:tcPr>
            <w:tcW w:w="3372" w:type="dxa"/>
          </w:tcPr>
          <w:p>
            <w:pPr>
              <w:pStyle w:val="TableParagraph"/>
              <w:spacing w:before="10"/>
              <w:ind w:left="104"/>
              <w:rPr>
                <w:sz w:val="18"/>
              </w:rPr>
            </w:pPr>
            <w:r>
              <w:rPr>
                <w:sz w:val="18"/>
              </w:rPr>
              <w:t>双目失明</w:t>
            </w:r>
          </w:p>
        </w:tc>
      </w:tr>
      <w:tr>
        <w:trPr>
          <w:trHeight w:val="313" w:hRule="atLeast"/>
        </w:trPr>
        <w:tc>
          <w:tcPr>
            <w:tcW w:w="1961" w:type="dxa"/>
            <w:vMerge/>
            <w:tcBorders>
              <w:top w:val="nil"/>
            </w:tcBorders>
          </w:tcPr>
          <w:p>
            <w:pPr>
              <w:rPr>
                <w:sz w:val="2"/>
                <w:szCs w:val="2"/>
              </w:rPr>
            </w:pPr>
          </w:p>
        </w:tc>
        <w:tc>
          <w:tcPr>
            <w:tcW w:w="3178" w:type="dxa"/>
          </w:tcPr>
          <w:p>
            <w:pPr>
              <w:pStyle w:val="TableParagraph"/>
              <w:spacing w:before="10"/>
              <w:rPr>
                <w:sz w:val="18"/>
              </w:rPr>
            </w:pPr>
            <w:r>
              <w:rPr>
                <w:sz w:val="18"/>
              </w:rPr>
              <w:t>心脏瓣膜经皮导管介入手术</w:t>
            </w:r>
          </w:p>
        </w:tc>
        <w:tc>
          <w:tcPr>
            <w:tcW w:w="3372" w:type="dxa"/>
          </w:tcPr>
          <w:p>
            <w:pPr>
              <w:pStyle w:val="TableParagraph"/>
              <w:spacing w:before="10"/>
              <w:ind w:left="104"/>
              <w:rPr>
                <w:sz w:val="18"/>
              </w:rPr>
            </w:pPr>
            <w:r>
              <w:rPr>
                <w:sz w:val="18"/>
              </w:rPr>
              <w:t>心脏瓣膜手术</w:t>
            </w:r>
          </w:p>
        </w:tc>
      </w:tr>
      <w:tr>
        <w:trPr>
          <w:trHeight w:val="311" w:hRule="atLeast"/>
        </w:trPr>
        <w:tc>
          <w:tcPr>
            <w:tcW w:w="1961" w:type="dxa"/>
            <w:vMerge/>
            <w:tcBorders>
              <w:top w:val="nil"/>
            </w:tcBorders>
          </w:tcPr>
          <w:p>
            <w:pPr>
              <w:rPr>
                <w:sz w:val="2"/>
                <w:szCs w:val="2"/>
              </w:rPr>
            </w:pPr>
          </w:p>
        </w:tc>
        <w:tc>
          <w:tcPr>
            <w:tcW w:w="3178" w:type="dxa"/>
          </w:tcPr>
          <w:p>
            <w:pPr>
              <w:pStyle w:val="TableParagraph"/>
              <w:spacing w:before="8"/>
              <w:rPr>
                <w:sz w:val="18"/>
              </w:rPr>
            </w:pPr>
            <w:r>
              <w:rPr>
                <w:sz w:val="18"/>
              </w:rPr>
              <w:t>轻度头颅外伤</w:t>
            </w:r>
          </w:p>
        </w:tc>
        <w:tc>
          <w:tcPr>
            <w:tcW w:w="3372" w:type="dxa"/>
          </w:tcPr>
          <w:p>
            <w:pPr>
              <w:pStyle w:val="TableParagraph"/>
              <w:spacing w:before="8"/>
              <w:ind w:left="104"/>
              <w:rPr>
                <w:sz w:val="18"/>
              </w:rPr>
            </w:pPr>
            <w:r>
              <w:rPr>
                <w:sz w:val="18"/>
              </w:rPr>
              <w:t>严重脑损伤</w:t>
            </w:r>
          </w:p>
        </w:tc>
      </w:tr>
      <w:tr>
        <w:trPr>
          <w:trHeight w:val="311" w:hRule="atLeast"/>
        </w:trPr>
        <w:tc>
          <w:tcPr>
            <w:tcW w:w="1961" w:type="dxa"/>
            <w:vMerge/>
            <w:tcBorders>
              <w:top w:val="nil"/>
            </w:tcBorders>
          </w:tcPr>
          <w:p>
            <w:pPr>
              <w:rPr>
                <w:sz w:val="2"/>
                <w:szCs w:val="2"/>
              </w:rPr>
            </w:pPr>
          </w:p>
        </w:tc>
        <w:tc>
          <w:tcPr>
            <w:tcW w:w="3178" w:type="dxa"/>
          </w:tcPr>
          <w:p>
            <w:pPr>
              <w:pStyle w:val="TableParagraph"/>
              <w:spacing w:before="8"/>
              <w:rPr>
                <w:sz w:val="18"/>
              </w:rPr>
            </w:pPr>
            <w:r>
              <w:rPr>
                <w:sz w:val="18"/>
              </w:rPr>
              <w:t>较小面积 III 度烧伤</w:t>
            </w:r>
          </w:p>
        </w:tc>
        <w:tc>
          <w:tcPr>
            <w:tcW w:w="3372" w:type="dxa"/>
          </w:tcPr>
          <w:p>
            <w:pPr>
              <w:pStyle w:val="TableParagraph"/>
              <w:spacing w:before="8"/>
              <w:ind w:left="104"/>
              <w:rPr>
                <w:sz w:val="18"/>
              </w:rPr>
            </w:pPr>
            <w:r>
              <w:rPr>
                <w:sz w:val="18"/>
              </w:rPr>
              <w:t>严重Ⅲ度烧伤</w:t>
            </w:r>
          </w:p>
        </w:tc>
      </w:tr>
      <w:tr>
        <w:trPr>
          <w:trHeight w:val="311" w:hRule="atLeast"/>
        </w:trPr>
        <w:tc>
          <w:tcPr>
            <w:tcW w:w="1961" w:type="dxa"/>
            <w:vMerge/>
            <w:tcBorders>
              <w:top w:val="nil"/>
            </w:tcBorders>
          </w:tcPr>
          <w:p>
            <w:pPr>
              <w:rPr>
                <w:sz w:val="2"/>
                <w:szCs w:val="2"/>
              </w:rPr>
            </w:pPr>
          </w:p>
        </w:tc>
        <w:tc>
          <w:tcPr>
            <w:tcW w:w="3178" w:type="dxa"/>
          </w:tcPr>
          <w:p>
            <w:pPr>
              <w:pStyle w:val="TableParagraph"/>
              <w:spacing w:before="8"/>
              <w:rPr>
                <w:sz w:val="18"/>
              </w:rPr>
            </w:pPr>
            <w:r>
              <w:rPr>
                <w:sz w:val="18"/>
              </w:rPr>
              <w:t>主动脉内手术</w:t>
            </w:r>
          </w:p>
        </w:tc>
        <w:tc>
          <w:tcPr>
            <w:tcW w:w="3372" w:type="dxa"/>
          </w:tcPr>
          <w:p>
            <w:pPr>
              <w:pStyle w:val="TableParagraph"/>
              <w:spacing w:before="8"/>
              <w:ind w:left="104"/>
              <w:rPr>
                <w:sz w:val="18"/>
              </w:rPr>
            </w:pPr>
            <w:r>
              <w:rPr>
                <w:sz w:val="18"/>
              </w:rPr>
              <w:t>主动脉手术</w:t>
            </w:r>
          </w:p>
        </w:tc>
      </w:tr>
    </w:tbl>
    <w:p>
      <w:pPr>
        <w:pStyle w:val="BodyText"/>
        <w:tabs>
          <w:tab w:pos="2340" w:val="left" w:leader="none"/>
        </w:tabs>
        <w:spacing w:line="204" w:lineRule="exact"/>
        <w:ind w:left="101"/>
      </w:pPr>
      <w:r>
        <w:rPr/>
        <w:t>释义</w:t>
      </w:r>
      <w:r>
        <w:rPr>
          <w:spacing w:val="-45"/>
        </w:rPr>
        <w:t> </w:t>
      </w:r>
      <w:r>
        <w:rPr/>
        <w:t>15、毒品</w:t>
        <w:tab/>
        <w:t>:</w:t>
      </w:r>
      <w:r>
        <w:rPr>
          <w:spacing w:val="60"/>
        </w:rPr>
        <w:t> </w:t>
      </w:r>
      <w:r>
        <w:rPr/>
        <w:t>指中华人民共和国刑法规定的鸦片、海洛因、甲基苯丙胺（冰毒</w:t>
      </w:r>
      <w:r>
        <w:rPr>
          <w:spacing w:val="-89"/>
        </w:rPr>
        <w:t>）</w:t>
      </w:r>
      <w:r>
        <w:rPr/>
        <w:t>、吗啡、大</w:t>
      </w:r>
    </w:p>
    <w:p>
      <w:pPr>
        <w:pStyle w:val="BodyText"/>
        <w:spacing w:line="237" w:lineRule="auto" w:before="1"/>
        <w:ind w:right="109"/>
        <w:jc w:val="both"/>
      </w:pPr>
      <w:r>
        <w:rPr/>
        <w:t>麻、可卡因以及国家规定管制的其他能够使人形成瘾癖的麻醉药品和精神药</w:t>
      </w:r>
      <w:r>
        <w:rPr>
          <w:spacing w:val="-7"/>
        </w:rPr>
        <w:t>品，但不包括由医生开具并遵医嘱使用的用于治疗疾病的含有毒品成分的处方</w:t>
      </w:r>
      <w:r>
        <w:rPr>
          <w:spacing w:val="-1"/>
        </w:rPr>
        <w:t>药品。</w:t>
      </w:r>
    </w:p>
    <w:p>
      <w:pPr>
        <w:pStyle w:val="BodyText"/>
        <w:spacing w:line="237" w:lineRule="auto"/>
        <w:ind w:right="109" w:hanging="2439"/>
        <w:jc w:val="both"/>
      </w:pPr>
      <w:r>
        <w:rPr>
          <w:spacing w:val="-16"/>
        </w:rPr>
        <w:t>释义 </w:t>
      </w:r>
      <w:r>
        <w:rPr/>
        <w:t>16</w:t>
      </w:r>
      <w:r>
        <w:rPr>
          <w:spacing w:val="-2"/>
        </w:rPr>
        <w:t>、酒后驾驶       : 指经检测或鉴定，发生保险事故时车辆驾驶人员每百毫升血液中的酒精含量达</w:t>
      </w:r>
      <w:r>
        <w:rPr>
          <w:spacing w:val="-6"/>
        </w:rPr>
        <w:t>到或超过一定的标准，公安机关交通管理部门依据《道路交通安全法》的规定</w:t>
      </w:r>
      <w:r>
        <w:rPr>
          <w:spacing w:val="-1"/>
        </w:rPr>
        <w:t>认定为饮酒后驾驶或醉酒后驾驶。</w:t>
      </w:r>
    </w:p>
    <w:p>
      <w:pPr>
        <w:pStyle w:val="BodyText"/>
        <w:spacing w:line="233" w:lineRule="exact"/>
        <w:ind w:left="101"/>
      </w:pPr>
      <w:r>
        <w:rPr/>
        <w:t>释义 17、无合法有效驾驶证: 指下列情形之一：</w:t>
      </w:r>
    </w:p>
    <w:p>
      <w:pPr>
        <w:pStyle w:val="BodyText"/>
        <w:tabs>
          <w:tab w:pos="2539" w:val="left" w:leader="none"/>
        </w:tabs>
        <w:spacing w:line="232" w:lineRule="exact"/>
        <w:ind w:left="101"/>
      </w:pPr>
      <w:r>
        <w:rPr/>
        <w:t>驾驶</w:t>
        <w:tab/>
      </w:r>
      <w:r>
        <w:rPr>
          <w:spacing w:val="-1"/>
        </w:rPr>
        <w:t>（1）</w:t>
      </w:r>
      <w:r>
        <w:rPr/>
        <w:t>没有驾驶证驾驶；</w:t>
      </w:r>
    </w:p>
    <w:p>
      <w:pPr>
        <w:pStyle w:val="BodyText"/>
        <w:spacing w:line="234" w:lineRule="exact"/>
      </w:pPr>
      <w:r>
        <w:rPr/>
        <w:t>（2）驾驶与驾驶证准驾车型不相符合的车辆；</w:t>
      </w:r>
    </w:p>
    <w:p>
      <w:pPr>
        <w:pStyle w:val="BodyText"/>
        <w:spacing w:line="233" w:lineRule="exact"/>
      </w:pPr>
      <w:r>
        <w:rPr/>
        <w:t>（3）驾驶员持审验不合格的驾驶证驾驶；</w:t>
      </w:r>
    </w:p>
    <w:p>
      <w:pPr>
        <w:pStyle w:val="BodyText"/>
        <w:spacing w:line="233" w:lineRule="exact"/>
      </w:pPr>
      <w:r>
        <w:rPr/>
        <w:t>（4）未经公安交通管理部门同意，持未审验的驾驶证驾驶；</w:t>
      </w:r>
    </w:p>
    <w:p>
      <w:pPr>
        <w:pStyle w:val="BodyText"/>
        <w:ind w:right="109"/>
      </w:pPr>
      <w:r>
        <w:rPr/>
        <w:t>（5）持学习驾驶证学习驾车时，无教练员随车指导，或不按指定时间、路线学习驾车；</w:t>
      </w:r>
    </w:p>
    <w:p>
      <w:pPr>
        <w:pStyle w:val="BodyText"/>
        <w:spacing w:line="233" w:lineRule="exact" w:before="1"/>
      </w:pPr>
      <w:r>
        <w:rPr/>
        <w:t>（6）公安交通管理部门规定的其他无有效驾驶证驾驶的情况。</w:t>
      </w:r>
    </w:p>
    <w:p>
      <w:pPr>
        <w:pStyle w:val="BodyText"/>
        <w:tabs>
          <w:tab w:pos="2340" w:val="left" w:leader="none"/>
        </w:tabs>
        <w:spacing w:line="231" w:lineRule="exact"/>
        <w:ind w:left="101"/>
      </w:pPr>
      <w:r>
        <w:rPr/>
        <w:t>释义</w:t>
      </w:r>
      <w:r>
        <w:rPr>
          <w:spacing w:val="-45"/>
        </w:rPr>
        <w:t> </w:t>
      </w:r>
      <w:r>
        <w:rPr/>
        <w:t>18、无有效行驶证</w:t>
        <w:tab/>
        <w:t>:</w:t>
      </w:r>
      <w:r>
        <w:rPr>
          <w:spacing w:val="17"/>
        </w:rPr>
        <w:t> </w:t>
      </w:r>
      <w:r>
        <w:rPr/>
        <w:t>指下列情形之一：</w:t>
      </w:r>
    </w:p>
    <w:p>
      <w:pPr>
        <w:pStyle w:val="BodyText"/>
        <w:spacing w:line="234" w:lineRule="exact"/>
      </w:pPr>
      <w:r>
        <w:rPr/>
        <w:t>（1）机动车被依法注销登记的；</w:t>
      </w:r>
    </w:p>
    <w:p>
      <w:pPr>
        <w:pStyle w:val="BodyText"/>
        <w:spacing w:line="234" w:lineRule="exact"/>
      </w:pPr>
      <w:r>
        <w:rPr/>
        <w:t>（2）未依法按时进行或通过机动车安全技术检验。</w:t>
      </w:r>
    </w:p>
    <w:p>
      <w:pPr>
        <w:pStyle w:val="BodyText"/>
        <w:tabs>
          <w:tab w:pos="2340" w:val="left" w:leader="none"/>
        </w:tabs>
        <w:spacing w:line="237" w:lineRule="auto" w:before="1"/>
        <w:ind w:right="111" w:hanging="2439"/>
      </w:pPr>
      <w:r>
        <w:rPr/>
        <w:t>释义</w:t>
      </w:r>
      <w:r>
        <w:rPr>
          <w:spacing w:val="-45"/>
        </w:rPr>
        <w:t> </w:t>
      </w:r>
      <w:r>
        <w:rPr/>
        <w:t>19、机动车</w:t>
        <w:tab/>
        <w:t>:</w:t>
      </w:r>
      <w:r>
        <w:rPr>
          <w:spacing w:val="17"/>
        </w:rPr>
        <w:t> </w:t>
      </w:r>
      <w:r>
        <w:rPr/>
        <w:t>指以动力装置驱动或者牵引</w:t>
      </w:r>
      <w:r>
        <w:rPr>
          <w:spacing w:val="-41"/>
        </w:rPr>
        <w:t>，</w:t>
      </w:r>
      <w:r>
        <w:rPr/>
        <w:t>供人员乘用或者用于运送物品以及进行工程专项</w:t>
      </w:r>
      <w:r>
        <w:rPr>
          <w:spacing w:val="-1"/>
        </w:rPr>
        <w:t>作</w:t>
      </w:r>
      <w:r>
        <w:rPr/>
        <w:t>业的轮式车辆。</w:t>
      </w:r>
    </w:p>
    <w:p>
      <w:pPr>
        <w:pStyle w:val="BodyText"/>
        <w:tabs>
          <w:tab w:pos="2340" w:val="left" w:leader="none"/>
        </w:tabs>
        <w:spacing w:line="237" w:lineRule="auto" w:before="2"/>
        <w:ind w:left="101" w:right="202"/>
      </w:pPr>
      <w:r>
        <w:rPr/>
        <w:t>释义</w:t>
      </w:r>
      <w:r>
        <w:rPr>
          <w:spacing w:val="-45"/>
        </w:rPr>
        <w:t> </w:t>
      </w:r>
      <w:r>
        <w:rPr/>
        <w:t>20、艾滋病</w:t>
        <w:tab/>
        <w:t>:</w:t>
      </w:r>
      <w:r>
        <w:rPr>
          <w:spacing w:val="17"/>
        </w:rPr>
        <w:t> </w:t>
      </w:r>
      <w:r>
        <w:rPr/>
        <w:t>指人类免疫缺陷病毒引起的获得性免疫缺陷综合征简称，英文缩写为</w:t>
      </w:r>
      <w:r>
        <w:rPr>
          <w:spacing w:val="-46"/>
        </w:rPr>
        <w:t> </w:t>
      </w:r>
      <w:r>
        <w:rPr/>
        <w:t>AIDS。释义</w:t>
      </w:r>
      <w:r>
        <w:rPr>
          <w:spacing w:val="-45"/>
        </w:rPr>
        <w:t> </w:t>
      </w:r>
      <w:r>
        <w:rPr/>
        <w:t>21、艾滋病病毒</w:t>
        <w:tab/>
        <w:t>:</w:t>
      </w:r>
      <w:r>
        <w:rPr>
          <w:spacing w:val="18"/>
        </w:rPr>
        <w:t> </w:t>
      </w:r>
      <w:r>
        <w:rPr/>
        <w:t>指人类免疫缺陷病毒,英文缩写为</w:t>
      </w:r>
      <w:r>
        <w:rPr>
          <w:spacing w:val="-45"/>
        </w:rPr>
        <w:t> </w:t>
      </w:r>
      <w:r>
        <w:rPr/>
        <w:t>HIV。</w:t>
      </w:r>
    </w:p>
    <w:p>
      <w:pPr>
        <w:pStyle w:val="BodyText"/>
        <w:tabs>
          <w:tab w:pos="2340" w:val="left" w:leader="none"/>
        </w:tabs>
        <w:spacing w:line="237" w:lineRule="auto"/>
        <w:ind w:right="111" w:hanging="2439"/>
      </w:pPr>
      <w:r>
        <w:rPr/>
        <w:t>释义</w:t>
      </w:r>
      <w:r>
        <w:rPr>
          <w:spacing w:val="-45"/>
        </w:rPr>
        <w:t> </w:t>
      </w:r>
      <w:r>
        <w:rPr/>
        <w:t>22、遗传性疾病</w:t>
        <w:tab/>
        <w:t>:</w:t>
      </w:r>
      <w:r>
        <w:rPr>
          <w:spacing w:val="16"/>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spacing w:after="0" w:line="237" w:lineRule="auto"/>
        <w:sectPr>
          <w:pgSz w:w="11960" w:h="16850"/>
          <w:pgMar w:header="0" w:footer="1001" w:top="1600" w:bottom="1200" w:left="1600" w:right="1620"/>
        </w:sectPr>
      </w:pPr>
    </w:p>
    <w:p>
      <w:pPr>
        <w:pStyle w:val="BodyText"/>
        <w:spacing w:before="73"/>
        <w:ind w:left="101"/>
      </w:pPr>
      <w:r>
        <w:rPr/>
        <w:t>释义 23、先天性畸形、变形: 指被保险人出生时就具有的畸形、变形或染色体异常。先天性畸形、变形和染</w:t>
      </w:r>
    </w:p>
    <w:p>
      <w:pPr>
        <w:spacing w:after="0"/>
        <w:sectPr>
          <w:pgSz w:w="11960" w:h="16850"/>
          <w:pgMar w:header="0" w:footer="1001" w:top="1600" w:bottom="1200" w:left="1600" w:right="1540"/>
        </w:sectPr>
      </w:pPr>
    </w:p>
    <w:p>
      <w:pPr>
        <w:pStyle w:val="BodyText"/>
        <w:spacing w:line="232" w:lineRule="exact"/>
        <w:ind w:left="101"/>
      </w:pPr>
      <w:r>
        <w:rPr/>
        <w:t>或染色体异常</w:t>
      </w:r>
    </w:p>
    <w:p>
      <w:pPr>
        <w:pStyle w:val="BodyText"/>
        <w:spacing w:line="237" w:lineRule="auto"/>
        <w:ind w:left="101" w:right="279"/>
      </w:pPr>
      <w:r>
        <w:rPr/>
        <w:br w:type="column"/>
      </w:r>
      <w:r>
        <w:rPr>
          <w:spacing w:val="-2"/>
        </w:rPr>
        <w:t>色体异常依照世界卫生组织《疾病和有关健康问题的国际统计分类</w:t>
      </w:r>
      <w:r>
        <w:rPr>
          <w:spacing w:val="-111"/>
        </w:rPr>
        <w:t>》</w:t>
      </w:r>
      <w:r>
        <w:rPr/>
        <w:t>（ICD-10 </w:t>
      </w:r>
      <w:r>
        <w:rPr>
          <w:spacing w:val="-1"/>
        </w:rPr>
        <w:t>确定。</w:t>
      </w:r>
    </w:p>
    <w:p>
      <w:pPr>
        <w:spacing w:after="0" w:line="237" w:lineRule="auto"/>
        <w:sectPr>
          <w:type w:val="continuous"/>
          <w:pgSz w:w="11960" w:h="16850"/>
          <w:pgMar w:top="280" w:bottom="1200" w:left="1600" w:right="1540"/>
          <w:cols w:num="2" w:equalWidth="0">
            <w:col w:w="1182" w:space="1256"/>
            <w:col w:w="6382"/>
          </w:cols>
        </w:sectPr>
      </w:pPr>
    </w:p>
    <w:p>
      <w:pPr>
        <w:pStyle w:val="BodyText"/>
        <w:spacing w:line="237" w:lineRule="auto" w:before="3"/>
        <w:ind w:right="150" w:hanging="2439"/>
        <w:jc w:val="both"/>
      </w:pPr>
      <w:r>
        <w:rPr>
          <w:spacing w:val="-15"/>
        </w:rPr>
        <w:t>释义 </w:t>
      </w:r>
      <w:r>
        <w:rPr/>
        <w:t>24</w:t>
      </w:r>
      <w:r>
        <w:rPr>
          <w:spacing w:val="-3"/>
        </w:rPr>
        <w:t>、精神类疾病     : 是指主要由于家庭、社会环境等外在原因，和患者自身的生理遗传因素、神经</w:t>
      </w:r>
      <w:r>
        <w:rPr>
          <w:spacing w:val="-5"/>
        </w:rPr>
        <w:t>生化因素等内在原因相互作用所导致的心理活动、行为、及其神经系统功能紊乱为主要特征的病症。精神类疾病的诊断以《中国精神疾病分类与诊断标准》</w:t>
      </w:r>
      <w:r>
        <w:rPr>
          <w:spacing w:val="-1"/>
        </w:rPr>
        <w:t>为准。</w:t>
      </w:r>
    </w:p>
    <w:p>
      <w:pPr>
        <w:pStyle w:val="BodyText"/>
        <w:spacing w:line="235" w:lineRule="exact"/>
        <w:ind w:left="101"/>
      </w:pPr>
      <w:r>
        <w:rPr/>
        <w:t>释义 25、我们指定或认可的: （1）我们将在批注中列明指定的医院名单，并保留对上述医院名单做出调整</w:t>
      </w:r>
    </w:p>
    <w:p>
      <w:pPr>
        <w:pStyle w:val="BodyText"/>
        <w:tabs>
          <w:tab w:pos="2539" w:val="left" w:leader="none"/>
        </w:tabs>
        <w:spacing w:line="237" w:lineRule="auto"/>
        <w:ind w:right="189" w:hanging="2439"/>
      </w:pPr>
      <w:r>
        <w:rPr/>
        <w:t>医院</w:t>
        <w:tab/>
      </w:r>
      <w:r>
        <w:rPr>
          <w:spacing w:val="-1"/>
        </w:rPr>
        <w:t>的权</w:t>
      </w:r>
      <w:r>
        <w:rPr/>
        <w:t>利</w:t>
      </w:r>
      <w:r>
        <w:rPr>
          <w:spacing w:val="-20"/>
        </w:rPr>
        <w:t>。</w:t>
      </w:r>
      <w:r>
        <w:rPr/>
        <w:t>我们指定的医院范围将以最新调整的医院名单范围为准</w:t>
      </w:r>
      <w:r>
        <w:rPr>
          <w:spacing w:val="-20"/>
        </w:rPr>
        <w:t>，</w:t>
      </w:r>
      <w:r>
        <w:rPr/>
        <w:t>该名单可通</w:t>
      </w:r>
      <w:r>
        <w:rPr>
          <w:spacing w:val="-1"/>
        </w:rPr>
        <w:t>过</w:t>
      </w:r>
      <w:r>
        <w:rPr/>
        <w:t>本公司网站和客户服务电话查询。</w:t>
      </w:r>
    </w:p>
    <w:p>
      <w:pPr>
        <w:pStyle w:val="BodyText"/>
        <w:ind w:right="189"/>
      </w:pPr>
      <w:r>
        <w:rPr/>
        <w:t>（2）我们指定的医院均指医院本院，不包括所属的指导或教学医院分院、社区医疗服务点、外设门诊部及合作医院。</w:t>
      </w:r>
    </w:p>
    <w:p>
      <w:pPr>
        <w:pStyle w:val="BodyText"/>
        <w:spacing w:line="237" w:lineRule="auto" w:before="2"/>
        <w:ind w:right="189"/>
      </w:pPr>
      <w:r>
        <w:rPr/>
        <w:t>（3）如果被保险人因紧急情况需要就近抢救，可不受我们指定医院的限制， 但病情稳定后应转入我们指定的医院。</w:t>
      </w:r>
    </w:p>
    <w:p>
      <w:pPr>
        <w:pStyle w:val="BodyText"/>
        <w:ind w:right="189"/>
      </w:pPr>
      <w:r>
        <w:rPr/>
        <w:t>（4）如果被保险人在批注中列明医院所在地以外的地区就诊，须选择我们认可的医院。其标准须符合本附加合同中对“医院”的释义。</w:t>
      </w:r>
    </w:p>
    <w:p>
      <w:pPr>
        <w:pStyle w:val="BodyText"/>
        <w:spacing w:line="237" w:lineRule="auto" w:before="2"/>
        <w:ind w:right="189"/>
      </w:pPr>
      <w:r>
        <w:rPr/>
        <w:t>（5）如果本保险合同中无指定医院名单批注，被保险人就诊须选择我们认可的医院。其标准须符合本附加合同中对“医院”的释义。</w:t>
      </w:r>
    </w:p>
    <w:p>
      <w:pPr>
        <w:pStyle w:val="BodyText"/>
        <w:tabs>
          <w:tab w:pos="2340" w:val="left" w:leader="none"/>
        </w:tabs>
        <w:spacing w:line="237" w:lineRule="auto" w:before="1"/>
        <w:ind w:right="191" w:hanging="2439"/>
      </w:pPr>
      <w:r>
        <w:rPr/>
        <w:t>释义</w:t>
      </w:r>
      <w:r>
        <w:rPr>
          <w:spacing w:val="-45"/>
        </w:rPr>
        <w:t> </w:t>
      </w:r>
      <w:r>
        <w:rPr/>
        <w:t>26、医院</w:t>
        <w:tab/>
        <w:t>:</w:t>
      </w:r>
      <w:r>
        <w:rPr>
          <w:spacing w:val="51"/>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该医院必须符合国家有关医院管理规则设置标准的医疗设备，且全天二十四小时有合格医师及护士驻院提供医疗和护理服务。若国家有关部门对于医院的评级标准有更改或取消</w:t>
      </w:r>
      <w:r>
        <w:rPr>
          <w:spacing w:val="-41"/>
        </w:rPr>
        <w:t>，</w:t>
      </w:r>
      <w:r>
        <w:rPr/>
        <w:t>我们保留调整医院定义的</w:t>
      </w:r>
      <w:r>
        <w:rPr>
          <w:spacing w:val="-1"/>
        </w:rPr>
        <w:t>权</w:t>
      </w:r>
      <w:r>
        <w:rPr/>
        <w:t>利。</w:t>
      </w:r>
    </w:p>
    <w:p>
      <w:pPr>
        <w:pStyle w:val="BodyText"/>
        <w:tabs>
          <w:tab w:pos="2340" w:val="left" w:leader="none"/>
        </w:tabs>
        <w:spacing w:line="237" w:lineRule="auto"/>
        <w:ind w:right="189" w:hanging="2439"/>
      </w:pPr>
      <w:r>
        <w:rPr/>
        <w:t>释义</w:t>
      </w:r>
      <w:r>
        <w:rPr>
          <w:spacing w:val="-45"/>
        </w:rPr>
        <w:t> </w:t>
      </w:r>
      <w:r>
        <w:rPr/>
        <w:t>27、现金价值</w:t>
        <w:tab/>
        <w:t>:</w:t>
      </w:r>
      <w:r>
        <w:rPr>
          <w:spacing w:val="20"/>
        </w:rPr>
        <w:t> </w:t>
      </w:r>
      <w:r>
        <w:rPr/>
        <w:t>指保险单所具有的价值</w:t>
      </w:r>
      <w:r>
        <w:rPr>
          <w:spacing w:val="-15"/>
        </w:rPr>
        <w:t>，</w:t>
      </w:r>
      <w:r>
        <w:rPr/>
        <w:t>通常体现为解除合同时</w:t>
      </w:r>
      <w:r>
        <w:rPr>
          <w:spacing w:val="-15"/>
        </w:rPr>
        <w:t>，</w:t>
      </w:r>
      <w:r>
        <w:rPr/>
        <w:t>根据精算原理计算的</w:t>
      </w:r>
      <w:r>
        <w:rPr>
          <w:spacing w:val="-15"/>
        </w:rPr>
        <w:t>，</w:t>
      </w:r>
      <w:r>
        <w:rPr/>
        <w:t>由本</w:t>
      </w:r>
      <w:r>
        <w:rPr>
          <w:spacing w:val="-1"/>
        </w:rPr>
        <w:t>公司</w:t>
      </w:r>
      <w:r>
        <w:rPr/>
        <w:t>退还的那部分金额。</w:t>
      </w:r>
    </w:p>
    <w:p>
      <w:pPr>
        <w:pStyle w:val="Heading1"/>
        <w:spacing w:before="39"/>
      </w:pPr>
      <w:r>
        <w:rPr>
          <w:w w:val="95"/>
        </w:rPr>
        <w:t>附表一：少儿重大疾病列表</w:t>
      </w:r>
    </w:p>
    <w:p>
      <w:pPr>
        <w:pStyle w:val="BodyText"/>
        <w:spacing w:line="316" w:lineRule="auto" w:before="76"/>
        <w:ind w:left="101" w:right="969"/>
      </w:pPr>
      <w:r>
        <w:rPr/>
        <w:t>重大疾病是指下列任何一种疾病，被保险人发生符合以下疾病定义所述条件的疾病，应当由专科医生明确诊断。</w:t>
      </w:r>
    </w:p>
    <w:p>
      <w:pPr>
        <w:pStyle w:val="BodyText"/>
        <w:tabs>
          <w:tab w:pos="2340" w:val="left" w:leader="none"/>
        </w:tabs>
        <w:spacing w:line="232" w:lineRule="exact" w:before="5"/>
        <w:ind w:right="100" w:hanging="2439"/>
        <w:jc w:val="both"/>
      </w:pPr>
      <w:r>
        <w:rPr/>
        <w:t>1、恶性肿瘤</w:t>
        <w:tab/>
        <w:t>：</w:t>
      </w:r>
      <w:r>
        <w:rPr>
          <w:spacing w:val="-73"/>
        </w:rPr>
        <w:t> </w:t>
      </w:r>
      <w:r>
        <w:rPr/>
        <w:t>指恶性细胞不受控制的进行性增长和扩散</w:t>
      </w:r>
      <w:r>
        <w:rPr>
          <w:spacing w:val="-20"/>
        </w:rPr>
        <w:t>，</w:t>
      </w:r>
      <w:r>
        <w:rPr/>
        <w:t>浸润和破坏周围正常组织</w:t>
      </w:r>
      <w:r>
        <w:rPr>
          <w:spacing w:val="-20"/>
        </w:rPr>
        <w:t>，</w:t>
      </w:r>
      <w:r>
        <w:rPr/>
        <w:t>可以经血管</w:t>
      </w:r>
      <w:r>
        <w:rPr>
          <w:spacing w:val="-20"/>
        </w:rPr>
        <w:t>、</w:t>
      </w:r>
      <w:r>
        <w:rPr/>
        <w:t>淋巴管和体腔扩散转移到身体其它部位的疾病</w:t>
      </w:r>
      <w:r>
        <w:rPr>
          <w:spacing w:val="-20"/>
        </w:rPr>
        <w:t>。</w:t>
      </w:r>
      <w:r>
        <w:rPr/>
        <w:t>经病理学检查结果明确</w:t>
      </w:r>
      <w:r>
        <w:rPr>
          <w:spacing w:val="5"/>
        </w:rPr>
        <w:t>诊断，临床诊断</w:t>
      </w:r>
      <w:r>
        <w:rPr/>
        <w:t>属</w:t>
      </w:r>
      <w:r>
        <w:rPr>
          <w:spacing w:val="5"/>
        </w:rPr>
        <w:t>于世界卫生组</w:t>
      </w:r>
      <w:r>
        <w:rPr>
          <w:spacing w:val="15"/>
        </w:rPr>
        <w:t>织</w:t>
      </w:r>
      <w:r>
        <w:rPr>
          <w:spacing w:val="5"/>
        </w:rPr>
        <w:t>《疾病和有关健康问题的国际统计分</w:t>
      </w:r>
      <w:r>
        <w:rPr>
          <w:spacing w:val="7"/>
        </w:rPr>
        <w:t>类</w:t>
      </w:r>
      <w:r>
        <w:rPr/>
        <w:t>》</w:t>
      </w:r>
    </w:p>
    <w:p>
      <w:pPr>
        <w:pStyle w:val="BodyText"/>
        <w:spacing w:line="212" w:lineRule="exact"/>
      </w:pPr>
      <w:r>
        <w:rPr/>
        <w:t>（ICD-10）的恶性肿瘤范畴。</w:t>
      </w:r>
    </w:p>
    <w:p>
      <w:pPr>
        <w:pStyle w:val="BodyText"/>
        <w:spacing w:line="234" w:lineRule="exact"/>
      </w:pPr>
      <w:r>
        <w:rPr/>
        <w:t>下列疾病不在保障范围内：</w:t>
      </w:r>
    </w:p>
    <w:p>
      <w:pPr>
        <w:pStyle w:val="BodyText"/>
        <w:spacing w:line="233" w:lineRule="exact"/>
      </w:pPr>
      <w:r>
        <w:rPr/>
        <w:t>（1）原位癌；</w:t>
      </w:r>
    </w:p>
    <w:p>
      <w:pPr>
        <w:pStyle w:val="BodyText"/>
        <w:spacing w:line="234" w:lineRule="exact"/>
      </w:pPr>
      <w:r>
        <w:rPr/>
        <w:t>（2）相当于 Binet 分期方案 A 期程度的慢性淋巴细胞白血病；</w:t>
      </w:r>
    </w:p>
    <w:p>
      <w:pPr>
        <w:pStyle w:val="BodyText"/>
        <w:spacing w:line="234" w:lineRule="exact"/>
      </w:pPr>
      <w:r>
        <w:rPr/>
        <w:t>（3）相当于 Ann Arbor 分期方案 I 期程度的何杰金氏病；</w:t>
      </w:r>
    </w:p>
    <w:p>
      <w:pPr>
        <w:pStyle w:val="BodyText"/>
        <w:spacing w:line="233" w:lineRule="exact"/>
      </w:pPr>
      <w:r>
        <w:rPr>
          <w:spacing w:val="-1"/>
          <w:w w:val="100"/>
        </w:rPr>
        <w:t>（</w:t>
      </w:r>
      <w:r>
        <w:rPr>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3" w:lineRule="exact"/>
      </w:pPr>
      <w:r>
        <w:rPr/>
        <w:t>（5）TNM 分期为 T1N0M0 期或更轻分期的前列腺癌；</w:t>
      </w:r>
    </w:p>
    <w:p>
      <w:pPr>
        <w:pStyle w:val="BodyText"/>
        <w:spacing w:line="234" w:lineRule="exact"/>
      </w:pPr>
      <w:r>
        <w:rPr/>
        <w:t>（6）感染艾滋病病毒或患艾滋病期间所患恶性肿瘤。</w:t>
      </w:r>
    </w:p>
    <w:p>
      <w:pPr>
        <w:pStyle w:val="BodyText"/>
        <w:ind w:left="101"/>
      </w:pPr>
      <w:r>
        <w:rPr/>
        <w:t>2、重大器官移植术或造血干： 重大器官移植术，指因相应器官功能衰竭，已经实施了肾脏、肝脏、心脏或肺</w:t>
      </w:r>
    </w:p>
    <w:p>
      <w:pPr>
        <w:spacing w:after="0"/>
        <w:sectPr>
          <w:type w:val="continuous"/>
          <w:pgSz w:w="11960" w:h="16850"/>
          <w:pgMar w:top="280" w:bottom="1200" w:left="1600" w:right="1540"/>
        </w:sectPr>
      </w:pPr>
    </w:p>
    <w:p>
      <w:pPr>
        <w:pStyle w:val="BodyText"/>
        <w:spacing w:line="233" w:lineRule="exact"/>
        <w:ind w:left="101"/>
      </w:pPr>
      <w:r>
        <w:rPr/>
        <w:t>细胞移植术</w:t>
      </w:r>
    </w:p>
    <w:p>
      <w:pPr>
        <w:pStyle w:val="BodyText"/>
        <w:spacing w:line="231" w:lineRule="exact"/>
        <w:ind w:left="101"/>
      </w:pPr>
      <w:r>
        <w:rPr/>
        <w:br w:type="column"/>
      </w:r>
      <w:r>
        <w:rPr/>
        <w:t>脏的异体移植手术。</w:t>
      </w:r>
    </w:p>
    <w:p>
      <w:pPr>
        <w:pStyle w:val="BodyText"/>
        <w:spacing w:line="237" w:lineRule="auto" w:before="1"/>
        <w:ind w:left="101" w:right="189"/>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600" w:right="1540"/>
          <w:cols w:num="2" w:equalWidth="0">
            <w:col w:w="1002" w:space="1436"/>
            <w:col w:w="6382"/>
          </w:cols>
        </w:sectPr>
      </w:pPr>
    </w:p>
    <w:p>
      <w:pPr>
        <w:pStyle w:val="BodyText"/>
        <w:spacing w:line="233" w:lineRule="exact"/>
        <w:ind w:left="101"/>
      </w:pPr>
      <w:r>
        <w:rPr/>
        <w:t>3、终末期肾病（或称慢性肾： 指双肾功能慢性不可逆性衰竭，达到尿毒症期，经诊断后已经进行了至少 90</w:t>
      </w:r>
    </w:p>
    <w:p>
      <w:pPr>
        <w:pStyle w:val="BodyText"/>
        <w:tabs>
          <w:tab w:pos="2539" w:val="left" w:leader="none"/>
        </w:tabs>
        <w:spacing w:line="233" w:lineRule="exact"/>
        <w:ind w:left="101"/>
      </w:pPr>
      <w:r>
        <w:rPr/>
        <w:t>功能衰竭尿毒症期）</w:t>
        <w:tab/>
      </w:r>
      <w:r>
        <w:rPr>
          <w:spacing w:val="-1"/>
        </w:rPr>
        <w:t>天</w:t>
      </w:r>
      <w:r>
        <w:rPr/>
        <w:t>的规律性透析治疗或实施了肾脏移植手术。</w:t>
      </w:r>
    </w:p>
    <w:p>
      <w:pPr>
        <w:pStyle w:val="BodyText"/>
        <w:tabs>
          <w:tab w:pos="2340" w:val="left" w:leader="none"/>
        </w:tabs>
        <w:ind w:right="191" w:hanging="2439"/>
      </w:pPr>
      <w:r>
        <w:rPr/>
        <w:t>4、多个肢体缺失</w:t>
        <w:tab/>
        <w:t>：</w:t>
      </w:r>
      <w:r>
        <w:rPr>
          <w:spacing w:val="-72"/>
        </w:rPr>
        <w:t> </w:t>
      </w:r>
      <w:r>
        <w:rPr/>
        <w:t>指因疾病或意外伤害导致两个或两个以上肢体自腕关节或踝关节近</w:t>
      </w:r>
      <w:r>
        <w:rPr>
          <w:spacing w:val="-42"/>
        </w:rPr>
        <w:t>端</w:t>
      </w:r>
      <w:r>
        <w:rPr/>
        <w:t>（靠近躯</w:t>
      </w:r>
      <w:r>
        <w:rPr>
          <w:spacing w:val="-1"/>
        </w:rPr>
        <w:t>干端）</w:t>
      </w:r>
      <w:r>
        <w:rPr/>
        <w:t>以上完全性断离。</w:t>
      </w:r>
    </w:p>
    <w:p>
      <w:pPr>
        <w:pStyle w:val="BodyText"/>
        <w:spacing w:line="237" w:lineRule="auto" w:before="2"/>
        <w:ind w:right="151" w:hanging="2439"/>
      </w:pPr>
      <w:r>
        <w:rPr/>
        <w:t>5、急性或亚急性重症肝炎 ： 指因肝炎病毒感染引起肝脏组织弥漫性坏死，导致急性肝功能衰竭，且经血清学或病毒学检查证实，并须满足下列全部条件：</w:t>
      </w:r>
    </w:p>
    <w:p>
      <w:pPr>
        <w:pStyle w:val="BodyText"/>
        <w:spacing w:line="233" w:lineRule="exact"/>
      </w:pPr>
      <w:r>
        <w:rPr/>
        <w:t>（1）重度黄疸或黄疸迅速加重；</w:t>
      </w:r>
    </w:p>
    <w:p>
      <w:pPr>
        <w:pStyle w:val="BodyText"/>
        <w:spacing w:line="234" w:lineRule="exact"/>
      </w:pPr>
      <w:r>
        <w:rPr/>
        <w:t>（2）肝性脑病；</w:t>
      </w:r>
    </w:p>
    <w:p>
      <w:pPr>
        <w:pStyle w:val="BodyText"/>
        <w:spacing w:line="233" w:lineRule="exact"/>
      </w:pPr>
      <w:r>
        <w:rPr/>
        <w:t>（3）B 超或其它影像学检查显示肝脏体积急速萎缩；</w:t>
      </w:r>
    </w:p>
    <w:p>
      <w:pPr>
        <w:pStyle w:val="BodyText"/>
        <w:spacing w:line="234" w:lineRule="exact"/>
      </w:pPr>
      <w:r>
        <w:rPr/>
        <w:t>（4）肝功能指标进行性恶化。</w:t>
      </w:r>
    </w:p>
    <w:p>
      <w:pPr>
        <w:spacing w:after="0" w:line="234" w:lineRule="exact"/>
        <w:sectPr>
          <w:type w:val="continuous"/>
          <w:pgSz w:w="11960" w:h="16850"/>
          <w:pgMar w:top="280" w:bottom="1200" w:left="1600" w:right="1540"/>
        </w:sectPr>
      </w:pPr>
    </w:p>
    <w:p>
      <w:pPr>
        <w:pStyle w:val="BodyText"/>
        <w:tabs>
          <w:tab w:pos="2340" w:val="left" w:leader="none"/>
        </w:tabs>
        <w:spacing w:line="237" w:lineRule="auto" w:before="76"/>
        <w:ind w:right="149" w:hanging="2439"/>
        <w:jc w:val="both"/>
      </w:pPr>
      <w:r>
        <w:rPr/>
        <w:t>6、良性脑肿瘤</w:t>
        <w:tab/>
        <w:t>：</w:t>
      </w:r>
      <w:r>
        <w:rPr>
          <w:spacing w:val="-70"/>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状、癫</w:t>
      </w:r>
      <w:r>
        <w:rPr>
          <w:w w:val="100"/>
        </w:rPr>
        <w:t>痫</w:t>
      </w:r>
      <w:r>
        <w:rPr>
          <w:spacing w:val="1"/>
          <w:w w:val="100"/>
        </w:rPr>
        <w:t>及</w:t>
      </w:r>
      <w:r>
        <w:rPr>
          <w:w w:val="100"/>
        </w:rPr>
        <w:t>运</w:t>
      </w:r>
      <w:r>
        <w:rPr>
          <w:spacing w:val="1"/>
          <w:w w:val="100"/>
        </w:rPr>
        <w:t>动感</w:t>
      </w:r>
      <w:r>
        <w:rPr>
          <w:w w:val="100"/>
        </w:rPr>
        <w:t>觉</w:t>
      </w:r>
      <w:r>
        <w:rPr>
          <w:spacing w:val="1"/>
          <w:w w:val="100"/>
        </w:rPr>
        <w:t>障碍</w:t>
      </w:r>
      <w:r>
        <w:rPr>
          <w:w w:val="100"/>
        </w:rPr>
        <w:t>等</w:t>
      </w:r>
      <w:r>
        <w:rPr>
          <w:spacing w:val="-1"/>
          <w:w w:val="100"/>
        </w:rPr>
        <w:t>，</w:t>
      </w:r>
      <w:r>
        <w:rPr>
          <w:spacing w:val="1"/>
          <w:w w:val="100"/>
        </w:rPr>
        <w:t>并危及</w:t>
      </w:r>
      <w:r>
        <w:rPr>
          <w:w w:val="100"/>
        </w:rPr>
        <w:t>生</w:t>
      </w:r>
      <w:r>
        <w:rPr>
          <w:spacing w:val="1"/>
          <w:w w:val="100"/>
        </w:rPr>
        <w:t>命</w:t>
      </w:r>
      <w:r>
        <w:rPr>
          <w:spacing w:val="-1"/>
          <w:w w:val="100"/>
        </w:rPr>
        <w:t>。</w:t>
      </w:r>
      <w:r>
        <w:rPr>
          <w:spacing w:val="1"/>
          <w:w w:val="100"/>
        </w:rPr>
        <w:t>须由</w:t>
      </w:r>
      <w:r>
        <w:rPr>
          <w:w w:val="100"/>
        </w:rPr>
        <w:t>头</w:t>
      </w:r>
      <w:r>
        <w:rPr>
          <w:spacing w:val="1"/>
          <w:w w:val="100"/>
        </w:rPr>
        <w:t>颅断</w:t>
      </w:r>
      <w:r>
        <w:rPr>
          <w:w w:val="100"/>
        </w:rPr>
        <w:t>层扫</w:t>
      </w:r>
      <w:r>
        <w:rPr>
          <w:spacing w:val="1"/>
          <w:w w:val="100"/>
        </w:rPr>
        <w:t>描（</w:t>
      </w:r>
      <w:r>
        <w:rPr>
          <w:spacing w:val="-2"/>
          <w:w w:val="100"/>
        </w:rPr>
        <w:t>C</w:t>
      </w:r>
      <w:r>
        <w:rPr>
          <w:spacing w:val="2"/>
          <w:w w:val="100"/>
        </w:rPr>
        <w:t>T</w:t>
      </w:r>
      <w:r>
        <w:rPr>
          <w:spacing w:val="-89"/>
          <w:w w:val="100"/>
        </w:rPr>
        <w:t>）</w:t>
      </w:r>
      <w:r>
        <w:rPr>
          <w:spacing w:val="-1"/>
          <w:w w:val="100"/>
        </w:rPr>
        <w:t>、</w:t>
      </w:r>
      <w:r>
        <w:rPr>
          <w:spacing w:val="1"/>
          <w:w w:val="100"/>
        </w:rPr>
        <w:t>核磁</w:t>
      </w:r>
      <w:r>
        <w:rPr>
          <w:w w:val="100"/>
        </w:rPr>
        <w:t>共</w:t>
      </w:r>
      <w:r>
        <w:rPr/>
        <w:t>振检</w:t>
      </w:r>
      <w:r>
        <w:rPr>
          <w:spacing w:val="-8"/>
        </w:rPr>
        <w:t>查</w:t>
      </w:r>
      <w:r>
        <w:rPr>
          <w:spacing w:val="-3"/>
        </w:rPr>
        <w:t>（MRI）</w:t>
      </w:r>
      <w:r>
        <w:rPr/>
        <w:t>或正电子发射</w:t>
      </w:r>
      <w:r>
        <w:rPr>
          <w:spacing w:val="-3"/>
        </w:rPr>
        <w:t>断</w:t>
      </w:r>
      <w:r>
        <w:rPr/>
        <w:t>层扫</w:t>
      </w:r>
      <w:r>
        <w:rPr>
          <w:spacing w:val="-8"/>
        </w:rPr>
        <w:t>描</w:t>
      </w:r>
      <w:r>
        <w:rPr>
          <w:spacing w:val="-3"/>
        </w:rPr>
        <w:t>（PET）</w:t>
      </w:r>
      <w:r>
        <w:rPr/>
        <w:t>等影像学检查</w:t>
      </w:r>
      <w:r>
        <w:rPr>
          <w:spacing w:val="-3"/>
        </w:rPr>
        <w:t>证</w:t>
      </w:r>
      <w:r>
        <w:rPr/>
        <w:t>实</w:t>
      </w:r>
      <w:r>
        <w:rPr>
          <w:spacing w:val="-8"/>
        </w:rPr>
        <w:t>，</w:t>
      </w:r>
      <w:r>
        <w:rPr/>
        <w:t>并须满足下</w:t>
      </w:r>
      <w:r>
        <w:rPr>
          <w:spacing w:val="-1"/>
        </w:rPr>
        <w:t>列</w:t>
      </w:r>
      <w:r>
        <w:rPr/>
        <w:t>至少一项条件：</w:t>
      </w:r>
    </w:p>
    <w:p>
      <w:pPr>
        <w:pStyle w:val="BodyText"/>
        <w:spacing w:line="231" w:lineRule="exact"/>
      </w:pPr>
      <w:r>
        <w:rPr/>
        <w:t>（1）实际实施了开颅进行的脑肿瘤完全切除或部分切除的手术；</w:t>
      </w:r>
    </w:p>
    <w:p>
      <w:pPr>
        <w:pStyle w:val="BodyText"/>
        <w:spacing w:line="233" w:lineRule="exact"/>
      </w:pPr>
      <w:r>
        <w:rPr/>
        <w:t>（2）实际实施了对脑肿瘤进行的放射治疗。</w:t>
      </w:r>
    </w:p>
    <w:p>
      <w:pPr>
        <w:pStyle w:val="BodyText"/>
        <w:spacing w:line="234" w:lineRule="exact"/>
      </w:pPr>
      <w:r>
        <w:rPr/>
        <w:t>脑垂体瘤、脑囊肿、脑血管性疾病不在保障范围内。</w:t>
      </w:r>
    </w:p>
    <w:p>
      <w:pPr>
        <w:pStyle w:val="BodyText"/>
        <w:spacing w:line="234" w:lineRule="exact"/>
        <w:ind w:left="101"/>
      </w:pPr>
      <w:r>
        <w:rPr/>
        <w:t>7、慢性肝功能衰竭失代偿期： 指因慢性肝脏疾病导致肝功能衰竭。须满足下列全部条件：</w:t>
      </w:r>
    </w:p>
    <w:p>
      <w:pPr>
        <w:pStyle w:val="BodyText"/>
        <w:spacing w:line="233" w:lineRule="exact"/>
      </w:pPr>
      <w:r>
        <w:rPr/>
        <w:t>（1）持续性黄疸；</w:t>
      </w:r>
    </w:p>
    <w:p>
      <w:pPr>
        <w:pStyle w:val="BodyText"/>
        <w:spacing w:line="233" w:lineRule="exact"/>
      </w:pPr>
      <w:r>
        <w:rPr/>
        <w:t>（2）腹水；</w:t>
      </w:r>
    </w:p>
    <w:p>
      <w:pPr>
        <w:pStyle w:val="BodyText"/>
        <w:spacing w:line="234" w:lineRule="exact"/>
      </w:pPr>
      <w:r>
        <w:rPr/>
        <w:t>（3）肝性脑病；</w:t>
      </w:r>
    </w:p>
    <w:p>
      <w:pPr>
        <w:pStyle w:val="BodyText"/>
        <w:spacing w:line="237" w:lineRule="auto" w:before="2"/>
        <w:ind w:right="1819"/>
      </w:pPr>
      <w:r>
        <w:rPr/>
        <w:t>（4）充血性脾肿大伴脾功能亢进或食管胃底静脉曲张。因酗酒或药物滥用导致的肝功能衰竭不在保障范围内。</w:t>
      </w:r>
    </w:p>
    <w:p>
      <w:pPr>
        <w:pStyle w:val="BodyText"/>
        <w:spacing w:line="233" w:lineRule="exact"/>
        <w:ind w:left="101"/>
      </w:pPr>
      <w:r>
        <w:rPr/>
        <w:t>8、脑炎后遗症或脑膜炎后遗： 指因患脑炎或脑膜炎导致的神经系统永久性的功能障碍。神经系统永久性的功</w:t>
      </w:r>
    </w:p>
    <w:p>
      <w:pPr>
        <w:pStyle w:val="BodyText"/>
        <w:tabs>
          <w:tab w:pos="2539" w:val="left" w:leader="none"/>
        </w:tabs>
        <w:spacing w:line="233" w:lineRule="exact"/>
        <w:ind w:left="101"/>
      </w:pPr>
      <w:r>
        <w:rPr/>
        <w:t>症</w:t>
        <w:tab/>
        <w:t>能障碍，指疾病确诊</w:t>
      </w:r>
      <w:r>
        <w:rPr>
          <w:spacing w:val="-48"/>
        </w:rPr>
        <w:t> </w:t>
      </w:r>
      <w:r>
        <w:rPr/>
        <w:t>180</w:t>
      </w:r>
      <w:r>
        <w:rPr>
          <w:spacing w:val="-47"/>
        </w:rPr>
        <w:t> </w:t>
      </w:r>
      <w:r>
        <w:rPr/>
        <w:t>天</w:t>
      </w:r>
      <w:r>
        <w:rPr>
          <w:spacing w:val="-3"/>
        </w:rPr>
        <w:t>后</w:t>
      </w:r>
      <w:r>
        <w:rPr/>
        <w:t>，仍遗留下列一种或一种以上障碍：</w:t>
      </w:r>
    </w:p>
    <w:p>
      <w:pPr>
        <w:pStyle w:val="BodyText"/>
        <w:spacing w:line="234" w:lineRule="exact"/>
      </w:pPr>
      <w:r>
        <w:rPr/>
        <w:t>（1）一肢或一肢以上肢体机能完全丧失；</w:t>
      </w:r>
    </w:p>
    <w:p>
      <w:pPr>
        <w:pStyle w:val="BodyText"/>
        <w:spacing w:line="233" w:lineRule="exact"/>
      </w:pPr>
      <w:r>
        <w:rPr/>
        <w:t>（2）语言能力或咀嚼吞咽能力完全丧失；</w:t>
      </w:r>
    </w:p>
    <w:p>
      <w:pPr>
        <w:pStyle w:val="BodyText"/>
        <w:ind w:left="2990" w:right="739" w:hanging="452"/>
      </w:pPr>
      <w:r>
        <w:rPr/>
        <w:t>（3）自主生活能力完全丧失，无法独立完成六项基本日常生活活动中的三项或三项以上。</w:t>
      </w:r>
    </w:p>
    <w:p>
      <w:pPr>
        <w:pStyle w:val="BodyText"/>
        <w:tabs>
          <w:tab w:pos="2340" w:val="left" w:leader="none"/>
        </w:tabs>
        <w:spacing w:line="237" w:lineRule="auto" w:before="1"/>
        <w:ind w:right="146" w:hanging="2439"/>
        <w:jc w:val="both"/>
      </w:pPr>
      <w:r>
        <w:rPr/>
        <w:t>9、深度昏迷</w:t>
        <w:tab/>
        <w:t>：</w:t>
      </w:r>
      <w:r>
        <w:rPr>
          <w:spacing w:val="-34"/>
        </w:rPr>
        <w:t> </w:t>
      </w:r>
      <w:r>
        <w:rPr>
          <w:spacing w:val="2"/>
        </w:rPr>
        <w:t>指因疾病或</w:t>
      </w:r>
      <w:r>
        <w:rPr/>
        <w:t>意</w:t>
      </w:r>
      <w:r>
        <w:rPr>
          <w:spacing w:val="2"/>
        </w:rPr>
        <w:t>外伤害导</w:t>
      </w:r>
      <w:r>
        <w:rPr/>
        <w:t>致</w:t>
      </w:r>
      <w:r>
        <w:rPr>
          <w:spacing w:val="2"/>
        </w:rPr>
        <w:t>意</w:t>
      </w:r>
      <w:r>
        <w:rPr/>
        <w:t>识</w:t>
      </w:r>
      <w:r>
        <w:rPr>
          <w:spacing w:val="2"/>
        </w:rPr>
        <w:t>丧</w:t>
      </w:r>
      <w:r>
        <w:rPr>
          <w:spacing w:val="5"/>
        </w:rPr>
        <w:t>失,</w:t>
      </w:r>
      <w:r>
        <w:rPr/>
        <w:t>对</w:t>
      </w:r>
      <w:r>
        <w:rPr>
          <w:spacing w:val="2"/>
        </w:rPr>
        <w:t>外界刺</w:t>
      </w:r>
      <w:r>
        <w:rPr/>
        <w:t>激</w:t>
      </w:r>
      <w:r>
        <w:rPr>
          <w:spacing w:val="2"/>
        </w:rPr>
        <w:t>和体内需</w:t>
      </w:r>
      <w:r>
        <w:rPr/>
        <w:t>求</w:t>
      </w:r>
      <w:r>
        <w:rPr>
          <w:spacing w:val="2"/>
        </w:rPr>
        <w:t>均无反</w:t>
      </w:r>
      <w:r>
        <w:rPr/>
        <w:t>应</w:t>
      </w:r>
      <w:r>
        <w:rPr>
          <w:spacing w:val="5"/>
        </w:rPr>
        <w:t>,</w:t>
      </w:r>
      <w:r>
        <w:rPr>
          <w:spacing w:val="2"/>
        </w:rPr>
        <w:t>昏迷</w:t>
      </w:r>
      <w:r>
        <w:rPr/>
        <w:t>程度按照格拉斯哥昏迷分级（Glasgow</w:t>
      </w:r>
      <w:r>
        <w:rPr>
          <w:spacing w:val="-22"/>
        </w:rPr>
        <w:t> </w:t>
      </w:r>
      <w:r>
        <w:rPr/>
        <w:t>coma</w:t>
      </w:r>
      <w:r>
        <w:rPr>
          <w:spacing w:val="-22"/>
        </w:rPr>
        <w:t> </w:t>
      </w:r>
      <w:r>
        <w:rPr/>
        <w:t>scale）结果为</w:t>
      </w:r>
      <w:r>
        <w:rPr>
          <w:spacing w:val="-49"/>
        </w:rPr>
        <w:t> </w:t>
      </w:r>
      <w:r>
        <w:rPr/>
        <w:t>5</w:t>
      </w:r>
      <w:r>
        <w:rPr>
          <w:spacing w:val="-46"/>
        </w:rPr>
        <w:t> </w:t>
      </w:r>
      <w:r>
        <w:rPr>
          <w:spacing w:val="-3"/>
        </w:rPr>
        <w:t>分</w:t>
      </w:r>
      <w:r>
        <w:rPr/>
        <w:t>或</w:t>
      </w:r>
      <w:r>
        <w:rPr>
          <w:spacing w:val="-47"/>
        </w:rPr>
        <w:t> </w:t>
      </w:r>
      <w:r>
        <w:rPr/>
        <w:t>5</w:t>
      </w:r>
      <w:r>
        <w:rPr>
          <w:spacing w:val="-46"/>
        </w:rPr>
        <w:t> </w:t>
      </w:r>
      <w:r>
        <w:rPr/>
        <w:t>分以下，且已经持续使用呼吸机及其它生命维持系统</w:t>
      </w:r>
      <w:r>
        <w:rPr>
          <w:spacing w:val="-45"/>
        </w:rPr>
        <w:t> </w:t>
      </w:r>
      <w:r>
        <w:rPr/>
        <w:t>96</w:t>
      </w:r>
      <w:r>
        <w:rPr>
          <w:spacing w:val="-44"/>
        </w:rPr>
        <w:t> </w:t>
      </w:r>
      <w:r>
        <w:rPr/>
        <w:t>小时以上。</w:t>
      </w:r>
    </w:p>
    <w:p>
      <w:pPr>
        <w:pStyle w:val="BodyText"/>
        <w:spacing w:line="234" w:lineRule="exact"/>
      </w:pPr>
      <w:r>
        <w:rPr/>
        <w:t>因酗酒或药物滥用导致的深度昏迷不在保障范围内。</w:t>
      </w:r>
    </w:p>
    <w:p>
      <w:pPr>
        <w:pStyle w:val="BodyText"/>
        <w:tabs>
          <w:tab w:pos="2340" w:val="left" w:leader="none"/>
        </w:tabs>
        <w:spacing w:line="237" w:lineRule="auto" w:before="1"/>
        <w:ind w:right="149" w:hanging="2439"/>
        <w:jc w:val="both"/>
      </w:pPr>
      <w:r>
        <w:rPr/>
        <w:t>10、双耳失聪</w:t>
        <w:tab/>
        <w:t>：</w:t>
      </w:r>
      <w:r>
        <w:rPr>
          <w:spacing w:val="-72"/>
        </w:rPr>
        <w:t> </w:t>
      </w:r>
      <w:r>
        <w:rPr/>
        <w:t>指因疾病或意外伤害导致双耳听力永久不可逆性丧失</w:t>
      </w:r>
      <w:r>
        <w:rPr>
          <w:spacing w:val="-44"/>
        </w:rPr>
        <w:t>，</w:t>
      </w:r>
      <w:r>
        <w:rPr/>
        <w:t>在</w:t>
      </w:r>
      <w:r>
        <w:rPr>
          <w:spacing w:val="-47"/>
        </w:rPr>
        <w:t> </w:t>
      </w:r>
      <w:r>
        <w:rPr/>
        <w:t>500</w:t>
      </w:r>
      <w:r>
        <w:rPr>
          <w:spacing w:val="-46"/>
        </w:rPr>
        <w:t> </w:t>
      </w:r>
      <w:r>
        <w:rPr/>
        <w:t>赫兹</w:t>
      </w:r>
      <w:r>
        <w:rPr>
          <w:spacing w:val="-44"/>
        </w:rPr>
        <w:t>、</w:t>
      </w:r>
      <w:r>
        <w:rPr/>
        <w:t>1000</w:t>
      </w:r>
      <w:r>
        <w:rPr>
          <w:spacing w:val="-46"/>
        </w:rPr>
        <w:t> </w:t>
      </w:r>
      <w:r>
        <w:rPr/>
        <w:t>赫兹和</w:t>
      </w:r>
      <w:r>
        <w:rPr>
          <w:spacing w:val="-46"/>
        </w:rPr>
        <w:t> </w:t>
      </w:r>
      <w:r>
        <w:rPr/>
        <w:t>2000</w:t>
      </w:r>
      <w:r>
        <w:rPr>
          <w:spacing w:val="-45"/>
        </w:rPr>
        <w:t> </w:t>
      </w:r>
      <w:r>
        <w:rPr/>
        <w:t>赫兹语音频率下</w:t>
      </w:r>
      <w:r>
        <w:rPr>
          <w:spacing w:val="-15"/>
        </w:rPr>
        <w:t>，</w:t>
      </w:r>
      <w:r>
        <w:rPr/>
        <w:t>平</w:t>
      </w:r>
      <w:r>
        <w:rPr>
          <w:spacing w:val="-3"/>
        </w:rPr>
        <w:t>均</w:t>
      </w:r>
      <w:r>
        <w:rPr/>
        <w:t>听阈大于</w:t>
      </w:r>
      <w:r>
        <w:rPr>
          <w:spacing w:val="-46"/>
        </w:rPr>
        <w:t> </w:t>
      </w:r>
      <w:r>
        <w:rPr/>
        <w:t>90</w:t>
      </w:r>
      <w:r>
        <w:rPr>
          <w:spacing w:val="-45"/>
        </w:rPr>
        <w:t> </w:t>
      </w:r>
      <w:r>
        <w:rPr/>
        <w:t>分贝</w:t>
      </w:r>
      <w:r>
        <w:rPr>
          <w:spacing w:val="-15"/>
        </w:rPr>
        <w:t>，</w:t>
      </w:r>
      <w:r>
        <w:rPr/>
        <w:t>且经纯音</w:t>
      </w:r>
      <w:r>
        <w:rPr>
          <w:spacing w:val="-3"/>
        </w:rPr>
        <w:t>听</w:t>
      </w:r>
      <w:r>
        <w:rPr/>
        <w:t>力测试</w:t>
      </w:r>
      <w:r>
        <w:rPr>
          <w:spacing w:val="-15"/>
        </w:rPr>
        <w:t>、</w:t>
      </w:r>
      <w:r>
        <w:rPr/>
        <w:t>声导抗</w:t>
      </w:r>
      <w:r>
        <w:rPr>
          <w:spacing w:val="-1"/>
        </w:rPr>
        <w:t>检</w:t>
      </w:r>
      <w:r>
        <w:rPr/>
        <w:t>测或听觉诱发电位检测等证实。</w:t>
      </w:r>
    </w:p>
    <w:p>
      <w:pPr>
        <w:pStyle w:val="BodyText"/>
        <w:tabs>
          <w:tab w:pos="2340" w:val="left" w:leader="none"/>
        </w:tabs>
        <w:spacing w:line="237" w:lineRule="auto" w:before="2"/>
        <w:ind w:right="151" w:hanging="2439"/>
        <w:jc w:val="both"/>
      </w:pPr>
      <w:r>
        <w:rPr/>
        <w:t>11、双目失明</w:t>
        <w:tab/>
        <w:t>：</w:t>
      </w:r>
      <w:r>
        <w:rPr>
          <w:spacing w:val="-73"/>
        </w:rPr>
        <w:t> </w:t>
      </w:r>
      <w:r>
        <w:rPr/>
        <w:t>指因疾病或意外伤害导致双眼视力永久不可逆性丧失</w:t>
      </w:r>
      <w:r>
        <w:rPr>
          <w:spacing w:val="-41"/>
        </w:rPr>
        <w:t>，</w:t>
      </w:r>
      <w:r>
        <w:rPr/>
        <w:t>双眼中较好眼须满足下</w:t>
      </w:r>
      <w:r>
        <w:rPr>
          <w:spacing w:val="-1"/>
        </w:rPr>
        <w:t>列</w:t>
      </w:r>
      <w:r>
        <w:rPr/>
        <w:t>至少一项条件：</w:t>
      </w:r>
    </w:p>
    <w:p>
      <w:pPr>
        <w:pStyle w:val="ListParagraph"/>
        <w:numPr>
          <w:ilvl w:val="0"/>
          <w:numId w:val="1"/>
        </w:numPr>
        <w:tabs>
          <w:tab w:pos="2960" w:val="left" w:leader="none"/>
        </w:tabs>
        <w:spacing w:line="231" w:lineRule="exact" w:before="0" w:after="0"/>
        <w:ind w:left="2969" w:right="0" w:hanging="420"/>
        <w:jc w:val="left"/>
        <w:rPr>
          <w:sz w:val="18"/>
        </w:rPr>
      </w:pPr>
      <w:r>
        <w:rPr>
          <w:spacing w:val="-1"/>
          <w:sz w:val="18"/>
        </w:rPr>
        <w:t>眼球缺失或摘除；</w:t>
      </w:r>
    </w:p>
    <w:p>
      <w:pPr>
        <w:pStyle w:val="ListParagraph"/>
        <w:numPr>
          <w:ilvl w:val="0"/>
          <w:numId w:val="1"/>
        </w:numPr>
        <w:tabs>
          <w:tab w:pos="2960" w:val="left" w:leader="none"/>
        </w:tabs>
        <w:spacing w:line="240" w:lineRule="auto" w:before="0" w:after="0"/>
        <w:ind w:left="2969" w:right="151" w:hanging="420"/>
        <w:jc w:val="left"/>
        <w:rPr>
          <w:sz w:val="18"/>
        </w:rPr>
      </w:pPr>
      <w:r>
        <w:rPr>
          <w:spacing w:val="-2"/>
          <w:sz w:val="18"/>
        </w:rPr>
        <w:t>矫正视力低于 </w:t>
      </w:r>
      <w:r>
        <w:rPr>
          <w:sz w:val="18"/>
        </w:rPr>
        <w:t>0.02（</w:t>
      </w:r>
      <w:r>
        <w:rPr>
          <w:spacing w:val="-1"/>
          <w:sz w:val="18"/>
        </w:rPr>
        <w:t>采用国际标准视力表，如果使用其它视力表应进行</w:t>
      </w:r>
      <w:r>
        <w:rPr>
          <w:spacing w:val="-1"/>
          <w:w w:val="100"/>
          <w:sz w:val="18"/>
        </w:rPr>
        <w:t>换算</w:t>
      </w:r>
      <w:r>
        <w:rPr>
          <w:spacing w:val="-92"/>
          <w:w w:val="100"/>
          <w:sz w:val="18"/>
        </w:rPr>
        <w:t>）</w:t>
      </w:r>
      <w:r>
        <w:rPr>
          <w:w w:val="100"/>
          <w:sz w:val="18"/>
        </w:rPr>
        <w:t>；</w:t>
      </w:r>
    </w:p>
    <w:p>
      <w:pPr>
        <w:pStyle w:val="ListParagraph"/>
        <w:numPr>
          <w:ilvl w:val="0"/>
          <w:numId w:val="1"/>
        </w:numPr>
        <w:tabs>
          <w:tab w:pos="2960" w:val="left" w:leader="none"/>
        </w:tabs>
        <w:spacing w:line="231" w:lineRule="exact" w:before="1" w:after="0"/>
        <w:ind w:left="2969" w:right="0" w:hanging="420"/>
        <w:jc w:val="left"/>
        <w:rPr>
          <w:sz w:val="18"/>
        </w:rPr>
      </w:pPr>
      <w:r>
        <w:rPr>
          <w:spacing w:val="-7"/>
          <w:sz w:val="18"/>
        </w:rPr>
        <w:t>视野半径小于 </w:t>
      </w:r>
      <w:r>
        <w:rPr>
          <w:sz w:val="18"/>
        </w:rPr>
        <w:t>5</w:t>
      </w:r>
      <w:r>
        <w:rPr>
          <w:spacing w:val="-16"/>
          <w:sz w:val="18"/>
        </w:rPr>
        <w:t> 度。</w:t>
      </w:r>
    </w:p>
    <w:p>
      <w:pPr>
        <w:pStyle w:val="BodyText"/>
        <w:tabs>
          <w:tab w:pos="2340" w:val="left" w:leader="none"/>
        </w:tabs>
        <w:spacing w:line="237" w:lineRule="auto"/>
        <w:ind w:right="149" w:hanging="2439"/>
        <w:jc w:val="both"/>
      </w:pPr>
      <w:r>
        <w:rPr/>
        <w:t>12、瘫痪</w:t>
        <w:tab/>
        <w:t>：</w:t>
      </w:r>
      <w:r>
        <w:rPr>
          <w:spacing w:val="-72"/>
        </w:rPr>
        <w:t> </w:t>
      </w:r>
      <w:r>
        <w:rPr/>
        <w:t>指因疾病或意外伤害导致两肢或两肢以上肢体机能永久完全丧失</w:t>
      </w:r>
      <w:r>
        <w:rPr>
          <w:spacing w:val="-41"/>
        </w:rPr>
        <w:t>。</w:t>
      </w:r>
      <w:r>
        <w:rPr/>
        <w:t>肢体机能永久完全丧失</w:t>
      </w:r>
      <w:r>
        <w:rPr>
          <w:spacing w:val="-20"/>
        </w:rPr>
        <w:t>，</w:t>
      </w:r>
      <w:r>
        <w:rPr/>
        <w:t>指疾病确诊</w:t>
      </w:r>
      <w:r>
        <w:rPr>
          <w:spacing w:val="-46"/>
        </w:rPr>
        <w:t> </w:t>
      </w:r>
      <w:r>
        <w:rPr/>
        <w:t>180</w:t>
      </w:r>
      <w:r>
        <w:rPr>
          <w:spacing w:val="-47"/>
        </w:rPr>
        <w:t> </w:t>
      </w:r>
      <w:r>
        <w:rPr/>
        <w:t>天后或意外伤害发生</w:t>
      </w:r>
      <w:r>
        <w:rPr>
          <w:spacing w:val="-46"/>
        </w:rPr>
        <w:t> </w:t>
      </w:r>
      <w:r>
        <w:rPr/>
        <w:t>180</w:t>
      </w:r>
      <w:r>
        <w:rPr>
          <w:spacing w:val="-45"/>
        </w:rPr>
        <w:t> </w:t>
      </w:r>
      <w:r>
        <w:rPr/>
        <w:t>天</w:t>
      </w:r>
      <w:r>
        <w:rPr>
          <w:spacing w:val="-3"/>
        </w:rPr>
        <w:t>后</w:t>
      </w:r>
      <w:r>
        <w:rPr>
          <w:spacing w:val="-20"/>
        </w:rPr>
        <w:t>，</w:t>
      </w:r>
      <w:r>
        <w:rPr/>
        <w:t>每肢三大关节中</w:t>
      </w:r>
      <w:r>
        <w:rPr>
          <w:spacing w:val="-1"/>
        </w:rPr>
        <w:t>的两大</w:t>
      </w:r>
      <w:r>
        <w:rPr/>
        <w:t>关节仍然完全僵硬，或不能随意识活动。</w:t>
      </w:r>
    </w:p>
    <w:p>
      <w:pPr>
        <w:pStyle w:val="BodyText"/>
        <w:tabs>
          <w:tab w:pos="2340" w:val="left" w:leader="none"/>
        </w:tabs>
        <w:spacing w:line="231" w:lineRule="exact"/>
        <w:ind w:left="101"/>
      </w:pPr>
      <w:r>
        <w:rPr/>
        <w:t>13、心脏瓣膜手术</w:t>
        <w:tab/>
        <w:t>：</w:t>
      </w:r>
      <w:r>
        <w:rPr>
          <w:spacing w:val="-74"/>
        </w:rPr>
        <w:t> </w:t>
      </w:r>
      <w:r>
        <w:rPr/>
        <w:t>指为治疗心脏瓣膜疾病，实际实施了开胸进行的心脏瓣膜置换或修复的手术。</w:t>
      </w:r>
    </w:p>
    <w:p>
      <w:pPr>
        <w:pStyle w:val="BodyText"/>
        <w:tabs>
          <w:tab w:pos="2340" w:val="left" w:leader="none"/>
        </w:tabs>
        <w:ind w:right="148" w:hanging="2439"/>
        <w:jc w:val="both"/>
      </w:pPr>
      <w:r>
        <w:rPr/>
        <w:t>14、严重脑损伤</w:t>
        <w:tab/>
        <w:t>：</w:t>
      </w:r>
      <w:r>
        <w:rPr>
          <w:spacing w:val="-73"/>
        </w:rPr>
        <w:t> </w:t>
      </w:r>
      <w:r>
        <w:rPr/>
        <w:t>指因头部遭受机械性外力</w:t>
      </w:r>
      <w:r>
        <w:rPr>
          <w:spacing w:val="-20"/>
        </w:rPr>
        <w:t>，</w:t>
      </w:r>
      <w:r>
        <w:rPr/>
        <w:t>引起脑重要部位损伤</w:t>
      </w:r>
      <w:r>
        <w:rPr>
          <w:spacing w:val="-20"/>
        </w:rPr>
        <w:t>，</w:t>
      </w:r>
      <w:r>
        <w:rPr/>
        <w:t>导致神经系统永久性的功能</w:t>
      </w:r>
      <w:r>
        <w:rPr>
          <w:w w:val="100"/>
        </w:rPr>
        <w:t>障</w:t>
      </w:r>
      <w:r>
        <w:rPr>
          <w:spacing w:val="-1"/>
          <w:w w:val="100"/>
        </w:rPr>
        <w:t>碍</w:t>
      </w:r>
      <w:r>
        <w:rPr>
          <w:spacing w:val="-8"/>
          <w:w w:val="100"/>
        </w:rPr>
        <w:t>。</w:t>
      </w:r>
      <w:r>
        <w:rPr>
          <w:w w:val="100"/>
        </w:rPr>
        <w:t>须由头颅断层扫</w:t>
      </w:r>
      <w:r>
        <w:rPr>
          <w:spacing w:val="-8"/>
          <w:w w:val="100"/>
        </w:rPr>
        <w:t>描</w:t>
      </w:r>
      <w:r>
        <w:rPr>
          <w:spacing w:val="-1"/>
          <w:w w:val="100"/>
        </w:rPr>
        <w:t>（</w:t>
      </w:r>
      <w:r>
        <w:rPr>
          <w:spacing w:val="-2"/>
          <w:w w:val="100"/>
        </w:rPr>
        <w:t>C</w:t>
      </w:r>
      <w:r>
        <w:rPr>
          <w:spacing w:val="0"/>
          <w:w w:val="100"/>
        </w:rPr>
        <w:t>T</w:t>
      </w:r>
      <w:r>
        <w:rPr>
          <w:spacing w:val="-92"/>
          <w:w w:val="100"/>
        </w:rPr>
        <w:t>）</w:t>
      </w:r>
      <w:r>
        <w:rPr>
          <w:spacing w:val="-8"/>
          <w:w w:val="100"/>
        </w:rPr>
        <w:t>、</w:t>
      </w:r>
      <w:r>
        <w:rPr>
          <w:w w:val="100"/>
        </w:rPr>
        <w:t>核磁共振检</w:t>
      </w:r>
      <w:r>
        <w:rPr>
          <w:spacing w:val="-8"/>
          <w:w w:val="100"/>
        </w:rPr>
        <w:t>查</w:t>
      </w:r>
      <w:r>
        <w:rPr>
          <w:spacing w:val="-1"/>
          <w:w w:val="100"/>
        </w:rPr>
        <w:t>（</w:t>
      </w:r>
      <w:r>
        <w:rPr>
          <w:spacing w:val="-2"/>
          <w:w w:val="100"/>
        </w:rPr>
        <w:t>M</w:t>
      </w:r>
      <w:r>
        <w:rPr>
          <w:spacing w:val="0"/>
          <w:w w:val="100"/>
        </w:rPr>
        <w:t>RI</w:t>
      </w:r>
      <w:r>
        <w:rPr>
          <w:spacing w:val="-8"/>
          <w:w w:val="100"/>
        </w:rPr>
        <w:t>）</w:t>
      </w:r>
      <w:r>
        <w:rPr>
          <w:w w:val="100"/>
        </w:rPr>
        <w:t>或正</w:t>
      </w:r>
      <w:r>
        <w:rPr>
          <w:spacing w:val="-3"/>
          <w:w w:val="100"/>
        </w:rPr>
        <w:t>电</w:t>
      </w:r>
      <w:r>
        <w:rPr>
          <w:w w:val="100"/>
        </w:rPr>
        <w:t>子发射断层扫描</w:t>
      </w:r>
    </w:p>
    <w:p>
      <w:pPr>
        <w:pStyle w:val="BodyText"/>
        <w:spacing w:line="237" w:lineRule="auto"/>
        <w:ind w:right="237"/>
      </w:pPr>
      <w:r>
        <w:rPr>
          <w:spacing w:val="-4"/>
        </w:rPr>
        <w:t>（PET）</w:t>
      </w:r>
      <w:r>
        <w:rPr>
          <w:spacing w:val="-6"/>
        </w:rPr>
        <w:t>等影像学检查证实。神经系统永久性的功能障碍，指脑损伤 </w:t>
      </w:r>
      <w:r>
        <w:rPr/>
        <w:t>180</w:t>
      </w:r>
      <w:r>
        <w:rPr>
          <w:spacing w:val="-14"/>
        </w:rPr>
        <w:t> 天后</w:t>
      </w:r>
      <w:r>
        <w:rPr>
          <w:spacing w:val="-1"/>
        </w:rPr>
        <w:t>仍遗留下列一种或一种以上障碍：</w:t>
      </w:r>
    </w:p>
    <w:p>
      <w:pPr>
        <w:pStyle w:val="BodyText"/>
        <w:spacing w:line="233" w:lineRule="exact"/>
      </w:pPr>
      <w:r>
        <w:rPr/>
        <w:t>（1）一肢或一肢以上肢体机能完全丧失；</w:t>
      </w:r>
    </w:p>
    <w:p>
      <w:pPr>
        <w:pStyle w:val="BodyText"/>
        <w:spacing w:line="234" w:lineRule="exact"/>
      </w:pPr>
      <w:r>
        <w:rPr/>
        <w:t>（2）语言能力或咀嚼吞咽能力完全丧失；</w:t>
      </w:r>
    </w:p>
    <w:p>
      <w:pPr>
        <w:pStyle w:val="BodyText"/>
        <w:spacing w:line="237" w:lineRule="auto"/>
        <w:ind w:left="2990" w:right="739" w:hanging="452"/>
      </w:pPr>
      <w:r>
        <w:rPr/>
        <w:t>（3）自主生活能力完全丧失，无法独立完成六项基本日常生活活动中的三项或三项以上。</w:t>
      </w:r>
    </w:p>
    <w:p>
      <w:pPr>
        <w:pStyle w:val="BodyText"/>
        <w:ind w:right="237" w:hanging="2439"/>
        <w:jc w:val="both"/>
      </w:pPr>
      <w:r>
        <w:rPr/>
        <w:t>15</w:t>
      </w:r>
      <w:r>
        <w:rPr>
          <w:spacing w:val="-4"/>
        </w:rPr>
        <w:t>、严重Ⅲ度烧伤       ： 指烧伤程度为Ⅲ度，且Ⅲ度烧伤的面积达到全身体表面积的 </w:t>
      </w:r>
      <w:r>
        <w:rPr/>
        <w:t>20</w:t>
      </w:r>
      <w:r>
        <w:rPr>
          <w:spacing w:val="-16"/>
        </w:rPr>
        <w:t>％或 </w:t>
      </w:r>
      <w:r>
        <w:rPr/>
        <w:t>20％以上</w:t>
      </w:r>
      <w:r>
        <w:rPr>
          <w:spacing w:val="-1"/>
        </w:rPr>
        <w:t>体表面积根据《中国新九分法》计算。</w:t>
      </w:r>
    </w:p>
    <w:p>
      <w:pPr>
        <w:pStyle w:val="BodyText"/>
        <w:spacing w:line="237" w:lineRule="auto" w:before="3"/>
        <w:ind w:right="149" w:hanging="2439"/>
        <w:jc w:val="both"/>
      </w:pPr>
      <w:r>
        <w:rPr/>
        <w:t>16</w:t>
      </w:r>
      <w:r>
        <w:rPr>
          <w:spacing w:val="-9"/>
        </w:rPr>
        <w:t>、严重原发性肺动脉高压 ： 指不明原因的肺动脉压力持续性增高，进行性发展而导致的慢性疾病，已经造</w:t>
      </w:r>
      <w:r>
        <w:rPr>
          <w:spacing w:val="-11"/>
        </w:rPr>
        <w:t>成永久不可逆性的体力活动能力受限，达到美国纽约心脏病学会心功能状态分</w:t>
      </w:r>
      <w:r>
        <w:rPr>
          <w:spacing w:val="-29"/>
        </w:rPr>
        <w:t>级 </w:t>
      </w:r>
      <w:r>
        <w:rPr/>
        <w:t>IV</w:t>
      </w:r>
      <w:r>
        <w:rPr>
          <w:spacing w:val="-10"/>
        </w:rPr>
        <w:t> 级，且静息状态下肺动脉平均压超过 </w:t>
      </w:r>
      <w:r>
        <w:rPr/>
        <w:t>30mmHg。</w:t>
      </w:r>
    </w:p>
    <w:p>
      <w:pPr>
        <w:pStyle w:val="BodyText"/>
        <w:spacing w:line="237" w:lineRule="auto"/>
        <w:ind w:right="157" w:hanging="2439"/>
        <w:jc w:val="both"/>
      </w:pPr>
      <w:r>
        <w:rPr/>
        <w:t>17</w:t>
      </w:r>
      <w:r>
        <w:rPr>
          <w:spacing w:val="-5"/>
        </w:rPr>
        <w:t>、重型再生障碍性贫血  ： 指因骨髓造血功能慢性持续性衰竭导致的贫血、中性粒细胞减少及血小板减</w:t>
      </w:r>
      <w:r>
        <w:rPr>
          <w:spacing w:val="-1"/>
        </w:rPr>
        <w:t>少。须满足下列全部条件：</w:t>
      </w:r>
    </w:p>
    <w:p>
      <w:pPr>
        <w:pStyle w:val="BodyText"/>
        <w:spacing w:line="233" w:lineRule="exact"/>
      </w:pPr>
      <w:r>
        <w:rPr/>
        <w:t>（1）骨髓穿刺检查或骨髓活检结果支持诊断；</w:t>
      </w:r>
    </w:p>
    <w:p>
      <w:pPr>
        <w:pStyle w:val="BodyText"/>
        <w:spacing w:line="234" w:lineRule="exact"/>
      </w:pPr>
      <w:r>
        <w:rPr/>
        <w:t>（2）外周血象须具备以下三项条件：</w:t>
      </w:r>
    </w:p>
    <w:p>
      <w:pPr>
        <w:pStyle w:val="ListParagraph"/>
        <w:numPr>
          <w:ilvl w:val="1"/>
          <w:numId w:val="1"/>
        </w:numPr>
        <w:tabs>
          <w:tab w:pos="3380" w:val="left" w:leader="none"/>
        </w:tabs>
        <w:spacing w:line="233" w:lineRule="exact" w:before="0" w:after="0"/>
        <w:ind w:left="3379" w:right="0" w:hanging="326"/>
        <w:jc w:val="left"/>
        <w:rPr>
          <w:sz w:val="18"/>
        </w:rPr>
      </w:pPr>
      <w:r>
        <w:rPr>
          <w:spacing w:val="-1"/>
          <w:sz w:val="18"/>
        </w:rPr>
        <w:t>中性粒细胞绝对值≤</w:t>
      </w:r>
      <w:r>
        <w:rPr>
          <w:sz w:val="18"/>
        </w:rPr>
        <w:t>0.5×10</w:t>
      </w:r>
      <w:r>
        <w:rPr>
          <w:position w:val="9"/>
          <w:sz w:val="9"/>
        </w:rPr>
        <w:t>9</w:t>
      </w:r>
      <w:r>
        <w:rPr>
          <w:sz w:val="18"/>
        </w:rPr>
        <w:t>/L；</w:t>
      </w:r>
    </w:p>
    <w:p>
      <w:pPr>
        <w:pStyle w:val="ListParagraph"/>
        <w:numPr>
          <w:ilvl w:val="1"/>
          <w:numId w:val="1"/>
        </w:numPr>
        <w:tabs>
          <w:tab w:pos="3380" w:val="left" w:leader="none"/>
        </w:tabs>
        <w:spacing w:line="233" w:lineRule="exact" w:before="0" w:after="0"/>
        <w:ind w:left="3379" w:right="0" w:hanging="326"/>
        <w:jc w:val="left"/>
        <w:rPr>
          <w:sz w:val="18"/>
        </w:rPr>
      </w:pPr>
      <w:r>
        <w:rPr>
          <w:sz w:val="18"/>
        </w:rPr>
        <w:t>网织红细胞＜1%；</w:t>
      </w:r>
    </w:p>
    <w:p>
      <w:pPr>
        <w:pStyle w:val="ListParagraph"/>
        <w:numPr>
          <w:ilvl w:val="1"/>
          <w:numId w:val="1"/>
        </w:numPr>
        <w:tabs>
          <w:tab w:pos="3380" w:val="left" w:leader="none"/>
        </w:tabs>
        <w:spacing w:line="234" w:lineRule="exact" w:before="0" w:after="0"/>
        <w:ind w:left="3379" w:right="0" w:hanging="326"/>
        <w:jc w:val="left"/>
        <w:rPr>
          <w:sz w:val="18"/>
        </w:rPr>
      </w:pPr>
      <w:r>
        <w:rPr>
          <w:spacing w:val="-1"/>
          <w:sz w:val="18"/>
        </w:rPr>
        <w:t>血小板绝对值≤</w:t>
      </w:r>
      <w:r>
        <w:rPr>
          <w:sz w:val="18"/>
        </w:rPr>
        <w:t>20×10</w:t>
      </w:r>
      <w:r>
        <w:rPr>
          <w:position w:val="9"/>
          <w:sz w:val="9"/>
        </w:rPr>
        <w:t>9</w:t>
      </w:r>
      <w:r>
        <w:rPr>
          <w:sz w:val="18"/>
        </w:rPr>
        <w:t>/L。</w:t>
      </w:r>
    </w:p>
    <w:p>
      <w:pPr>
        <w:spacing w:after="0" w:line="234" w:lineRule="exact"/>
        <w:jc w:val="left"/>
        <w:rPr>
          <w:sz w:val="18"/>
        </w:rPr>
        <w:sectPr>
          <w:footerReference w:type="default" r:id="rId7"/>
          <w:pgSz w:w="11960" w:h="16850"/>
          <w:pgMar w:footer="1001" w:header="0" w:top="1600" w:bottom="1200" w:left="1600" w:right="1580"/>
          <w:pgNumType w:start="10"/>
        </w:sectPr>
      </w:pPr>
    </w:p>
    <w:p>
      <w:pPr>
        <w:pStyle w:val="BodyText"/>
        <w:tabs>
          <w:tab w:pos="2340" w:val="left" w:leader="none"/>
        </w:tabs>
        <w:spacing w:line="237" w:lineRule="auto" w:before="76"/>
        <w:ind w:right="188" w:hanging="2439"/>
        <w:jc w:val="both"/>
      </w:pPr>
      <w:r>
        <w:rPr/>
        <w:t>18、主动脉手术</w:t>
        <w:tab/>
        <w:t>：</w:t>
      </w:r>
      <w:r>
        <w:rPr>
          <w:spacing w:val="-72"/>
        </w:rPr>
        <w:t> </w:t>
      </w:r>
      <w:r>
        <w:rPr/>
        <w:t>指为治疗主动脉疾病</w:t>
      </w:r>
      <w:r>
        <w:rPr>
          <w:spacing w:val="-15"/>
        </w:rPr>
        <w:t>，</w:t>
      </w:r>
      <w:r>
        <w:rPr/>
        <w:t>实际实施了开胸或开腹进行的切除</w:t>
      </w:r>
      <w:r>
        <w:rPr>
          <w:spacing w:val="-13"/>
        </w:rPr>
        <w:t>、</w:t>
      </w:r>
      <w:r>
        <w:rPr/>
        <w:t>置换</w:t>
      </w:r>
      <w:r>
        <w:rPr>
          <w:spacing w:val="-15"/>
        </w:rPr>
        <w:t>、</w:t>
      </w:r>
      <w:r>
        <w:rPr/>
        <w:t>修补病损主动脉血管的手术</w:t>
      </w:r>
      <w:r>
        <w:rPr>
          <w:spacing w:val="-20"/>
        </w:rPr>
        <w:t>。</w:t>
      </w:r>
      <w:r>
        <w:rPr/>
        <w:t>主动脉指胸主动脉和腹主动脉</w:t>
      </w:r>
      <w:r>
        <w:rPr>
          <w:spacing w:val="-20"/>
        </w:rPr>
        <w:t>，</w:t>
      </w:r>
      <w:r>
        <w:rPr/>
        <w:t>不包括胸主动脉和腹主动脉</w:t>
      </w:r>
      <w:r>
        <w:rPr>
          <w:spacing w:val="-1"/>
        </w:rPr>
        <w:t>的</w:t>
      </w:r>
      <w:r>
        <w:rPr/>
        <w:t>分支血管。</w:t>
      </w:r>
    </w:p>
    <w:p>
      <w:pPr>
        <w:pStyle w:val="BodyText"/>
        <w:spacing w:line="234" w:lineRule="exact"/>
      </w:pPr>
      <w:r>
        <w:rPr/>
        <w:t>动脉内血管成形术不在保障范围内。</w:t>
      </w:r>
    </w:p>
    <w:p>
      <w:pPr>
        <w:pStyle w:val="BodyText"/>
        <w:spacing w:line="237" w:lineRule="auto" w:before="1"/>
        <w:ind w:left="101" w:right="248"/>
      </w:pPr>
      <w:r>
        <w:rPr/>
        <w:t>以上重大疾病使用的定义为由中国保险行业协会所制定的统一的疾病定义，而以下疾病定义是我们在参考国内外重大疾病保险发展状况并结合现代医学进展情况的基础上所制定的。</w:t>
      </w:r>
    </w:p>
    <w:p>
      <w:pPr>
        <w:pStyle w:val="BodyText"/>
        <w:spacing w:line="233" w:lineRule="exact"/>
        <w:ind w:left="101"/>
      </w:pPr>
      <w:r>
        <w:rPr/>
        <w:t>19</w:t>
      </w:r>
      <w:r>
        <w:rPr>
          <w:spacing w:val="-11"/>
        </w:rPr>
        <w:t>、全身型幼年类风湿性关 ： 指小儿及青少年时期的一种全身结缔组织病。可表现为驰张热、皮疹、关节炎、</w:t>
      </w:r>
    </w:p>
    <w:p>
      <w:pPr>
        <w:spacing w:after="0" w:line="233" w:lineRule="exact"/>
        <w:sectPr>
          <w:pgSz w:w="11960" w:h="16850"/>
          <w:pgMar w:header="0" w:footer="1001" w:top="1600" w:bottom="1200" w:left="1600" w:right="1540"/>
        </w:sectPr>
      </w:pPr>
    </w:p>
    <w:p>
      <w:pPr>
        <w:pStyle w:val="BodyText"/>
        <w:spacing w:line="235" w:lineRule="exact"/>
        <w:ind w:left="101"/>
      </w:pPr>
      <w:r>
        <w:rPr/>
        <w:t>节炎（斯蒂尔氏病）</w:t>
      </w:r>
    </w:p>
    <w:p>
      <w:pPr>
        <w:pStyle w:val="BodyText"/>
        <w:spacing w:line="237" w:lineRule="auto" w:before="2"/>
        <w:ind w:left="101" w:right="150"/>
        <w:jc w:val="both"/>
      </w:pPr>
      <w:r>
        <w:rPr/>
        <w:br w:type="column"/>
      </w:r>
      <w:r>
        <w:rPr>
          <w:spacing w:val="-6"/>
        </w:rPr>
        <w:t>脾肿大、淋巴结肿大、浆膜炎、体重减轻、中性粒细胞增多等，全身症状可以先于关节炎出现。本病须经我们认可的儿科类风湿病专家出具医学诊断证明， </w:t>
      </w:r>
      <w:r>
        <w:rPr>
          <w:spacing w:val="-10"/>
        </w:rPr>
        <w:t>保障仅限于症状持续 </w:t>
      </w:r>
      <w:r>
        <w:rPr/>
        <w:t>6</w:t>
      </w:r>
      <w:r>
        <w:rPr>
          <w:spacing w:val="-10"/>
        </w:rPr>
        <w:t> 个月以上，并因病情严重在医生的建议下已接受以治疗</w:t>
      </w:r>
      <w:r>
        <w:rPr>
          <w:spacing w:val="-1"/>
        </w:rPr>
        <w:t>为目的的膝或髋关节的置换手术。其他类型的儿童类风湿性关节炎除外。</w:t>
      </w:r>
    </w:p>
    <w:p>
      <w:pPr>
        <w:spacing w:after="0" w:line="237" w:lineRule="auto"/>
        <w:jc w:val="both"/>
        <w:sectPr>
          <w:type w:val="continuous"/>
          <w:pgSz w:w="11960" w:h="16850"/>
          <w:pgMar w:top="280" w:bottom="1200" w:left="1600" w:right="1540"/>
          <w:cols w:num="2" w:equalWidth="0">
            <w:col w:w="1722" w:space="716"/>
            <w:col w:w="6382"/>
          </w:cols>
        </w:sectPr>
      </w:pPr>
    </w:p>
    <w:p>
      <w:pPr>
        <w:pStyle w:val="BodyText"/>
        <w:tabs>
          <w:tab w:pos="2340" w:val="left" w:leader="none"/>
        </w:tabs>
        <w:spacing w:line="237" w:lineRule="auto" w:before="2"/>
        <w:ind w:right="191" w:hanging="2439"/>
      </w:pPr>
      <w:r>
        <w:rPr/>
        <w:t>20、颅脑手术</w:t>
        <w:tab/>
        <w:t>：</w:t>
      </w:r>
      <w:r>
        <w:rPr>
          <w:spacing w:val="-72"/>
        </w:rPr>
        <w:t> </w:t>
      </w:r>
      <w:r>
        <w:rPr/>
        <w:t>指被保险人确已实施全麻下的开颅手</w:t>
      </w:r>
      <w:r>
        <w:rPr>
          <w:spacing w:val="-42"/>
        </w:rPr>
        <w:t>术</w:t>
      </w:r>
      <w:r>
        <w:rPr/>
        <w:t>（不包括颅骨钻孔手术和经鼻蝶窦入颅</w:t>
      </w:r>
      <w:r>
        <w:rPr>
          <w:spacing w:val="-1"/>
        </w:rPr>
        <w:t>手</w:t>
      </w:r>
      <w:r>
        <w:rPr/>
        <w:t>术</w:t>
      </w:r>
      <w:r>
        <w:rPr>
          <w:spacing w:val="-92"/>
        </w:rPr>
        <w:t>）</w:t>
      </w:r>
      <w:r>
        <w:rPr/>
        <w:t>。</w:t>
      </w:r>
    </w:p>
    <w:p>
      <w:pPr>
        <w:pStyle w:val="BodyText"/>
        <w:spacing w:line="237" w:lineRule="auto"/>
        <w:ind w:right="135"/>
      </w:pPr>
      <w:r>
        <w:rPr/>
        <w:t>因外伤而实施的脑外科手术不在保障范围之内。理赔时必须提供由神经外科医生出具的诊断书及手术报告。</w:t>
      </w:r>
    </w:p>
    <w:p>
      <w:pPr>
        <w:pStyle w:val="BodyText"/>
        <w:spacing w:line="235" w:lineRule="exact"/>
        <w:ind w:left="101"/>
      </w:pPr>
      <w:r>
        <w:rPr/>
        <w:t>21、胰岛素依赖型糖尿病（I： 指由于胰岛素分泌绝对不足引起的慢性糖、脂肪、蛋白质代谢异常，须由我们</w:t>
      </w:r>
    </w:p>
    <w:p>
      <w:pPr>
        <w:pStyle w:val="BodyText"/>
        <w:tabs>
          <w:tab w:pos="2539" w:val="left" w:leader="none"/>
        </w:tabs>
        <w:spacing w:line="232" w:lineRule="exact"/>
        <w:ind w:left="101"/>
      </w:pPr>
      <w:r>
        <w:rPr/>
        <w:t>型糖尿病）</w:t>
        <w:tab/>
      </w:r>
      <w:r>
        <w:rPr>
          <w:spacing w:val="-1"/>
        </w:rPr>
        <w:t>认可的专科</w:t>
      </w:r>
      <w:r>
        <w:rPr/>
        <w:t>医生作出诊断，并持续性的胰岛素治疗６个月以上。</w:t>
      </w:r>
    </w:p>
    <w:p>
      <w:pPr>
        <w:pStyle w:val="BodyText"/>
        <w:spacing w:line="233" w:lineRule="exact"/>
        <w:ind w:left="101"/>
      </w:pPr>
      <w:r>
        <w:rPr/>
        <w:t>22、经输血导致的艾滋病病 ：被保险人感染上人类免疫缺陷病毒（HIV）并且符合下列所有条件：</w:t>
      </w:r>
    </w:p>
    <w:p>
      <w:pPr>
        <w:spacing w:after="0" w:line="233" w:lineRule="exact"/>
        <w:sectPr>
          <w:type w:val="continuous"/>
          <w:pgSz w:w="11960" w:h="16850"/>
          <w:pgMar w:top="280" w:bottom="1200" w:left="1600" w:right="1540"/>
        </w:sectPr>
      </w:pPr>
    </w:p>
    <w:p>
      <w:pPr>
        <w:pStyle w:val="BodyText"/>
        <w:spacing w:line="235" w:lineRule="exact"/>
        <w:ind w:left="101"/>
      </w:pPr>
      <w:r>
        <w:rPr/>
        <w:t>毒感染</w:t>
      </w:r>
    </w:p>
    <w:p>
      <w:pPr>
        <w:pStyle w:val="ListParagraph"/>
        <w:numPr>
          <w:ilvl w:val="0"/>
          <w:numId w:val="2"/>
        </w:numPr>
        <w:tabs>
          <w:tab w:pos="522" w:val="left" w:leader="none"/>
        </w:tabs>
        <w:spacing w:line="237" w:lineRule="auto" w:before="2" w:after="0"/>
        <w:ind w:left="521" w:right="191" w:hanging="420"/>
        <w:jc w:val="left"/>
        <w:rPr>
          <w:sz w:val="18"/>
        </w:rPr>
      </w:pPr>
      <w:r>
        <w:rPr>
          <w:w w:val="100"/>
          <w:sz w:val="18"/>
        </w:rPr>
        <w:br w:type="column"/>
      </w:r>
      <w:r>
        <w:rPr>
          <w:spacing w:val="-5"/>
          <w:sz w:val="18"/>
        </w:rPr>
        <w:t>在保障起始日或复效日之后，被保险人因治疗必需而接受输血，并且因输</w:t>
      </w:r>
      <w:r>
        <w:rPr>
          <w:spacing w:val="-13"/>
          <w:sz w:val="18"/>
        </w:rPr>
        <w:t>血而感染 </w:t>
      </w:r>
      <w:r>
        <w:rPr>
          <w:sz w:val="18"/>
        </w:rPr>
        <w:t>HIV；</w:t>
      </w:r>
    </w:p>
    <w:p>
      <w:pPr>
        <w:pStyle w:val="ListParagraph"/>
        <w:numPr>
          <w:ilvl w:val="0"/>
          <w:numId w:val="2"/>
        </w:numPr>
        <w:tabs>
          <w:tab w:pos="522" w:val="left" w:leader="none"/>
        </w:tabs>
        <w:spacing w:line="237" w:lineRule="auto" w:before="0" w:after="0"/>
        <w:ind w:left="521" w:right="196" w:hanging="420"/>
        <w:jc w:val="left"/>
        <w:rPr>
          <w:sz w:val="18"/>
        </w:rPr>
      </w:pPr>
      <w:r>
        <w:rPr>
          <w:sz w:val="18"/>
        </w:rPr>
        <w:t>提供输血治疗的输血中心或医院出具该项输血感染属医疗责任事故的报</w:t>
      </w:r>
      <w:r>
        <w:rPr>
          <w:spacing w:val="-1"/>
          <w:sz w:val="18"/>
        </w:rPr>
        <w:t>告，或者法院终审判决为医疗责任；</w:t>
      </w:r>
    </w:p>
    <w:p>
      <w:pPr>
        <w:pStyle w:val="ListParagraph"/>
        <w:numPr>
          <w:ilvl w:val="0"/>
          <w:numId w:val="2"/>
        </w:numPr>
        <w:tabs>
          <w:tab w:pos="522" w:val="left" w:leader="none"/>
        </w:tabs>
        <w:spacing w:line="234" w:lineRule="exact" w:before="0" w:after="0"/>
        <w:ind w:left="521" w:right="0" w:hanging="420"/>
        <w:jc w:val="left"/>
        <w:rPr>
          <w:sz w:val="18"/>
        </w:rPr>
      </w:pPr>
      <w:r>
        <w:rPr>
          <w:spacing w:val="-1"/>
          <w:sz w:val="18"/>
        </w:rPr>
        <w:t>提供输血治疗的输血中心或医院必须拥有合法经营执照；</w:t>
      </w:r>
    </w:p>
    <w:p>
      <w:pPr>
        <w:pStyle w:val="ListParagraph"/>
        <w:numPr>
          <w:ilvl w:val="0"/>
          <w:numId w:val="2"/>
        </w:numPr>
        <w:tabs>
          <w:tab w:pos="522" w:val="left" w:leader="none"/>
        </w:tabs>
        <w:spacing w:line="233" w:lineRule="exact" w:before="0" w:after="0"/>
        <w:ind w:left="521" w:right="0" w:hanging="420"/>
        <w:jc w:val="left"/>
        <w:rPr>
          <w:sz w:val="18"/>
        </w:rPr>
      </w:pPr>
      <w:r>
        <w:rPr>
          <w:spacing w:val="-1"/>
          <w:sz w:val="18"/>
        </w:rPr>
        <w:t>受感染的被保险人不是血友病患者；</w:t>
      </w:r>
    </w:p>
    <w:p>
      <w:pPr>
        <w:pStyle w:val="ListParagraph"/>
        <w:numPr>
          <w:ilvl w:val="0"/>
          <w:numId w:val="2"/>
        </w:numPr>
        <w:tabs>
          <w:tab w:pos="522" w:val="left" w:leader="none"/>
        </w:tabs>
        <w:spacing w:line="237" w:lineRule="auto" w:before="1" w:after="0"/>
        <w:ind w:left="521" w:right="186" w:hanging="420"/>
        <w:jc w:val="left"/>
        <w:rPr>
          <w:sz w:val="18"/>
        </w:rPr>
      </w:pPr>
      <w:r>
        <w:rPr>
          <w:spacing w:val="-3"/>
          <w:sz w:val="18"/>
        </w:rPr>
        <w:t>任何因其他传播方式</w:t>
      </w:r>
      <w:r>
        <w:rPr>
          <w:sz w:val="18"/>
        </w:rPr>
        <w:t>（</w:t>
      </w:r>
      <w:r>
        <w:rPr>
          <w:spacing w:val="-5"/>
          <w:sz w:val="18"/>
        </w:rPr>
        <w:t>包括：性传播或静脉注射毒品</w:t>
      </w:r>
      <w:r>
        <w:rPr>
          <w:spacing w:val="-25"/>
          <w:sz w:val="18"/>
        </w:rPr>
        <w:t>）</w:t>
      </w:r>
      <w:r>
        <w:rPr>
          <w:spacing w:val="-12"/>
          <w:sz w:val="18"/>
        </w:rPr>
        <w:t>导致的 </w:t>
      </w:r>
      <w:r>
        <w:rPr>
          <w:sz w:val="18"/>
        </w:rPr>
        <w:t>HIV</w:t>
      </w:r>
      <w:r>
        <w:rPr>
          <w:spacing w:val="-12"/>
          <w:sz w:val="18"/>
        </w:rPr>
        <w:t> 感染不</w:t>
      </w:r>
      <w:r>
        <w:rPr>
          <w:spacing w:val="-1"/>
          <w:sz w:val="18"/>
        </w:rPr>
        <w:t>在本保单保障范围内。</w:t>
      </w:r>
    </w:p>
    <w:p>
      <w:pPr>
        <w:spacing w:after="0" w:line="237" w:lineRule="auto"/>
        <w:jc w:val="left"/>
        <w:rPr>
          <w:sz w:val="18"/>
        </w:rPr>
        <w:sectPr>
          <w:type w:val="continuous"/>
          <w:pgSz w:w="11960" w:h="16850"/>
          <w:pgMar w:top="280" w:bottom="1200" w:left="1600" w:right="1540"/>
          <w:cols w:num="2" w:equalWidth="0">
            <w:col w:w="642" w:space="1772"/>
            <w:col w:w="6406"/>
          </w:cols>
        </w:sectPr>
      </w:pPr>
    </w:p>
    <w:p>
      <w:pPr>
        <w:pStyle w:val="BodyText"/>
        <w:tabs>
          <w:tab w:pos="2350" w:val="left" w:leader="none"/>
        </w:tabs>
        <w:spacing w:line="237" w:lineRule="auto" w:before="1"/>
        <w:ind w:right="189" w:hanging="2439"/>
        <w:jc w:val="both"/>
      </w:pPr>
      <w:r>
        <w:rPr/>
        <w:t>23、严重胃肠炎</w:t>
        <w:tab/>
      </w:r>
      <w:r>
        <w:rPr>
          <w:spacing w:val="6"/>
        </w:rPr>
        <w:t>：</w:t>
      </w:r>
      <w:r>
        <w:rPr/>
        <w:t>指以严重的腹泻</w:t>
      </w:r>
      <w:r>
        <w:rPr>
          <w:spacing w:val="-20"/>
        </w:rPr>
        <w:t>、</w:t>
      </w:r>
      <w:r>
        <w:rPr/>
        <w:t>便血和肠段坏死为特征的胃肠道严重感染</w:t>
      </w:r>
      <w:r>
        <w:rPr>
          <w:spacing w:val="-20"/>
        </w:rPr>
        <w:t>。</w:t>
      </w:r>
      <w:r>
        <w:rPr/>
        <w:t>大肠或小肠的一</w:t>
      </w:r>
      <w:r>
        <w:rPr>
          <w:spacing w:val="-1"/>
        </w:rPr>
        <w:t>处或多</w:t>
      </w:r>
      <w:r>
        <w:rPr/>
        <w:t>处需手术切除，且经病理检查证实存在严重感染和坏死。</w:t>
      </w:r>
    </w:p>
    <w:p>
      <w:pPr>
        <w:pStyle w:val="BodyText"/>
        <w:tabs>
          <w:tab w:pos="2350" w:val="left" w:leader="none"/>
        </w:tabs>
        <w:spacing w:line="237" w:lineRule="auto"/>
        <w:ind w:right="189" w:hanging="2439"/>
        <w:jc w:val="both"/>
      </w:pPr>
      <w:r>
        <w:rPr/>
        <w:t>24、严重心肌炎</w:t>
        <w:tab/>
      </w:r>
      <w:r>
        <w:rPr>
          <w:spacing w:val="6"/>
        </w:rPr>
        <w:t>：</w:t>
      </w:r>
      <w:r>
        <w:rPr/>
        <w:t>指心肌局限性或弥漫性的急性或慢性炎症病变</w:t>
      </w:r>
      <w:r>
        <w:rPr>
          <w:spacing w:val="-20"/>
        </w:rPr>
        <w:t>，</w:t>
      </w:r>
      <w:r>
        <w:rPr/>
        <w:t>导致心脏功能障碍</w:t>
      </w:r>
      <w:r>
        <w:rPr>
          <w:spacing w:val="-20"/>
        </w:rPr>
        <w:t>，</w:t>
      </w:r>
      <w:r>
        <w:rPr/>
        <w:t>达到美国纽约心脏病学会心功能状态分级</w:t>
      </w:r>
      <w:r>
        <w:rPr>
          <w:spacing w:val="-46"/>
        </w:rPr>
        <w:t> </w:t>
      </w:r>
      <w:r>
        <w:rPr/>
        <w:t>IV</w:t>
      </w:r>
      <w:r>
        <w:rPr>
          <w:spacing w:val="-45"/>
        </w:rPr>
        <w:t> </w:t>
      </w:r>
      <w:r>
        <w:rPr/>
        <w:t>级，且持续</w:t>
      </w:r>
      <w:r>
        <w:rPr>
          <w:spacing w:val="-3"/>
        </w:rPr>
        <w:t>至</w:t>
      </w:r>
      <w:r>
        <w:rPr/>
        <w:t>少</w:t>
      </w:r>
      <w:r>
        <w:rPr>
          <w:spacing w:val="-46"/>
        </w:rPr>
        <w:t> </w:t>
      </w:r>
      <w:r>
        <w:rPr/>
        <w:t>180</w:t>
      </w:r>
      <w:r>
        <w:rPr>
          <w:spacing w:val="-45"/>
        </w:rPr>
        <w:t> </w:t>
      </w:r>
      <w:r>
        <w:rPr/>
        <w:t>天。</w:t>
      </w:r>
    </w:p>
    <w:p>
      <w:pPr>
        <w:pStyle w:val="BodyText"/>
        <w:tabs>
          <w:tab w:pos="2350" w:val="left" w:leader="none"/>
        </w:tabs>
        <w:spacing w:line="237" w:lineRule="auto" w:before="3"/>
        <w:ind w:right="100" w:hanging="2439"/>
        <w:jc w:val="both"/>
      </w:pPr>
      <w:r>
        <w:rPr/>
        <w:t>25、川崎病</w:t>
        <w:tab/>
      </w:r>
      <w:r>
        <w:rPr>
          <w:spacing w:val="6"/>
        </w:rPr>
        <w:t>：</w:t>
      </w:r>
      <w:r>
        <w:rPr/>
        <w:t>指一种以损伤冠状动脉血管为主的系统性血管炎</w:t>
      </w:r>
      <w:r>
        <w:rPr>
          <w:spacing w:val="-20"/>
        </w:rPr>
        <w:t>。</w:t>
      </w:r>
      <w:r>
        <w:rPr/>
        <w:t>其特点是贫血</w:t>
      </w:r>
      <w:r>
        <w:rPr>
          <w:spacing w:val="-20"/>
        </w:rPr>
        <w:t>、</w:t>
      </w:r>
      <w:r>
        <w:rPr/>
        <w:t>白细胞计数及红细胞沉降率升高</w:t>
      </w:r>
      <w:r>
        <w:rPr>
          <w:spacing w:val="-20"/>
        </w:rPr>
        <w:t>、</w:t>
      </w:r>
      <w:r>
        <w:rPr/>
        <w:t>或出现血小板增多症</w:t>
      </w:r>
      <w:r>
        <w:rPr>
          <w:spacing w:val="-20"/>
        </w:rPr>
        <w:t>。</w:t>
      </w:r>
      <w:r>
        <w:rPr/>
        <w:t>只有经过血管造影或超声心动图检查证实</w:t>
      </w:r>
      <w:r>
        <w:rPr>
          <w:spacing w:val="-65"/>
        </w:rPr>
        <w:t>，</w:t>
      </w:r>
      <w:r>
        <w:rPr/>
        <w:t>自发病起</w:t>
      </w:r>
      <w:r>
        <w:rPr>
          <w:spacing w:val="-47"/>
        </w:rPr>
        <w:t> </w:t>
      </w:r>
      <w:r>
        <w:rPr/>
        <w:t>180</w:t>
      </w:r>
      <w:r>
        <w:rPr>
          <w:spacing w:val="-46"/>
        </w:rPr>
        <w:t> </w:t>
      </w:r>
      <w:r>
        <w:rPr/>
        <w:t>天后</w:t>
      </w:r>
      <w:r>
        <w:rPr>
          <w:spacing w:val="-3"/>
        </w:rPr>
        <w:t>仍</w:t>
      </w:r>
      <w:r>
        <w:rPr/>
        <w:t>存在明显的冠状动脉瘤的情况</w:t>
      </w:r>
      <w:r>
        <w:rPr>
          <w:spacing w:val="-65"/>
        </w:rPr>
        <w:t>，</w:t>
      </w:r>
      <w:r>
        <w:rPr/>
        <w:t>才能得到理赔。</w:t>
      </w:r>
    </w:p>
    <w:p>
      <w:pPr>
        <w:pStyle w:val="BodyText"/>
        <w:tabs>
          <w:tab w:pos="2350" w:val="left" w:leader="none"/>
        </w:tabs>
        <w:spacing w:line="237" w:lineRule="auto" w:before="2"/>
        <w:ind w:right="191" w:hanging="2439"/>
        <w:jc w:val="both"/>
      </w:pPr>
      <w:r>
        <w:rPr/>
        <w:t>26、植物人状态</w:t>
        <w:tab/>
      </w:r>
      <w:r>
        <w:rPr>
          <w:spacing w:val="7"/>
        </w:rPr>
        <w:t>：</w:t>
      </w:r>
      <w:r>
        <w:rPr/>
        <w:t>指经神经科医生确诊，CT、MRI</w:t>
      </w:r>
      <w:r>
        <w:rPr>
          <w:spacing w:val="-44"/>
        </w:rPr>
        <w:t> </w:t>
      </w:r>
      <w:r>
        <w:rPr/>
        <w:t>等证实大脑皮质全面坏死</w:t>
      </w:r>
      <w:r>
        <w:rPr>
          <w:spacing w:val="-3"/>
        </w:rPr>
        <w:t>。</w:t>
      </w:r>
      <w:r>
        <w:rPr/>
        <w:t>患者临床表现意识</w:t>
      </w:r>
      <w:r>
        <w:rPr>
          <w:spacing w:val="-1"/>
        </w:rPr>
        <w:t>完全丧失，</w:t>
      </w:r>
      <w:r>
        <w:rPr/>
        <w:t>但脑干功能仍保持完好，且此情况持续一个月或一个月以上。</w:t>
      </w:r>
    </w:p>
    <w:p>
      <w:pPr>
        <w:pStyle w:val="BodyText"/>
        <w:tabs>
          <w:tab w:pos="2350" w:val="left" w:leader="none"/>
        </w:tabs>
        <w:spacing w:line="237" w:lineRule="auto"/>
        <w:ind w:right="150" w:hanging="2439"/>
        <w:jc w:val="both"/>
      </w:pPr>
      <w:r>
        <w:rPr/>
        <w:t>27、严重哮喘</w:t>
        <w:tab/>
      </w:r>
      <w:r>
        <w:rPr>
          <w:spacing w:val="5"/>
        </w:rPr>
        <w:t>：</w:t>
      </w:r>
      <w:r>
        <w:rPr/>
        <w:t>指一种反复发作的严重支气管阻塞性疾病，经我们认可的儿科专科医生确诊，</w:t>
      </w:r>
      <w:r>
        <w:rPr>
          <w:spacing w:val="-1"/>
        </w:rPr>
        <w:t>且</w:t>
      </w:r>
      <w:r>
        <w:rPr/>
        <w:t>必须同时符合下列标准：</w:t>
      </w:r>
    </w:p>
    <w:p>
      <w:pPr>
        <w:pStyle w:val="BodyText"/>
        <w:spacing w:line="234" w:lineRule="exact"/>
      </w:pPr>
      <w:r>
        <w:rPr/>
        <w:t>(1） 过去两年中曾因哮喘持续状态住院治疗，并提供完整住院记录；</w:t>
      </w:r>
    </w:p>
    <w:p>
      <w:pPr>
        <w:pStyle w:val="BodyText"/>
        <w:spacing w:line="233" w:lineRule="exact"/>
      </w:pPr>
      <w:r>
        <w:rPr/>
        <w:t>(2） 身体活动耐受能力显著且持续下降；</w:t>
      </w:r>
    </w:p>
    <w:p>
      <w:pPr>
        <w:pStyle w:val="BodyText"/>
        <w:spacing w:line="233" w:lineRule="exact"/>
      </w:pPr>
      <w:r>
        <w:rPr/>
        <w:t>(3） 因慢性过度换气导致胸廓畸形；</w:t>
      </w:r>
    </w:p>
    <w:p>
      <w:pPr>
        <w:pStyle w:val="BodyText"/>
        <w:spacing w:line="234" w:lineRule="exact"/>
      </w:pPr>
      <w:r>
        <w:rPr/>
        <w:t>(4） 在家中需要医生处方的氧气治疗法；</w:t>
      </w:r>
    </w:p>
    <w:p>
      <w:pPr>
        <w:pStyle w:val="BodyText"/>
        <w:spacing w:line="234" w:lineRule="exact"/>
      </w:pPr>
      <w:r>
        <w:rPr/>
        <w:t>(5） 持续日常服用口服类固醇激素治疗持续至少六个月。</w:t>
      </w:r>
    </w:p>
    <w:p>
      <w:pPr>
        <w:pStyle w:val="BodyText"/>
        <w:spacing w:line="237" w:lineRule="auto"/>
        <w:ind w:right="189" w:hanging="2439"/>
        <w:jc w:val="both"/>
      </w:pPr>
      <w:r>
        <w:rPr/>
        <w:t>28、急性脊髓灰质炎      ：指由于急性脊髓灰质炎病毒感染所导致的运动功能障碍或呼吸功能减弱的瘫</w:t>
      </w:r>
      <w:r>
        <w:rPr>
          <w:spacing w:val="-7"/>
        </w:rPr>
        <w:t>痪性疾病。诊断必须由我们认可的神经科专科医生确诊并提供相关的脊髓灰质炎病毒感染的证据（例如：脑脊液检查或血清学抗体检查报告</w:t>
      </w:r>
      <w:r>
        <w:rPr>
          <w:spacing w:val="-89"/>
        </w:rPr>
        <w:t>）</w:t>
      </w:r>
      <w:r>
        <w:rPr/>
        <w:t>。未导致肢体</w:t>
      </w:r>
      <w:r>
        <w:rPr>
          <w:spacing w:val="-4"/>
        </w:rPr>
        <w:t>瘫痪及其它病因所致的瘫痪，例如格林一巴利综合症(急性感染性多神经炎)则</w:t>
      </w:r>
      <w:r>
        <w:rPr>
          <w:spacing w:val="-1"/>
        </w:rPr>
        <w:t>不在此保障范围以内。</w:t>
      </w:r>
    </w:p>
    <w:p>
      <w:pPr>
        <w:pStyle w:val="Heading1"/>
        <w:spacing w:line="232" w:lineRule="exact"/>
      </w:pPr>
      <w:r>
        <w:rPr>
          <w:w w:val="95"/>
        </w:rPr>
        <w:t>附表二：成人重大疾病列表</w:t>
      </w:r>
    </w:p>
    <w:p>
      <w:pPr>
        <w:pStyle w:val="BodyText"/>
        <w:spacing w:line="237" w:lineRule="auto" w:before="2"/>
        <w:ind w:left="101" w:right="969"/>
      </w:pPr>
      <w:r>
        <w:rPr/>
        <w:t>重大疾病是指下列任何一种疾病，被保险人发生符合以下疾病定义所述条件的疾病，应当由专科医生明确诊断。</w:t>
      </w:r>
    </w:p>
    <w:p>
      <w:pPr>
        <w:spacing w:after="0" w:line="237" w:lineRule="auto"/>
        <w:sectPr>
          <w:type w:val="continuous"/>
          <w:pgSz w:w="11960" w:h="16850"/>
          <w:pgMar w:top="280" w:bottom="1200" w:left="1600" w:right="1540"/>
        </w:sectPr>
      </w:pPr>
    </w:p>
    <w:p>
      <w:pPr>
        <w:pStyle w:val="BodyText"/>
        <w:tabs>
          <w:tab w:pos="2340" w:val="left" w:leader="none"/>
        </w:tabs>
        <w:spacing w:line="237" w:lineRule="auto" w:before="76"/>
        <w:ind w:right="100" w:hanging="2439"/>
        <w:jc w:val="both"/>
      </w:pPr>
      <w:r>
        <w:rPr/>
        <w:t>1、恶性肿瘤</w:t>
        <w:tab/>
        <w:t>：</w:t>
      </w:r>
      <w:r>
        <w:rPr>
          <w:spacing w:val="-73"/>
        </w:rPr>
        <w:t> </w:t>
      </w:r>
      <w:r>
        <w:rPr/>
        <w:t>指恶性细胞不受控制的进行性增长和扩散</w:t>
      </w:r>
      <w:r>
        <w:rPr>
          <w:spacing w:val="-20"/>
        </w:rPr>
        <w:t>，</w:t>
      </w:r>
      <w:r>
        <w:rPr/>
        <w:t>浸润和破坏周围正常组织</w:t>
      </w:r>
      <w:r>
        <w:rPr>
          <w:spacing w:val="-20"/>
        </w:rPr>
        <w:t>，</w:t>
      </w:r>
      <w:r>
        <w:rPr/>
        <w:t>可以经血管</w:t>
      </w:r>
      <w:r>
        <w:rPr>
          <w:spacing w:val="-20"/>
        </w:rPr>
        <w:t>、</w:t>
      </w:r>
      <w:r>
        <w:rPr/>
        <w:t>淋巴管和体腔扩散转移到身体其它部位的疾病</w:t>
      </w:r>
      <w:r>
        <w:rPr>
          <w:spacing w:val="-20"/>
        </w:rPr>
        <w:t>。</w:t>
      </w:r>
      <w:r>
        <w:rPr/>
        <w:t>经病理学检查结果明确</w:t>
      </w:r>
      <w:r>
        <w:rPr>
          <w:spacing w:val="5"/>
        </w:rPr>
        <w:t>诊断，临床诊断</w:t>
      </w:r>
      <w:r>
        <w:rPr/>
        <w:t>属</w:t>
      </w:r>
      <w:r>
        <w:rPr>
          <w:spacing w:val="5"/>
        </w:rPr>
        <w:t>于世界卫生组</w:t>
      </w:r>
      <w:r>
        <w:rPr>
          <w:spacing w:val="15"/>
        </w:rPr>
        <w:t>织</w:t>
      </w:r>
      <w:r>
        <w:rPr>
          <w:spacing w:val="5"/>
        </w:rPr>
        <w:t>《疾病和有关健康问题的国际统计分</w:t>
      </w:r>
      <w:r>
        <w:rPr>
          <w:spacing w:val="7"/>
        </w:rPr>
        <w:t>类</w:t>
      </w:r>
      <w:r>
        <w:rPr/>
        <w:t>》</w:t>
      </w:r>
    </w:p>
    <w:p>
      <w:pPr>
        <w:pStyle w:val="BodyText"/>
        <w:spacing w:line="237" w:lineRule="auto" w:before="2"/>
        <w:ind w:right="3928"/>
      </w:pPr>
      <w:r>
        <w:rPr/>
        <w:t>（ICD-10）的恶性肿瘤范畴。下列疾病不在保障范围内：</w:t>
      </w:r>
    </w:p>
    <w:p>
      <w:pPr>
        <w:pStyle w:val="BodyText"/>
        <w:spacing w:line="231" w:lineRule="exact"/>
      </w:pPr>
      <w:r>
        <w:rPr/>
        <w:t>（1）原位癌；</w:t>
      </w:r>
    </w:p>
    <w:p>
      <w:pPr>
        <w:pStyle w:val="BodyText"/>
        <w:spacing w:line="234" w:lineRule="exact"/>
      </w:pPr>
      <w:r>
        <w:rPr/>
        <w:t>（2）相当于 Binet 分期方案 A 期程度的慢性淋巴细胞白血病；</w:t>
      </w:r>
    </w:p>
    <w:p>
      <w:pPr>
        <w:pStyle w:val="BodyText"/>
        <w:spacing w:line="234" w:lineRule="exact"/>
      </w:pPr>
      <w:r>
        <w:rPr/>
        <w:t>（3）相当于 Ann Arbor 分期方案 I 期程度的何杰金氏病；</w:t>
      </w:r>
    </w:p>
    <w:p>
      <w:pPr>
        <w:pStyle w:val="BodyText"/>
        <w:spacing w:line="233" w:lineRule="exact"/>
      </w:pPr>
      <w:r>
        <w:rPr>
          <w:spacing w:val="-1"/>
          <w:w w:val="100"/>
        </w:rPr>
        <w:t>（</w:t>
      </w:r>
      <w:r>
        <w:rPr>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3" w:lineRule="exact"/>
      </w:pPr>
      <w:r>
        <w:rPr/>
        <w:t>（5）TNM 分期为 T1N0M0 期或更轻分期的前列腺癌；</w:t>
      </w:r>
    </w:p>
    <w:p>
      <w:pPr>
        <w:pStyle w:val="BodyText"/>
        <w:spacing w:line="234" w:lineRule="exact"/>
      </w:pPr>
      <w:r>
        <w:rPr/>
        <w:t>（6）感染艾滋病病毒或患艾滋病期间所患恶性肿瘤。</w:t>
      </w:r>
    </w:p>
    <w:p>
      <w:pPr>
        <w:pStyle w:val="BodyText"/>
        <w:spacing w:line="237" w:lineRule="auto" w:before="2"/>
        <w:ind w:right="191" w:hanging="2439"/>
        <w:jc w:val="both"/>
      </w:pPr>
      <w:r>
        <w:rPr/>
        <w:t>2、急性心肌梗塞        ： 指因冠状动脉阻塞导致的相应区域供血不足造成部分心肌坏死。须满足下列至少三项条件：</w:t>
      </w:r>
    </w:p>
    <w:p>
      <w:pPr>
        <w:pStyle w:val="ListParagraph"/>
        <w:numPr>
          <w:ilvl w:val="0"/>
          <w:numId w:val="3"/>
        </w:numPr>
        <w:tabs>
          <w:tab w:pos="2960" w:val="left" w:leader="none"/>
        </w:tabs>
        <w:spacing w:line="231" w:lineRule="exact" w:before="0" w:after="0"/>
        <w:ind w:left="2998" w:right="0" w:hanging="420"/>
        <w:jc w:val="left"/>
        <w:rPr>
          <w:sz w:val="18"/>
        </w:rPr>
      </w:pPr>
      <w:r>
        <w:rPr>
          <w:spacing w:val="-1"/>
          <w:sz w:val="18"/>
        </w:rPr>
        <w:t>典型临床表现，例如急性胸痛等；</w:t>
      </w:r>
    </w:p>
    <w:p>
      <w:pPr>
        <w:pStyle w:val="ListParagraph"/>
        <w:numPr>
          <w:ilvl w:val="0"/>
          <w:numId w:val="3"/>
        </w:numPr>
        <w:tabs>
          <w:tab w:pos="2960" w:val="left" w:leader="none"/>
        </w:tabs>
        <w:spacing w:line="234" w:lineRule="exact" w:before="0" w:after="0"/>
        <w:ind w:left="2998" w:right="0" w:hanging="420"/>
        <w:jc w:val="left"/>
        <w:rPr>
          <w:sz w:val="18"/>
        </w:rPr>
      </w:pPr>
      <w:r>
        <w:rPr>
          <w:spacing w:val="-1"/>
          <w:sz w:val="18"/>
        </w:rPr>
        <w:t>新近的心电图改变提示急性心肌梗塞；</w:t>
      </w:r>
    </w:p>
    <w:p>
      <w:pPr>
        <w:pStyle w:val="ListParagraph"/>
        <w:numPr>
          <w:ilvl w:val="0"/>
          <w:numId w:val="3"/>
        </w:numPr>
        <w:tabs>
          <w:tab w:pos="2960" w:val="left" w:leader="none"/>
        </w:tabs>
        <w:spacing w:line="237" w:lineRule="auto" w:before="2" w:after="0"/>
        <w:ind w:left="2998" w:right="189" w:hanging="420"/>
        <w:jc w:val="left"/>
        <w:rPr>
          <w:sz w:val="18"/>
        </w:rPr>
      </w:pPr>
      <w:r>
        <w:rPr>
          <w:sz w:val="18"/>
        </w:rPr>
        <w:t>心肌酶或肌钙蛋白有诊断意义的升高，或呈符合急性心肌梗塞的动态性</w:t>
      </w:r>
      <w:r>
        <w:rPr>
          <w:spacing w:val="-1"/>
          <w:sz w:val="18"/>
        </w:rPr>
        <w:t>变化；</w:t>
      </w:r>
    </w:p>
    <w:p>
      <w:pPr>
        <w:pStyle w:val="ListParagraph"/>
        <w:numPr>
          <w:ilvl w:val="0"/>
          <w:numId w:val="3"/>
        </w:numPr>
        <w:tabs>
          <w:tab w:pos="2960" w:val="left" w:leader="none"/>
        </w:tabs>
        <w:spacing w:line="233" w:lineRule="exact" w:before="0" w:after="0"/>
        <w:ind w:left="2998" w:right="0" w:hanging="420"/>
        <w:jc w:val="left"/>
        <w:rPr>
          <w:sz w:val="18"/>
        </w:rPr>
      </w:pPr>
      <w:r>
        <w:rPr>
          <w:spacing w:val="-16"/>
          <w:sz w:val="18"/>
        </w:rPr>
        <w:t>发病 </w:t>
      </w:r>
      <w:r>
        <w:rPr>
          <w:sz w:val="18"/>
        </w:rPr>
        <w:t>90</w:t>
      </w:r>
      <w:r>
        <w:rPr>
          <w:spacing w:val="-13"/>
          <w:sz w:val="18"/>
        </w:rPr>
        <w:t> 天后，经检查证实左心室功能降低，如左心室射血分数低于 </w:t>
      </w:r>
      <w:r>
        <w:rPr>
          <w:sz w:val="18"/>
        </w:rPr>
        <w:t>50%</w:t>
      </w:r>
    </w:p>
    <w:p>
      <w:pPr>
        <w:pStyle w:val="BodyText"/>
        <w:spacing w:line="237" w:lineRule="auto" w:before="2"/>
        <w:ind w:right="189" w:hanging="2439"/>
        <w:jc w:val="both"/>
      </w:pPr>
      <w:r>
        <w:rPr/>
        <w:t>3</w:t>
      </w:r>
      <w:r>
        <w:rPr>
          <w:spacing w:val="-4"/>
        </w:rPr>
        <w:t>、脑中风后遗症        ： 指因脑血管的突发病变引起脑血管出血、栓塞或梗塞，并导致神经系统永久性</w:t>
      </w:r>
      <w:r>
        <w:rPr>
          <w:spacing w:val="-9"/>
        </w:rPr>
        <w:t>的功能障碍。神经系统永久性的功能障碍，指疾病确诊 </w:t>
      </w:r>
      <w:r>
        <w:rPr/>
        <w:t>180</w:t>
      </w:r>
      <w:r>
        <w:rPr>
          <w:spacing w:val="-8"/>
        </w:rPr>
        <w:t> 天后，仍遗留下列</w:t>
      </w:r>
      <w:r>
        <w:rPr>
          <w:spacing w:val="-1"/>
        </w:rPr>
        <w:t>一种或一种以上障碍：</w:t>
      </w:r>
    </w:p>
    <w:p>
      <w:pPr>
        <w:pStyle w:val="ListParagraph"/>
        <w:numPr>
          <w:ilvl w:val="0"/>
          <w:numId w:val="4"/>
        </w:numPr>
        <w:tabs>
          <w:tab w:pos="2955" w:val="left" w:leader="none"/>
        </w:tabs>
        <w:spacing w:line="233" w:lineRule="exact" w:before="0" w:after="0"/>
        <w:ind w:left="2954" w:right="0" w:hanging="420"/>
        <w:jc w:val="left"/>
        <w:rPr>
          <w:sz w:val="18"/>
        </w:rPr>
      </w:pPr>
      <w:r>
        <w:rPr>
          <w:spacing w:val="-1"/>
          <w:sz w:val="18"/>
        </w:rPr>
        <w:t>一肢或一肢以上肢体机能完全丧失；</w:t>
      </w:r>
    </w:p>
    <w:p>
      <w:pPr>
        <w:pStyle w:val="ListParagraph"/>
        <w:numPr>
          <w:ilvl w:val="0"/>
          <w:numId w:val="4"/>
        </w:numPr>
        <w:tabs>
          <w:tab w:pos="2955" w:val="left" w:leader="none"/>
        </w:tabs>
        <w:spacing w:line="234" w:lineRule="exact" w:before="0" w:after="0"/>
        <w:ind w:left="2954" w:right="0" w:hanging="420"/>
        <w:jc w:val="left"/>
        <w:rPr>
          <w:sz w:val="18"/>
        </w:rPr>
      </w:pPr>
      <w:r>
        <w:rPr>
          <w:spacing w:val="-1"/>
          <w:sz w:val="18"/>
        </w:rPr>
        <w:t>语言能力或咀嚼吞咽能力完全丧失；</w:t>
      </w:r>
    </w:p>
    <w:p>
      <w:pPr>
        <w:pStyle w:val="ListParagraph"/>
        <w:numPr>
          <w:ilvl w:val="0"/>
          <w:numId w:val="4"/>
        </w:numPr>
        <w:tabs>
          <w:tab w:pos="2955" w:val="left" w:leader="none"/>
        </w:tabs>
        <w:spacing w:line="237" w:lineRule="auto" w:before="0" w:after="0"/>
        <w:ind w:left="2954" w:right="194" w:hanging="420"/>
        <w:jc w:val="left"/>
        <w:rPr>
          <w:sz w:val="18"/>
        </w:rPr>
      </w:pPr>
      <w:r>
        <w:rPr>
          <w:sz w:val="18"/>
        </w:rPr>
        <w:t>自主生活能力完全丧失，无法独立完成六项基本日常生活活动中的三项</w:t>
      </w:r>
      <w:r>
        <w:rPr>
          <w:spacing w:val="-1"/>
          <w:sz w:val="18"/>
        </w:rPr>
        <w:t>或三项以上。</w:t>
      </w:r>
    </w:p>
    <w:p>
      <w:pPr>
        <w:pStyle w:val="BodyText"/>
        <w:spacing w:line="233" w:lineRule="exact"/>
        <w:ind w:left="101"/>
      </w:pPr>
      <w:r>
        <w:rPr/>
        <w:t>4、重大器官移植术或造血干： 重大器官移植术，指因相应器官功能衰竭，已经实施了肾脏、肝脏、心脏或肺</w:t>
      </w:r>
    </w:p>
    <w:p>
      <w:pPr>
        <w:spacing w:after="0" w:line="233" w:lineRule="exact"/>
        <w:sectPr>
          <w:pgSz w:w="11960" w:h="16850"/>
          <w:pgMar w:header="0" w:footer="1001" w:top="1600" w:bottom="1200" w:left="1600" w:right="1540"/>
        </w:sectPr>
      </w:pPr>
    </w:p>
    <w:p>
      <w:pPr>
        <w:pStyle w:val="BodyText"/>
        <w:ind w:left="101"/>
      </w:pPr>
      <w:r>
        <w:rPr/>
        <w:t>细胞移植术</w:t>
      </w:r>
    </w:p>
    <w:p>
      <w:pPr>
        <w:pStyle w:val="BodyText"/>
        <w:spacing w:line="234" w:lineRule="exact"/>
        <w:ind w:left="101"/>
      </w:pPr>
      <w:r>
        <w:rPr/>
        <w:br w:type="column"/>
      </w:r>
      <w:r>
        <w:rPr/>
        <w:t>脏的异体移植手术。</w:t>
      </w:r>
    </w:p>
    <w:p>
      <w:pPr>
        <w:pStyle w:val="BodyText"/>
        <w:spacing w:line="237" w:lineRule="auto"/>
        <w:ind w:left="101" w:right="189"/>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600" w:right="1540"/>
          <w:cols w:num="2" w:equalWidth="0">
            <w:col w:w="1002" w:space="1436"/>
            <w:col w:w="6382"/>
          </w:cols>
        </w:sectPr>
      </w:pPr>
    </w:p>
    <w:p>
      <w:pPr>
        <w:pStyle w:val="BodyText"/>
        <w:spacing w:line="235" w:lineRule="exact"/>
        <w:ind w:left="101"/>
      </w:pPr>
      <w:r>
        <w:rPr/>
        <w:t>5、冠状动脉搭桥术（或称冠：指为治疗严重的冠心病，实际实施了开胸进行的冠状动脉血管旁路移植的手</w:t>
      </w:r>
    </w:p>
    <w:p>
      <w:pPr>
        <w:spacing w:after="0" w:line="235" w:lineRule="exact"/>
        <w:sectPr>
          <w:type w:val="continuous"/>
          <w:pgSz w:w="11960" w:h="16850"/>
          <w:pgMar w:top="280" w:bottom="1200" w:left="1600" w:right="1540"/>
        </w:sectPr>
      </w:pPr>
    </w:p>
    <w:p>
      <w:pPr>
        <w:pStyle w:val="BodyText"/>
        <w:spacing w:line="233" w:lineRule="exact"/>
        <w:ind w:left="101"/>
      </w:pPr>
      <w:r>
        <w:rPr/>
        <w:t>状动脉旁路移植术）</w:t>
      </w:r>
    </w:p>
    <w:p>
      <w:pPr>
        <w:spacing w:line="231" w:lineRule="exact" w:before="0"/>
        <w:ind w:left="101" w:right="0" w:firstLine="0"/>
        <w:jc w:val="left"/>
        <w:rPr>
          <w:sz w:val="18"/>
        </w:rPr>
      </w:pPr>
      <w:r>
        <w:rPr/>
        <w:br w:type="column"/>
      </w:r>
      <w:r>
        <w:rPr>
          <w:sz w:val="18"/>
        </w:rPr>
        <w:t>术。</w:t>
      </w:r>
    </w:p>
    <w:p>
      <w:pPr>
        <w:pStyle w:val="BodyText"/>
        <w:ind w:left="101" w:right="134"/>
      </w:pPr>
      <w:r>
        <w:rPr/>
        <w:t>冠状动脉支架植入术、心导管球囊扩张术、激光射频技术及其它非开胸的介入手术、腔镜手术不在保障范围内。</w:t>
      </w:r>
    </w:p>
    <w:p>
      <w:pPr>
        <w:spacing w:after="0"/>
        <w:sectPr>
          <w:type w:val="continuous"/>
          <w:pgSz w:w="11960" w:h="16850"/>
          <w:pgMar w:top="280" w:bottom="1200" w:left="1600" w:right="1540"/>
          <w:cols w:num="2" w:equalWidth="0">
            <w:col w:w="1722" w:space="716"/>
            <w:col w:w="6382"/>
          </w:cols>
        </w:sectPr>
      </w:pPr>
    </w:p>
    <w:p>
      <w:pPr>
        <w:pStyle w:val="BodyText"/>
        <w:spacing w:line="234" w:lineRule="exact"/>
        <w:ind w:left="101"/>
      </w:pPr>
      <w:r>
        <w:rPr/>
        <w:t>6、终末期肾病（或称慢性肾： 指双肾功能慢性不可逆性衰竭，达到尿毒症期，经诊断后已经进行了至少 90</w:t>
      </w:r>
    </w:p>
    <w:p>
      <w:pPr>
        <w:pStyle w:val="BodyText"/>
        <w:tabs>
          <w:tab w:pos="2539" w:val="left" w:leader="none"/>
        </w:tabs>
        <w:spacing w:line="233" w:lineRule="exact"/>
        <w:ind w:left="101"/>
      </w:pPr>
      <w:r>
        <w:rPr/>
        <w:t>功能衰竭尿毒症期）</w:t>
        <w:tab/>
      </w:r>
      <w:r>
        <w:rPr>
          <w:spacing w:val="-1"/>
        </w:rPr>
        <w:t>天</w:t>
      </w:r>
      <w:r>
        <w:rPr/>
        <w:t>的规律性透析治疗或实施了肾脏移植手术。</w:t>
      </w:r>
    </w:p>
    <w:p>
      <w:pPr>
        <w:pStyle w:val="BodyText"/>
        <w:ind w:right="191" w:hanging="2439"/>
        <w:jc w:val="both"/>
      </w:pPr>
      <w:r>
        <w:rPr/>
        <w:t>7、多个肢体缺失        ： 指因疾病或意外伤害导致两个或两个以上肢体自腕关节或踝关节近端（靠近躯干端）以上完全性断离。</w:t>
      </w:r>
    </w:p>
    <w:p>
      <w:pPr>
        <w:pStyle w:val="BodyText"/>
        <w:spacing w:line="237" w:lineRule="auto" w:before="2"/>
        <w:ind w:right="189" w:hanging="2439"/>
        <w:jc w:val="both"/>
      </w:pPr>
      <w:r>
        <w:rPr/>
        <w:t>8</w:t>
      </w:r>
      <w:r>
        <w:rPr>
          <w:spacing w:val="-3"/>
        </w:rPr>
        <w:t>、急性或亚急性重症肝炎 ： 指因肝炎病毒感染引起肝脏组织弥漫性坏死，导致急性肝功能衰竭，且经血清</w:t>
      </w:r>
      <w:r>
        <w:rPr>
          <w:spacing w:val="-1"/>
        </w:rPr>
        <w:t>学或病毒学检查证实，并须满足下列全部条件：</w:t>
      </w:r>
    </w:p>
    <w:p>
      <w:pPr>
        <w:pStyle w:val="BodyText"/>
        <w:spacing w:line="233" w:lineRule="exact"/>
      </w:pPr>
      <w:r>
        <w:rPr/>
        <w:t>（1）重度黄疸或黄疸迅速加重；</w:t>
      </w:r>
    </w:p>
    <w:p>
      <w:pPr>
        <w:pStyle w:val="BodyText"/>
        <w:spacing w:line="234" w:lineRule="exact"/>
      </w:pPr>
      <w:r>
        <w:rPr/>
        <w:t>（2）肝性脑病；</w:t>
      </w:r>
    </w:p>
    <w:p>
      <w:pPr>
        <w:pStyle w:val="BodyText"/>
        <w:spacing w:line="233" w:lineRule="exact"/>
      </w:pPr>
      <w:r>
        <w:rPr/>
        <w:t>（3）B 超或其它影像学检查显示肝脏体积急速萎缩；</w:t>
      </w:r>
    </w:p>
    <w:p>
      <w:pPr>
        <w:pStyle w:val="BodyText"/>
        <w:spacing w:line="233" w:lineRule="exact"/>
      </w:pPr>
      <w:r>
        <w:rPr/>
        <w:t>（4）肝功能指标进行性恶化。</w:t>
      </w:r>
    </w:p>
    <w:p>
      <w:pPr>
        <w:pStyle w:val="BodyText"/>
        <w:tabs>
          <w:tab w:pos="2340" w:val="left" w:leader="none"/>
        </w:tabs>
        <w:spacing w:line="237" w:lineRule="auto"/>
        <w:ind w:right="189" w:hanging="2439"/>
        <w:jc w:val="both"/>
      </w:pPr>
      <w:r>
        <w:rPr/>
        <w:t>9、良性脑肿瘤</w:t>
        <w:tab/>
        <w:t>：</w:t>
      </w:r>
      <w:r>
        <w:rPr>
          <w:spacing w:val="-70"/>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状、癫</w:t>
      </w:r>
      <w:r>
        <w:rPr>
          <w:w w:val="100"/>
        </w:rPr>
        <w:t>痫</w:t>
      </w:r>
      <w:r>
        <w:rPr>
          <w:spacing w:val="1"/>
          <w:w w:val="100"/>
        </w:rPr>
        <w:t>及</w:t>
      </w:r>
      <w:r>
        <w:rPr>
          <w:w w:val="100"/>
        </w:rPr>
        <w:t>运</w:t>
      </w:r>
      <w:r>
        <w:rPr>
          <w:spacing w:val="1"/>
          <w:w w:val="100"/>
        </w:rPr>
        <w:t>动感</w:t>
      </w:r>
      <w:r>
        <w:rPr>
          <w:w w:val="100"/>
        </w:rPr>
        <w:t>觉</w:t>
      </w:r>
      <w:r>
        <w:rPr>
          <w:spacing w:val="1"/>
          <w:w w:val="100"/>
        </w:rPr>
        <w:t>障碍</w:t>
      </w:r>
      <w:r>
        <w:rPr>
          <w:w w:val="100"/>
        </w:rPr>
        <w:t>等</w:t>
      </w:r>
      <w:r>
        <w:rPr>
          <w:spacing w:val="-1"/>
          <w:w w:val="100"/>
        </w:rPr>
        <w:t>，</w:t>
      </w:r>
      <w:r>
        <w:rPr>
          <w:spacing w:val="1"/>
          <w:w w:val="100"/>
        </w:rPr>
        <w:t>并危及</w:t>
      </w:r>
      <w:r>
        <w:rPr>
          <w:w w:val="100"/>
        </w:rPr>
        <w:t>生</w:t>
      </w:r>
      <w:r>
        <w:rPr>
          <w:spacing w:val="1"/>
          <w:w w:val="100"/>
        </w:rPr>
        <w:t>命</w:t>
      </w:r>
      <w:r>
        <w:rPr>
          <w:spacing w:val="-1"/>
          <w:w w:val="100"/>
        </w:rPr>
        <w:t>。</w:t>
      </w:r>
      <w:r>
        <w:rPr>
          <w:spacing w:val="1"/>
          <w:w w:val="100"/>
        </w:rPr>
        <w:t>须由</w:t>
      </w:r>
      <w:r>
        <w:rPr>
          <w:w w:val="100"/>
        </w:rPr>
        <w:t>头</w:t>
      </w:r>
      <w:r>
        <w:rPr>
          <w:spacing w:val="1"/>
          <w:w w:val="100"/>
        </w:rPr>
        <w:t>颅断</w:t>
      </w:r>
      <w:r>
        <w:rPr>
          <w:w w:val="100"/>
        </w:rPr>
        <w:t>层扫</w:t>
      </w:r>
      <w:r>
        <w:rPr>
          <w:spacing w:val="1"/>
          <w:w w:val="100"/>
        </w:rPr>
        <w:t>描（</w:t>
      </w:r>
      <w:r>
        <w:rPr>
          <w:spacing w:val="-2"/>
          <w:w w:val="100"/>
        </w:rPr>
        <w:t>C</w:t>
      </w:r>
      <w:r>
        <w:rPr>
          <w:spacing w:val="2"/>
          <w:w w:val="100"/>
        </w:rPr>
        <w:t>T</w:t>
      </w:r>
      <w:r>
        <w:rPr>
          <w:spacing w:val="-89"/>
          <w:w w:val="100"/>
        </w:rPr>
        <w:t>）</w:t>
      </w:r>
      <w:r>
        <w:rPr>
          <w:spacing w:val="-1"/>
          <w:w w:val="100"/>
        </w:rPr>
        <w:t>、</w:t>
      </w:r>
      <w:r>
        <w:rPr>
          <w:spacing w:val="1"/>
          <w:w w:val="100"/>
        </w:rPr>
        <w:t>核磁</w:t>
      </w:r>
      <w:r>
        <w:rPr>
          <w:w w:val="100"/>
        </w:rPr>
        <w:t>共</w:t>
      </w:r>
      <w:r>
        <w:rPr/>
        <w:t>振检</w:t>
      </w:r>
      <w:r>
        <w:rPr>
          <w:spacing w:val="-8"/>
        </w:rPr>
        <w:t>查</w:t>
      </w:r>
      <w:r>
        <w:rPr>
          <w:spacing w:val="-3"/>
        </w:rPr>
        <w:t>（MRI）</w:t>
      </w:r>
      <w:r>
        <w:rPr/>
        <w:t>或正电子发射</w:t>
      </w:r>
      <w:r>
        <w:rPr>
          <w:spacing w:val="-3"/>
        </w:rPr>
        <w:t>断</w:t>
      </w:r>
      <w:r>
        <w:rPr/>
        <w:t>层扫</w:t>
      </w:r>
      <w:r>
        <w:rPr>
          <w:spacing w:val="-8"/>
        </w:rPr>
        <w:t>描</w:t>
      </w:r>
      <w:r>
        <w:rPr>
          <w:spacing w:val="-3"/>
        </w:rPr>
        <w:t>（PET）</w:t>
      </w:r>
      <w:r>
        <w:rPr/>
        <w:t>等影像学检查</w:t>
      </w:r>
      <w:r>
        <w:rPr>
          <w:spacing w:val="-3"/>
        </w:rPr>
        <w:t>证</w:t>
      </w:r>
      <w:r>
        <w:rPr/>
        <w:t>实</w:t>
      </w:r>
      <w:r>
        <w:rPr>
          <w:spacing w:val="-8"/>
        </w:rPr>
        <w:t>，</w:t>
      </w:r>
      <w:r>
        <w:rPr/>
        <w:t>并须满足下</w:t>
      </w:r>
      <w:r>
        <w:rPr>
          <w:spacing w:val="-1"/>
        </w:rPr>
        <w:t>列</w:t>
      </w:r>
      <w:r>
        <w:rPr/>
        <w:t>至少一项条件：</w:t>
      </w:r>
    </w:p>
    <w:p>
      <w:pPr>
        <w:pStyle w:val="BodyText"/>
        <w:spacing w:line="234" w:lineRule="exact"/>
      </w:pPr>
      <w:r>
        <w:rPr/>
        <w:t>（1）实际实施了开颅进行的脑肿瘤完全切除或部分切除的手术；</w:t>
      </w:r>
    </w:p>
    <w:p>
      <w:pPr>
        <w:pStyle w:val="BodyText"/>
        <w:spacing w:line="233" w:lineRule="exact"/>
      </w:pPr>
      <w:r>
        <w:rPr/>
        <w:t>（2）实际实施了对脑肿瘤进行的放射治疗。</w:t>
      </w:r>
    </w:p>
    <w:p>
      <w:pPr>
        <w:pStyle w:val="BodyText"/>
        <w:spacing w:line="234" w:lineRule="exact"/>
      </w:pPr>
      <w:r>
        <w:rPr/>
        <w:t>脑垂体瘤、脑囊肿、脑血管性疾病不在保障范围内。</w:t>
      </w:r>
    </w:p>
    <w:p>
      <w:pPr>
        <w:spacing w:after="0" w:line="234" w:lineRule="exact"/>
        <w:sectPr>
          <w:type w:val="continuous"/>
          <w:pgSz w:w="11960" w:h="16850"/>
          <w:pgMar w:top="280" w:bottom="1200" w:left="1600" w:right="1540"/>
        </w:sectPr>
      </w:pPr>
    </w:p>
    <w:p>
      <w:pPr>
        <w:pStyle w:val="BodyText"/>
        <w:spacing w:before="73"/>
        <w:ind w:left="101"/>
      </w:pPr>
      <w:r>
        <w:rPr/>
        <w:t>10、慢性肝功能衰竭失代偿 ： 指因慢性肝脏疾病导致肝功能衰竭。须满足下列全部条件：</w:t>
      </w:r>
    </w:p>
    <w:p>
      <w:pPr>
        <w:pStyle w:val="BodyText"/>
        <w:tabs>
          <w:tab w:pos="2539" w:val="left" w:leader="none"/>
        </w:tabs>
        <w:spacing w:line="231" w:lineRule="exact"/>
        <w:ind w:left="101"/>
      </w:pPr>
      <w:r>
        <w:rPr/>
        <w:t>期</w:t>
        <w:tab/>
      </w:r>
      <w:r>
        <w:rPr>
          <w:spacing w:val="-1"/>
        </w:rPr>
        <w:t>（1）</w:t>
      </w:r>
      <w:r>
        <w:rPr/>
        <w:t>持续性黄疸；</w:t>
      </w:r>
    </w:p>
    <w:p>
      <w:pPr>
        <w:pStyle w:val="BodyText"/>
        <w:spacing w:line="234" w:lineRule="exact"/>
      </w:pPr>
      <w:r>
        <w:rPr/>
        <w:t>（2）腹水；</w:t>
      </w:r>
    </w:p>
    <w:p>
      <w:pPr>
        <w:pStyle w:val="BodyText"/>
        <w:spacing w:line="234" w:lineRule="exact"/>
      </w:pPr>
      <w:r>
        <w:rPr/>
        <w:t>（3）肝性脑病；</w:t>
      </w:r>
    </w:p>
    <w:p>
      <w:pPr>
        <w:pStyle w:val="BodyText"/>
        <w:spacing w:line="237" w:lineRule="auto" w:before="1"/>
        <w:ind w:right="1859"/>
      </w:pPr>
      <w:r>
        <w:rPr/>
        <w:t>（4）充血性脾肿大伴脾功能亢进或食管胃底静脉曲张。因酗酒或药物滥用导致的肝功能衰竭不在保障范围内。</w:t>
      </w:r>
    </w:p>
    <w:p>
      <w:pPr>
        <w:pStyle w:val="BodyText"/>
        <w:spacing w:line="233" w:lineRule="exact"/>
        <w:ind w:left="101"/>
      </w:pPr>
      <w:r>
        <w:rPr/>
        <w:t>11、脑炎后遗症或脑膜炎后 ： 指因患脑炎或脑膜炎导致的神经系统永久性的功能障碍。神经系统永久性的功</w:t>
      </w:r>
    </w:p>
    <w:p>
      <w:pPr>
        <w:pStyle w:val="BodyText"/>
        <w:tabs>
          <w:tab w:pos="2539" w:val="left" w:leader="none"/>
        </w:tabs>
        <w:spacing w:line="234" w:lineRule="exact"/>
        <w:ind w:left="101"/>
      </w:pPr>
      <w:r>
        <w:rPr/>
        <w:t>遗症</w:t>
        <w:tab/>
        <w:t>能障碍，指疾病确诊</w:t>
      </w:r>
      <w:r>
        <w:rPr>
          <w:spacing w:val="-48"/>
        </w:rPr>
        <w:t> </w:t>
      </w:r>
      <w:r>
        <w:rPr/>
        <w:t>180</w:t>
      </w:r>
      <w:r>
        <w:rPr>
          <w:spacing w:val="-47"/>
        </w:rPr>
        <w:t> </w:t>
      </w:r>
      <w:r>
        <w:rPr/>
        <w:t>天</w:t>
      </w:r>
      <w:r>
        <w:rPr>
          <w:spacing w:val="-3"/>
        </w:rPr>
        <w:t>后</w:t>
      </w:r>
      <w:r>
        <w:rPr/>
        <w:t>，仍遗留下列一种或一种以上障碍：</w:t>
      </w:r>
    </w:p>
    <w:p>
      <w:pPr>
        <w:pStyle w:val="BodyText"/>
        <w:spacing w:line="233" w:lineRule="exact"/>
      </w:pPr>
      <w:r>
        <w:rPr/>
        <w:t>（1）一肢或一肢以上肢体机能完全丧失；</w:t>
      </w:r>
    </w:p>
    <w:p>
      <w:pPr>
        <w:pStyle w:val="BodyText"/>
        <w:spacing w:line="233" w:lineRule="exact"/>
      </w:pPr>
      <w:r>
        <w:rPr/>
        <w:t>（2）语言能力或咀嚼吞咽能力完全丧失；</w:t>
      </w:r>
    </w:p>
    <w:p>
      <w:pPr>
        <w:pStyle w:val="BodyText"/>
        <w:ind w:left="2990" w:right="779" w:hanging="452"/>
      </w:pPr>
      <w:r>
        <w:rPr/>
        <w:t>（3）自主生活能力完全丧失，无法独立完成六项基本日常生活活动中的三项或三项以上。</w:t>
      </w:r>
    </w:p>
    <w:p>
      <w:pPr>
        <w:pStyle w:val="BodyText"/>
        <w:tabs>
          <w:tab w:pos="2340" w:val="left" w:leader="none"/>
        </w:tabs>
        <w:spacing w:line="237" w:lineRule="auto" w:before="1"/>
        <w:ind w:right="186" w:hanging="2439"/>
        <w:jc w:val="both"/>
      </w:pPr>
      <w:r>
        <w:rPr/>
        <w:t>12、深度昏迷</w:t>
        <w:tab/>
        <w:t>：</w:t>
      </w:r>
      <w:r>
        <w:rPr>
          <w:spacing w:val="-33"/>
        </w:rPr>
        <w:t> </w:t>
      </w:r>
      <w:r>
        <w:rPr>
          <w:spacing w:val="2"/>
        </w:rPr>
        <w:t>指因疾病或</w:t>
      </w:r>
      <w:r>
        <w:rPr/>
        <w:t>意</w:t>
      </w:r>
      <w:r>
        <w:rPr>
          <w:spacing w:val="2"/>
        </w:rPr>
        <w:t>外伤害导</w:t>
      </w:r>
      <w:r>
        <w:rPr/>
        <w:t>致</w:t>
      </w:r>
      <w:r>
        <w:rPr>
          <w:spacing w:val="2"/>
        </w:rPr>
        <w:t>意</w:t>
      </w:r>
      <w:r>
        <w:rPr/>
        <w:t>识</w:t>
      </w:r>
      <w:r>
        <w:rPr>
          <w:spacing w:val="2"/>
        </w:rPr>
        <w:t>丧</w:t>
      </w:r>
      <w:r>
        <w:rPr>
          <w:spacing w:val="5"/>
        </w:rPr>
        <w:t>失,</w:t>
      </w:r>
      <w:r>
        <w:rPr/>
        <w:t>对</w:t>
      </w:r>
      <w:r>
        <w:rPr>
          <w:spacing w:val="2"/>
        </w:rPr>
        <w:t>外界刺</w:t>
      </w:r>
      <w:r>
        <w:rPr/>
        <w:t>激</w:t>
      </w:r>
      <w:r>
        <w:rPr>
          <w:spacing w:val="2"/>
        </w:rPr>
        <w:t>和体内需</w:t>
      </w:r>
      <w:r>
        <w:rPr/>
        <w:t>求</w:t>
      </w:r>
      <w:r>
        <w:rPr>
          <w:spacing w:val="2"/>
        </w:rPr>
        <w:t>均无反</w:t>
      </w:r>
      <w:r>
        <w:rPr/>
        <w:t>应</w:t>
      </w:r>
      <w:r>
        <w:rPr>
          <w:spacing w:val="5"/>
        </w:rPr>
        <w:t>,</w:t>
      </w:r>
      <w:r>
        <w:rPr>
          <w:spacing w:val="2"/>
        </w:rPr>
        <w:t>昏迷</w:t>
      </w:r>
      <w:r>
        <w:rPr/>
        <w:t>程度按照格拉斯哥昏迷分级（Glasgow</w:t>
      </w:r>
      <w:r>
        <w:rPr>
          <w:spacing w:val="-22"/>
        </w:rPr>
        <w:t> </w:t>
      </w:r>
      <w:r>
        <w:rPr/>
        <w:t>coma</w:t>
      </w:r>
      <w:r>
        <w:rPr>
          <w:spacing w:val="-22"/>
        </w:rPr>
        <w:t> </w:t>
      </w:r>
      <w:r>
        <w:rPr/>
        <w:t>scale）结果为</w:t>
      </w:r>
      <w:r>
        <w:rPr>
          <w:spacing w:val="-49"/>
        </w:rPr>
        <w:t> </w:t>
      </w:r>
      <w:r>
        <w:rPr/>
        <w:t>5</w:t>
      </w:r>
      <w:r>
        <w:rPr>
          <w:spacing w:val="-46"/>
        </w:rPr>
        <w:t> </w:t>
      </w:r>
      <w:r>
        <w:rPr>
          <w:spacing w:val="-3"/>
        </w:rPr>
        <w:t>分</w:t>
      </w:r>
      <w:r>
        <w:rPr/>
        <w:t>或</w:t>
      </w:r>
      <w:r>
        <w:rPr>
          <w:spacing w:val="-47"/>
        </w:rPr>
        <w:t> </w:t>
      </w:r>
      <w:r>
        <w:rPr/>
        <w:t>5</w:t>
      </w:r>
      <w:r>
        <w:rPr>
          <w:spacing w:val="-46"/>
        </w:rPr>
        <w:t> </w:t>
      </w:r>
      <w:r>
        <w:rPr/>
        <w:t>分以下，且已经持续使用呼吸机及其它生命维持系统</w:t>
      </w:r>
      <w:r>
        <w:rPr>
          <w:spacing w:val="-45"/>
        </w:rPr>
        <w:t> </w:t>
      </w:r>
      <w:r>
        <w:rPr/>
        <w:t>96</w:t>
      </w:r>
      <w:r>
        <w:rPr>
          <w:spacing w:val="-44"/>
        </w:rPr>
        <w:t> </w:t>
      </w:r>
      <w:r>
        <w:rPr/>
        <w:t>小时以上。</w:t>
      </w:r>
    </w:p>
    <w:p>
      <w:pPr>
        <w:pStyle w:val="BodyText"/>
        <w:spacing w:line="234" w:lineRule="exact"/>
      </w:pPr>
      <w:r>
        <w:rPr/>
        <w:t>因酗酒或药物滥用导致的深度昏迷不在保障范围内。</w:t>
      </w:r>
    </w:p>
    <w:p>
      <w:pPr>
        <w:pStyle w:val="BodyText"/>
        <w:tabs>
          <w:tab w:pos="2340" w:val="left" w:leader="none"/>
        </w:tabs>
        <w:spacing w:line="237" w:lineRule="auto" w:before="1"/>
        <w:ind w:right="189" w:hanging="2439"/>
        <w:jc w:val="both"/>
      </w:pPr>
      <w:r>
        <w:rPr/>
        <w:t>13、双耳失聪</w:t>
        <w:tab/>
        <w:t>：</w:t>
      </w:r>
      <w:r>
        <w:rPr>
          <w:spacing w:val="-72"/>
        </w:rPr>
        <w:t> </w:t>
      </w:r>
      <w:r>
        <w:rPr/>
        <w:t>指因疾病或意外伤害导致双耳听力永久不可逆性丧失</w:t>
      </w:r>
      <w:r>
        <w:rPr>
          <w:spacing w:val="-44"/>
        </w:rPr>
        <w:t>，</w:t>
      </w:r>
      <w:r>
        <w:rPr/>
        <w:t>在</w:t>
      </w:r>
      <w:r>
        <w:rPr>
          <w:spacing w:val="-47"/>
        </w:rPr>
        <w:t> </w:t>
      </w:r>
      <w:r>
        <w:rPr/>
        <w:t>500</w:t>
      </w:r>
      <w:r>
        <w:rPr>
          <w:spacing w:val="-46"/>
        </w:rPr>
        <w:t> </w:t>
      </w:r>
      <w:r>
        <w:rPr/>
        <w:t>赫兹</w:t>
      </w:r>
      <w:r>
        <w:rPr>
          <w:spacing w:val="-44"/>
        </w:rPr>
        <w:t>、</w:t>
      </w:r>
      <w:r>
        <w:rPr/>
        <w:t>1000</w:t>
      </w:r>
      <w:r>
        <w:rPr>
          <w:spacing w:val="-46"/>
        </w:rPr>
        <w:t> </w:t>
      </w:r>
      <w:r>
        <w:rPr/>
        <w:t>赫兹和</w:t>
      </w:r>
      <w:r>
        <w:rPr>
          <w:spacing w:val="-46"/>
        </w:rPr>
        <w:t> </w:t>
      </w:r>
      <w:r>
        <w:rPr/>
        <w:t>2000</w:t>
      </w:r>
      <w:r>
        <w:rPr>
          <w:spacing w:val="-45"/>
        </w:rPr>
        <w:t> </w:t>
      </w:r>
      <w:r>
        <w:rPr/>
        <w:t>赫兹语音频率下</w:t>
      </w:r>
      <w:r>
        <w:rPr>
          <w:spacing w:val="-15"/>
        </w:rPr>
        <w:t>，</w:t>
      </w:r>
      <w:r>
        <w:rPr/>
        <w:t>平</w:t>
      </w:r>
      <w:r>
        <w:rPr>
          <w:spacing w:val="-3"/>
        </w:rPr>
        <w:t>均</w:t>
      </w:r>
      <w:r>
        <w:rPr/>
        <w:t>听阈大于</w:t>
      </w:r>
      <w:r>
        <w:rPr>
          <w:spacing w:val="-46"/>
        </w:rPr>
        <w:t> </w:t>
      </w:r>
      <w:r>
        <w:rPr/>
        <w:t>90</w:t>
      </w:r>
      <w:r>
        <w:rPr>
          <w:spacing w:val="-45"/>
        </w:rPr>
        <w:t> </w:t>
      </w:r>
      <w:r>
        <w:rPr/>
        <w:t>分贝</w:t>
      </w:r>
      <w:r>
        <w:rPr>
          <w:spacing w:val="-15"/>
        </w:rPr>
        <w:t>，</w:t>
      </w:r>
      <w:r>
        <w:rPr/>
        <w:t>且经纯音</w:t>
      </w:r>
      <w:r>
        <w:rPr>
          <w:spacing w:val="-3"/>
        </w:rPr>
        <w:t>听</w:t>
      </w:r>
      <w:r>
        <w:rPr/>
        <w:t>力测试</w:t>
      </w:r>
      <w:r>
        <w:rPr>
          <w:spacing w:val="-15"/>
        </w:rPr>
        <w:t>、</w:t>
      </w:r>
      <w:r>
        <w:rPr/>
        <w:t>声导抗</w:t>
      </w:r>
      <w:r>
        <w:rPr>
          <w:spacing w:val="-1"/>
        </w:rPr>
        <w:t>检</w:t>
      </w:r>
      <w:r>
        <w:rPr/>
        <w:t>测或听觉诱发电位检测等证实。</w:t>
      </w:r>
    </w:p>
    <w:p>
      <w:pPr>
        <w:pStyle w:val="BodyText"/>
        <w:tabs>
          <w:tab w:pos="2340" w:val="left" w:leader="none"/>
        </w:tabs>
        <w:spacing w:line="237" w:lineRule="auto"/>
        <w:ind w:right="191" w:hanging="2439"/>
        <w:jc w:val="both"/>
      </w:pPr>
      <w:r>
        <w:rPr/>
        <w:t>14、双目失明</w:t>
        <w:tab/>
        <w:t>：</w:t>
      </w:r>
      <w:r>
        <w:rPr>
          <w:spacing w:val="-72"/>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33" w:lineRule="exact"/>
        <w:ind w:left="2681"/>
      </w:pPr>
      <w:r>
        <w:rPr/>
        <w:t>(1)眼球缺失或摘除；</w:t>
      </w:r>
    </w:p>
    <w:p>
      <w:pPr>
        <w:pStyle w:val="BodyText"/>
        <w:spacing w:line="237" w:lineRule="auto" w:before="2"/>
        <w:ind w:left="3101" w:right="191" w:hanging="420"/>
      </w:pPr>
      <w:r>
        <w:rPr/>
        <w:t>(2</w:t>
      </w:r>
      <w:r>
        <w:rPr>
          <w:spacing w:val="-1"/>
        </w:rPr>
        <w:t>)矫正视力低于 </w:t>
      </w:r>
      <w:r>
        <w:rPr/>
        <w:t>0.02（</w:t>
      </w:r>
      <w:r>
        <w:rPr>
          <w:spacing w:val="-1"/>
        </w:rPr>
        <w:t>采用国际标准视力表，如果使用其它视力表应进行</w:t>
      </w:r>
      <w:r>
        <w:rPr>
          <w:spacing w:val="-1"/>
          <w:w w:val="100"/>
        </w:rPr>
        <w:t>换算</w:t>
      </w:r>
      <w:r>
        <w:rPr>
          <w:spacing w:val="-92"/>
          <w:w w:val="100"/>
        </w:rPr>
        <w:t>）</w:t>
      </w:r>
      <w:r>
        <w:rPr>
          <w:w w:val="100"/>
        </w:rPr>
        <w:t>；</w:t>
      </w:r>
    </w:p>
    <w:p>
      <w:pPr>
        <w:pStyle w:val="BodyText"/>
        <w:spacing w:line="231" w:lineRule="exact"/>
        <w:ind w:left="2681"/>
      </w:pPr>
      <w:r>
        <w:rPr/>
        <w:t>(3)视野半径小于 5 度。</w:t>
      </w:r>
    </w:p>
    <w:p>
      <w:pPr>
        <w:pStyle w:val="BodyText"/>
        <w:tabs>
          <w:tab w:pos="2340" w:val="left" w:leader="none"/>
        </w:tabs>
        <w:spacing w:line="237" w:lineRule="auto" w:before="1"/>
        <w:ind w:right="189" w:hanging="2439"/>
        <w:jc w:val="both"/>
      </w:pPr>
      <w:r>
        <w:rPr/>
        <w:t>15、瘫痪</w:t>
        <w:tab/>
        <w:t>：</w:t>
      </w:r>
      <w:r>
        <w:rPr>
          <w:spacing w:val="-73"/>
        </w:rPr>
        <w:t> </w:t>
      </w:r>
      <w:r>
        <w:rPr/>
        <w:t>指因疾病或意外伤害导致两肢或两肢以上肢体机能永久完全丧失</w:t>
      </w:r>
      <w:r>
        <w:rPr>
          <w:spacing w:val="-41"/>
        </w:rPr>
        <w:t>。</w:t>
      </w:r>
      <w:r>
        <w:rPr/>
        <w:t>肢体机能永久完全丧失</w:t>
      </w:r>
      <w:r>
        <w:rPr>
          <w:spacing w:val="-20"/>
        </w:rPr>
        <w:t>，</w:t>
      </w:r>
      <w:r>
        <w:rPr/>
        <w:t>指疾病确诊</w:t>
      </w:r>
      <w:r>
        <w:rPr>
          <w:spacing w:val="-46"/>
        </w:rPr>
        <w:t> </w:t>
      </w:r>
      <w:r>
        <w:rPr/>
        <w:t>180</w:t>
      </w:r>
      <w:r>
        <w:rPr>
          <w:spacing w:val="-47"/>
        </w:rPr>
        <w:t> </w:t>
      </w:r>
      <w:r>
        <w:rPr/>
        <w:t>天后或意外伤害发生</w:t>
      </w:r>
      <w:r>
        <w:rPr>
          <w:spacing w:val="-46"/>
        </w:rPr>
        <w:t> </w:t>
      </w:r>
      <w:r>
        <w:rPr/>
        <w:t>180</w:t>
      </w:r>
      <w:r>
        <w:rPr>
          <w:spacing w:val="-45"/>
        </w:rPr>
        <w:t> </w:t>
      </w:r>
      <w:r>
        <w:rPr/>
        <w:t>天</w:t>
      </w:r>
      <w:r>
        <w:rPr>
          <w:spacing w:val="-3"/>
        </w:rPr>
        <w:t>后</w:t>
      </w:r>
      <w:r>
        <w:rPr>
          <w:spacing w:val="-20"/>
        </w:rPr>
        <w:t>，</w:t>
      </w:r>
      <w:r>
        <w:rPr/>
        <w:t>每肢三大关节中</w:t>
      </w:r>
      <w:r>
        <w:rPr>
          <w:spacing w:val="-1"/>
        </w:rPr>
        <w:t>的两大</w:t>
      </w:r>
      <w:r>
        <w:rPr/>
        <w:t>关节仍然完全僵硬，或不能随意识活动。</w:t>
      </w:r>
    </w:p>
    <w:p>
      <w:pPr>
        <w:pStyle w:val="BodyText"/>
        <w:tabs>
          <w:tab w:pos="2340" w:val="left" w:leader="none"/>
        </w:tabs>
        <w:spacing w:line="231" w:lineRule="exact"/>
        <w:ind w:left="101"/>
      </w:pPr>
      <w:r>
        <w:rPr/>
        <w:t>16、心脏瓣膜手术</w:t>
        <w:tab/>
        <w:t>：</w:t>
      </w:r>
      <w:r>
        <w:rPr>
          <w:spacing w:val="-74"/>
        </w:rPr>
        <w:t> </w:t>
      </w:r>
      <w:r>
        <w:rPr/>
        <w:t>指为治疗心脏瓣膜疾病，实际实施了开胸进行的心脏瓣膜置换或修复的手术。</w:t>
      </w:r>
    </w:p>
    <w:p>
      <w:pPr>
        <w:pStyle w:val="BodyText"/>
        <w:tabs>
          <w:tab w:pos="2340" w:val="left" w:leader="none"/>
        </w:tabs>
        <w:spacing w:line="237" w:lineRule="auto"/>
        <w:ind w:right="100" w:hanging="2439"/>
      </w:pPr>
      <w:r>
        <w:rPr/>
        <w:t>17、严重阿尔茨海默病</w:t>
        <w:tab/>
        <w:t>：</w:t>
      </w:r>
      <w:r>
        <w:rPr>
          <w:spacing w:val="-73"/>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8"/>
          <w:w w:val="100"/>
        </w:rPr>
        <w:t>描</w:t>
      </w:r>
      <w:r>
        <w:rPr>
          <w:spacing w:val="-1"/>
          <w:w w:val="100"/>
        </w:rPr>
        <w:t>（</w:t>
      </w:r>
      <w:r>
        <w:rPr>
          <w:spacing w:val="0"/>
          <w:w w:val="100"/>
        </w:rPr>
        <w:t>CT</w:t>
      </w:r>
      <w:r>
        <w:rPr>
          <w:spacing w:val="-92"/>
          <w:w w:val="100"/>
        </w:rPr>
        <w:t>）</w:t>
      </w:r>
      <w:r>
        <w:rPr>
          <w:spacing w:val="-8"/>
          <w:w w:val="100"/>
        </w:rPr>
        <w:t>、</w:t>
      </w:r>
      <w:r>
        <w:rPr>
          <w:w w:val="100"/>
        </w:rPr>
        <w:t>核</w:t>
      </w:r>
      <w:r>
        <w:rPr>
          <w:spacing w:val="-3"/>
          <w:w w:val="100"/>
        </w:rPr>
        <w:t>磁</w:t>
      </w:r>
      <w:r>
        <w:rPr>
          <w:w w:val="100"/>
        </w:rPr>
        <w:t>共振检</w:t>
      </w:r>
      <w:r>
        <w:rPr>
          <w:spacing w:val="-8"/>
          <w:w w:val="100"/>
        </w:rPr>
        <w:t>查</w:t>
      </w:r>
      <w:r>
        <w:rPr>
          <w:spacing w:val="-1"/>
          <w:w w:val="100"/>
        </w:rPr>
        <w:t>（</w:t>
      </w:r>
      <w:r>
        <w:rPr>
          <w:spacing w:val="0"/>
          <w:w w:val="100"/>
        </w:rPr>
        <w:t>M</w:t>
      </w:r>
      <w:r>
        <w:rPr>
          <w:spacing w:val="-2"/>
          <w:w w:val="100"/>
        </w:rPr>
        <w:t>R</w:t>
      </w:r>
      <w:r>
        <w:rPr>
          <w:spacing w:val="0"/>
          <w:w w:val="100"/>
        </w:rPr>
        <w:t>I</w:t>
      </w:r>
      <w:r>
        <w:rPr>
          <w:spacing w:val="-8"/>
          <w:w w:val="100"/>
        </w:rPr>
        <w:t>）</w:t>
      </w:r>
      <w:r>
        <w:rPr>
          <w:w w:val="100"/>
        </w:rPr>
        <w:t>或正电子发射断层扫</w:t>
      </w:r>
      <w:r>
        <w:rPr>
          <w:spacing w:val="-10"/>
          <w:w w:val="100"/>
        </w:rPr>
        <w:t>描</w:t>
      </w:r>
      <w:r>
        <w:rPr>
          <w:spacing w:val="-1"/>
          <w:w w:val="100"/>
        </w:rPr>
        <w:t>（</w:t>
      </w:r>
      <w:r>
        <w:rPr>
          <w:spacing w:val="0"/>
          <w:w w:val="100"/>
        </w:rPr>
        <w:t>P</w:t>
      </w:r>
      <w:r>
        <w:rPr>
          <w:spacing w:val="-2"/>
          <w:w w:val="100"/>
        </w:rPr>
        <w:t>E</w:t>
      </w:r>
      <w:r>
        <w:rPr>
          <w:w w:val="100"/>
        </w:rPr>
        <w:t>T </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1" w:lineRule="exact"/>
      </w:pPr>
      <w:r>
        <w:rPr/>
        <w:t>神经官能症和精神疾病不在保障范围内。</w:t>
      </w:r>
    </w:p>
    <w:p>
      <w:pPr>
        <w:pStyle w:val="BodyText"/>
        <w:tabs>
          <w:tab w:pos="2340" w:val="left" w:leader="none"/>
        </w:tabs>
        <w:spacing w:line="237" w:lineRule="auto" w:before="1"/>
        <w:ind w:right="188" w:hanging="2439"/>
        <w:jc w:val="both"/>
      </w:pPr>
      <w:r>
        <w:rPr/>
        <w:t>18、严重脑损伤</w:t>
        <w:tab/>
        <w:t>：</w:t>
      </w:r>
      <w:r>
        <w:rPr>
          <w:spacing w:val="-73"/>
        </w:rPr>
        <w:t> </w:t>
      </w:r>
      <w:r>
        <w:rPr/>
        <w:t>指因头部遭受机械性外力</w:t>
      </w:r>
      <w:r>
        <w:rPr>
          <w:spacing w:val="-20"/>
        </w:rPr>
        <w:t>，</w:t>
      </w:r>
      <w:r>
        <w:rPr/>
        <w:t>引起脑重要部位损伤</w:t>
      </w:r>
      <w:r>
        <w:rPr>
          <w:spacing w:val="-20"/>
        </w:rPr>
        <w:t>，</w:t>
      </w:r>
      <w:r>
        <w:rPr/>
        <w:t>导致神经系统永久性的功能</w:t>
      </w:r>
      <w:r>
        <w:rPr>
          <w:w w:val="100"/>
        </w:rPr>
        <w:t>障</w:t>
      </w:r>
      <w:r>
        <w:rPr>
          <w:spacing w:val="-1"/>
          <w:w w:val="100"/>
        </w:rPr>
        <w:t>碍</w:t>
      </w:r>
      <w:r>
        <w:rPr>
          <w:spacing w:val="-8"/>
          <w:w w:val="100"/>
        </w:rPr>
        <w:t>。</w:t>
      </w:r>
      <w:r>
        <w:rPr>
          <w:w w:val="100"/>
        </w:rPr>
        <w:t>须由头颅断层扫</w:t>
      </w:r>
      <w:r>
        <w:rPr>
          <w:spacing w:val="-8"/>
          <w:w w:val="100"/>
        </w:rPr>
        <w:t>描</w:t>
      </w:r>
      <w:r>
        <w:rPr>
          <w:spacing w:val="-1"/>
          <w:w w:val="100"/>
        </w:rPr>
        <w:t>（</w:t>
      </w:r>
      <w:r>
        <w:rPr>
          <w:spacing w:val="-2"/>
          <w:w w:val="100"/>
        </w:rPr>
        <w:t>C</w:t>
      </w:r>
      <w:r>
        <w:rPr>
          <w:spacing w:val="0"/>
          <w:w w:val="100"/>
        </w:rPr>
        <w:t>T</w:t>
      </w:r>
      <w:r>
        <w:rPr>
          <w:spacing w:val="-92"/>
          <w:w w:val="100"/>
        </w:rPr>
        <w:t>）</w:t>
      </w:r>
      <w:r>
        <w:rPr>
          <w:spacing w:val="-8"/>
          <w:w w:val="100"/>
        </w:rPr>
        <w:t>、</w:t>
      </w:r>
      <w:r>
        <w:rPr>
          <w:w w:val="100"/>
        </w:rPr>
        <w:t>核磁共振检</w:t>
      </w:r>
      <w:r>
        <w:rPr>
          <w:spacing w:val="-8"/>
          <w:w w:val="100"/>
        </w:rPr>
        <w:t>查</w:t>
      </w:r>
      <w:r>
        <w:rPr>
          <w:spacing w:val="-1"/>
          <w:w w:val="100"/>
        </w:rPr>
        <w:t>（</w:t>
      </w:r>
      <w:r>
        <w:rPr>
          <w:spacing w:val="-2"/>
          <w:w w:val="100"/>
        </w:rPr>
        <w:t>M</w:t>
      </w:r>
      <w:r>
        <w:rPr>
          <w:spacing w:val="0"/>
          <w:w w:val="100"/>
        </w:rPr>
        <w:t>RI</w:t>
      </w:r>
      <w:r>
        <w:rPr>
          <w:spacing w:val="-8"/>
          <w:w w:val="100"/>
        </w:rPr>
        <w:t>）</w:t>
      </w:r>
      <w:r>
        <w:rPr>
          <w:w w:val="100"/>
        </w:rPr>
        <w:t>或正</w:t>
      </w:r>
      <w:r>
        <w:rPr>
          <w:spacing w:val="-3"/>
          <w:w w:val="100"/>
        </w:rPr>
        <w:t>电</w:t>
      </w:r>
      <w:r>
        <w:rPr>
          <w:w w:val="100"/>
        </w:rPr>
        <w:t>子发射断层扫描</w:t>
      </w:r>
    </w:p>
    <w:p>
      <w:pPr>
        <w:pStyle w:val="BodyText"/>
        <w:spacing w:line="237" w:lineRule="auto" w:before="1"/>
        <w:ind w:right="277"/>
      </w:pPr>
      <w:r>
        <w:rPr>
          <w:spacing w:val="-4"/>
        </w:rPr>
        <w:t>（PET）</w:t>
      </w:r>
      <w:r>
        <w:rPr>
          <w:spacing w:val="-6"/>
        </w:rPr>
        <w:t>等影像学检查证实。神经系统永久性的功能障碍，指脑损伤 </w:t>
      </w:r>
      <w:r>
        <w:rPr/>
        <w:t>180</w:t>
      </w:r>
      <w:r>
        <w:rPr>
          <w:spacing w:val="-14"/>
        </w:rPr>
        <w:t> 天后</w:t>
      </w:r>
      <w:r>
        <w:rPr>
          <w:spacing w:val="-1"/>
        </w:rPr>
        <w:t>仍遗留下列一种或一种以上障碍：</w:t>
      </w:r>
    </w:p>
    <w:p>
      <w:pPr>
        <w:pStyle w:val="BodyText"/>
        <w:spacing w:line="231" w:lineRule="exact"/>
      </w:pPr>
      <w:r>
        <w:rPr/>
        <w:t>（1）一肢或一肢以上肢体机能完全丧失；</w:t>
      </w:r>
    </w:p>
    <w:p>
      <w:pPr>
        <w:pStyle w:val="BodyText"/>
        <w:spacing w:line="234" w:lineRule="exact"/>
      </w:pPr>
      <w:r>
        <w:rPr/>
        <w:t>（2）语言能力或咀嚼吞咽能力完全丧失；</w:t>
      </w:r>
    </w:p>
    <w:p>
      <w:pPr>
        <w:pStyle w:val="BodyText"/>
        <w:spacing w:line="237" w:lineRule="auto" w:before="2"/>
        <w:ind w:left="2990" w:right="779" w:hanging="452"/>
      </w:pPr>
      <w:r>
        <w:rPr/>
        <w:t>（3）自主生活能力完全丧失，无法独立完成六项基本日常生活活动中的三项或三项以上。</w:t>
      </w:r>
    </w:p>
    <w:p>
      <w:pPr>
        <w:pStyle w:val="BodyText"/>
        <w:spacing w:line="237" w:lineRule="auto"/>
        <w:ind w:right="191" w:hanging="2439"/>
        <w:jc w:val="both"/>
      </w:pPr>
      <w:r>
        <w:rPr/>
        <w:t>19</w:t>
      </w:r>
      <w:r>
        <w:rPr>
          <w:spacing w:val="-4"/>
        </w:rPr>
        <w:t>、严重帕金森病       ： 是一种中枢神经系统的退行性疾病，临床表现为震颤麻痹、共济失调等。须满</w:t>
      </w:r>
      <w:r>
        <w:rPr>
          <w:spacing w:val="-1"/>
        </w:rPr>
        <w:t>足下列全部条件：</w:t>
      </w:r>
    </w:p>
    <w:p>
      <w:pPr>
        <w:pStyle w:val="BodyText"/>
        <w:spacing w:line="234" w:lineRule="exact"/>
      </w:pPr>
      <w:r>
        <w:rPr/>
        <w:t>（1）药物治疗无法控制病情；</w:t>
      </w:r>
    </w:p>
    <w:p>
      <w:pPr>
        <w:pStyle w:val="BodyText"/>
        <w:spacing w:line="237" w:lineRule="auto"/>
        <w:ind w:left="2990" w:right="779" w:hanging="452"/>
      </w:pPr>
      <w:r>
        <w:rPr/>
        <w:t>（2）自主生活能力完全丧失，无法独立完成六项基本日常生活活动中的三项或三项以上。</w:t>
      </w:r>
    </w:p>
    <w:p>
      <w:pPr>
        <w:pStyle w:val="BodyText"/>
        <w:spacing w:line="234" w:lineRule="exact"/>
      </w:pPr>
      <w:r>
        <w:rPr/>
        <w:t>继发性帕金森综合征不在保障范围内。</w:t>
      </w:r>
    </w:p>
    <w:p>
      <w:pPr>
        <w:pStyle w:val="BodyText"/>
        <w:spacing w:line="237" w:lineRule="auto" w:before="1"/>
        <w:ind w:right="277" w:hanging="2439"/>
        <w:jc w:val="both"/>
      </w:pPr>
      <w:r>
        <w:rPr/>
        <w:t>20</w:t>
      </w:r>
      <w:r>
        <w:rPr>
          <w:spacing w:val="-4"/>
        </w:rPr>
        <w:t>、严重Ⅲ度烧伤       ： 指烧伤程度为Ⅲ度，且Ⅲ度烧伤的面积达到全身体表面积的 </w:t>
      </w:r>
      <w:r>
        <w:rPr/>
        <w:t>20</w:t>
      </w:r>
      <w:r>
        <w:rPr>
          <w:spacing w:val="-16"/>
        </w:rPr>
        <w:t>％或 </w:t>
      </w:r>
      <w:r>
        <w:rPr/>
        <w:t>20％以上</w:t>
      </w:r>
      <w:r>
        <w:rPr>
          <w:spacing w:val="-1"/>
        </w:rPr>
        <w:t>体表面积根据《中国新九分法》计算。</w:t>
      </w:r>
    </w:p>
    <w:p>
      <w:pPr>
        <w:pStyle w:val="BodyText"/>
        <w:spacing w:line="237" w:lineRule="auto"/>
        <w:ind w:right="189" w:hanging="2439"/>
        <w:jc w:val="both"/>
      </w:pPr>
      <w:r>
        <w:rPr/>
        <w:t>21</w:t>
      </w:r>
      <w:r>
        <w:rPr>
          <w:spacing w:val="-9"/>
        </w:rPr>
        <w:t>、严重原发性肺动脉高压 ： 指不明原因的肺动脉压力持续性增高，进行性发展而导致的慢性疾病，已经造</w:t>
      </w:r>
      <w:r>
        <w:rPr>
          <w:spacing w:val="-11"/>
        </w:rPr>
        <w:t>成永久不可逆性的体力活动能力受限，达到美国纽约心脏病学会心功能状态分</w:t>
      </w:r>
      <w:r>
        <w:rPr>
          <w:spacing w:val="-29"/>
        </w:rPr>
        <w:t>级 </w:t>
      </w:r>
      <w:r>
        <w:rPr/>
        <w:t>IV</w:t>
      </w:r>
      <w:r>
        <w:rPr>
          <w:spacing w:val="-10"/>
        </w:rPr>
        <w:t> 级，且静息状态下肺动脉平均压超过 </w:t>
      </w:r>
      <w:r>
        <w:rPr/>
        <w:t>30mmHg。</w:t>
      </w:r>
    </w:p>
    <w:p>
      <w:pPr>
        <w:spacing w:after="0" w:line="237" w:lineRule="auto"/>
        <w:jc w:val="both"/>
        <w:sectPr>
          <w:pgSz w:w="11960" w:h="16850"/>
          <w:pgMar w:header="0" w:footer="1001" w:top="1600" w:bottom="1200" w:left="1600" w:right="1540"/>
        </w:sectPr>
      </w:pPr>
    </w:p>
    <w:p>
      <w:pPr>
        <w:pStyle w:val="BodyText"/>
        <w:spacing w:line="237" w:lineRule="auto" w:before="76"/>
        <w:ind w:right="110" w:hanging="2439"/>
        <w:jc w:val="both"/>
      </w:pPr>
      <w:r>
        <w:rPr/>
        <w:t>22</w:t>
      </w:r>
      <w:r>
        <w:rPr>
          <w:spacing w:val="-1"/>
        </w:rPr>
        <w:t>、严重运动神经元病   ： 是一组中枢神经系统运动神经元的进行性变性疾病，包括进行性脊肌萎缩症、</w:t>
      </w:r>
      <w:r>
        <w:rPr>
          <w:spacing w:val="-5"/>
        </w:rPr>
        <w:t>进行性延髓麻痹症、原发性侧索硬化症、肌萎缩性侧索硬化症。须满足自主生</w:t>
      </w:r>
      <w:r>
        <w:rPr>
          <w:spacing w:val="-9"/>
        </w:rPr>
        <w:t>活能力完全丧失，无法独立完成六项基本日常生活活动中的三项或三项以上的</w:t>
      </w:r>
      <w:r>
        <w:rPr>
          <w:spacing w:val="-1"/>
        </w:rPr>
        <w:t>条件。</w:t>
      </w:r>
    </w:p>
    <w:p>
      <w:pPr>
        <w:pStyle w:val="BodyText"/>
        <w:spacing w:line="237" w:lineRule="auto"/>
        <w:ind w:right="149" w:hanging="2439"/>
        <w:jc w:val="both"/>
      </w:pPr>
      <w:r>
        <w:rPr/>
        <w:t>23</w:t>
      </w:r>
      <w:r>
        <w:rPr>
          <w:spacing w:val="-2"/>
        </w:rPr>
        <w:t>、语言能力丧失 ： 指因疾病或意外伤害导致完全丧失语言能力，经过积极治疗至少 </w:t>
      </w:r>
      <w:r>
        <w:rPr/>
        <w:t>12</w:t>
      </w:r>
      <w:r>
        <w:rPr>
          <w:spacing w:val="-8"/>
        </w:rPr>
        <w:t> 个月</w:t>
      </w:r>
      <w:r>
        <w:rPr/>
        <w:t>（声</w:t>
      </w:r>
      <w:r>
        <w:rPr>
          <w:w w:val="100"/>
        </w:rPr>
        <w:t>带完全</w:t>
      </w:r>
      <w:r>
        <w:rPr>
          <w:spacing w:val="-1"/>
          <w:w w:val="100"/>
        </w:rPr>
        <w:t>切除不受此时间限制</w:t>
      </w:r>
      <w:r>
        <w:rPr>
          <w:spacing w:val="-92"/>
          <w:w w:val="100"/>
        </w:rPr>
        <w:t>）</w:t>
      </w:r>
      <w:r>
        <w:rPr>
          <w:spacing w:val="-1"/>
          <w:w w:val="100"/>
        </w:rPr>
        <w:t>，仍无法通过现有医疗手段恢复。</w:t>
      </w:r>
    </w:p>
    <w:p>
      <w:pPr>
        <w:pStyle w:val="BodyText"/>
        <w:spacing w:line="233" w:lineRule="exact"/>
      </w:pPr>
      <w:r>
        <w:rPr/>
        <w:t>精神心理因素所致的语言能力丧失不在保障范围内。</w:t>
      </w:r>
    </w:p>
    <w:p>
      <w:pPr>
        <w:pStyle w:val="BodyText"/>
        <w:spacing w:line="237" w:lineRule="auto" w:before="2"/>
        <w:ind w:right="157" w:hanging="2439"/>
        <w:jc w:val="both"/>
      </w:pPr>
      <w:r>
        <w:rPr/>
        <w:t>24</w:t>
      </w:r>
      <w:r>
        <w:rPr>
          <w:spacing w:val="-5"/>
        </w:rPr>
        <w:t>、重型再生障碍性贫血  ： 指因骨髓造血功能慢性持续性衰竭导致的贫血、中性粒细胞减少及血小板减</w:t>
      </w:r>
      <w:r>
        <w:rPr>
          <w:spacing w:val="-1"/>
        </w:rPr>
        <w:t>少。须满足下列全部条件：</w:t>
      </w:r>
    </w:p>
    <w:p>
      <w:pPr>
        <w:pStyle w:val="BodyText"/>
        <w:spacing w:line="231" w:lineRule="exact"/>
      </w:pPr>
      <w:r>
        <w:rPr/>
        <w:t>（1）骨髓穿刺检查或骨髓活检结果支持诊断；</w:t>
      </w:r>
    </w:p>
    <w:p>
      <w:pPr>
        <w:pStyle w:val="BodyText"/>
        <w:spacing w:line="234" w:lineRule="exact"/>
      </w:pPr>
      <w:r>
        <w:rPr/>
        <w:t>（2）外周血象须具备以下三项条件：</w:t>
      </w:r>
    </w:p>
    <w:p>
      <w:pPr>
        <w:pStyle w:val="ListParagraph"/>
        <w:numPr>
          <w:ilvl w:val="1"/>
          <w:numId w:val="4"/>
        </w:numPr>
        <w:tabs>
          <w:tab w:pos="3380" w:val="left" w:leader="none"/>
        </w:tabs>
        <w:spacing w:line="234" w:lineRule="exact" w:before="0" w:after="0"/>
        <w:ind w:left="3379" w:right="0" w:hanging="302"/>
        <w:jc w:val="left"/>
        <w:rPr>
          <w:sz w:val="18"/>
        </w:rPr>
      </w:pPr>
      <w:r>
        <w:rPr>
          <w:spacing w:val="-1"/>
          <w:sz w:val="18"/>
        </w:rPr>
        <w:t>中性粒细胞绝对值≤</w:t>
      </w:r>
      <w:r>
        <w:rPr>
          <w:sz w:val="18"/>
        </w:rPr>
        <w:t>0.5×10</w:t>
      </w:r>
      <w:r>
        <w:rPr>
          <w:position w:val="9"/>
          <w:sz w:val="9"/>
        </w:rPr>
        <w:t>9</w:t>
      </w:r>
      <w:r>
        <w:rPr>
          <w:sz w:val="18"/>
        </w:rPr>
        <w:t>/L；</w:t>
      </w:r>
    </w:p>
    <w:p>
      <w:pPr>
        <w:pStyle w:val="ListParagraph"/>
        <w:numPr>
          <w:ilvl w:val="1"/>
          <w:numId w:val="4"/>
        </w:numPr>
        <w:tabs>
          <w:tab w:pos="3380" w:val="left" w:leader="none"/>
        </w:tabs>
        <w:spacing w:line="233" w:lineRule="exact" w:before="0" w:after="0"/>
        <w:ind w:left="3379" w:right="0" w:hanging="302"/>
        <w:jc w:val="left"/>
        <w:rPr>
          <w:sz w:val="18"/>
        </w:rPr>
      </w:pPr>
      <w:r>
        <w:rPr>
          <w:sz w:val="18"/>
        </w:rPr>
        <w:t>网织红细胞＜1%；</w:t>
      </w:r>
    </w:p>
    <w:p>
      <w:pPr>
        <w:pStyle w:val="ListParagraph"/>
        <w:numPr>
          <w:ilvl w:val="1"/>
          <w:numId w:val="4"/>
        </w:numPr>
        <w:tabs>
          <w:tab w:pos="3380" w:val="left" w:leader="none"/>
        </w:tabs>
        <w:spacing w:line="233" w:lineRule="exact" w:before="0" w:after="0"/>
        <w:ind w:left="3379" w:right="0" w:hanging="326"/>
        <w:jc w:val="left"/>
        <w:rPr>
          <w:sz w:val="18"/>
        </w:rPr>
      </w:pPr>
      <w:r>
        <w:rPr>
          <w:spacing w:val="-1"/>
          <w:sz w:val="18"/>
        </w:rPr>
        <w:t>血小板绝对值≤</w:t>
      </w:r>
      <w:r>
        <w:rPr>
          <w:sz w:val="18"/>
        </w:rPr>
        <w:t>20×10</w:t>
      </w:r>
      <w:r>
        <w:rPr>
          <w:position w:val="9"/>
          <w:sz w:val="9"/>
        </w:rPr>
        <w:t>9</w:t>
      </w:r>
      <w:r>
        <w:rPr>
          <w:sz w:val="18"/>
        </w:rPr>
        <w:t>/L。</w:t>
      </w:r>
    </w:p>
    <w:p>
      <w:pPr>
        <w:pStyle w:val="BodyText"/>
        <w:tabs>
          <w:tab w:pos="2340" w:val="left" w:leader="none"/>
        </w:tabs>
        <w:spacing w:line="237" w:lineRule="auto" w:before="1"/>
        <w:ind w:right="149" w:hanging="2439"/>
        <w:jc w:val="both"/>
      </w:pPr>
      <w:r>
        <w:rPr/>
        <w:t>25、主动脉手术</w:t>
        <w:tab/>
        <w:t>：</w:t>
      </w:r>
      <w:r>
        <w:rPr>
          <w:spacing w:val="-72"/>
        </w:rPr>
        <w:t> </w:t>
      </w:r>
      <w:r>
        <w:rPr/>
        <w:t>指为治疗主动脉疾病</w:t>
      </w:r>
      <w:r>
        <w:rPr>
          <w:spacing w:val="-15"/>
        </w:rPr>
        <w:t>，</w:t>
      </w:r>
      <w:r>
        <w:rPr/>
        <w:t>实际实施了开胸或开腹进行的切除</w:t>
      </w:r>
      <w:r>
        <w:rPr>
          <w:spacing w:val="-13"/>
        </w:rPr>
        <w:t>、</w:t>
      </w:r>
      <w:r>
        <w:rPr/>
        <w:t>置换</w:t>
      </w:r>
      <w:r>
        <w:rPr>
          <w:spacing w:val="-15"/>
        </w:rPr>
        <w:t>、</w:t>
      </w:r>
      <w:r>
        <w:rPr/>
        <w:t>修补病损主动脉血管的手术</w:t>
      </w:r>
      <w:r>
        <w:rPr>
          <w:spacing w:val="-20"/>
        </w:rPr>
        <w:t>。</w:t>
      </w:r>
      <w:r>
        <w:rPr/>
        <w:t>主动脉指胸主动脉和腹主动脉</w:t>
      </w:r>
      <w:r>
        <w:rPr>
          <w:spacing w:val="-20"/>
        </w:rPr>
        <w:t>，</w:t>
      </w:r>
      <w:r>
        <w:rPr/>
        <w:t>不包括胸主动脉和腹主动脉</w:t>
      </w:r>
      <w:r>
        <w:rPr>
          <w:spacing w:val="-1"/>
        </w:rPr>
        <w:t>的</w:t>
      </w:r>
      <w:r>
        <w:rPr/>
        <w:t>分支血管。</w:t>
      </w:r>
    </w:p>
    <w:p>
      <w:pPr>
        <w:pStyle w:val="BodyText"/>
        <w:spacing w:line="233" w:lineRule="exact"/>
      </w:pPr>
      <w:r>
        <w:rPr/>
        <w:t>动脉内血管成形术不在保障范围内。</w:t>
      </w:r>
    </w:p>
    <w:p>
      <w:pPr>
        <w:pStyle w:val="BodyText"/>
        <w:spacing w:line="237" w:lineRule="auto" w:before="2"/>
        <w:ind w:left="101" w:right="208"/>
      </w:pPr>
      <w:r>
        <w:rPr/>
        <w:t>以上重大疾病使用的定义为由中国保险行业协会所制定的统一的疾病定义，而以下疾病定义是我们在参考国内外重大疾病保险发展状况并结合现代医学进展情况的基础上所制定的。</w:t>
      </w:r>
    </w:p>
    <w:p>
      <w:pPr>
        <w:pStyle w:val="BodyText"/>
        <w:spacing w:line="237" w:lineRule="auto"/>
        <w:ind w:right="148" w:hanging="2439"/>
        <w:jc w:val="both"/>
      </w:pPr>
      <w:r>
        <w:rPr/>
        <w:t>26</w:t>
      </w:r>
      <w:r>
        <w:rPr>
          <w:spacing w:val="-5"/>
        </w:rPr>
        <w:t>、慢性呼吸功能衰竭    ： 指被保险人必须经我们认可的医院的呼吸科专科医师确诊患有慢性肺部疾病</w:t>
      </w:r>
      <w:r>
        <w:rPr>
          <w:spacing w:val="-1"/>
        </w:rPr>
        <w:t>而出现慢性呼吸功能衰竭，其诊断标准包括以下各项：</w:t>
      </w:r>
    </w:p>
    <w:p>
      <w:pPr>
        <w:pStyle w:val="ListParagraph"/>
        <w:numPr>
          <w:ilvl w:val="0"/>
          <w:numId w:val="5"/>
        </w:numPr>
        <w:tabs>
          <w:tab w:pos="2960" w:val="left" w:leader="none"/>
        </w:tabs>
        <w:spacing w:line="234" w:lineRule="exact" w:before="0" w:after="0"/>
        <w:ind w:left="2959" w:right="0" w:hanging="420"/>
        <w:jc w:val="left"/>
        <w:rPr>
          <w:sz w:val="18"/>
        </w:rPr>
      </w:pPr>
      <w:r>
        <w:rPr>
          <w:spacing w:val="-7"/>
          <w:sz w:val="18"/>
        </w:rPr>
        <w:t>肺功能测试其 </w:t>
      </w:r>
      <w:r>
        <w:rPr>
          <w:sz w:val="18"/>
        </w:rPr>
        <w:t>FEV1</w:t>
      </w:r>
      <w:r>
        <w:rPr>
          <w:spacing w:val="-17"/>
          <w:sz w:val="18"/>
        </w:rPr>
        <w:t> 持续低于 </w:t>
      </w:r>
      <w:r>
        <w:rPr>
          <w:sz w:val="18"/>
        </w:rPr>
        <w:t>1</w:t>
      </w:r>
      <w:r>
        <w:rPr>
          <w:spacing w:val="-16"/>
          <w:sz w:val="18"/>
        </w:rPr>
        <w:t> 升；</w:t>
      </w:r>
    </w:p>
    <w:p>
      <w:pPr>
        <w:pStyle w:val="ListParagraph"/>
        <w:numPr>
          <w:ilvl w:val="0"/>
          <w:numId w:val="5"/>
        </w:numPr>
        <w:tabs>
          <w:tab w:pos="2960" w:val="left" w:leader="none"/>
        </w:tabs>
        <w:spacing w:line="233" w:lineRule="exact" w:before="0" w:after="0"/>
        <w:ind w:left="2959" w:right="0" w:hanging="420"/>
        <w:jc w:val="left"/>
        <w:rPr>
          <w:sz w:val="18"/>
        </w:rPr>
      </w:pPr>
      <w:r>
        <w:rPr>
          <w:spacing w:val="-1"/>
          <w:sz w:val="18"/>
        </w:rPr>
        <w:t>病人血氧不足必须持续地进行输氧治疗；</w:t>
      </w:r>
    </w:p>
    <w:p>
      <w:pPr>
        <w:pStyle w:val="ListParagraph"/>
        <w:numPr>
          <w:ilvl w:val="0"/>
          <w:numId w:val="5"/>
        </w:numPr>
        <w:tabs>
          <w:tab w:pos="2960" w:val="left" w:leader="none"/>
        </w:tabs>
        <w:spacing w:line="233" w:lineRule="exact" w:before="0" w:after="0"/>
        <w:ind w:left="2959" w:right="0" w:hanging="420"/>
        <w:jc w:val="left"/>
        <w:rPr>
          <w:sz w:val="18"/>
        </w:rPr>
      </w:pPr>
      <w:r>
        <w:rPr>
          <w:spacing w:val="-3"/>
          <w:sz w:val="18"/>
        </w:rPr>
        <w:t>动脉血气分析氧分压等于或低于 </w:t>
      </w:r>
      <w:r>
        <w:rPr>
          <w:sz w:val="18"/>
        </w:rPr>
        <w:t>55mmHg；</w:t>
      </w:r>
    </w:p>
    <w:p>
      <w:pPr>
        <w:pStyle w:val="ListParagraph"/>
        <w:numPr>
          <w:ilvl w:val="0"/>
          <w:numId w:val="5"/>
        </w:numPr>
        <w:tabs>
          <w:tab w:pos="2960" w:val="left" w:leader="none"/>
        </w:tabs>
        <w:spacing w:line="234" w:lineRule="exact" w:before="0" w:after="0"/>
        <w:ind w:left="2959" w:right="0" w:hanging="420"/>
        <w:jc w:val="left"/>
        <w:rPr>
          <w:sz w:val="18"/>
        </w:rPr>
      </w:pPr>
      <w:r>
        <w:rPr>
          <w:spacing w:val="-1"/>
          <w:sz w:val="18"/>
        </w:rPr>
        <w:t>休息时出现呼吸困难。</w:t>
      </w:r>
    </w:p>
    <w:p>
      <w:pPr>
        <w:pStyle w:val="BodyText"/>
        <w:spacing w:line="237" w:lineRule="auto" w:before="2"/>
        <w:ind w:right="149" w:hanging="2439"/>
        <w:jc w:val="both"/>
      </w:pPr>
      <w:r>
        <w:rPr/>
        <w:t>27</w:t>
      </w:r>
      <w:r>
        <w:rPr>
          <w:spacing w:val="-3"/>
        </w:rPr>
        <w:t>、多发性硬化症       ： 多发性硬化症为中枢神经系统白质多灶性脱髓鞘病变，病变有时累及灰质。多</w:t>
      </w:r>
      <w:r>
        <w:rPr>
          <w:spacing w:val="-5"/>
        </w:rPr>
        <w:t>发性硬化症必须由我们认可的医院的神经专科医生确诊。必须伴有典型的脱髓</w:t>
      </w:r>
      <w:r>
        <w:rPr>
          <w:spacing w:val="-6"/>
        </w:rPr>
        <w:t>鞘症状和运动及感觉功能障碍的证据并有 </w:t>
      </w:r>
      <w:r>
        <w:rPr/>
        <w:t>MRI</w:t>
      </w:r>
      <w:r>
        <w:rPr>
          <w:spacing w:val="-5"/>
        </w:rPr>
        <w:t> 和脑脊液检查的典型改变。 多</w:t>
      </w:r>
      <w:r>
        <w:rPr/>
        <w:t>发性硬化症必须造成神经系统永久性功能损害并且已导致被保险人自主生活</w:t>
      </w:r>
      <w:r>
        <w:rPr>
          <w:spacing w:val="-6"/>
        </w:rPr>
        <w:t>能力完全丧失，无法独立完成六项基本日常生活活动中的三项或三项以上持续</w:t>
      </w:r>
      <w:r>
        <w:rPr>
          <w:spacing w:val="-26"/>
        </w:rPr>
        <w:t>达 </w:t>
      </w:r>
      <w:r>
        <w:rPr/>
        <w:t>180</w:t>
      </w:r>
      <w:r>
        <w:rPr>
          <w:spacing w:val="-10"/>
        </w:rPr>
        <w:t> 天以上。</w:t>
      </w:r>
    </w:p>
    <w:p>
      <w:pPr>
        <w:pStyle w:val="BodyText"/>
        <w:ind w:right="151" w:hanging="2439"/>
        <w:jc w:val="both"/>
      </w:pPr>
      <w:r>
        <w:rPr/>
        <w:t>28</w:t>
      </w:r>
      <w:r>
        <w:rPr>
          <w:spacing w:val="-3"/>
        </w:rPr>
        <w:t>、肌营养不良症       ： 肌营养不良症是一组遗传性肌肉变性坏死性病变，临床特征为与神经系统无关</w:t>
      </w:r>
      <w:r>
        <w:rPr>
          <w:spacing w:val="-1"/>
        </w:rPr>
        <w:t>的骨骼肌对称地进行性无力和萎缩，其诊断需同时符合以下条件：</w:t>
      </w:r>
    </w:p>
    <w:p>
      <w:pPr>
        <w:pStyle w:val="ListParagraph"/>
        <w:numPr>
          <w:ilvl w:val="0"/>
          <w:numId w:val="6"/>
        </w:numPr>
        <w:tabs>
          <w:tab w:pos="2955" w:val="left" w:leader="none"/>
        </w:tabs>
        <w:spacing w:line="231" w:lineRule="exact" w:before="3" w:after="0"/>
        <w:ind w:left="2954" w:right="0" w:hanging="420"/>
        <w:jc w:val="left"/>
        <w:rPr>
          <w:sz w:val="18"/>
        </w:rPr>
      </w:pPr>
      <w:r>
        <w:rPr>
          <w:spacing w:val="-1"/>
          <w:sz w:val="18"/>
        </w:rPr>
        <w:t>肌电图显示典型肌营养不良症的阳性改变；</w:t>
      </w:r>
    </w:p>
    <w:p>
      <w:pPr>
        <w:pStyle w:val="ListParagraph"/>
        <w:numPr>
          <w:ilvl w:val="0"/>
          <w:numId w:val="6"/>
        </w:numPr>
        <w:tabs>
          <w:tab w:pos="2955" w:val="left" w:leader="none"/>
        </w:tabs>
        <w:spacing w:line="233" w:lineRule="exact" w:before="0" w:after="0"/>
        <w:ind w:left="2954" w:right="0" w:hanging="420"/>
        <w:jc w:val="left"/>
        <w:rPr>
          <w:sz w:val="18"/>
        </w:rPr>
      </w:pPr>
      <w:r>
        <w:rPr>
          <w:sz w:val="18"/>
        </w:rPr>
        <w:t>血清肌酸磷酸激酶（CPK）</w:t>
      </w:r>
      <w:r>
        <w:rPr>
          <w:spacing w:val="-2"/>
          <w:sz w:val="18"/>
        </w:rPr>
        <w:t>升高；</w:t>
      </w:r>
    </w:p>
    <w:p>
      <w:pPr>
        <w:pStyle w:val="ListParagraph"/>
        <w:numPr>
          <w:ilvl w:val="0"/>
          <w:numId w:val="6"/>
        </w:numPr>
        <w:tabs>
          <w:tab w:pos="2955" w:val="left" w:leader="none"/>
        </w:tabs>
        <w:spacing w:line="240" w:lineRule="auto" w:before="0" w:after="0"/>
        <w:ind w:left="2954" w:right="154" w:hanging="420"/>
        <w:jc w:val="left"/>
        <w:rPr>
          <w:sz w:val="18"/>
        </w:rPr>
      </w:pPr>
      <w:r>
        <w:rPr>
          <w:sz w:val="18"/>
        </w:rPr>
        <w:t>肌肉活检的病理学诊断符合肌营养不良症的肌肉细胞变性、坏死等阳性</w:t>
      </w:r>
      <w:r>
        <w:rPr>
          <w:spacing w:val="-1"/>
          <w:sz w:val="18"/>
        </w:rPr>
        <w:t>改变；</w:t>
      </w:r>
    </w:p>
    <w:p>
      <w:pPr>
        <w:pStyle w:val="ListParagraph"/>
        <w:numPr>
          <w:ilvl w:val="0"/>
          <w:numId w:val="6"/>
        </w:numPr>
        <w:tabs>
          <w:tab w:pos="2955" w:val="left" w:leader="none"/>
        </w:tabs>
        <w:spacing w:line="237" w:lineRule="auto" w:before="0" w:after="0"/>
        <w:ind w:left="2954" w:right="151" w:hanging="420"/>
        <w:jc w:val="left"/>
        <w:rPr>
          <w:sz w:val="18"/>
        </w:rPr>
      </w:pPr>
      <w:r>
        <w:rPr>
          <w:spacing w:val="-1"/>
          <w:sz w:val="18"/>
        </w:rPr>
        <w:t>疾病确诊 </w:t>
      </w:r>
      <w:r>
        <w:rPr>
          <w:sz w:val="18"/>
        </w:rPr>
        <w:t>180</w:t>
      </w:r>
      <w:r>
        <w:rPr>
          <w:spacing w:val="-3"/>
          <w:sz w:val="18"/>
        </w:rPr>
        <w:t> 天以后，被保险人仍完全丧失独立生活能力，无法独立完</w:t>
      </w:r>
      <w:r>
        <w:rPr>
          <w:spacing w:val="-1"/>
          <w:sz w:val="18"/>
        </w:rPr>
        <w:t>成六项基本日常生活活动中的三项或三项以上。</w:t>
      </w:r>
    </w:p>
    <w:p>
      <w:pPr>
        <w:pStyle w:val="BodyText"/>
        <w:spacing w:line="233" w:lineRule="exact"/>
        <w:ind w:left="101"/>
      </w:pPr>
      <w:r>
        <w:rPr/>
        <w:t>29、经输血导致的艾滋病病 ：被保险人感染上人类免疫缺陷病毒（HIV）并且符合下列所有条件：</w:t>
      </w:r>
    </w:p>
    <w:p>
      <w:pPr>
        <w:spacing w:after="0" w:line="233" w:lineRule="exact"/>
        <w:sectPr>
          <w:pgSz w:w="11960" w:h="16850"/>
          <w:pgMar w:header="0" w:footer="1001" w:top="1600" w:bottom="1200" w:left="1600" w:right="1580"/>
        </w:sectPr>
      </w:pPr>
    </w:p>
    <w:p>
      <w:pPr>
        <w:pStyle w:val="BodyText"/>
        <w:ind w:left="101"/>
      </w:pPr>
      <w:r>
        <w:rPr/>
        <w:t>毒感染</w:t>
      </w:r>
    </w:p>
    <w:p>
      <w:pPr>
        <w:pStyle w:val="ListParagraph"/>
        <w:numPr>
          <w:ilvl w:val="0"/>
          <w:numId w:val="7"/>
        </w:numPr>
        <w:tabs>
          <w:tab w:pos="546" w:val="left" w:leader="none"/>
        </w:tabs>
        <w:spacing w:line="237" w:lineRule="auto" w:before="2" w:after="0"/>
        <w:ind w:left="545" w:right="149" w:hanging="420"/>
        <w:jc w:val="left"/>
        <w:rPr>
          <w:sz w:val="18"/>
        </w:rPr>
      </w:pPr>
      <w:r>
        <w:rPr>
          <w:w w:val="100"/>
          <w:sz w:val="18"/>
        </w:rPr>
        <w:br w:type="column"/>
      </w:r>
      <w:r>
        <w:rPr>
          <w:sz w:val="18"/>
        </w:rPr>
        <w:t>在保障起始日或复效日之后，被保险人因治疗必需而接受输血，并且因</w:t>
      </w:r>
      <w:r>
        <w:rPr>
          <w:spacing w:val="-8"/>
          <w:sz w:val="18"/>
        </w:rPr>
        <w:t>输血而感染 </w:t>
      </w:r>
      <w:r>
        <w:rPr>
          <w:sz w:val="18"/>
        </w:rPr>
        <w:t>HIV；</w:t>
      </w:r>
    </w:p>
    <w:p>
      <w:pPr>
        <w:pStyle w:val="ListParagraph"/>
        <w:numPr>
          <w:ilvl w:val="0"/>
          <w:numId w:val="7"/>
        </w:numPr>
        <w:tabs>
          <w:tab w:pos="522" w:val="left" w:leader="none"/>
        </w:tabs>
        <w:spacing w:line="237" w:lineRule="auto" w:before="0" w:after="0"/>
        <w:ind w:left="521" w:right="151" w:hanging="420"/>
        <w:jc w:val="left"/>
        <w:rPr>
          <w:sz w:val="18"/>
        </w:rPr>
      </w:pPr>
      <w:r>
        <w:rPr>
          <w:sz w:val="18"/>
        </w:rPr>
        <w:t>提供输血治疗的输血中心或医院出具该项输血感染属医疗责任事故的报</w:t>
      </w:r>
      <w:r>
        <w:rPr>
          <w:spacing w:val="-1"/>
          <w:sz w:val="18"/>
        </w:rPr>
        <w:t>告，或者法院终审判决为医疗责任；</w:t>
      </w:r>
    </w:p>
    <w:p>
      <w:pPr>
        <w:pStyle w:val="ListParagraph"/>
        <w:numPr>
          <w:ilvl w:val="0"/>
          <w:numId w:val="7"/>
        </w:numPr>
        <w:tabs>
          <w:tab w:pos="522" w:val="left" w:leader="none"/>
        </w:tabs>
        <w:spacing w:line="234" w:lineRule="exact" w:before="1" w:after="0"/>
        <w:ind w:left="521" w:right="0" w:hanging="420"/>
        <w:jc w:val="left"/>
        <w:rPr>
          <w:sz w:val="18"/>
        </w:rPr>
      </w:pPr>
      <w:r>
        <w:rPr>
          <w:spacing w:val="-1"/>
          <w:sz w:val="18"/>
        </w:rPr>
        <w:t>提供输血治疗的输血中心或医院必须拥有合法经营执照；</w:t>
      </w:r>
    </w:p>
    <w:p>
      <w:pPr>
        <w:pStyle w:val="ListParagraph"/>
        <w:numPr>
          <w:ilvl w:val="0"/>
          <w:numId w:val="7"/>
        </w:numPr>
        <w:tabs>
          <w:tab w:pos="522" w:val="left" w:leader="none"/>
        </w:tabs>
        <w:spacing w:line="233" w:lineRule="exact" w:before="0" w:after="0"/>
        <w:ind w:left="521" w:right="0" w:hanging="420"/>
        <w:jc w:val="left"/>
        <w:rPr>
          <w:sz w:val="18"/>
        </w:rPr>
      </w:pPr>
      <w:r>
        <w:rPr>
          <w:spacing w:val="-1"/>
          <w:sz w:val="18"/>
        </w:rPr>
        <w:t>受感染的被保险人不是血友病患者；</w:t>
      </w:r>
    </w:p>
    <w:p>
      <w:pPr>
        <w:pStyle w:val="ListParagraph"/>
        <w:numPr>
          <w:ilvl w:val="0"/>
          <w:numId w:val="7"/>
        </w:numPr>
        <w:tabs>
          <w:tab w:pos="522" w:val="left" w:leader="none"/>
        </w:tabs>
        <w:spacing w:line="240" w:lineRule="auto" w:before="0" w:after="0"/>
        <w:ind w:left="521" w:right="146" w:hanging="420"/>
        <w:jc w:val="left"/>
        <w:rPr>
          <w:sz w:val="18"/>
        </w:rPr>
      </w:pPr>
      <w:r>
        <w:rPr>
          <w:spacing w:val="-3"/>
          <w:sz w:val="18"/>
        </w:rPr>
        <w:t>任何因其他传播方式</w:t>
      </w:r>
      <w:r>
        <w:rPr>
          <w:sz w:val="18"/>
        </w:rPr>
        <w:t>（</w:t>
      </w:r>
      <w:r>
        <w:rPr>
          <w:spacing w:val="-5"/>
          <w:sz w:val="18"/>
        </w:rPr>
        <w:t>包括：性传播或静脉注射毒品</w:t>
      </w:r>
      <w:r>
        <w:rPr>
          <w:spacing w:val="-25"/>
          <w:sz w:val="18"/>
        </w:rPr>
        <w:t>）</w:t>
      </w:r>
      <w:r>
        <w:rPr>
          <w:spacing w:val="-12"/>
          <w:sz w:val="18"/>
        </w:rPr>
        <w:t>导致的 </w:t>
      </w:r>
      <w:r>
        <w:rPr>
          <w:sz w:val="18"/>
        </w:rPr>
        <w:t>HIV</w:t>
      </w:r>
      <w:r>
        <w:rPr>
          <w:spacing w:val="-12"/>
          <w:sz w:val="18"/>
        </w:rPr>
        <w:t> 感染不</w:t>
      </w:r>
      <w:r>
        <w:rPr>
          <w:spacing w:val="-1"/>
          <w:sz w:val="18"/>
        </w:rPr>
        <w:t>在本保单保障范围内。</w:t>
      </w:r>
    </w:p>
    <w:p>
      <w:pPr>
        <w:spacing w:after="0" w:line="240" w:lineRule="auto"/>
        <w:jc w:val="left"/>
        <w:rPr>
          <w:sz w:val="18"/>
        </w:rPr>
        <w:sectPr>
          <w:type w:val="continuous"/>
          <w:pgSz w:w="11960" w:h="16850"/>
          <w:pgMar w:top="280" w:bottom="1200" w:left="1600" w:right="1580"/>
          <w:cols w:num="2" w:equalWidth="0">
            <w:col w:w="642" w:space="1772"/>
            <w:col w:w="6366"/>
          </w:cols>
        </w:sectPr>
      </w:pPr>
    </w:p>
    <w:p>
      <w:pPr>
        <w:pStyle w:val="BodyText"/>
        <w:spacing w:line="237" w:lineRule="auto" w:before="1"/>
        <w:ind w:right="149" w:hanging="2439"/>
        <w:jc w:val="both"/>
      </w:pPr>
      <w:r>
        <w:rPr/>
        <w:t>30</w:t>
      </w:r>
      <w:r>
        <w:rPr>
          <w:spacing w:val="-2"/>
        </w:rPr>
        <w:t>、原发性心肌病       ：指不明原因引起的一类心肌病变，包括原发性扩张型心肌病、原发性肥厚型心</w:t>
      </w:r>
      <w:r>
        <w:rPr>
          <w:spacing w:val="-5"/>
        </w:rPr>
        <w:t>肌病及原发性限制型心肌病三种，病变必须已造成事实上心室功能障碍而出现</w:t>
      </w:r>
      <w:r>
        <w:rPr>
          <w:spacing w:val="-6"/>
        </w:rPr>
        <w:t>明显的心功能衰竭，达到美国纽约心脏病协会心功能状态分级 </w:t>
      </w:r>
      <w:r>
        <w:rPr/>
        <w:t>IV</w:t>
      </w:r>
      <w:r>
        <w:rPr>
          <w:spacing w:val="-5"/>
        </w:rPr>
        <w:t> 级，且有相</w:t>
      </w:r>
      <w:r>
        <w:rPr>
          <w:spacing w:val="-8"/>
        </w:rPr>
        <w:t>关住院医疗记录显示 </w:t>
      </w:r>
      <w:r>
        <w:rPr/>
        <w:t>IV</w:t>
      </w:r>
      <w:r>
        <w:rPr>
          <w:spacing w:val="-9"/>
        </w:rPr>
        <w:t> 级心功能状态持续至少 </w:t>
      </w:r>
      <w:r>
        <w:rPr/>
        <w:t>180</w:t>
      </w:r>
      <w:r>
        <w:rPr>
          <w:spacing w:val="-6"/>
        </w:rPr>
        <w:t> 天。该疾病索赔时须要经</w:t>
      </w:r>
      <w:r>
        <w:rPr>
          <w:spacing w:val="-10"/>
        </w:rPr>
        <w:t>专科医师做出明确诊断。继发于全身性疾病或其它器官系统疾病不属本保障范</w:t>
      </w:r>
      <w:r>
        <w:rPr>
          <w:spacing w:val="-1"/>
        </w:rPr>
        <w:t>围。</w:t>
      </w:r>
    </w:p>
    <w:p>
      <w:pPr>
        <w:spacing w:after="0" w:line="237" w:lineRule="auto"/>
        <w:jc w:val="both"/>
        <w:sectPr>
          <w:type w:val="continuous"/>
          <w:pgSz w:w="11960" w:h="16850"/>
          <w:pgMar w:top="280" w:bottom="1200" w:left="1600" w:right="1580"/>
        </w:sectPr>
      </w:pPr>
    </w:p>
    <w:p>
      <w:pPr>
        <w:pStyle w:val="BodyText"/>
        <w:spacing w:before="73"/>
        <w:ind w:left="101"/>
      </w:pPr>
      <w:r>
        <w:rPr/>
        <w:t>31、系统性红斑狼疮（严重 ：红斑狼疮是指由于自身抗体和免疫复合物的沉积破坏了血管和细胞而导致的</w:t>
      </w:r>
    </w:p>
    <w:p>
      <w:pPr>
        <w:spacing w:after="0"/>
        <w:sectPr>
          <w:pgSz w:w="11960" w:h="16850"/>
          <w:pgMar w:header="0" w:footer="1001" w:top="1600" w:bottom="1200" w:left="1600" w:right="1540"/>
        </w:sectPr>
      </w:pPr>
    </w:p>
    <w:p>
      <w:pPr>
        <w:pStyle w:val="BodyText"/>
        <w:spacing w:line="232" w:lineRule="exact"/>
        <w:ind w:left="101"/>
      </w:pPr>
      <w:r>
        <w:rPr/>
        <w:t>的狼疮性肾炎）</w:t>
      </w:r>
    </w:p>
    <w:p>
      <w:pPr>
        <w:pStyle w:val="BodyText"/>
        <w:spacing w:line="237" w:lineRule="auto"/>
        <w:ind w:left="101" w:right="191"/>
        <w:jc w:val="both"/>
      </w:pPr>
      <w:r>
        <w:rPr/>
        <w:br w:type="column"/>
      </w:r>
      <w:r>
        <w:rPr>
          <w:spacing w:val="-3"/>
        </w:rPr>
        <w:t>累及多系统损害的一种自体免疫性疾病。本保障仅限于被保险人因系统性红斑</w:t>
      </w:r>
      <w:r>
        <w:rPr>
          <w:spacing w:val="-6"/>
        </w:rPr>
        <w:t>狼疮并发狼疮性肾炎并引起肾功能损害，且肾脏病理诊断符合以下列明的世界</w:t>
      </w:r>
      <w:r>
        <w:rPr>
          <w:spacing w:val="-7"/>
        </w:rPr>
        <w:t>卫生组织</w:t>
      </w:r>
      <w:r>
        <w:rPr/>
        <w:t>（WHO）</w:t>
      </w:r>
      <w:r>
        <w:rPr>
          <w:spacing w:val="-5"/>
        </w:rPr>
        <w:t>对狼疮性肾炎所分类中的第 </w:t>
      </w:r>
      <w:r>
        <w:rPr/>
        <w:t>III</w:t>
      </w:r>
      <w:r>
        <w:rPr>
          <w:spacing w:val="-8"/>
        </w:rPr>
        <w:t>、</w:t>
      </w:r>
      <w:r>
        <w:rPr/>
        <w:t>IV</w:t>
      </w:r>
      <w:r>
        <w:rPr>
          <w:spacing w:val="-10"/>
        </w:rPr>
        <w:t>、</w:t>
      </w:r>
      <w:r>
        <w:rPr/>
        <w:t>V</w:t>
      </w:r>
      <w:r>
        <w:rPr>
          <w:spacing w:val="-8"/>
        </w:rPr>
        <w:t>、</w:t>
      </w:r>
      <w:r>
        <w:rPr/>
        <w:t>VI</w:t>
      </w:r>
      <w:r>
        <w:rPr>
          <w:spacing w:val="-8"/>
        </w:rPr>
        <w:t> 型。诊断须由有</w:t>
      </w:r>
      <w:r>
        <w:rPr>
          <w:spacing w:val="-1"/>
        </w:rPr>
        <w:t>资格的风湿和免疫病专科医生确认。</w:t>
      </w:r>
    </w:p>
    <w:p>
      <w:pPr>
        <w:pStyle w:val="BodyText"/>
        <w:spacing w:line="231" w:lineRule="exact" w:before="1"/>
        <w:ind w:left="101"/>
        <w:jc w:val="both"/>
      </w:pPr>
      <w:r>
        <w:rPr/>
        <w:t>世界卫生组织（WHO）对狼疮性肾炎的分类标准：</w:t>
      </w:r>
    </w:p>
    <w:p>
      <w:pPr>
        <w:pStyle w:val="ListParagraph"/>
        <w:numPr>
          <w:ilvl w:val="0"/>
          <w:numId w:val="8"/>
        </w:numPr>
        <w:tabs>
          <w:tab w:pos="239" w:val="left" w:leader="none"/>
        </w:tabs>
        <w:spacing w:line="234" w:lineRule="exact" w:before="0" w:after="0"/>
        <w:ind w:left="238" w:right="0" w:hanging="137"/>
        <w:jc w:val="both"/>
        <w:rPr>
          <w:sz w:val="18"/>
        </w:rPr>
      </w:pPr>
      <w:r>
        <w:rPr>
          <w:spacing w:val="-1"/>
          <w:sz w:val="18"/>
        </w:rPr>
        <w:t>型–正常肾小球型；</w:t>
      </w:r>
    </w:p>
    <w:p>
      <w:pPr>
        <w:pStyle w:val="ListParagraph"/>
        <w:numPr>
          <w:ilvl w:val="0"/>
          <w:numId w:val="8"/>
        </w:numPr>
        <w:tabs>
          <w:tab w:pos="330" w:val="left" w:leader="none"/>
        </w:tabs>
        <w:spacing w:line="234" w:lineRule="exact" w:before="0" w:after="0"/>
        <w:ind w:left="329" w:right="0" w:hanging="228"/>
        <w:jc w:val="both"/>
        <w:rPr>
          <w:sz w:val="18"/>
        </w:rPr>
      </w:pPr>
      <w:r>
        <w:rPr>
          <w:spacing w:val="-1"/>
          <w:sz w:val="18"/>
        </w:rPr>
        <w:t>型–系膜增生型；</w:t>
      </w:r>
    </w:p>
    <w:p>
      <w:pPr>
        <w:pStyle w:val="ListParagraph"/>
        <w:numPr>
          <w:ilvl w:val="0"/>
          <w:numId w:val="8"/>
        </w:numPr>
        <w:tabs>
          <w:tab w:pos="419" w:val="left" w:leader="none"/>
        </w:tabs>
        <w:spacing w:line="233" w:lineRule="exact" w:before="0" w:after="0"/>
        <w:ind w:left="418" w:right="0" w:hanging="317"/>
        <w:jc w:val="both"/>
        <w:rPr>
          <w:sz w:val="18"/>
        </w:rPr>
      </w:pPr>
      <w:r>
        <w:rPr>
          <w:spacing w:val="-1"/>
          <w:sz w:val="18"/>
        </w:rPr>
        <w:t>型–局灶及节段增生型；</w:t>
      </w:r>
    </w:p>
    <w:p>
      <w:pPr>
        <w:pStyle w:val="ListParagraph"/>
        <w:numPr>
          <w:ilvl w:val="0"/>
          <w:numId w:val="8"/>
        </w:numPr>
        <w:tabs>
          <w:tab w:pos="330" w:val="left" w:leader="none"/>
        </w:tabs>
        <w:spacing w:line="233" w:lineRule="exact" w:before="0" w:after="0"/>
        <w:ind w:left="329" w:right="0" w:hanging="228"/>
        <w:jc w:val="both"/>
        <w:rPr>
          <w:sz w:val="18"/>
        </w:rPr>
      </w:pPr>
      <w:r>
        <w:rPr>
          <w:spacing w:val="-1"/>
          <w:sz w:val="18"/>
        </w:rPr>
        <w:t>型–弥漫增生型；</w:t>
      </w:r>
    </w:p>
    <w:p>
      <w:pPr>
        <w:pStyle w:val="ListParagraph"/>
        <w:numPr>
          <w:ilvl w:val="0"/>
          <w:numId w:val="8"/>
        </w:numPr>
        <w:tabs>
          <w:tab w:pos="239" w:val="left" w:leader="none"/>
        </w:tabs>
        <w:spacing w:line="234" w:lineRule="exact" w:before="0" w:after="0"/>
        <w:ind w:left="238" w:right="0" w:hanging="137"/>
        <w:jc w:val="both"/>
        <w:rPr>
          <w:sz w:val="18"/>
        </w:rPr>
      </w:pPr>
      <w:r>
        <w:rPr>
          <w:spacing w:val="-1"/>
          <w:sz w:val="18"/>
        </w:rPr>
        <w:t>型–膜型；</w:t>
      </w:r>
    </w:p>
    <w:p>
      <w:pPr>
        <w:pStyle w:val="ListParagraph"/>
        <w:numPr>
          <w:ilvl w:val="0"/>
          <w:numId w:val="8"/>
        </w:numPr>
        <w:tabs>
          <w:tab w:pos="330" w:val="left" w:leader="none"/>
        </w:tabs>
        <w:spacing w:line="240" w:lineRule="auto" w:before="0" w:after="0"/>
        <w:ind w:left="329" w:right="0" w:hanging="228"/>
        <w:jc w:val="both"/>
        <w:rPr>
          <w:sz w:val="18"/>
        </w:rPr>
      </w:pPr>
      <w:r>
        <w:rPr>
          <w:spacing w:val="-1"/>
          <w:sz w:val="18"/>
        </w:rPr>
        <w:t>型–肾小球硬化型。</w:t>
      </w:r>
    </w:p>
    <w:p>
      <w:pPr>
        <w:spacing w:after="0" w:line="240" w:lineRule="auto"/>
        <w:jc w:val="both"/>
        <w:rPr>
          <w:sz w:val="18"/>
        </w:rPr>
        <w:sectPr>
          <w:type w:val="continuous"/>
          <w:pgSz w:w="11960" w:h="16850"/>
          <w:pgMar w:top="280" w:bottom="1200" w:left="1600" w:right="1540"/>
          <w:cols w:num="2" w:equalWidth="0">
            <w:col w:w="1362" w:space="1076"/>
            <w:col w:w="6382"/>
          </w:cols>
        </w:sectPr>
      </w:pPr>
    </w:p>
    <w:p>
      <w:pPr>
        <w:pStyle w:val="BodyText"/>
        <w:spacing w:line="237" w:lineRule="auto"/>
        <w:ind w:right="189" w:hanging="2439"/>
        <w:jc w:val="both"/>
      </w:pPr>
      <w:r>
        <w:rPr/>
        <w:t>32</w:t>
      </w:r>
      <w:r>
        <w:rPr>
          <w:spacing w:val="-2"/>
        </w:rPr>
        <w:t>、严重溃疡性结肠炎   ：指伴有致命性电解质紊乱的急性暴发性溃疡性结肠炎，病变累及全结肠，表现</w:t>
      </w:r>
      <w:r>
        <w:rPr>
          <w:spacing w:val="-5"/>
        </w:rPr>
        <w:t>为严重的血便和系统性症状体征，治疗通常采取全结肠切除和回肠造瘘术。溃</w:t>
      </w:r>
      <w:r>
        <w:rPr>
          <w:spacing w:val="-7"/>
        </w:rPr>
        <w:t>疡性结肠炎必须根据组织病理学特点诊断，并且被保险人已经接受了结肠切除</w:t>
      </w:r>
      <w:r>
        <w:rPr>
          <w:spacing w:val="-1"/>
        </w:rPr>
        <w:t>和</w:t>
      </w:r>
      <w:r>
        <w:rPr/>
        <w:t>/或回肠造瘘术。</w:t>
      </w:r>
    </w:p>
    <w:p>
      <w:pPr>
        <w:pStyle w:val="BodyText"/>
        <w:tabs>
          <w:tab w:pos="2350" w:val="left" w:leader="none"/>
        </w:tabs>
        <w:spacing w:line="237" w:lineRule="auto"/>
        <w:ind w:right="191" w:hanging="2439"/>
        <w:jc w:val="both"/>
      </w:pPr>
      <w:r>
        <w:rPr/>
        <w:t>33、植物人状态</w:t>
        <w:tab/>
      </w:r>
      <w:r>
        <w:rPr>
          <w:spacing w:val="7"/>
        </w:rPr>
        <w:t>：</w:t>
      </w:r>
      <w:r>
        <w:rPr/>
        <w:t>指经神经科医生确诊，CT、MRI</w:t>
      </w:r>
      <w:r>
        <w:rPr>
          <w:spacing w:val="-44"/>
        </w:rPr>
        <w:t> </w:t>
      </w:r>
      <w:r>
        <w:rPr/>
        <w:t>等证实大脑皮质全面坏死</w:t>
      </w:r>
      <w:r>
        <w:rPr>
          <w:spacing w:val="-3"/>
        </w:rPr>
        <w:t>。</w:t>
      </w:r>
      <w:r>
        <w:rPr/>
        <w:t>患者临床表现意识</w:t>
      </w:r>
      <w:r>
        <w:rPr>
          <w:spacing w:val="-1"/>
        </w:rPr>
        <w:t>完全丧失，但</w:t>
      </w:r>
      <w:r>
        <w:rPr/>
        <w:t>脑干功能仍保持完好，且此情况持续一个月或一个月以上。</w:t>
      </w:r>
    </w:p>
    <w:p>
      <w:pPr>
        <w:pStyle w:val="BodyText"/>
        <w:spacing w:line="237" w:lineRule="auto" w:before="2"/>
        <w:ind w:right="186" w:hanging="2439"/>
        <w:jc w:val="both"/>
      </w:pPr>
      <w:r>
        <w:rPr/>
        <w:t>34</w:t>
      </w:r>
      <w:r>
        <w:rPr>
          <w:spacing w:val="-2"/>
        </w:rPr>
        <w:t>、慢性复发性胰腺炎   ：有腹痛等典型症状的胰腺炎反复发作超过三次以上，导致胰腺进行性破坏，并</w:t>
      </w:r>
      <w:r>
        <w:rPr>
          <w:spacing w:val="-6"/>
        </w:rPr>
        <w:t>导致胰腺功能紊乱而导致严重糖尿病以及营养不良、恶液质。</w:t>
      </w:r>
      <w:r>
        <w:rPr/>
        <w:t>CT</w:t>
      </w:r>
      <w:r>
        <w:rPr>
          <w:spacing w:val="-8"/>
        </w:rPr>
        <w:t> 检查证实胰腺</w:t>
      </w:r>
      <w:r>
        <w:rPr>
          <w:spacing w:val="-10"/>
        </w:rPr>
        <w:t>存在广泛钙化，且必须接受酶替代以及胰岛素替代治疗 </w:t>
      </w:r>
      <w:r>
        <w:rPr/>
        <w:t>6</w:t>
      </w:r>
      <w:r>
        <w:rPr>
          <w:spacing w:val="-9"/>
        </w:rPr>
        <w:t> 个月以上。诊断必须</w:t>
      </w:r>
      <w:r>
        <w:rPr>
          <w:spacing w:val="-1"/>
        </w:rPr>
        <w:t>有消化科专科医生确诊。酒精导致的慢性复发性胰腺炎除外。</w:t>
      </w:r>
    </w:p>
    <w:p>
      <w:pPr>
        <w:pStyle w:val="BodyText"/>
        <w:spacing w:line="237" w:lineRule="auto" w:before="1"/>
        <w:ind w:right="189" w:hanging="2439"/>
        <w:jc w:val="both"/>
      </w:pPr>
      <w:r>
        <w:rPr/>
        <w:t>35、急性脊髓灰质炎      ：指由于急性脊髓灰质炎病毒感染所导致的运动功能障碍或呼吸功能减弱的瘫</w:t>
      </w:r>
      <w:r>
        <w:rPr>
          <w:spacing w:val="-7"/>
        </w:rPr>
        <w:t>痪性疾病。诊断必须由我们认可的神经科专科医生确诊并提供相关的脊髓灰质炎病毒感染的证据（例如：脑脊液检查或血清学抗体检查报告</w:t>
      </w:r>
      <w:r>
        <w:rPr>
          <w:spacing w:val="-89"/>
        </w:rPr>
        <w:t>）</w:t>
      </w:r>
      <w:r>
        <w:rPr/>
        <w:t>。未导致肢体</w:t>
      </w:r>
      <w:r>
        <w:rPr>
          <w:spacing w:val="-4"/>
        </w:rPr>
        <w:t>瘫痪及其它病因所致的瘫痪，例如格林一巴利综合症(急性感染性多神经炎)则</w:t>
      </w:r>
      <w:r>
        <w:rPr>
          <w:spacing w:val="-1"/>
        </w:rPr>
        <w:t>不在此保障范围以内。</w:t>
      </w:r>
    </w:p>
    <w:p>
      <w:pPr>
        <w:pStyle w:val="BodyText"/>
        <w:tabs>
          <w:tab w:pos="2350" w:val="left" w:leader="none"/>
        </w:tabs>
        <w:spacing w:line="237" w:lineRule="auto"/>
        <w:ind w:right="150" w:hanging="2439"/>
        <w:jc w:val="both"/>
      </w:pPr>
      <w:r>
        <w:rPr/>
        <w:t>36、重症肌无力</w:t>
        <w:tab/>
      </w:r>
      <w:r>
        <w:rPr>
          <w:spacing w:val="7"/>
        </w:rPr>
        <w:t>：</w:t>
      </w:r>
      <w:r>
        <w:rPr/>
        <w:t>指一种神经与肌肉接头部位传递障碍的自身免疫性疾病</w:t>
      </w:r>
      <w:r>
        <w:rPr>
          <w:spacing w:val="-41"/>
        </w:rPr>
        <w:t>，</w:t>
      </w:r>
      <w:r>
        <w:rPr/>
        <w:t>临床特征是局部或全身横纹肌于活动时易于疲劳无力，颅神经眼外肌最易累及，也可涉及呼吸肌、下肢近端肌群乃至全身肌肉</w:t>
      </w:r>
      <w:r>
        <w:rPr>
          <w:spacing w:val="-20"/>
        </w:rPr>
        <w:t>，</w:t>
      </w:r>
      <w:r>
        <w:rPr/>
        <w:t>须经我们认可的神经科医师确诊</w:t>
      </w:r>
      <w:r>
        <w:rPr>
          <w:spacing w:val="-20"/>
        </w:rPr>
        <w:t>。</w:t>
      </w:r>
      <w:r>
        <w:rPr/>
        <w:t>其诊断必须同</w:t>
      </w:r>
      <w:r>
        <w:rPr>
          <w:spacing w:val="-1"/>
        </w:rPr>
        <w:t>时</w:t>
      </w:r>
      <w:r>
        <w:rPr/>
        <w:t>具有下列情况：</w:t>
      </w:r>
    </w:p>
    <w:p>
      <w:pPr>
        <w:pStyle w:val="ListParagraph"/>
        <w:numPr>
          <w:ilvl w:val="1"/>
          <w:numId w:val="8"/>
        </w:numPr>
        <w:tabs>
          <w:tab w:pos="2960" w:val="left" w:leader="none"/>
        </w:tabs>
        <w:spacing w:line="231" w:lineRule="exact" w:before="1" w:after="0"/>
        <w:ind w:left="2959" w:right="0" w:hanging="420"/>
        <w:jc w:val="left"/>
        <w:rPr>
          <w:sz w:val="18"/>
        </w:rPr>
      </w:pPr>
      <w:r>
        <w:rPr>
          <w:spacing w:val="-1"/>
          <w:sz w:val="18"/>
        </w:rPr>
        <w:t>经药物、胸腺手术治疗一年以上无法控制病情，丧失正常工作能力；</w:t>
      </w:r>
    </w:p>
    <w:p>
      <w:pPr>
        <w:pStyle w:val="ListParagraph"/>
        <w:numPr>
          <w:ilvl w:val="1"/>
          <w:numId w:val="8"/>
        </w:numPr>
        <w:tabs>
          <w:tab w:pos="2960" w:val="left" w:leader="none"/>
        </w:tabs>
        <w:spacing w:line="240" w:lineRule="auto" w:before="0" w:after="0"/>
        <w:ind w:left="2959" w:right="189" w:hanging="420"/>
        <w:jc w:val="left"/>
        <w:rPr>
          <w:sz w:val="18"/>
        </w:rPr>
      </w:pPr>
      <w:r>
        <w:rPr>
          <w:sz w:val="18"/>
        </w:rPr>
        <w:t>出现眼睑下垂，或构音困难、进食呛咳，或由于肌无力累及呼吸肌而致</w:t>
      </w:r>
      <w:r>
        <w:rPr>
          <w:spacing w:val="-1"/>
          <w:sz w:val="18"/>
        </w:rPr>
        <w:t>机体呼吸功能不正常的危急状态即肌无力危象；</w:t>
      </w:r>
    </w:p>
    <w:p>
      <w:pPr>
        <w:pStyle w:val="ListParagraph"/>
        <w:numPr>
          <w:ilvl w:val="1"/>
          <w:numId w:val="8"/>
        </w:numPr>
        <w:tabs>
          <w:tab w:pos="2960" w:val="left" w:leader="none"/>
        </w:tabs>
        <w:spacing w:line="237" w:lineRule="auto" w:before="1" w:after="0"/>
        <w:ind w:left="2959" w:right="189" w:hanging="420"/>
        <w:jc w:val="left"/>
        <w:rPr>
          <w:sz w:val="18"/>
        </w:rPr>
      </w:pPr>
      <w:r>
        <w:rPr>
          <w:sz w:val="18"/>
        </w:rPr>
        <w:t>症状缓解、复发及恶化交替出现，临床接受新斯的明等抗胆碱酯酶药物</w:t>
      </w:r>
      <w:r>
        <w:rPr>
          <w:spacing w:val="-1"/>
          <w:sz w:val="18"/>
        </w:rPr>
        <w:t>治疗的病史。</w:t>
      </w:r>
    </w:p>
    <w:p>
      <w:pPr>
        <w:pStyle w:val="BodyText"/>
        <w:tabs>
          <w:tab w:pos="2350" w:val="left" w:leader="none"/>
        </w:tabs>
        <w:spacing w:line="237" w:lineRule="auto"/>
        <w:ind w:right="189" w:hanging="2439"/>
        <w:jc w:val="both"/>
      </w:pPr>
      <w:r>
        <w:rPr/>
        <w:t>37、严重克隆病</w:t>
        <w:tab/>
      </w:r>
      <w:r>
        <w:rPr>
          <w:spacing w:val="6"/>
        </w:rPr>
        <w:t>：</w:t>
      </w:r>
      <w:r>
        <w:rPr/>
        <w:t>克隆病是一种慢性肉芽肿性肠炎</w:t>
      </w:r>
      <w:r>
        <w:rPr>
          <w:spacing w:val="-20"/>
        </w:rPr>
        <w:t>，</w:t>
      </w:r>
      <w:r>
        <w:rPr/>
        <w:t>具有特征性的克隆病病理组织学变化</w:t>
      </w:r>
      <w:r>
        <w:rPr>
          <w:spacing w:val="-20"/>
        </w:rPr>
        <w:t>。</w:t>
      </w:r>
      <w:r>
        <w:rPr/>
        <w:t>诊断必须由病理检查结果证实</w:t>
      </w:r>
      <w:r>
        <w:rPr>
          <w:spacing w:val="-41"/>
        </w:rPr>
        <w:t>。</w:t>
      </w:r>
      <w:r>
        <w:rPr/>
        <w:t>被保险人所患的克隆病必须已经造成瘘管形成并伴</w:t>
      </w:r>
      <w:r>
        <w:rPr>
          <w:spacing w:val="-1"/>
        </w:rPr>
        <w:t>有</w:t>
      </w:r>
      <w:r>
        <w:rPr/>
        <w:t>肠梗阻或肠穿孔。</w:t>
      </w:r>
    </w:p>
    <w:p>
      <w:pPr>
        <w:pStyle w:val="BodyText"/>
        <w:spacing w:line="237" w:lineRule="auto"/>
        <w:ind w:right="189" w:hanging="2439"/>
        <w:jc w:val="both"/>
      </w:pPr>
      <w:r>
        <w:rPr/>
        <w:t>38</w:t>
      </w:r>
      <w:r>
        <w:rPr>
          <w:spacing w:val="-3"/>
        </w:rPr>
        <w:t>、严重类风湿性关节炎 ：指广泛的慢性渐进性的关节损害，伴有明显的关节畸形，至少累及三个或三个以上关节（如：手，腕，肘，髋，膝，踝关节</w:t>
      </w:r>
      <w:r>
        <w:rPr>
          <w:spacing w:val="-89"/>
        </w:rPr>
        <w:t>）</w:t>
      </w:r>
      <w:r>
        <w:rPr/>
        <w:t>。此疾病必须已经导致了自主</w:t>
      </w:r>
      <w:r>
        <w:rPr>
          <w:spacing w:val="-5"/>
        </w:rPr>
        <w:t>生活能力完全丧失，不能独立完成六项基本日常生活活动中的三项或三项以上</w:t>
      </w:r>
      <w:r>
        <w:rPr>
          <w:spacing w:val="-1"/>
        </w:rPr>
        <w:t>的情形。</w:t>
      </w:r>
    </w:p>
    <w:p>
      <w:pPr>
        <w:pStyle w:val="BodyText"/>
        <w:spacing w:line="237" w:lineRule="auto"/>
        <w:ind w:right="150"/>
      </w:pPr>
      <w:r>
        <w:rPr/>
        <w:t>上述疾病需由专科医生确诊，并提供相应医疗记录以证实上述病情已经存在至少 3 个月。</w:t>
      </w:r>
    </w:p>
    <w:p>
      <w:pPr>
        <w:pStyle w:val="BodyText"/>
        <w:spacing w:line="235" w:lineRule="exact"/>
        <w:ind w:left="101"/>
      </w:pPr>
      <w:r>
        <w:rPr/>
        <w:t>39、非阿尔茨海默病所致严 ：指因阿尔茨海默病以外的脑的器质性疾病造成脑功能衰竭导致永久不可逆性</w:t>
      </w:r>
    </w:p>
    <w:p>
      <w:pPr>
        <w:spacing w:after="0" w:line="235" w:lineRule="exact"/>
        <w:sectPr>
          <w:type w:val="continuous"/>
          <w:pgSz w:w="11960" w:h="16850"/>
          <w:pgMar w:top="280" w:bottom="1200" w:left="1600" w:right="1540"/>
        </w:sectPr>
      </w:pPr>
    </w:p>
    <w:p>
      <w:pPr>
        <w:pStyle w:val="BodyText"/>
        <w:spacing w:line="232" w:lineRule="exact"/>
        <w:ind w:left="101"/>
      </w:pPr>
      <w:r>
        <w:rPr/>
        <w:t>重痴呆</w:t>
      </w:r>
    </w:p>
    <w:p>
      <w:pPr>
        <w:pStyle w:val="BodyText"/>
        <w:spacing w:line="237" w:lineRule="auto"/>
        <w:ind w:left="101" w:right="100"/>
      </w:pPr>
      <w:r>
        <w:rPr/>
        <w:br w:type="column"/>
      </w:r>
      <w:r>
        <w:rPr>
          <w:spacing w:val="-5"/>
        </w:rPr>
        <w:t>的严重痴呆，临床表现为明显的认知能力障碍、行为异常和社交能力减退。被</w:t>
      </w:r>
      <w:r>
        <w:rPr>
          <w:spacing w:val="-8"/>
        </w:rPr>
        <w:t>保险人自主生活能力完全丧失，无法独立完成六项基本日常生活活动中的三项</w:t>
      </w:r>
      <w:r>
        <w:rPr>
          <w:spacing w:val="-14"/>
        </w:rPr>
        <w:t>或三项以上，日常生活必须持续受到他人监护。导致痴呆的疾病必须明确诊断， 并且由完整的临床、实验室和影像学检查结果证实。神经官能症,精神疾病及</w:t>
      </w:r>
      <w:r>
        <w:rPr>
          <w:spacing w:val="-1"/>
        </w:rPr>
        <w:t>酒精中毒所致脑损害不在保障范围内。</w:t>
      </w:r>
    </w:p>
    <w:p>
      <w:pPr>
        <w:spacing w:after="0" w:line="237" w:lineRule="auto"/>
        <w:sectPr>
          <w:type w:val="continuous"/>
          <w:pgSz w:w="11960" w:h="16850"/>
          <w:pgMar w:top="280" w:bottom="1200" w:left="1600" w:right="1540"/>
          <w:cols w:num="2" w:equalWidth="0">
            <w:col w:w="642" w:space="1796"/>
            <w:col w:w="6382"/>
          </w:cols>
        </w:sectPr>
      </w:pPr>
    </w:p>
    <w:p>
      <w:pPr>
        <w:pStyle w:val="BodyText"/>
        <w:tabs>
          <w:tab w:pos="2350" w:val="left" w:leader="none"/>
        </w:tabs>
        <w:ind w:right="187" w:hanging="2439"/>
      </w:pPr>
      <w:r>
        <w:rPr/>
        <w:t>40、急性坏死性胰腺炎</w:t>
        <w:tab/>
      </w:r>
      <w:r>
        <w:rPr>
          <w:spacing w:val="7"/>
        </w:rPr>
        <w:t>：</w:t>
      </w:r>
      <w:r>
        <w:rPr>
          <w:spacing w:val="2"/>
        </w:rPr>
        <w:t>指由专科医生确</w:t>
      </w:r>
      <w:r>
        <w:rPr/>
        <w:t>诊</w:t>
      </w:r>
      <w:r>
        <w:rPr>
          <w:spacing w:val="2"/>
        </w:rPr>
        <w:t>为急性出</w:t>
      </w:r>
      <w:r>
        <w:rPr/>
        <w:t>血</w:t>
      </w:r>
      <w:r>
        <w:rPr>
          <w:spacing w:val="2"/>
        </w:rPr>
        <w:t>坏死性胰腺</w:t>
      </w:r>
      <w:r>
        <w:rPr>
          <w:spacing w:val="5"/>
        </w:rPr>
        <w:t>炎</w:t>
      </w:r>
      <w:r>
        <w:rPr>
          <w:spacing w:val="2"/>
        </w:rPr>
        <w:t>，</w:t>
      </w:r>
      <w:r>
        <w:rPr/>
        <w:t>并</w:t>
      </w:r>
      <w:r>
        <w:rPr>
          <w:spacing w:val="2"/>
        </w:rPr>
        <w:t>已经接受</w:t>
      </w:r>
      <w:r>
        <w:rPr/>
        <w:t>了</w:t>
      </w:r>
      <w:r>
        <w:rPr>
          <w:spacing w:val="2"/>
        </w:rPr>
        <w:t>外科开腹手术</w:t>
      </w:r>
      <w:r>
        <w:rPr/>
        <w:t>治 </w:t>
      </w:r>
      <w:r>
        <w:rPr>
          <w:spacing w:val="-1"/>
        </w:rPr>
        <w:t>疗，以进行</w:t>
      </w:r>
      <w:r>
        <w:rPr/>
        <w:t>坏死组织清除、坏死病灶切除或胰腺切除。</w:t>
      </w:r>
    </w:p>
    <w:p>
      <w:pPr>
        <w:pStyle w:val="BodyText"/>
        <w:spacing w:line="237" w:lineRule="auto" w:before="1"/>
        <w:ind w:right="201"/>
      </w:pPr>
      <w:r>
        <w:rPr/>
        <w:t>因饮酒所致的急性出血坏死性胰腺炎或经腹腔镜手术进行的治疗不在保障范围内。</w:t>
      </w:r>
    </w:p>
    <w:p>
      <w:pPr>
        <w:spacing w:after="0" w:line="237" w:lineRule="auto"/>
        <w:sectPr>
          <w:type w:val="continuous"/>
          <w:pgSz w:w="11960" w:h="16850"/>
          <w:pgMar w:top="280" w:bottom="1200" w:left="1600" w:right="1540"/>
        </w:sectPr>
      </w:pPr>
    </w:p>
    <w:p>
      <w:pPr>
        <w:pStyle w:val="Heading1"/>
        <w:spacing w:before="112"/>
        <w:ind w:left="221"/>
      </w:pPr>
      <w:r>
        <w:rPr>
          <w:w w:val="95"/>
        </w:rPr>
        <w:t>附表三：少儿轻症疾病列表</w:t>
      </w:r>
    </w:p>
    <w:p>
      <w:pPr>
        <w:pStyle w:val="BodyText"/>
        <w:spacing w:line="316" w:lineRule="auto" w:before="76"/>
        <w:ind w:left="221" w:right="508"/>
      </w:pPr>
      <w:r>
        <w:rPr/>
        <w:t>轻症疾病是指下列任何一种疾病，被保险人发生符合以下疾病定义所述条件的疾病，应当由专科医生明确诊断。</w:t>
      </w:r>
    </w:p>
    <w:p>
      <w:pPr>
        <w:pStyle w:val="BodyText"/>
        <w:tabs>
          <w:tab w:pos="2455" w:val="left" w:leader="none"/>
        </w:tabs>
        <w:spacing w:line="232" w:lineRule="exact" w:before="4"/>
        <w:ind w:left="2722" w:right="208" w:hanging="2516"/>
      </w:pPr>
      <w:r>
        <w:rPr/>
        <w:t>1</w:t>
      </w:r>
      <w:r>
        <w:rPr>
          <w:spacing w:val="-37"/>
        </w:rPr>
        <w:t>、</w:t>
      </w:r>
      <w:r>
        <w:rPr/>
        <w:t>非危及生命的恶性病变</w:t>
        <w:tab/>
        <w:t>：</w:t>
      </w:r>
      <w:r>
        <w:rPr>
          <w:spacing w:val="-6"/>
        </w:rPr>
        <w:t> </w:t>
      </w:r>
      <w:r>
        <w:rPr/>
        <w:t>指经组织病理学检查以及专科医生确认被明确诊断为下列恶性病变，并且接受了</w:t>
      </w:r>
      <w:r>
        <w:rPr>
          <w:spacing w:val="-1"/>
        </w:rPr>
        <w:t>相</w:t>
      </w:r>
      <w:r>
        <w:rPr/>
        <w:t>应的治疗。</w:t>
      </w:r>
    </w:p>
    <w:p>
      <w:pPr>
        <w:pStyle w:val="ListParagraph"/>
        <w:numPr>
          <w:ilvl w:val="2"/>
          <w:numId w:val="8"/>
        </w:numPr>
        <w:tabs>
          <w:tab w:pos="3143" w:val="left" w:leader="none"/>
        </w:tabs>
        <w:spacing w:line="212" w:lineRule="exact" w:before="0" w:after="0"/>
        <w:ind w:left="3142" w:right="0" w:hanging="420"/>
        <w:jc w:val="both"/>
        <w:rPr>
          <w:sz w:val="18"/>
        </w:rPr>
      </w:pPr>
      <w:r>
        <w:rPr>
          <w:spacing w:val="-1"/>
          <w:sz w:val="18"/>
        </w:rPr>
        <w:t>原位癌；</w:t>
      </w:r>
    </w:p>
    <w:p>
      <w:pPr>
        <w:pStyle w:val="ListParagraph"/>
        <w:numPr>
          <w:ilvl w:val="2"/>
          <w:numId w:val="8"/>
        </w:numPr>
        <w:tabs>
          <w:tab w:pos="3143" w:val="left" w:leader="none"/>
        </w:tabs>
        <w:spacing w:line="234" w:lineRule="exact" w:before="0" w:after="0"/>
        <w:ind w:left="3142" w:right="0" w:hanging="420"/>
        <w:jc w:val="both"/>
        <w:rPr>
          <w:sz w:val="18"/>
        </w:rPr>
      </w:pPr>
      <w:r>
        <w:rPr>
          <w:spacing w:val="-12"/>
          <w:sz w:val="18"/>
        </w:rPr>
        <w:t>相当于 </w:t>
      </w:r>
      <w:r>
        <w:rPr>
          <w:sz w:val="18"/>
        </w:rPr>
        <w:t>Binet</w:t>
      </w:r>
      <w:r>
        <w:rPr>
          <w:spacing w:val="-17"/>
          <w:sz w:val="18"/>
        </w:rPr>
        <w:t> 分期方案 </w:t>
      </w:r>
      <w:r>
        <w:rPr>
          <w:sz w:val="18"/>
        </w:rPr>
        <w:t>A</w:t>
      </w:r>
      <w:r>
        <w:rPr>
          <w:spacing w:val="-8"/>
          <w:sz w:val="18"/>
        </w:rPr>
        <w:t> 期程度的慢性淋巴细胞白血病；</w:t>
      </w:r>
    </w:p>
    <w:p>
      <w:pPr>
        <w:pStyle w:val="ListParagraph"/>
        <w:numPr>
          <w:ilvl w:val="2"/>
          <w:numId w:val="8"/>
        </w:numPr>
        <w:tabs>
          <w:tab w:pos="3143" w:val="left" w:leader="none"/>
        </w:tabs>
        <w:spacing w:line="233" w:lineRule="exact" w:before="0" w:after="0"/>
        <w:ind w:left="3142" w:right="0" w:hanging="420"/>
        <w:jc w:val="both"/>
        <w:rPr>
          <w:sz w:val="18"/>
        </w:rPr>
      </w:pPr>
      <w:r>
        <w:rPr>
          <w:spacing w:val="-12"/>
          <w:sz w:val="18"/>
        </w:rPr>
        <w:t>相当于 </w:t>
      </w:r>
      <w:r>
        <w:rPr>
          <w:sz w:val="18"/>
        </w:rPr>
        <w:t>Ann</w:t>
      </w:r>
      <w:r>
        <w:rPr>
          <w:spacing w:val="-2"/>
          <w:sz w:val="18"/>
        </w:rPr>
        <w:t> </w:t>
      </w:r>
      <w:r>
        <w:rPr>
          <w:sz w:val="18"/>
        </w:rPr>
        <w:t>Arbor</w:t>
      </w:r>
      <w:r>
        <w:rPr>
          <w:spacing w:val="-17"/>
          <w:sz w:val="18"/>
        </w:rPr>
        <w:t> 分期方案 </w:t>
      </w:r>
      <w:r>
        <w:rPr>
          <w:sz w:val="18"/>
        </w:rPr>
        <w:t>I</w:t>
      </w:r>
      <w:r>
        <w:rPr>
          <w:spacing w:val="-7"/>
          <w:sz w:val="18"/>
        </w:rPr>
        <w:t> 期程度的何杰金氏病；</w:t>
      </w:r>
    </w:p>
    <w:p>
      <w:pPr>
        <w:pStyle w:val="ListParagraph"/>
        <w:numPr>
          <w:ilvl w:val="2"/>
          <w:numId w:val="8"/>
        </w:numPr>
        <w:tabs>
          <w:tab w:pos="3143" w:val="left" w:leader="none"/>
        </w:tabs>
        <w:spacing w:line="233" w:lineRule="exact" w:before="0" w:after="0"/>
        <w:ind w:left="3142" w:right="0" w:hanging="420"/>
        <w:jc w:val="both"/>
        <w:rPr>
          <w:sz w:val="18"/>
        </w:rPr>
      </w:pPr>
      <w:r>
        <w:rPr>
          <w:spacing w:val="-1"/>
          <w:w w:val="100"/>
          <w:sz w:val="18"/>
        </w:rPr>
        <w:t>皮肤癌(不包括恶性黑色素瘤及已经发生转移的皮肤癌</w:t>
      </w:r>
      <w:r>
        <w:rPr>
          <w:spacing w:val="-92"/>
          <w:w w:val="100"/>
          <w:sz w:val="18"/>
        </w:rPr>
        <w:t>）</w:t>
      </w:r>
      <w:r>
        <w:rPr>
          <w:w w:val="100"/>
          <w:sz w:val="18"/>
        </w:rPr>
        <w:t>；</w:t>
      </w:r>
    </w:p>
    <w:p>
      <w:pPr>
        <w:pStyle w:val="ListParagraph"/>
        <w:numPr>
          <w:ilvl w:val="2"/>
          <w:numId w:val="8"/>
        </w:numPr>
        <w:tabs>
          <w:tab w:pos="3143" w:val="left" w:leader="none"/>
        </w:tabs>
        <w:spacing w:line="234" w:lineRule="exact" w:before="0" w:after="0"/>
        <w:ind w:left="3142" w:right="0" w:hanging="420"/>
        <w:jc w:val="both"/>
        <w:rPr>
          <w:sz w:val="18"/>
        </w:rPr>
      </w:pPr>
      <w:r>
        <w:rPr>
          <w:sz w:val="18"/>
        </w:rPr>
        <w:t>TNM</w:t>
      </w:r>
      <w:r>
        <w:rPr>
          <w:spacing w:val="-19"/>
          <w:sz w:val="18"/>
        </w:rPr>
        <w:t> 分期为 </w:t>
      </w:r>
      <w:r>
        <w:rPr>
          <w:sz w:val="18"/>
        </w:rPr>
        <w:t>T1N0M0</w:t>
      </w:r>
      <w:r>
        <w:rPr>
          <w:spacing w:val="-7"/>
          <w:sz w:val="18"/>
        </w:rPr>
        <w:t> 期或更轻分期的前列腺癌。</w:t>
      </w:r>
    </w:p>
    <w:p>
      <w:pPr>
        <w:pStyle w:val="BodyText"/>
        <w:spacing w:line="237" w:lineRule="auto" w:before="2"/>
        <w:ind w:left="2722" w:right="203"/>
        <w:jc w:val="both"/>
      </w:pPr>
      <w:r>
        <w:rPr/>
        <w:t>原位癌指恶性细胞局限于上皮内但尚未穿破基底膜浸润周围正常组织的癌细胞新生物。在索赔以上恶性病变时必须提交由病理科专科医生签署的固定活组织病理学检查报告和由专科医生签署的临床诊断及治疗报告。仅凭细胞学检查结果的临床诊断将不被接受。</w:t>
      </w:r>
    </w:p>
    <w:p>
      <w:pPr>
        <w:pStyle w:val="BodyText"/>
        <w:spacing w:line="237" w:lineRule="auto" w:before="1"/>
        <w:ind w:left="2722" w:right="203"/>
      </w:pPr>
      <w:r>
        <w:rPr/>
        <w:t>原位癌必须在生前诊断。被保险人所患癌症在被诊断时已经超越原位癌阶段者不在本保障范围内。</w:t>
      </w:r>
    </w:p>
    <w:p>
      <w:pPr>
        <w:pStyle w:val="BodyText"/>
        <w:spacing w:line="237" w:lineRule="auto"/>
        <w:ind w:left="2722" w:right="114"/>
      </w:pPr>
      <w:r>
        <w:rPr>
          <w:spacing w:val="-11"/>
        </w:rPr>
        <w:t>癌前病变</w:t>
      </w:r>
      <w:r>
        <w:rPr/>
        <w:t>（</w:t>
      </w:r>
      <w:r>
        <w:rPr>
          <w:spacing w:val="-3"/>
        </w:rPr>
        <w:t>包括宫颈上皮内瘤样病变 </w:t>
      </w:r>
      <w:r>
        <w:rPr>
          <w:spacing w:val="-9"/>
        </w:rPr>
        <w:t>CIN-1，CIN-2</w:t>
      </w:r>
      <w:r>
        <w:rPr>
          <w:spacing w:val="-3"/>
        </w:rPr>
        <w:t>，重度不典型增生但非原位癌</w:t>
      </w:r>
      <w:r>
        <w:rPr/>
        <w:t>） </w:t>
      </w:r>
      <w:r>
        <w:rPr>
          <w:spacing w:val="-1"/>
        </w:rPr>
        <w:t>不在本保障范围之内。</w:t>
      </w:r>
    </w:p>
    <w:p>
      <w:pPr>
        <w:pStyle w:val="BodyText"/>
        <w:tabs>
          <w:tab w:pos="2455" w:val="left" w:leader="none"/>
        </w:tabs>
        <w:spacing w:line="237" w:lineRule="auto" w:before="2"/>
        <w:ind w:left="2647" w:right="203" w:hanging="2532"/>
      </w:pPr>
      <w:r>
        <w:rPr/>
        <w:t>2、一肢缺失</w:t>
        <w:tab/>
      </w:r>
      <w:r>
        <w:rPr>
          <w:spacing w:val="10"/>
        </w:rPr>
        <w:t>：</w:t>
      </w:r>
      <w:r>
        <w:rPr/>
        <w:t>指因疾病或者意外伤害导致一个肢体自腕关节或踝关节近端（靠近躯干端）以上 </w:t>
      </w:r>
      <w:r>
        <w:rPr>
          <w:spacing w:val="-1"/>
        </w:rPr>
        <w:t>完</w:t>
      </w:r>
      <w:r>
        <w:rPr/>
        <w:t>全断离。</w:t>
      </w:r>
    </w:p>
    <w:p>
      <w:pPr>
        <w:spacing w:after="0" w:line="237" w:lineRule="auto"/>
        <w:sectPr>
          <w:pgSz w:w="11960" w:h="16850"/>
          <w:pgMar w:header="0" w:footer="1001" w:top="1600" w:bottom="1200" w:left="1480" w:right="1240"/>
        </w:sectPr>
      </w:pPr>
    </w:p>
    <w:p>
      <w:pPr>
        <w:pStyle w:val="BodyText"/>
        <w:ind w:left="115"/>
      </w:pPr>
      <w:r>
        <w:rPr/>
        <w:t>3、脑垂体瘤、脑囊肿、脑动脉瘤及脑血管瘤</w:t>
      </w:r>
    </w:p>
    <w:p>
      <w:pPr>
        <w:pStyle w:val="BodyText"/>
        <w:ind w:left="0"/>
      </w:pPr>
    </w:p>
    <w:p>
      <w:pPr>
        <w:pStyle w:val="BodyText"/>
        <w:ind w:left="0"/>
      </w:pPr>
    </w:p>
    <w:p>
      <w:pPr>
        <w:pStyle w:val="BodyText"/>
        <w:spacing w:before="10"/>
        <w:ind w:left="0"/>
        <w:rPr>
          <w:sz w:val="17"/>
        </w:rPr>
      </w:pPr>
    </w:p>
    <w:p>
      <w:pPr>
        <w:pStyle w:val="BodyText"/>
        <w:spacing w:line="237" w:lineRule="auto"/>
        <w:ind w:left="115"/>
      </w:pPr>
      <w:r>
        <w:rPr/>
        <w:t>4、轻度脑炎或脑膜炎后遗症</w:t>
      </w:r>
    </w:p>
    <w:p>
      <w:pPr>
        <w:pStyle w:val="BodyText"/>
        <w:spacing w:line="237" w:lineRule="auto"/>
        <w:ind w:left="307" w:right="114" w:hanging="192"/>
      </w:pPr>
      <w:r>
        <w:rPr/>
        <w:br w:type="column"/>
      </w:r>
      <w:r>
        <w:rPr/>
        <w:t>：指实际实施的垂体瘤、脑囊肿、脑动脉瘤及脑血管瘤的切除手术。诊断需经头颅 </w:t>
      </w:r>
      <w:r>
        <w:rPr>
          <w:spacing w:val="-6"/>
        </w:rPr>
        <w:t>断层扫描（CT）</w:t>
      </w:r>
      <w:r>
        <w:rPr>
          <w:spacing w:val="-5"/>
        </w:rPr>
        <w:t>或核磁共振（MRI）确诊，并由专科医师确认是在医学上是必要的。在索赔时必须提交由病理科专科医生签署的固定活组织病理学检查报告和由专科</w:t>
      </w:r>
      <w:r>
        <w:rPr>
          <w:spacing w:val="-1"/>
        </w:rPr>
        <w:t>医生签署的临床诊断及治疗报告。</w:t>
      </w:r>
    </w:p>
    <w:p>
      <w:pPr>
        <w:pStyle w:val="BodyText"/>
        <w:spacing w:line="233" w:lineRule="exact" w:before="1"/>
        <w:ind w:left="307"/>
      </w:pPr>
      <w:r>
        <w:rPr/>
        <w:t>直径小于 1cm 的垂体微腺瘤不在本保障范围内。</w:t>
      </w:r>
    </w:p>
    <w:p>
      <w:pPr>
        <w:pStyle w:val="BodyText"/>
        <w:spacing w:line="237" w:lineRule="auto" w:before="2"/>
        <w:ind w:left="307" w:right="203" w:hanging="192"/>
        <w:jc w:val="both"/>
      </w:pPr>
      <w:r>
        <w:rPr/>
        <w:t>：指因患脑炎或脑膜炎导致的神经系统的永久功能障碍。神经系统永久性的功能障</w:t>
      </w:r>
      <w:r>
        <w:rPr>
          <w:spacing w:val="-2"/>
        </w:rPr>
        <w:t>碍，指疾病确诊 </w:t>
      </w:r>
      <w:r>
        <w:rPr/>
        <w:t>180</w:t>
      </w:r>
      <w:r>
        <w:rPr>
          <w:spacing w:val="-3"/>
        </w:rPr>
        <w:t> 天后，仍存在自主生活能力完全丧失，无法独立完成六项基</w:t>
      </w:r>
      <w:r>
        <w:rPr>
          <w:spacing w:val="-1"/>
        </w:rPr>
        <w:t>本日常生活活动中的两项。</w:t>
      </w:r>
    </w:p>
    <w:p>
      <w:pPr>
        <w:pStyle w:val="BodyText"/>
        <w:spacing w:line="233" w:lineRule="exact"/>
        <w:ind w:left="307"/>
      </w:pPr>
      <w:r>
        <w:rPr/>
        <w:t>HIV 感染引起的脑炎不在保障范围内。</w:t>
      </w:r>
    </w:p>
    <w:p>
      <w:pPr>
        <w:spacing w:after="0" w:line="233" w:lineRule="exact"/>
        <w:sectPr>
          <w:type w:val="continuous"/>
          <w:pgSz w:w="11960" w:h="16850"/>
          <w:pgMar w:top="280" w:bottom="1200" w:left="1480" w:right="1240"/>
          <w:cols w:num="2" w:equalWidth="0">
            <w:col w:w="2188" w:space="152"/>
            <w:col w:w="6900"/>
          </w:cols>
        </w:sectPr>
      </w:pPr>
    </w:p>
    <w:p>
      <w:pPr>
        <w:pStyle w:val="BodyText"/>
        <w:spacing w:line="237" w:lineRule="auto" w:before="2"/>
        <w:ind w:left="2647" w:right="201" w:hanging="2532"/>
        <w:jc w:val="both"/>
      </w:pPr>
      <w:r>
        <w:rPr/>
        <w:t>5</w:t>
      </w:r>
      <w:r>
        <w:rPr>
          <w:spacing w:val="-7"/>
        </w:rPr>
        <w:t>、深度昏迷 </w:t>
      </w:r>
      <w:r>
        <w:rPr/>
        <w:t>72 小时       ：指因疾病或意外伤害导致意识丧失,对外界刺激和体内需求均无反应,昏迷程度按照格拉斯哥昏迷分级（Glasgow coma scale）</w:t>
      </w:r>
      <w:r>
        <w:rPr>
          <w:spacing w:val="-9"/>
        </w:rPr>
        <w:t>结果为 </w:t>
      </w:r>
      <w:r>
        <w:rPr/>
        <w:t>5</w:t>
      </w:r>
      <w:r>
        <w:rPr>
          <w:spacing w:val="-14"/>
        </w:rPr>
        <w:t> 分或 </w:t>
      </w:r>
      <w:r>
        <w:rPr/>
        <w:t>5</w:t>
      </w:r>
      <w:r>
        <w:rPr>
          <w:spacing w:val="-5"/>
        </w:rPr>
        <w:t> 分以下，且已经持</w:t>
      </w:r>
      <w:r>
        <w:rPr>
          <w:spacing w:val="-8"/>
        </w:rPr>
        <w:t>续使用呼吸机及其它生命维持系统达到 </w:t>
      </w:r>
      <w:r>
        <w:rPr/>
        <w:t>72</w:t>
      </w:r>
      <w:r>
        <w:rPr>
          <w:spacing w:val="-12"/>
        </w:rPr>
        <w:t> 小时。</w:t>
      </w:r>
    </w:p>
    <w:p>
      <w:pPr>
        <w:pStyle w:val="BodyText"/>
        <w:spacing w:line="233" w:lineRule="exact"/>
        <w:ind w:left="2647"/>
      </w:pPr>
      <w:r>
        <w:rPr/>
        <w:t>因酗酒或药物滥用导致的深度昏迷不在保障范围内。</w:t>
      </w:r>
    </w:p>
    <w:p>
      <w:pPr>
        <w:pStyle w:val="BodyText"/>
        <w:tabs>
          <w:tab w:pos="2455" w:val="left" w:leader="none"/>
        </w:tabs>
        <w:spacing w:line="237" w:lineRule="auto" w:before="2"/>
        <w:ind w:left="2647" w:right="202" w:hanging="2532"/>
        <w:jc w:val="both"/>
      </w:pPr>
      <w:r>
        <w:rPr/>
        <w:t>6、中度听力受损</w:t>
        <w:tab/>
      </w:r>
      <w:r>
        <w:rPr>
          <w:spacing w:val="10"/>
        </w:rPr>
        <w:t>：</w:t>
      </w:r>
      <w:r>
        <w:rPr/>
        <w:t>指因疾病或意外伤害导致单耳或双耳听力永久不可逆性丧失。在</w:t>
      </w:r>
      <w:r>
        <w:rPr>
          <w:spacing w:val="-9"/>
        </w:rPr>
        <w:t> </w:t>
      </w:r>
      <w:r>
        <w:rPr/>
        <w:t>500</w:t>
      </w:r>
      <w:r>
        <w:rPr>
          <w:spacing w:val="-7"/>
        </w:rPr>
        <w:t> </w:t>
      </w:r>
      <w:r>
        <w:rPr/>
        <w:t>赫兹，1000赫兹和</w:t>
      </w:r>
      <w:r>
        <w:rPr>
          <w:spacing w:val="-27"/>
        </w:rPr>
        <w:t> </w:t>
      </w:r>
      <w:r>
        <w:rPr/>
        <w:t>2000</w:t>
      </w:r>
      <w:r>
        <w:rPr>
          <w:spacing w:val="-25"/>
        </w:rPr>
        <w:t> </w:t>
      </w:r>
      <w:r>
        <w:rPr/>
        <w:t>赫兹语音频率</w:t>
      </w:r>
      <w:r>
        <w:rPr>
          <w:spacing w:val="-3"/>
        </w:rPr>
        <w:t>下</w:t>
      </w:r>
      <w:r>
        <w:rPr/>
        <w:t>，平均听阈大于</w:t>
      </w:r>
      <w:r>
        <w:rPr>
          <w:spacing w:val="-27"/>
        </w:rPr>
        <w:t> </w:t>
      </w:r>
      <w:r>
        <w:rPr/>
        <w:t>80</w:t>
      </w:r>
      <w:r>
        <w:rPr>
          <w:spacing w:val="-25"/>
        </w:rPr>
        <w:t> </w:t>
      </w:r>
      <w:r>
        <w:rPr/>
        <w:t>分贝。</w:t>
      </w:r>
      <w:r>
        <w:rPr>
          <w:spacing w:val="-3"/>
        </w:rPr>
        <w:t>需</w:t>
      </w:r>
      <w:r>
        <w:rPr/>
        <w:t>有纯音听力测试、声导</w:t>
      </w:r>
      <w:r>
        <w:rPr>
          <w:spacing w:val="-1"/>
        </w:rPr>
        <w:t>抗</w:t>
      </w:r>
      <w:r>
        <w:rPr/>
        <w:t>检测或听觉诱发电位检测等证实。</w:t>
      </w:r>
    </w:p>
    <w:p>
      <w:pPr>
        <w:pStyle w:val="BodyText"/>
        <w:spacing w:line="234" w:lineRule="exact"/>
        <w:ind w:left="2647"/>
      </w:pPr>
      <w:r>
        <w:rPr/>
        <w:t>申请理赔时，须提供理赔当时的听力丧失诊断及检查证据。</w:t>
      </w:r>
    </w:p>
    <w:p>
      <w:pPr>
        <w:pStyle w:val="BodyText"/>
        <w:tabs>
          <w:tab w:pos="2455" w:val="left" w:leader="none"/>
        </w:tabs>
        <w:spacing w:line="237" w:lineRule="auto" w:before="1"/>
        <w:ind w:left="2647" w:right="203" w:hanging="2532"/>
        <w:jc w:val="both"/>
      </w:pPr>
      <w:r>
        <w:rPr/>
        <w:t>7、视力严重受损</w:t>
        <w:tab/>
      </w:r>
      <w:r>
        <w:rPr>
          <w:spacing w:val="10"/>
        </w:rPr>
        <w:t>：</w:t>
      </w:r>
      <w:r>
        <w:rPr/>
        <w:t>指因疾病或意外伤害导致双目视力永久不可逆性丧</w:t>
      </w:r>
      <w:r>
        <w:rPr>
          <w:spacing w:val="5"/>
        </w:rPr>
        <w:t>失</w:t>
      </w:r>
      <w:r>
        <w:rPr/>
        <w:t>，双眼中较好眼须满足下列 </w:t>
      </w:r>
      <w:r>
        <w:rPr>
          <w:spacing w:val="-1"/>
        </w:rPr>
        <w:t>全</w:t>
      </w:r>
      <w:r>
        <w:rPr/>
        <w:t>部条件：</w:t>
      </w:r>
    </w:p>
    <w:p>
      <w:pPr>
        <w:pStyle w:val="ListParagraph"/>
        <w:numPr>
          <w:ilvl w:val="0"/>
          <w:numId w:val="9"/>
        </w:numPr>
        <w:tabs>
          <w:tab w:pos="3015" w:val="left" w:leader="none"/>
        </w:tabs>
        <w:spacing w:line="240" w:lineRule="auto" w:before="0" w:after="0"/>
        <w:ind w:left="3014" w:right="205" w:hanging="420"/>
        <w:jc w:val="left"/>
        <w:rPr>
          <w:sz w:val="18"/>
        </w:rPr>
      </w:pPr>
      <w:r>
        <w:rPr>
          <w:spacing w:val="-4"/>
          <w:sz w:val="18"/>
        </w:rPr>
        <w:t>矫正视力为 </w:t>
      </w:r>
      <w:r>
        <w:rPr>
          <w:sz w:val="18"/>
        </w:rPr>
        <w:t>0.02-0.1（</w:t>
      </w:r>
      <w:r>
        <w:rPr>
          <w:spacing w:val="-1"/>
          <w:sz w:val="18"/>
        </w:rPr>
        <w:t>采用国际标准视力表，如果使用其他视力表应进行换</w:t>
      </w:r>
      <w:r>
        <w:rPr>
          <w:spacing w:val="-1"/>
          <w:w w:val="100"/>
          <w:sz w:val="18"/>
        </w:rPr>
        <w:t>算</w:t>
      </w:r>
      <w:r>
        <w:rPr>
          <w:spacing w:val="-92"/>
          <w:w w:val="100"/>
          <w:sz w:val="18"/>
        </w:rPr>
        <w:t>）</w:t>
      </w:r>
      <w:r>
        <w:rPr>
          <w:w w:val="100"/>
          <w:sz w:val="18"/>
        </w:rPr>
        <w:t>；</w:t>
      </w:r>
    </w:p>
    <w:p>
      <w:pPr>
        <w:pStyle w:val="ListParagraph"/>
        <w:numPr>
          <w:ilvl w:val="0"/>
          <w:numId w:val="9"/>
        </w:numPr>
        <w:tabs>
          <w:tab w:pos="3015" w:val="left" w:leader="none"/>
        </w:tabs>
        <w:spacing w:line="231" w:lineRule="exact" w:before="3" w:after="0"/>
        <w:ind w:left="3014" w:right="0" w:hanging="420"/>
        <w:jc w:val="left"/>
        <w:rPr>
          <w:sz w:val="18"/>
        </w:rPr>
      </w:pPr>
      <w:r>
        <w:rPr>
          <w:spacing w:val="-8"/>
          <w:sz w:val="18"/>
        </w:rPr>
        <w:t>视野半径为 </w:t>
      </w:r>
      <w:r>
        <w:rPr>
          <w:sz w:val="18"/>
        </w:rPr>
        <w:t>5-20</w:t>
      </w:r>
      <w:r>
        <w:rPr>
          <w:spacing w:val="-16"/>
          <w:sz w:val="18"/>
        </w:rPr>
        <w:t> 度。</w:t>
      </w:r>
    </w:p>
    <w:p>
      <w:pPr>
        <w:pStyle w:val="BodyText"/>
        <w:spacing w:line="233" w:lineRule="exact"/>
        <w:ind w:left="2647"/>
      </w:pPr>
      <w:r>
        <w:rPr/>
        <w:t>申请理赔时，须提供理赔当时的视力丧失诊断及检查证据。</w:t>
      </w:r>
    </w:p>
    <w:p>
      <w:pPr>
        <w:pStyle w:val="BodyText"/>
        <w:tabs>
          <w:tab w:pos="2455" w:val="left" w:leader="none"/>
        </w:tabs>
        <w:spacing w:line="237" w:lineRule="auto" w:before="1"/>
        <w:ind w:left="2647" w:right="114" w:hanging="2532"/>
      </w:pPr>
      <w:r>
        <w:rPr/>
        <w:t>8、中度瘫痪</w:t>
        <w:tab/>
      </w:r>
      <w:r>
        <w:rPr>
          <w:spacing w:val="8"/>
        </w:rPr>
        <w:t>：</w:t>
      </w:r>
      <w:r>
        <w:rPr/>
        <w:t>指因疾病或者意外伤害导致一肢肢体机能永久完全丧失</w:t>
      </w:r>
      <w:r>
        <w:rPr>
          <w:spacing w:val="-13"/>
        </w:rPr>
        <w:t>。</w:t>
      </w:r>
      <w:r>
        <w:rPr/>
        <w:t>肢体机能永久完全丧失，指疾病确诊</w:t>
      </w:r>
      <w:r>
        <w:rPr>
          <w:spacing w:val="-27"/>
        </w:rPr>
        <w:t> </w:t>
      </w:r>
      <w:r>
        <w:rPr/>
        <w:t>180</w:t>
      </w:r>
      <w:r>
        <w:rPr>
          <w:spacing w:val="-26"/>
        </w:rPr>
        <w:t> </w:t>
      </w:r>
      <w:r>
        <w:rPr/>
        <w:t>天后或意外</w:t>
      </w:r>
      <w:r>
        <w:rPr>
          <w:spacing w:val="-3"/>
        </w:rPr>
        <w:t>伤</w:t>
      </w:r>
      <w:r>
        <w:rPr/>
        <w:t>害发生</w:t>
      </w:r>
      <w:r>
        <w:rPr>
          <w:spacing w:val="-27"/>
        </w:rPr>
        <w:t> </w:t>
      </w:r>
      <w:r>
        <w:rPr/>
        <w:t>180</w:t>
      </w:r>
      <w:r>
        <w:rPr>
          <w:spacing w:val="-26"/>
        </w:rPr>
        <w:t> </w:t>
      </w:r>
      <w:r>
        <w:rPr/>
        <w:t>天后，该肢三大</w:t>
      </w:r>
      <w:r>
        <w:rPr>
          <w:spacing w:val="-3"/>
        </w:rPr>
        <w:t>关</w:t>
      </w:r>
      <w:r>
        <w:rPr/>
        <w:t>节中的两大关节仍然</w:t>
      </w:r>
      <w:r>
        <w:rPr>
          <w:spacing w:val="-1"/>
        </w:rPr>
        <w:t>完全僵</w:t>
      </w:r>
      <w:r>
        <w:rPr/>
        <w:t>硬，或不能随意识活动。</w:t>
      </w:r>
    </w:p>
    <w:p>
      <w:pPr>
        <w:pStyle w:val="BodyText"/>
        <w:spacing w:line="231" w:lineRule="exact"/>
        <w:ind w:left="2647"/>
      </w:pPr>
      <w:r>
        <w:rPr/>
        <w:t>肢体是指包括整个手臂包括肩关节或这个腿包括髋关节。</w:t>
      </w:r>
    </w:p>
    <w:p>
      <w:pPr>
        <w:pStyle w:val="BodyText"/>
        <w:ind w:left="2647" w:right="204"/>
      </w:pPr>
      <w:r>
        <w:rPr/>
        <w:t>自我伤害，局部瘫痪，病毒感染后的临时瘫痪，或由于心理疾病造成的机能丧失不在保障范围。</w:t>
      </w:r>
    </w:p>
    <w:p>
      <w:pPr>
        <w:spacing w:after="0"/>
        <w:sectPr>
          <w:type w:val="continuous"/>
          <w:pgSz w:w="11960" w:h="16850"/>
          <w:pgMar w:top="280" w:bottom="1200" w:left="1480" w:right="1240"/>
        </w:sectPr>
      </w:pPr>
    </w:p>
    <w:p>
      <w:pPr>
        <w:pStyle w:val="BodyText"/>
        <w:spacing w:line="237" w:lineRule="auto" w:before="1"/>
        <w:ind w:left="115"/>
      </w:pPr>
      <w:r>
        <w:rPr/>
        <w:t>9、心脏瓣膜经皮导管介入手术</w:t>
      </w:r>
    </w:p>
    <w:p>
      <w:pPr>
        <w:pStyle w:val="BodyText"/>
        <w:spacing w:line="237" w:lineRule="auto" w:before="1"/>
        <w:ind w:left="307" w:right="204" w:hanging="192"/>
      </w:pPr>
      <w:r>
        <w:rPr/>
        <w:br w:type="column"/>
      </w:r>
      <w:r>
        <w:rPr/>
        <w:t>：指为治疗心脏瓣膜疾病，实际实施了或经皮导管介入手术进行心脏瓣膜置换或者修复手术，含经皮瓣膜成形术、经皮瓣膜扩张术和经皮瓣膜置换术。</w:t>
      </w:r>
    </w:p>
    <w:p>
      <w:pPr>
        <w:pStyle w:val="BodyText"/>
        <w:ind w:left="307" w:right="204"/>
      </w:pPr>
      <w:r>
        <w:rPr/>
        <w:t>手术过程必须是经皮血管内导管技术，任何经开胸术打开或进入胸部的手术均不在保障责任范围。</w:t>
      </w:r>
    </w:p>
    <w:p>
      <w:pPr>
        <w:spacing w:after="0"/>
        <w:sectPr>
          <w:type w:val="continuous"/>
          <w:pgSz w:w="11960" w:h="16850"/>
          <w:pgMar w:top="280" w:bottom="1200" w:left="1480" w:right="1240"/>
          <w:cols w:num="2" w:equalWidth="0">
            <w:col w:w="2188" w:space="152"/>
            <w:col w:w="6900"/>
          </w:cols>
        </w:sectPr>
      </w:pPr>
    </w:p>
    <w:p>
      <w:pPr>
        <w:pStyle w:val="BodyText"/>
        <w:tabs>
          <w:tab w:pos="2455" w:val="left" w:leader="none"/>
        </w:tabs>
        <w:spacing w:line="237" w:lineRule="auto" w:before="2"/>
        <w:ind w:left="2647" w:right="112" w:hanging="2532"/>
      </w:pPr>
      <w:r>
        <w:rPr/>
        <w:t>10、轻度头颅外伤</w:t>
        <w:tab/>
      </w:r>
      <w:r>
        <w:rPr>
          <w:spacing w:val="10"/>
        </w:rPr>
        <w:t>：</w:t>
      </w:r>
      <w:r>
        <w:rPr/>
        <w:t>指因头部遭受机械性外力，引起脑重要部位损伤，导致神经系统永久性的功能障 碍</w:t>
      </w:r>
      <w:r>
        <w:rPr>
          <w:spacing w:val="-27"/>
        </w:rPr>
        <w:t>。</w:t>
      </w:r>
      <w:r>
        <w:rPr/>
        <w:t>须由头颅断层扫</w:t>
      </w:r>
      <w:r>
        <w:rPr>
          <w:spacing w:val="-27"/>
        </w:rPr>
        <w:t>描</w:t>
      </w:r>
      <w:r>
        <w:rPr>
          <w:spacing w:val="-8"/>
        </w:rPr>
        <w:t>（CT）</w:t>
      </w:r>
      <w:r>
        <w:rPr>
          <w:spacing w:val="-29"/>
        </w:rPr>
        <w:t>、</w:t>
      </w:r>
      <w:r>
        <w:rPr/>
        <w:t>核磁共振检</w:t>
      </w:r>
      <w:r>
        <w:rPr>
          <w:spacing w:val="-27"/>
        </w:rPr>
        <w:t>查</w:t>
      </w:r>
      <w:r>
        <w:rPr>
          <w:spacing w:val="-6"/>
        </w:rPr>
        <w:t>（MRI）</w:t>
      </w:r>
      <w:r>
        <w:rPr/>
        <w:t>或正电</w:t>
      </w:r>
      <w:r>
        <w:rPr>
          <w:spacing w:val="-3"/>
        </w:rPr>
        <w:t>子</w:t>
      </w:r>
      <w:r>
        <w:rPr/>
        <w:t>发射断层扫</w:t>
      </w:r>
      <w:r>
        <w:rPr>
          <w:spacing w:val="-27"/>
        </w:rPr>
        <w:t>描</w:t>
      </w:r>
      <w:r>
        <w:rPr/>
        <w:t>（PET）</w:t>
      </w:r>
    </w:p>
    <w:p>
      <w:pPr>
        <w:spacing w:after="0" w:line="237" w:lineRule="auto"/>
        <w:sectPr>
          <w:type w:val="continuous"/>
          <w:pgSz w:w="11960" w:h="16850"/>
          <w:pgMar w:top="280" w:bottom="1200" w:left="1480" w:right="1240"/>
        </w:sectPr>
      </w:pPr>
    </w:p>
    <w:p>
      <w:pPr>
        <w:pStyle w:val="BodyText"/>
        <w:spacing w:line="237" w:lineRule="auto" w:before="76"/>
        <w:ind w:left="2647" w:right="203"/>
      </w:pPr>
      <w:r>
        <w:rPr>
          <w:spacing w:val="-4"/>
        </w:rPr>
        <w:t>等影像学检查证实。神经系统永久性的功能障碍，指脑损伤 </w:t>
      </w:r>
      <w:r>
        <w:rPr/>
        <w:t>90</w:t>
      </w:r>
      <w:r>
        <w:rPr>
          <w:spacing w:val="-8"/>
        </w:rPr>
        <w:t> 天后，仍完全丧失</w:t>
      </w:r>
      <w:r>
        <w:rPr>
          <w:spacing w:val="-1"/>
        </w:rPr>
        <w:t>自主生活能力，无法独立进行六项日常基本生活活动中的二项。</w:t>
      </w:r>
    </w:p>
    <w:p>
      <w:pPr>
        <w:pStyle w:val="BodyText"/>
        <w:tabs>
          <w:tab w:pos="2455" w:val="left" w:leader="none"/>
        </w:tabs>
        <w:ind w:left="2647" w:right="201" w:hanging="2532"/>
      </w:pPr>
      <w:r>
        <w:rPr/>
        <w:t>11、较小面积</w:t>
      </w:r>
      <w:r>
        <w:rPr>
          <w:spacing w:val="-47"/>
        </w:rPr>
        <w:t> </w:t>
      </w:r>
      <w:r>
        <w:rPr/>
        <w:t>III</w:t>
      </w:r>
      <w:r>
        <w:rPr>
          <w:spacing w:val="-44"/>
        </w:rPr>
        <w:t> </w:t>
      </w:r>
      <w:r>
        <w:rPr/>
        <w:t>度烧伤</w:t>
        <w:tab/>
      </w:r>
      <w:r>
        <w:rPr>
          <w:spacing w:val="10"/>
        </w:rPr>
        <w:t>：</w:t>
      </w:r>
      <w:r>
        <w:rPr/>
        <w:t>指烧伤程度为Ⅲ度</w:t>
      </w:r>
      <w:r>
        <w:rPr>
          <w:spacing w:val="-8"/>
        </w:rPr>
        <w:t>，</w:t>
      </w:r>
      <w:r>
        <w:rPr/>
        <w:t>且Ⅲ度烧伤面积达到全身体表面积的</w:t>
      </w:r>
      <w:r>
        <w:rPr>
          <w:spacing w:val="-44"/>
        </w:rPr>
        <w:t> </w:t>
      </w:r>
      <w:r>
        <w:rPr/>
        <w:t>10%但少于</w:t>
      </w:r>
      <w:r>
        <w:rPr>
          <w:spacing w:val="-44"/>
        </w:rPr>
        <w:t> </w:t>
      </w:r>
      <w:r>
        <w:rPr>
          <w:spacing w:val="-3"/>
        </w:rPr>
        <w:t>20%，</w:t>
      </w:r>
      <w:r>
        <w:rPr/>
        <w:t>或者超过</w:t>
      </w:r>
      <w:r>
        <w:rPr>
          <w:spacing w:val="-52"/>
        </w:rPr>
        <w:t> </w:t>
      </w:r>
      <w:r>
        <w:rPr/>
        <w:t>50%脸部面积。体表面积</w:t>
      </w:r>
      <w:r>
        <w:rPr>
          <w:spacing w:val="-3"/>
        </w:rPr>
        <w:t>根</w:t>
      </w:r>
      <w:r>
        <w:rPr/>
        <w:t>据《中国新九分法》计算。</w:t>
      </w:r>
    </w:p>
    <w:p>
      <w:pPr>
        <w:pStyle w:val="BodyText"/>
        <w:tabs>
          <w:tab w:pos="2455" w:val="left" w:leader="none"/>
        </w:tabs>
        <w:spacing w:line="237" w:lineRule="auto" w:before="2"/>
        <w:ind w:left="2647" w:right="203" w:hanging="2532"/>
      </w:pPr>
      <w:r>
        <w:rPr/>
        <w:t>12、人工耳蜗植入手术</w:t>
        <w:tab/>
      </w:r>
      <w:r>
        <w:rPr>
          <w:spacing w:val="10"/>
        </w:rPr>
        <w:t>：</w:t>
      </w:r>
      <w:r>
        <w:rPr/>
        <w:t>指由于耳蜗的永久损害而实际实施了人工耳蜗植入手</w:t>
      </w:r>
      <w:r>
        <w:rPr>
          <w:spacing w:val="5"/>
        </w:rPr>
        <w:t>术</w:t>
      </w:r>
      <w:r>
        <w:rPr/>
        <w:t>。诊断需经专科医师确认 </w:t>
      </w:r>
      <w:r>
        <w:rPr>
          <w:spacing w:val="-1"/>
        </w:rPr>
        <w:t>是在医</w:t>
      </w:r>
      <w:r>
        <w:rPr/>
        <w:t>学上是必要的，且在植入手术之前已经符合下列全部条件：</w:t>
      </w:r>
    </w:p>
    <w:p>
      <w:pPr>
        <w:pStyle w:val="ListParagraph"/>
        <w:numPr>
          <w:ilvl w:val="0"/>
          <w:numId w:val="10"/>
        </w:numPr>
        <w:tabs>
          <w:tab w:pos="3015" w:val="left" w:leader="none"/>
        </w:tabs>
        <w:spacing w:line="233" w:lineRule="exact" w:before="0" w:after="0"/>
        <w:ind w:left="3014" w:right="0" w:hanging="420"/>
        <w:jc w:val="left"/>
        <w:rPr>
          <w:sz w:val="18"/>
        </w:rPr>
      </w:pPr>
      <w:r>
        <w:rPr>
          <w:spacing w:val="-9"/>
          <w:sz w:val="18"/>
        </w:rPr>
        <w:t>双耳持续 </w:t>
      </w:r>
      <w:r>
        <w:rPr>
          <w:sz w:val="18"/>
        </w:rPr>
        <w:t>12</w:t>
      </w:r>
      <w:r>
        <w:rPr>
          <w:spacing w:val="-7"/>
          <w:sz w:val="18"/>
        </w:rPr>
        <w:t> 个月以上重度感音神经性耳聋；</w:t>
      </w:r>
    </w:p>
    <w:p>
      <w:pPr>
        <w:pStyle w:val="ListParagraph"/>
        <w:numPr>
          <w:ilvl w:val="0"/>
          <w:numId w:val="10"/>
        </w:numPr>
        <w:tabs>
          <w:tab w:pos="3015" w:val="left" w:leader="none"/>
        </w:tabs>
        <w:spacing w:line="240" w:lineRule="auto" w:before="0" w:after="0"/>
        <w:ind w:left="3014" w:right="0" w:hanging="420"/>
        <w:jc w:val="left"/>
        <w:rPr>
          <w:sz w:val="18"/>
        </w:rPr>
      </w:pPr>
      <w:r>
        <w:rPr>
          <w:spacing w:val="-1"/>
          <w:sz w:val="18"/>
        </w:rPr>
        <w:t>使用相应的听力辅助设备效果不佳。</w:t>
      </w:r>
    </w:p>
    <w:p>
      <w:pPr>
        <w:pStyle w:val="Heading1"/>
        <w:spacing w:before="35"/>
        <w:ind w:left="221"/>
      </w:pPr>
      <w:r>
        <w:rPr>
          <w:w w:val="95"/>
        </w:rPr>
        <w:t>附表四：成人轻症疾病列表</w:t>
      </w:r>
    </w:p>
    <w:p>
      <w:pPr>
        <w:pStyle w:val="BodyText"/>
        <w:spacing w:line="316" w:lineRule="auto" w:before="76"/>
        <w:ind w:left="221" w:right="508"/>
      </w:pPr>
      <w:r>
        <w:rPr/>
        <w:t>轻症疾病是指下列任何一种疾病，被保险人发生符合以下疾病定义所述条件的疾病，应当由专科医生明确诊断。</w:t>
      </w:r>
    </w:p>
    <w:p>
      <w:pPr>
        <w:pStyle w:val="BodyText"/>
        <w:spacing w:line="232" w:lineRule="exact" w:before="5"/>
        <w:ind w:left="2630" w:right="203" w:hanging="2516"/>
        <w:jc w:val="both"/>
      </w:pPr>
      <w:r>
        <w:rPr/>
        <w:t>1</w:t>
      </w:r>
      <w:r>
        <w:rPr>
          <w:spacing w:val="-2"/>
        </w:rPr>
        <w:t>、非危及生命的恶性病变 ：指经组织病理学检查以及专科医生确认被明确诊断为下列恶性病变，并且接受了相</w:t>
      </w:r>
      <w:r>
        <w:rPr>
          <w:spacing w:val="-1"/>
        </w:rPr>
        <w:t>应的治疗。</w:t>
      </w:r>
    </w:p>
    <w:p>
      <w:pPr>
        <w:pStyle w:val="ListParagraph"/>
        <w:numPr>
          <w:ilvl w:val="0"/>
          <w:numId w:val="11"/>
        </w:numPr>
        <w:tabs>
          <w:tab w:pos="2999" w:val="left" w:leader="none"/>
        </w:tabs>
        <w:spacing w:line="212" w:lineRule="exact" w:before="0" w:after="0"/>
        <w:ind w:left="2998" w:right="0" w:hanging="420"/>
        <w:jc w:val="left"/>
        <w:rPr>
          <w:sz w:val="18"/>
        </w:rPr>
      </w:pPr>
      <w:r>
        <w:rPr>
          <w:spacing w:val="-1"/>
          <w:sz w:val="18"/>
        </w:rPr>
        <w:t>原位癌；</w:t>
      </w:r>
    </w:p>
    <w:p>
      <w:pPr>
        <w:pStyle w:val="ListParagraph"/>
        <w:numPr>
          <w:ilvl w:val="0"/>
          <w:numId w:val="11"/>
        </w:numPr>
        <w:tabs>
          <w:tab w:pos="2999" w:val="left" w:leader="none"/>
        </w:tabs>
        <w:spacing w:line="234" w:lineRule="exact" w:before="0" w:after="0"/>
        <w:ind w:left="2998" w:right="0" w:hanging="420"/>
        <w:jc w:val="left"/>
        <w:rPr>
          <w:sz w:val="18"/>
        </w:rPr>
      </w:pPr>
      <w:r>
        <w:rPr>
          <w:spacing w:val="-12"/>
          <w:sz w:val="18"/>
        </w:rPr>
        <w:t>相当于 </w:t>
      </w:r>
      <w:r>
        <w:rPr>
          <w:sz w:val="18"/>
        </w:rPr>
        <w:t>Binet</w:t>
      </w:r>
      <w:r>
        <w:rPr>
          <w:spacing w:val="-17"/>
          <w:sz w:val="18"/>
        </w:rPr>
        <w:t> 分期方案 </w:t>
      </w:r>
      <w:r>
        <w:rPr>
          <w:sz w:val="18"/>
        </w:rPr>
        <w:t>A</w:t>
      </w:r>
      <w:r>
        <w:rPr>
          <w:spacing w:val="-8"/>
          <w:sz w:val="18"/>
        </w:rPr>
        <w:t> 期程度的慢性淋巴细胞白血病；</w:t>
      </w:r>
    </w:p>
    <w:p>
      <w:pPr>
        <w:pStyle w:val="ListParagraph"/>
        <w:numPr>
          <w:ilvl w:val="0"/>
          <w:numId w:val="11"/>
        </w:numPr>
        <w:tabs>
          <w:tab w:pos="2999" w:val="left" w:leader="none"/>
        </w:tabs>
        <w:spacing w:line="233" w:lineRule="exact" w:before="0" w:after="0"/>
        <w:ind w:left="2998" w:right="0" w:hanging="420"/>
        <w:jc w:val="left"/>
        <w:rPr>
          <w:sz w:val="18"/>
        </w:rPr>
      </w:pPr>
      <w:r>
        <w:rPr>
          <w:spacing w:val="-12"/>
          <w:sz w:val="18"/>
        </w:rPr>
        <w:t>相当于 </w:t>
      </w:r>
      <w:r>
        <w:rPr>
          <w:sz w:val="18"/>
        </w:rPr>
        <w:t>Ann</w:t>
      </w:r>
      <w:r>
        <w:rPr>
          <w:spacing w:val="-2"/>
          <w:sz w:val="18"/>
        </w:rPr>
        <w:t> </w:t>
      </w:r>
      <w:r>
        <w:rPr>
          <w:sz w:val="18"/>
        </w:rPr>
        <w:t>Arbor</w:t>
      </w:r>
      <w:r>
        <w:rPr>
          <w:spacing w:val="-17"/>
          <w:sz w:val="18"/>
        </w:rPr>
        <w:t> 分期方案 </w:t>
      </w:r>
      <w:r>
        <w:rPr>
          <w:sz w:val="18"/>
        </w:rPr>
        <w:t>I</w:t>
      </w:r>
      <w:r>
        <w:rPr>
          <w:spacing w:val="-7"/>
          <w:sz w:val="18"/>
        </w:rPr>
        <w:t> 期程度的何杰金氏病；</w:t>
      </w:r>
    </w:p>
    <w:p>
      <w:pPr>
        <w:pStyle w:val="ListParagraph"/>
        <w:numPr>
          <w:ilvl w:val="0"/>
          <w:numId w:val="11"/>
        </w:numPr>
        <w:tabs>
          <w:tab w:pos="2999" w:val="left" w:leader="none"/>
        </w:tabs>
        <w:spacing w:line="233" w:lineRule="exact" w:before="0" w:after="0"/>
        <w:ind w:left="2998" w:right="0" w:hanging="420"/>
        <w:jc w:val="left"/>
        <w:rPr>
          <w:sz w:val="18"/>
        </w:rPr>
      </w:pPr>
      <w:r>
        <w:rPr>
          <w:spacing w:val="-1"/>
          <w:w w:val="100"/>
          <w:sz w:val="18"/>
        </w:rPr>
        <w:t>皮肤癌(不包括恶性黑色素瘤及已经发生转移的皮肤癌</w:t>
      </w:r>
      <w:r>
        <w:rPr>
          <w:spacing w:val="-92"/>
          <w:w w:val="100"/>
          <w:sz w:val="18"/>
        </w:rPr>
        <w:t>）</w:t>
      </w:r>
      <w:r>
        <w:rPr>
          <w:w w:val="100"/>
          <w:sz w:val="18"/>
        </w:rPr>
        <w:t>；</w:t>
      </w:r>
    </w:p>
    <w:p>
      <w:pPr>
        <w:pStyle w:val="ListParagraph"/>
        <w:numPr>
          <w:ilvl w:val="0"/>
          <w:numId w:val="11"/>
        </w:numPr>
        <w:tabs>
          <w:tab w:pos="2999" w:val="left" w:leader="none"/>
        </w:tabs>
        <w:spacing w:line="234" w:lineRule="exact" w:before="0" w:after="0"/>
        <w:ind w:left="2998" w:right="0" w:hanging="420"/>
        <w:jc w:val="left"/>
        <w:rPr>
          <w:sz w:val="18"/>
        </w:rPr>
      </w:pPr>
      <w:r>
        <w:rPr>
          <w:sz w:val="18"/>
        </w:rPr>
        <w:t>TNM</w:t>
      </w:r>
      <w:r>
        <w:rPr>
          <w:spacing w:val="-19"/>
          <w:sz w:val="18"/>
        </w:rPr>
        <w:t> 分期为 </w:t>
      </w:r>
      <w:r>
        <w:rPr>
          <w:sz w:val="18"/>
        </w:rPr>
        <w:t>T1N0M0</w:t>
      </w:r>
      <w:r>
        <w:rPr>
          <w:spacing w:val="-7"/>
          <w:sz w:val="18"/>
        </w:rPr>
        <w:t> 期或更轻分期的前列腺癌。</w:t>
      </w:r>
    </w:p>
    <w:p>
      <w:pPr>
        <w:pStyle w:val="BodyText"/>
        <w:spacing w:line="237" w:lineRule="auto" w:before="2"/>
        <w:ind w:left="2630" w:right="203"/>
        <w:jc w:val="both"/>
      </w:pPr>
      <w:r>
        <w:rPr/>
        <w:t>原位癌指恶性细胞局限于上皮内但尚未穿破基底膜浸润周围正常组织的癌细胞新</w:t>
      </w:r>
      <w:r>
        <w:rPr>
          <w:spacing w:val="-10"/>
        </w:rPr>
        <w:t>生物。在索赔以上恶性病变时必须提交由病理科专科医生签署的固定活组织病理学</w:t>
      </w:r>
      <w:r>
        <w:rPr>
          <w:spacing w:val="-14"/>
        </w:rPr>
        <w:t>检查报告和由专科医生签署的临床诊断及治疗报告。仅凭细胞学检查结果的临床诊</w:t>
      </w:r>
      <w:r>
        <w:rPr>
          <w:spacing w:val="-1"/>
        </w:rPr>
        <w:t>断将不被接受。</w:t>
      </w:r>
    </w:p>
    <w:p>
      <w:pPr>
        <w:pStyle w:val="BodyText"/>
        <w:spacing w:line="237" w:lineRule="auto"/>
        <w:ind w:left="2630" w:right="203"/>
      </w:pPr>
      <w:r>
        <w:rPr>
          <w:spacing w:val="-8"/>
        </w:rPr>
        <w:t>原位癌必须在生前诊断。被保险人所患癌症在被诊断时已经超越原位癌阶段者不在</w:t>
      </w:r>
      <w:r>
        <w:rPr>
          <w:spacing w:val="-1"/>
        </w:rPr>
        <w:t>本保障范围内。</w:t>
      </w:r>
    </w:p>
    <w:p>
      <w:pPr>
        <w:pStyle w:val="BodyText"/>
        <w:ind w:left="2630" w:right="36"/>
      </w:pPr>
      <w:r>
        <w:rPr/>
        <w:t>癌前病变（包括宫颈上皮内瘤样病变 CIN-1，CIN-2，重度不典型增生但非原位癌） 不在本保障范围之内。</w:t>
      </w:r>
    </w:p>
    <w:p>
      <w:pPr>
        <w:pStyle w:val="BodyText"/>
        <w:spacing w:line="237" w:lineRule="auto" w:before="1"/>
        <w:ind w:left="2647" w:right="203" w:hanging="2532"/>
        <w:jc w:val="both"/>
      </w:pPr>
      <w:r>
        <w:rPr/>
        <w:t>2、轻度急性心肌梗塞      ：指由于冠状动脉血供不足导致的部分心肌梗死。诊断须由专科医师证实，并实际接受了相应和必要的治疗。</w:t>
      </w:r>
    </w:p>
    <w:p>
      <w:pPr>
        <w:pStyle w:val="BodyText"/>
        <w:spacing w:line="233" w:lineRule="exact"/>
        <w:ind w:left="2647"/>
      </w:pPr>
      <w:r>
        <w:rPr/>
        <w:t>必须满足下列全部条件：</w:t>
      </w:r>
    </w:p>
    <w:p>
      <w:pPr>
        <w:pStyle w:val="BodyText"/>
        <w:spacing w:line="237" w:lineRule="auto" w:before="2"/>
        <w:ind w:left="2647" w:right="642"/>
      </w:pPr>
      <w:r>
        <w:rPr/>
        <w:t>在相关心脏病事件发生后新出现的心电图改变，提示心肌坏死或严重损伤； 肌钙蛋白或血清心肌酶谱指标有诊断意义的升高。</w:t>
      </w:r>
    </w:p>
    <w:p>
      <w:pPr>
        <w:pStyle w:val="BodyText"/>
        <w:spacing w:line="231" w:lineRule="exact"/>
        <w:ind w:left="2647"/>
      </w:pPr>
      <w:r>
        <w:rPr/>
        <w:t>以下情况不在本保障范围内：</w:t>
      </w:r>
    </w:p>
    <w:p>
      <w:pPr>
        <w:pStyle w:val="BodyText"/>
        <w:ind w:left="2647" w:right="911"/>
      </w:pPr>
      <w:r>
        <w:rPr/>
        <w:t>其他非心肌梗死性的急性冠状动脉综合症（稳定性/不稳定性心绞痛）； 由于心脏或冠状动脉介入手术引起的心脏损害。</w:t>
      </w:r>
    </w:p>
    <w:p>
      <w:pPr>
        <w:pStyle w:val="BodyText"/>
        <w:tabs>
          <w:tab w:pos="2455" w:val="left" w:leader="none"/>
        </w:tabs>
        <w:spacing w:line="237" w:lineRule="auto"/>
        <w:ind w:left="2647" w:right="191" w:hanging="2532"/>
        <w:jc w:val="both"/>
      </w:pPr>
      <w:r>
        <w:rPr/>
        <w:t>3、轻度脑中风</w:t>
        <w:tab/>
      </w:r>
      <w:r>
        <w:rPr>
          <w:spacing w:val="10"/>
        </w:rPr>
        <w:t>：</w:t>
      </w:r>
      <w:r>
        <w:rPr/>
        <w:t>指因脑血管的突发病变出现神经系统功能障碍表现，头颅断层扫</w:t>
      </w:r>
      <w:r>
        <w:rPr>
          <w:spacing w:val="2"/>
        </w:rPr>
        <w:t>描</w:t>
      </w:r>
      <w:r>
        <w:rPr/>
        <w:t>（CT）、核磁 共振（MRI）等影像学检查证</w:t>
      </w:r>
      <w:r>
        <w:rPr>
          <w:spacing w:val="-3"/>
        </w:rPr>
        <w:t>实</w:t>
      </w:r>
      <w:r>
        <w:rPr/>
        <w:t>存在对应病灶，确诊为脑出血、脑栓塞或脑梗塞。在确诊</w:t>
      </w:r>
      <w:r>
        <w:rPr>
          <w:spacing w:val="-7"/>
        </w:rPr>
        <w:t> </w:t>
      </w:r>
      <w:r>
        <w:rPr/>
        <w:t>180</w:t>
      </w:r>
      <w:r>
        <w:rPr>
          <w:spacing w:val="-5"/>
        </w:rPr>
        <w:t> </w:t>
      </w:r>
      <w:r>
        <w:rPr/>
        <w:t>天后仍遗留神经</w:t>
      </w:r>
      <w:r>
        <w:rPr>
          <w:spacing w:val="-3"/>
        </w:rPr>
        <w:t>系</w:t>
      </w:r>
      <w:r>
        <w:rPr/>
        <w:t>统功能障碍。遗留的神经系统功能障碍程度虽未达</w:t>
      </w:r>
      <w:r>
        <w:rPr>
          <w:spacing w:val="-1"/>
        </w:rPr>
        <w:t>到重大疾病“脑</w:t>
      </w:r>
      <w:r>
        <w:rPr/>
        <w:t>中风后遗症”的给付标准，但仍遗留下列一种或一种以上障碍：</w:t>
      </w:r>
    </w:p>
    <w:p>
      <w:pPr>
        <w:pStyle w:val="ListParagraph"/>
        <w:numPr>
          <w:ilvl w:val="0"/>
          <w:numId w:val="12"/>
        </w:numPr>
        <w:tabs>
          <w:tab w:pos="3015" w:val="left" w:leader="none"/>
        </w:tabs>
        <w:spacing w:line="231" w:lineRule="exact" w:before="0" w:after="0"/>
        <w:ind w:left="2647" w:right="0" w:hanging="53"/>
        <w:jc w:val="left"/>
        <w:rPr>
          <w:sz w:val="18"/>
        </w:rPr>
      </w:pPr>
      <w:r>
        <w:rPr>
          <w:sz w:val="18"/>
        </w:rPr>
        <w:t>一侧肢体（上肢或下肢）</w:t>
      </w:r>
      <w:r>
        <w:rPr>
          <w:spacing w:val="-10"/>
          <w:sz w:val="18"/>
        </w:rPr>
        <w:t>的肌力为 </w:t>
      </w:r>
      <w:r>
        <w:rPr>
          <w:sz w:val="18"/>
        </w:rPr>
        <w:t>1-2</w:t>
      </w:r>
      <w:r>
        <w:rPr>
          <w:spacing w:val="-16"/>
          <w:sz w:val="18"/>
        </w:rPr>
        <w:t> 级；</w:t>
      </w:r>
    </w:p>
    <w:p>
      <w:pPr>
        <w:pStyle w:val="ListParagraph"/>
        <w:numPr>
          <w:ilvl w:val="0"/>
          <w:numId w:val="12"/>
        </w:numPr>
        <w:tabs>
          <w:tab w:pos="3015" w:val="left" w:leader="none"/>
        </w:tabs>
        <w:spacing w:line="240" w:lineRule="auto" w:before="0" w:after="0"/>
        <w:ind w:left="2647" w:right="815" w:hanging="53"/>
        <w:jc w:val="left"/>
        <w:rPr>
          <w:sz w:val="18"/>
        </w:rPr>
      </w:pPr>
      <w:r>
        <w:rPr>
          <w:sz w:val="18"/>
        </w:rPr>
        <w:t>自主生活能力丧失，无法独立完成六项基本日常生活活动中的二项。</w:t>
      </w:r>
      <w:r>
        <w:rPr>
          <w:spacing w:val="-1"/>
          <w:sz w:val="18"/>
        </w:rPr>
        <w:t>肌力分级：</w:t>
      </w:r>
    </w:p>
    <w:p>
      <w:pPr>
        <w:pStyle w:val="ListParagraph"/>
        <w:numPr>
          <w:ilvl w:val="0"/>
          <w:numId w:val="13"/>
        </w:numPr>
        <w:tabs>
          <w:tab w:pos="2785" w:val="left" w:leader="none"/>
        </w:tabs>
        <w:spacing w:line="231" w:lineRule="exact" w:before="1" w:after="0"/>
        <w:ind w:left="2784" w:right="0" w:hanging="137"/>
        <w:jc w:val="left"/>
        <w:rPr>
          <w:sz w:val="18"/>
        </w:rPr>
      </w:pPr>
      <w:r>
        <w:rPr>
          <w:spacing w:val="-2"/>
          <w:sz w:val="18"/>
        </w:rPr>
        <w:t>级：完全瘫痪，测不到肌肉收缩；</w:t>
      </w:r>
    </w:p>
    <w:p>
      <w:pPr>
        <w:pStyle w:val="ListParagraph"/>
        <w:numPr>
          <w:ilvl w:val="0"/>
          <w:numId w:val="13"/>
        </w:numPr>
        <w:tabs>
          <w:tab w:pos="2785" w:val="left" w:leader="none"/>
        </w:tabs>
        <w:spacing w:line="233" w:lineRule="exact" w:before="0" w:after="0"/>
        <w:ind w:left="2784" w:right="0" w:hanging="137"/>
        <w:jc w:val="left"/>
        <w:rPr>
          <w:sz w:val="18"/>
        </w:rPr>
      </w:pPr>
      <w:r>
        <w:rPr>
          <w:spacing w:val="-2"/>
          <w:sz w:val="18"/>
        </w:rPr>
        <w:t>级：可见肌肉轻微收缩，但不能带动关节；</w:t>
      </w:r>
    </w:p>
    <w:p>
      <w:pPr>
        <w:pStyle w:val="ListParagraph"/>
        <w:numPr>
          <w:ilvl w:val="0"/>
          <w:numId w:val="13"/>
        </w:numPr>
        <w:tabs>
          <w:tab w:pos="2785" w:val="left" w:leader="none"/>
        </w:tabs>
        <w:spacing w:line="234" w:lineRule="exact" w:before="0" w:after="0"/>
        <w:ind w:left="2784" w:right="0" w:hanging="137"/>
        <w:jc w:val="left"/>
        <w:rPr>
          <w:sz w:val="18"/>
        </w:rPr>
      </w:pPr>
      <w:r>
        <w:rPr>
          <w:spacing w:val="-2"/>
          <w:sz w:val="18"/>
        </w:rPr>
        <w:t>级：肢体能在床上平行移动，但不能抵抗自身重力，即不能抬离床面；</w:t>
      </w:r>
    </w:p>
    <w:p>
      <w:pPr>
        <w:pStyle w:val="ListParagraph"/>
        <w:numPr>
          <w:ilvl w:val="0"/>
          <w:numId w:val="13"/>
        </w:numPr>
        <w:tabs>
          <w:tab w:pos="2785" w:val="left" w:leader="none"/>
        </w:tabs>
        <w:spacing w:line="234" w:lineRule="exact" w:before="0" w:after="0"/>
        <w:ind w:left="2784" w:right="0" w:hanging="137"/>
        <w:jc w:val="left"/>
        <w:rPr>
          <w:sz w:val="18"/>
        </w:rPr>
      </w:pPr>
      <w:r>
        <w:rPr>
          <w:spacing w:val="-2"/>
          <w:sz w:val="18"/>
        </w:rPr>
        <w:t>级：肢体可以克服地心吸收力，能抬离床面，但不能抵抗阻力；</w:t>
      </w:r>
    </w:p>
    <w:p>
      <w:pPr>
        <w:pStyle w:val="ListParagraph"/>
        <w:numPr>
          <w:ilvl w:val="0"/>
          <w:numId w:val="13"/>
        </w:numPr>
        <w:tabs>
          <w:tab w:pos="2785" w:val="left" w:leader="none"/>
        </w:tabs>
        <w:spacing w:line="233" w:lineRule="exact" w:before="0" w:after="0"/>
        <w:ind w:left="2784" w:right="0" w:hanging="137"/>
        <w:jc w:val="left"/>
        <w:rPr>
          <w:sz w:val="18"/>
        </w:rPr>
      </w:pPr>
      <w:r>
        <w:rPr>
          <w:spacing w:val="-2"/>
          <w:sz w:val="18"/>
        </w:rPr>
        <w:t>级：肢体能做对抗外界阻力的运动，但肌力低于正常；</w:t>
      </w:r>
    </w:p>
    <w:p>
      <w:pPr>
        <w:pStyle w:val="ListParagraph"/>
        <w:numPr>
          <w:ilvl w:val="0"/>
          <w:numId w:val="13"/>
        </w:numPr>
        <w:tabs>
          <w:tab w:pos="2785" w:val="left" w:leader="none"/>
        </w:tabs>
        <w:spacing w:line="234" w:lineRule="exact" w:before="0" w:after="0"/>
        <w:ind w:left="2784" w:right="0" w:hanging="137"/>
        <w:jc w:val="left"/>
        <w:rPr>
          <w:sz w:val="18"/>
        </w:rPr>
      </w:pPr>
      <w:r>
        <w:rPr>
          <w:spacing w:val="-1"/>
          <w:sz w:val="18"/>
        </w:rPr>
        <w:t>级：肌力正常。</w:t>
      </w:r>
    </w:p>
    <w:p>
      <w:pPr>
        <w:spacing w:after="0" w:line="234" w:lineRule="exact"/>
        <w:jc w:val="left"/>
        <w:rPr>
          <w:sz w:val="18"/>
        </w:rPr>
        <w:sectPr>
          <w:pgSz w:w="11960" w:h="16850"/>
          <w:pgMar w:header="0" w:footer="1001" w:top="1600" w:bottom="1200" w:left="1480" w:right="1240"/>
        </w:sectPr>
      </w:pPr>
    </w:p>
    <w:p>
      <w:pPr>
        <w:pStyle w:val="BodyText"/>
        <w:spacing w:line="233" w:lineRule="exact"/>
        <w:ind w:left="115"/>
      </w:pPr>
      <w:r>
        <w:rPr/>
        <w:t>4、微创冠状动脉搭桥手术</w:t>
      </w:r>
    </w:p>
    <w:p>
      <w:pPr>
        <w:pStyle w:val="BodyText"/>
        <w:spacing w:line="237" w:lineRule="auto" w:before="2"/>
        <w:ind w:left="115" w:right="89"/>
      </w:pPr>
      <w:r>
        <w:rPr/>
        <w:t>（或称微创冠状动脉旁路移植术）</w:t>
      </w:r>
    </w:p>
    <w:p>
      <w:pPr>
        <w:pStyle w:val="BodyText"/>
        <w:spacing w:line="237" w:lineRule="auto"/>
        <w:ind w:left="307" w:right="203" w:hanging="192"/>
        <w:jc w:val="both"/>
      </w:pPr>
      <w:r>
        <w:rPr/>
        <w:br w:type="column"/>
      </w:r>
      <w:r>
        <w:rPr/>
        <w:t>：为纠正冠状动脉的狭窄或堵塞，而实际实施的冠状动脉旁路移植手术。手术通过微创开胸术（肋骨间小切口）进行，且诊断须由冠状动脉血管造影检查确诊狭窄或堵塞。微创冠状动脉绕道也包括“锁孔”冠脉搭桥手术。</w:t>
      </w:r>
    </w:p>
    <w:p>
      <w:pPr>
        <w:pStyle w:val="BodyText"/>
        <w:spacing w:line="231" w:lineRule="exact"/>
        <w:ind w:left="307"/>
      </w:pPr>
      <w:r>
        <w:rPr/>
        <w:t>必须满足下列全部条件：</w:t>
      </w:r>
    </w:p>
    <w:p>
      <w:pPr>
        <w:pStyle w:val="ListParagraph"/>
        <w:numPr>
          <w:ilvl w:val="0"/>
          <w:numId w:val="14"/>
        </w:numPr>
        <w:tabs>
          <w:tab w:pos="676" w:val="left" w:leader="none"/>
        </w:tabs>
        <w:spacing w:line="240" w:lineRule="auto" w:before="0" w:after="0"/>
        <w:ind w:left="675" w:right="201" w:hanging="420"/>
        <w:jc w:val="left"/>
        <w:rPr>
          <w:sz w:val="18"/>
        </w:rPr>
      </w:pPr>
      <w:r>
        <w:rPr>
          <w:spacing w:val="0"/>
          <w:sz w:val="18"/>
        </w:rPr>
        <w:t>血管造影显示至少两支冠状动脉狭窄超过 </w:t>
      </w:r>
      <w:r>
        <w:rPr>
          <w:sz w:val="18"/>
        </w:rPr>
        <w:t>50</w:t>
      </w:r>
      <w:r>
        <w:rPr>
          <w:spacing w:val="1"/>
          <w:sz w:val="18"/>
        </w:rPr>
        <w:t>%或一支冠状动脉狭窄 </w:t>
      </w:r>
      <w:r>
        <w:rPr>
          <w:sz w:val="18"/>
        </w:rPr>
        <w:t>70%或更</w:t>
      </w:r>
      <w:r>
        <w:rPr>
          <w:spacing w:val="-1"/>
          <w:sz w:val="18"/>
        </w:rPr>
        <w:t>高；</w:t>
      </w:r>
    </w:p>
    <w:p>
      <w:pPr>
        <w:pStyle w:val="ListParagraph"/>
        <w:numPr>
          <w:ilvl w:val="0"/>
          <w:numId w:val="14"/>
        </w:numPr>
        <w:tabs>
          <w:tab w:pos="676" w:val="left" w:leader="none"/>
        </w:tabs>
        <w:spacing w:line="233" w:lineRule="exact" w:before="1" w:after="0"/>
        <w:ind w:left="675" w:right="0" w:hanging="420"/>
        <w:jc w:val="left"/>
        <w:rPr>
          <w:sz w:val="18"/>
        </w:rPr>
      </w:pPr>
      <w:r>
        <w:rPr>
          <w:spacing w:val="-1"/>
          <w:sz w:val="18"/>
        </w:rPr>
        <w:t>手术须由心脏专科医师进行，并确认该手术是必要的。</w:t>
      </w:r>
    </w:p>
    <w:p>
      <w:pPr>
        <w:spacing w:after="0" w:line="233" w:lineRule="exact"/>
        <w:jc w:val="left"/>
        <w:rPr>
          <w:sz w:val="18"/>
        </w:rPr>
        <w:sectPr>
          <w:type w:val="continuous"/>
          <w:pgSz w:w="11960" w:h="16850"/>
          <w:pgMar w:top="280" w:bottom="1200" w:left="1480" w:right="1240"/>
          <w:cols w:num="2" w:equalWidth="0">
            <w:col w:w="2188" w:space="152"/>
            <w:col w:w="6900"/>
          </w:cols>
        </w:sectPr>
      </w:pPr>
    </w:p>
    <w:p>
      <w:pPr>
        <w:pStyle w:val="BodyText"/>
        <w:tabs>
          <w:tab w:pos="2455" w:val="left" w:leader="none"/>
        </w:tabs>
        <w:spacing w:line="232" w:lineRule="exact"/>
        <w:ind w:left="115"/>
      </w:pPr>
      <w:r>
        <w:rPr/>
        <w:t>5、一肢缺失</w:t>
        <w:tab/>
      </w:r>
      <w:r>
        <w:rPr>
          <w:spacing w:val="10"/>
        </w:rPr>
        <w:t>：</w:t>
      </w:r>
      <w:r>
        <w:rPr/>
        <w:t>指因疾病或者意外伤害导致一个肢体自腕关节或踝关节近端（靠近躯干端）以上</w:t>
      </w:r>
    </w:p>
    <w:p>
      <w:pPr>
        <w:spacing w:after="0" w:line="232" w:lineRule="exact"/>
        <w:sectPr>
          <w:type w:val="continuous"/>
          <w:pgSz w:w="11960" w:h="16850"/>
          <w:pgMar w:top="280" w:bottom="1200" w:left="1480" w:right="1240"/>
        </w:sectPr>
      </w:pPr>
    </w:p>
    <w:p>
      <w:pPr>
        <w:pStyle w:val="BodyText"/>
        <w:spacing w:before="7"/>
        <w:ind w:left="0"/>
        <w:rPr>
          <w:sz w:val="23"/>
        </w:rPr>
      </w:pPr>
    </w:p>
    <w:p>
      <w:pPr>
        <w:pStyle w:val="BodyText"/>
        <w:spacing w:line="237" w:lineRule="auto"/>
        <w:ind w:left="115"/>
      </w:pPr>
      <w:r>
        <w:rPr/>
        <w:t>6、脑垂体瘤、脑囊肿、脑动脉瘤及脑血管瘤</w:t>
      </w:r>
    </w:p>
    <w:p>
      <w:pPr>
        <w:pStyle w:val="BodyText"/>
        <w:spacing w:line="234" w:lineRule="exact" w:before="73"/>
        <w:ind w:left="307"/>
      </w:pPr>
      <w:r>
        <w:rPr/>
        <w:br w:type="column"/>
      </w:r>
      <w:r>
        <w:rPr/>
        <w:t>完全断离。</w:t>
      </w:r>
    </w:p>
    <w:p>
      <w:pPr>
        <w:pStyle w:val="BodyText"/>
        <w:spacing w:line="237" w:lineRule="auto"/>
        <w:ind w:left="307" w:right="114" w:hanging="192"/>
      </w:pPr>
      <w:r>
        <w:rPr/>
        <w:t>：指实际实施的垂体瘤、脑囊肿、脑动脉瘤及脑血管瘤的切除手术。诊断需经头颅 </w:t>
      </w:r>
      <w:r>
        <w:rPr>
          <w:spacing w:val="-6"/>
        </w:rPr>
        <w:t>断层扫描（CT）</w:t>
      </w:r>
      <w:r>
        <w:rPr>
          <w:spacing w:val="-5"/>
        </w:rPr>
        <w:t>或核磁共振（MRI）确诊，并由专科医师确认是在医学上是必要的。在索赔时必须提交由病理科专科医生签署的固定活组织病理学检查报告和由专科</w:t>
      </w:r>
      <w:r>
        <w:rPr>
          <w:spacing w:val="-1"/>
        </w:rPr>
        <w:t>医生签署的临床诊断及治疗报告。</w:t>
      </w:r>
    </w:p>
    <w:p>
      <w:pPr>
        <w:pStyle w:val="BodyText"/>
        <w:spacing w:line="233" w:lineRule="exact"/>
        <w:ind w:left="307"/>
      </w:pPr>
      <w:r>
        <w:rPr/>
        <w:t>直径小于 1cm 的垂体微腺瘤不在本保障范围内。</w:t>
      </w:r>
    </w:p>
    <w:p>
      <w:pPr>
        <w:spacing w:after="0" w:line="233" w:lineRule="exact"/>
        <w:sectPr>
          <w:pgSz w:w="11960" w:h="16850"/>
          <w:pgMar w:header="0" w:footer="1001" w:top="1600" w:bottom="1200" w:left="1480" w:right="1240"/>
          <w:cols w:num="2" w:equalWidth="0">
            <w:col w:w="2187" w:space="152"/>
            <w:col w:w="6901"/>
          </w:cols>
        </w:sectPr>
      </w:pPr>
    </w:p>
    <w:p>
      <w:pPr>
        <w:pStyle w:val="BodyText"/>
        <w:tabs>
          <w:tab w:pos="2455" w:val="left" w:leader="none"/>
        </w:tabs>
        <w:spacing w:line="237" w:lineRule="auto"/>
        <w:ind w:left="2647" w:right="202" w:hanging="2532"/>
        <w:jc w:val="both"/>
      </w:pPr>
      <w:r>
        <w:rPr/>
        <w:t>7、中度听力受损</w:t>
        <w:tab/>
      </w:r>
      <w:r>
        <w:rPr>
          <w:spacing w:val="10"/>
        </w:rPr>
        <w:t>：</w:t>
      </w:r>
      <w:r>
        <w:rPr/>
        <w:t>指因疾病或意外伤害导致单耳或双耳听力永久不可逆性丧失。在</w:t>
      </w:r>
      <w:r>
        <w:rPr>
          <w:spacing w:val="-9"/>
        </w:rPr>
        <w:t> </w:t>
      </w:r>
      <w:r>
        <w:rPr/>
        <w:t>500</w:t>
      </w:r>
      <w:r>
        <w:rPr>
          <w:spacing w:val="-7"/>
        </w:rPr>
        <w:t> </w:t>
      </w:r>
      <w:r>
        <w:rPr/>
        <w:t>赫兹，1000赫兹和</w:t>
      </w:r>
      <w:r>
        <w:rPr>
          <w:spacing w:val="-27"/>
        </w:rPr>
        <w:t> </w:t>
      </w:r>
      <w:r>
        <w:rPr/>
        <w:t>2000</w:t>
      </w:r>
      <w:r>
        <w:rPr>
          <w:spacing w:val="-25"/>
        </w:rPr>
        <w:t> </w:t>
      </w:r>
      <w:r>
        <w:rPr/>
        <w:t>赫兹语音频率</w:t>
      </w:r>
      <w:r>
        <w:rPr>
          <w:spacing w:val="-3"/>
        </w:rPr>
        <w:t>下</w:t>
      </w:r>
      <w:r>
        <w:rPr/>
        <w:t>，平均听阈大于</w:t>
      </w:r>
      <w:r>
        <w:rPr>
          <w:spacing w:val="-27"/>
        </w:rPr>
        <w:t> </w:t>
      </w:r>
      <w:r>
        <w:rPr/>
        <w:t>80</w:t>
      </w:r>
      <w:r>
        <w:rPr>
          <w:spacing w:val="-25"/>
        </w:rPr>
        <w:t> </w:t>
      </w:r>
      <w:r>
        <w:rPr/>
        <w:t>分贝。</w:t>
      </w:r>
      <w:r>
        <w:rPr>
          <w:spacing w:val="-3"/>
        </w:rPr>
        <w:t>需</w:t>
      </w:r>
      <w:r>
        <w:rPr/>
        <w:t>有纯音听力测试、声导</w:t>
      </w:r>
      <w:r>
        <w:rPr>
          <w:spacing w:val="-1"/>
        </w:rPr>
        <w:t>抗</w:t>
      </w:r>
      <w:r>
        <w:rPr/>
        <w:t>检测或听觉诱发电位检测等证实。</w:t>
      </w:r>
    </w:p>
    <w:p>
      <w:pPr>
        <w:pStyle w:val="BodyText"/>
        <w:spacing w:line="231" w:lineRule="exact"/>
        <w:ind w:left="2647"/>
      </w:pPr>
      <w:r>
        <w:rPr/>
        <w:t>申请理赔时，须提供理赔当时的听力丧失诊断及检查证据。</w:t>
      </w:r>
    </w:p>
    <w:p>
      <w:pPr>
        <w:pStyle w:val="BodyText"/>
        <w:tabs>
          <w:tab w:pos="2455" w:val="left" w:leader="none"/>
        </w:tabs>
        <w:ind w:left="2647" w:right="203" w:hanging="2532"/>
        <w:jc w:val="both"/>
      </w:pPr>
      <w:r>
        <w:rPr/>
        <w:t>8、视力严重受损</w:t>
        <w:tab/>
      </w:r>
      <w:r>
        <w:rPr>
          <w:spacing w:val="10"/>
        </w:rPr>
        <w:t>：</w:t>
      </w:r>
      <w:r>
        <w:rPr/>
        <w:t>指因疾病或意外伤害导致双目视力永久不可逆性丧</w:t>
      </w:r>
      <w:r>
        <w:rPr>
          <w:spacing w:val="5"/>
        </w:rPr>
        <w:t>失</w:t>
      </w:r>
      <w:r>
        <w:rPr/>
        <w:t>，双眼中较好眼须满足下列 </w:t>
      </w:r>
      <w:r>
        <w:rPr>
          <w:spacing w:val="-1"/>
        </w:rPr>
        <w:t>全</w:t>
      </w:r>
      <w:r>
        <w:rPr/>
        <w:t>部条件：</w:t>
      </w:r>
    </w:p>
    <w:p>
      <w:pPr>
        <w:pStyle w:val="ListParagraph"/>
        <w:numPr>
          <w:ilvl w:val="1"/>
          <w:numId w:val="14"/>
        </w:numPr>
        <w:tabs>
          <w:tab w:pos="3015" w:val="left" w:leader="none"/>
        </w:tabs>
        <w:spacing w:line="237" w:lineRule="auto" w:before="1" w:after="0"/>
        <w:ind w:left="3014" w:right="205" w:hanging="420"/>
        <w:jc w:val="left"/>
        <w:rPr>
          <w:sz w:val="18"/>
        </w:rPr>
      </w:pPr>
      <w:r>
        <w:rPr>
          <w:spacing w:val="-5"/>
          <w:sz w:val="18"/>
        </w:rPr>
        <w:t>矫正视力为 </w:t>
      </w:r>
      <w:r>
        <w:rPr>
          <w:sz w:val="18"/>
        </w:rPr>
        <w:t>0.02-0.1（</w:t>
      </w:r>
      <w:r>
        <w:rPr>
          <w:spacing w:val="-1"/>
          <w:sz w:val="18"/>
        </w:rPr>
        <w:t>采用国际标准视力表，如果使用其他视力表应进行换</w:t>
      </w:r>
      <w:r>
        <w:rPr>
          <w:spacing w:val="-1"/>
          <w:w w:val="100"/>
          <w:sz w:val="18"/>
        </w:rPr>
        <w:t>算</w:t>
      </w:r>
      <w:r>
        <w:rPr>
          <w:spacing w:val="-92"/>
          <w:w w:val="100"/>
          <w:sz w:val="18"/>
        </w:rPr>
        <w:t>）</w:t>
      </w:r>
      <w:r>
        <w:rPr>
          <w:w w:val="100"/>
          <w:sz w:val="18"/>
        </w:rPr>
        <w:t>；</w:t>
      </w:r>
    </w:p>
    <w:p>
      <w:pPr>
        <w:pStyle w:val="ListParagraph"/>
        <w:numPr>
          <w:ilvl w:val="1"/>
          <w:numId w:val="14"/>
        </w:numPr>
        <w:tabs>
          <w:tab w:pos="3015" w:val="left" w:leader="none"/>
        </w:tabs>
        <w:spacing w:line="233" w:lineRule="exact" w:before="0" w:after="0"/>
        <w:ind w:left="3014" w:right="0" w:hanging="420"/>
        <w:jc w:val="left"/>
        <w:rPr>
          <w:sz w:val="18"/>
        </w:rPr>
      </w:pPr>
      <w:r>
        <w:rPr>
          <w:spacing w:val="-8"/>
          <w:sz w:val="18"/>
        </w:rPr>
        <w:t>视野半径为 </w:t>
      </w:r>
      <w:r>
        <w:rPr>
          <w:sz w:val="18"/>
        </w:rPr>
        <w:t>5-20</w:t>
      </w:r>
      <w:r>
        <w:rPr>
          <w:spacing w:val="-16"/>
          <w:sz w:val="18"/>
        </w:rPr>
        <w:t> 度。</w:t>
      </w:r>
    </w:p>
    <w:p>
      <w:pPr>
        <w:pStyle w:val="BodyText"/>
        <w:ind w:left="2647"/>
      </w:pPr>
      <w:r>
        <w:rPr/>
        <w:t>申请理赔时，须提供理赔当时的视力丧失诊断及检查证据。</w:t>
      </w:r>
    </w:p>
    <w:p>
      <w:pPr>
        <w:spacing w:after="0"/>
        <w:sectPr>
          <w:type w:val="continuous"/>
          <w:pgSz w:w="11960" w:h="16850"/>
          <w:pgMar w:top="280" w:bottom="1200" w:left="1480" w:right="1240"/>
        </w:sectPr>
      </w:pPr>
    </w:p>
    <w:p>
      <w:pPr>
        <w:pStyle w:val="BodyText"/>
        <w:spacing w:line="237" w:lineRule="auto"/>
        <w:ind w:left="115"/>
      </w:pPr>
      <w:r>
        <w:rPr/>
        <w:t>9、心脏瓣膜经皮导管介入手术</w:t>
      </w:r>
    </w:p>
    <w:p>
      <w:pPr>
        <w:pStyle w:val="BodyText"/>
        <w:spacing w:line="237" w:lineRule="auto"/>
        <w:ind w:left="307" w:right="204" w:hanging="192"/>
      </w:pPr>
      <w:r>
        <w:rPr/>
        <w:br w:type="column"/>
      </w:r>
      <w:r>
        <w:rPr/>
        <w:t>：指为治疗心脏瓣膜疾病，实际实施了或经皮导管介入手术进行心脏瓣膜置换或者修复手术，含经皮瓣膜成形术、经皮瓣膜扩张术和经皮瓣膜置换术。</w:t>
      </w:r>
    </w:p>
    <w:p>
      <w:pPr>
        <w:pStyle w:val="BodyText"/>
        <w:spacing w:line="237" w:lineRule="auto" w:before="2"/>
        <w:ind w:left="307" w:right="204"/>
      </w:pPr>
      <w:r>
        <w:rPr/>
        <w:t>手术过程必须是经皮血管内导管技术，任何经开胸术打开或进入胸部的手术均不在保障责任范围。</w:t>
      </w:r>
    </w:p>
    <w:p>
      <w:pPr>
        <w:spacing w:after="0" w:line="237" w:lineRule="auto"/>
        <w:sectPr>
          <w:type w:val="continuous"/>
          <w:pgSz w:w="11960" w:h="16850"/>
          <w:pgMar w:top="280" w:bottom="1200" w:left="1480" w:right="1240"/>
          <w:cols w:num="2" w:equalWidth="0">
            <w:col w:w="2188" w:space="152"/>
            <w:col w:w="6900"/>
          </w:cols>
        </w:sectPr>
      </w:pPr>
    </w:p>
    <w:p>
      <w:pPr>
        <w:pStyle w:val="BodyText"/>
        <w:tabs>
          <w:tab w:pos="2455" w:val="left" w:leader="none"/>
        </w:tabs>
        <w:spacing w:line="237" w:lineRule="auto"/>
        <w:ind w:left="2647" w:right="112" w:hanging="2532"/>
      </w:pPr>
      <w:r>
        <w:rPr/>
        <w:t>10、轻度头颅外伤</w:t>
        <w:tab/>
      </w:r>
      <w:r>
        <w:rPr>
          <w:spacing w:val="10"/>
        </w:rPr>
        <w:t>：</w:t>
      </w:r>
      <w:r>
        <w:rPr/>
        <w:t>指因头部遭受机械性外力，引起脑重要部位损伤，导致神经系统永久性的功能障 碍</w:t>
      </w:r>
      <w:r>
        <w:rPr>
          <w:spacing w:val="-27"/>
        </w:rPr>
        <w:t>。</w:t>
      </w:r>
      <w:r>
        <w:rPr/>
        <w:t>须由头颅断层扫</w:t>
      </w:r>
      <w:r>
        <w:rPr>
          <w:spacing w:val="-27"/>
        </w:rPr>
        <w:t>描</w:t>
      </w:r>
      <w:r>
        <w:rPr>
          <w:spacing w:val="-8"/>
        </w:rPr>
        <w:t>（CT）</w:t>
      </w:r>
      <w:r>
        <w:rPr>
          <w:spacing w:val="-29"/>
        </w:rPr>
        <w:t>、</w:t>
      </w:r>
      <w:r>
        <w:rPr/>
        <w:t>核磁共振检</w:t>
      </w:r>
      <w:r>
        <w:rPr>
          <w:spacing w:val="-27"/>
        </w:rPr>
        <w:t>查</w:t>
      </w:r>
      <w:r>
        <w:rPr>
          <w:spacing w:val="-6"/>
        </w:rPr>
        <w:t>（MRI）</w:t>
      </w:r>
      <w:r>
        <w:rPr/>
        <w:t>或正电</w:t>
      </w:r>
      <w:r>
        <w:rPr>
          <w:spacing w:val="-3"/>
        </w:rPr>
        <w:t>子</w:t>
      </w:r>
      <w:r>
        <w:rPr/>
        <w:t>发射断层扫</w:t>
      </w:r>
      <w:r>
        <w:rPr>
          <w:spacing w:val="-27"/>
        </w:rPr>
        <w:t>描</w:t>
      </w:r>
      <w:r>
        <w:rPr/>
        <w:t>（PET） 等影像学检查证实</w:t>
      </w:r>
      <w:r>
        <w:rPr>
          <w:spacing w:val="-5"/>
        </w:rPr>
        <w:t>。</w:t>
      </w:r>
      <w:r>
        <w:rPr/>
        <w:t>神经系统永久性的功能障碍</w:t>
      </w:r>
      <w:r>
        <w:rPr>
          <w:spacing w:val="-5"/>
        </w:rPr>
        <w:t>，</w:t>
      </w:r>
      <w:r>
        <w:rPr/>
        <w:t>指脑损伤</w:t>
      </w:r>
      <w:r>
        <w:rPr>
          <w:spacing w:val="-46"/>
        </w:rPr>
        <w:t> </w:t>
      </w:r>
      <w:r>
        <w:rPr/>
        <w:t>90</w:t>
      </w:r>
      <w:r>
        <w:rPr>
          <w:spacing w:val="-45"/>
        </w:rPr>
        <w:t> </w:t>
      </w:r>
      <w:r>
        <w:rPr/>
        <w:t>天后</w:t>
      </w:r>
      <w:r>
        <w:rPr>
          <w:spacing w:val="-5"/>
        </w:rPr>
        <w:t>，</w:t>
      </w:r>
      <w:r>
        <w:rPr/>
        <w:t>仍完全丧失</w:t>
      </w:r>
      <w:r>
        <w:rPr>
          <w:spacing w:val="-1"/>
        </w:rPr>
        <w:t>自主生</w:t>
      </w:r>
      <w:r>
        <w:rPr/>
        <w:t>活能力，无法独立进行六项日常基本生活活动中的二项。</w:t>
      </w:r>
    </w:p>
    <w:p>
      <w:pPr>
        <w:pStyle w:val="BodyText"/>
        <w:tabs>
          <w:tab w:pos="2455" w:val="left" w:leader="none"/>
        </w:tabs>
        <w:spacing w:line="237" w:lineRule="auto"/>
        <w:ind w:left="2647" w:right="201" w:hanging="2532"/>
      </w:pPr>
      <w:r>
        <w:rPr/>
        <w:t>11、较小面积</w:t>
      </w:r>
      <w:r>
        <w:rPr>
          <w:spacing w:val="-47"/>
        </w:rPr>
        <w:t> </w:t>
      </w:r>
      <w:r>
        <w:rPr/>
        <w:t>III</w:t>
      </w:r>
      <w:r>
        <w:rPr>
          <w:spacing w:val="-44"/>
        </w:rPr>
        <w:t> </w:t>
      </w:r>
      <w:r>
        <w:rPr/>
        <w:t>度烧伤</w:t>
        <w:tab/>
      </w:r>
      <w:r>
        <w:rPr>
          <w:spacing w:val="10"/>
        </w:rPr>
        <w:t>：</w:t>
      </w:r>
      <w:r>
        <w:rPr/>
        <w:t>指烧伤程度为Ⅲ度</w:t>
      </w:r>
      <w:r>
        <w:rPr>
          <w:spacing w:val="-8"/>
        </w:rPr>
        <w:t>，</w:t>
      </w:r>
      <w:r>
        <w:rPr/>
        <w:t>且Ⅲ度烧伤面积达到全身体表面积的</w:t>
      </w:r>
      <w:r>
        <w:rPr>
          <w:spacing w:val="-44"/>
        </w:rPr>
        <w:t> </w:t>
      </w:r>
      <w:r>
        <w:rPr/>
        <w:t>10%但少于</w:t>
      </w:r>
      <w:r>
        <w:rPr>
          <w:spacing w:val="-44"/>
        </w:rPr>
        <w:t> </w:t>
      </w:r>
      <w:r>
        <w:rPr>
          <w:spacing w:val="-3"/>
        </w:rPr>
        <w:t>20%，</w:t>
      </w:r>
      <w:r>
        <w:rPr/>
        <w:t>或者超过</w:t>
      </w:r>
      <w:r>
        <w:rPr>
          <w:spacing w:val="-52"/>
        </w:rPr>
        <w:t> </w:t>
      </w:r>
      <w:r>
        <w:rPr/>
        <w:t>50%脸部面积。体表面积</w:t>
      </w:r>
      <w:r>
        <w:rPr>
          <w:spacing w:val="-3"/>
        </w:rPr>
        <w:t>根</w:t>
      </w:r>
      <w:r>
        <w:rPr/>
        <w:t>据《中国新九分法》计算。</w:t>
      </w:r>
    </w:p>
    <w:p>
      <w:pPr>
        <w:pStyle w:val="BodyText"/>
        <w:tabs>
          <w:tab w:pos="2455" w:val="left" w:leader="none"/>
        </w:tabs>
        <w:spacing w:line="237" w:lineRule="auto" w:before="2"/>
        <w:ind w:left="2647" w:right="203" w:hanging="2532"/>
      </w:pPr>
      <w:r>
        <w:rPr/>
        <w:t>12、主动脉内手术</w:t>
        <w:tab/>
      </w:r>
      <w:r>
        <w:rPr>
          <w:spacing w:val="10"/>
        </w:rPr>
        <w:t>：</w:t>
      </w:r>
      <w:r>
        <w:rPr/>
        <w:t>为了治疗主动脉疾病实际实施了经皮经导管进行的动脉内手术，诊断需经心脏血 </w:t>
      </w:r>
      <w:r>
        <w:rPr>
          <w:spacing w:val="-1"/>
        </w:rPr>
        <w:t>管超声</w:t>
      </w:r>
      <w:r>
        <w:rPr/>
        <w:t>检查确诊，并由专科医师确认是在医学上是必要的。</w:t>
      </w:r>
    </w:p>
    <w:p>
      <w:pPr>
        <w:pStyle w:val="BodyText"/>
        <w:spacing w:line="233" w:lineRule="exact"/>
        <w:ind w:left="2647"/>
      </w:pPr>
      <w:r>
        <w:rPr/>
        <w:t>主动脉指胸主动脉和腹主动脉，不包括胸主动脉和腹主动脉的分支血管。</w:t>
      </w:r>
    </w:p>
    <w:p>
      <w:pPr>
        <w:pStyle w:val="BodyText"/>
        <w:spacing w:before="35"/>
        <w:ind w:left="221"/>
      </w:pPr>
      <w:r>
        <w:rPr/>
        <w:t>重大疾病定义的释义：</w:t>
      </w:r>
    </w:p>
    <w:p>
      <w:pPr>
        <w:pStyle w:val="BodyText"/>
        <w:tabs>
          <w:tab w:pos="2460" w:val="left" w:leader="none"/>
        </w:tabs>
        <w:spacing w:line="235" w:lineRule="exact" w:before="37"/>
        <w:ind w:left="221"/>
      </w:pPr>
      <w:r>
        <w:rPr/>
        <w:t>专科医生</w:t>
        <w:tab/>
        <w:t>：</w:t>
      </w:r>
      <w:r>
        <w:rPr>
          <w:spacing w:val="-72"/>
        </w:rPr>
        <w:t> </w:t>
      </w:r>
      <w:r>
        <w:rPr/>
        <w:t>专科医生应当同时满足以下四项资格条件：</w:t>
      </w:r>
    </w:p>
    <w:p>
      <w:pPr>
        <w:pStyle w:val="ListParagraph"/>
        <w:numPr>
          <w:ilvl w:val="0"/>
          <w:numId w:val="15"/>
        </w:numPr>
        <w:tabs>
          <w:tab w:pos="3080" w:val="left" w:leader="none"/>
        </w:tabs>
        <w:spacing w:line="234" w:lineRule="exact" w:before="0" w:after="0"/>
        <w:ind w:left="3089" w:right="0" w:hanging="420"/>
        <w:jc w:val="left"/>
        <w:rPr>
          <w:sz w:val="18"/>
        </w:rPr>
      </w:pPr>
      <w:r>
        <w:rPr>
          <w:spacing w:val="-6"/>
          <w:sz w:val="18"/>
        </w:rPr>
        <w:t>具有有效的中华人民共和国《医师资格证书》；</w:t>
      </w:r>
    </w:p>
    <w:p>
      <w:pPr>
        <w:pStyle w:val="ListParagraph"/>
        <w:numPr>
          <w:ilvl w:val="0"/>
          <w:numId w:val="15"/>
        </w:numPr>
        <w:tabs>
          <w:tab w:pos="3080" w:val="left" w:leader="none"/>
        </w:tabs>
        <w:spacing w:line="237" w:lineRule="auto" w:before="1" w:after="0"/>
        <w:ind w:left="3089" w:right="491" w:hanging="420"/>
        <w:jc w:val="left"/>
        <w:rPr>
          <w:sz w:val="18"/>
        </w:rPr>
      </w:pPr>
      <w:r>
        <w:rPr>
          <w:spacing w:val="-6"/>
          <w:sz w:val="18"/>
        </w:rPr>
        <w:t>具有有效的中华人民共和国《医师执业证书》，并按期到相关部门登记注</w:t>
      </w:r>
      <w:r>
        <w:rPr>
          <w:spacing w:val="-1"/>
          <w:sz w:val="18"/>
        </w:rPr>
        <w:t>册；</w:t>
      </w:r>
    </w:p>
    <w:p>
      <w:pPr>
        <w:pStyle w:val="ListParagraph"/>
        <w:numPr>
          <w:ilvl w:val="0"/>
          <w:numId w:val="15"/>
        </w:numPr>
        <w:tabs>
          <w:tab w:pos="3080" w:val="left" w:leader="none"/>
        </w:tabs>
        <w:spacing w:line="237" w:lineRule="auto" w:before="1" w:after="0"/>
        <w:ind w:left="3089" w:right="489" w:hanging="420"/>
        <w:jc w:val="left"/>
        <w:rPr>
          <w:sz w:val="18"/>
        </w:rPr>
      </w:pPr>
      <w:r>
        <w:rPr>
          <w:sz w:val="18"/>
        </w:rPr>
        <w:t>具有有效的中华人民共和国主治医师或主治医师以上职称的《医师职称</w:t>
      </w:r>
      <w:r>
        <w:rPr>
          <w:spacing w:val="-24"/>
          <w:sz w:val="18"/>
        </w:rPr>
        <w:t>证书》；</w:t>
      </w:r>
    </w:p>
    <w:p>
      <w:pPr>
        <w:pStyle w:val="ListParagraph"/>
        <w:numPr>
          <w:ilvl w:val="0"/>
          <w:numId w:val="15"/>
        </w:numPr>
        <w:tabs>
          <w:tab w:pos="2460" w:val="left" w:leader="none"/>
          <w:tab w:pos="3080" w:val="left" w:leader="none"/>
        </w:tabs>
        <w:spacing w:line="237" w:lineRule="auto" w:before="0" w:after="0"/>
        <w:ind w:left="221" w:right="1470" w:firstLine="2448"/>
        <w:jc w:val="left"/>
        <w:rPr>
          <w:sz w:val="18"/>
        </w:rPr>
      </w:pPr>
      <w:r>
        <w:rPr>
          <w:sz w:val="18"/>
        </w:rPr>
        <w:t>在二级或二级以上医院的相应科室从事临床工作三年以上。六项基本日常生活活动</w:t>
        <w:tab/>
        <w:t>：</w:t>
      </w:r>
      <w:r>
        <w:rPr>
          <w:spacing w:val="-72"/>
          <w:sz w:val="18"/>
        </w:rPr>
        <w:t> </w:t>
      </w:r>
      <w:r>
        <w:rPr>
          <w:sz w:val="18"/>
        </w:rPr>
        <w:t>六项基本日常生活活动是指：</w:t>
      </w:r>
    </w:p>
    <w:p>
      <w:pPr>
        <w:pStyle w:val="ListParagraph"/>
        <w:numPr>
          <w:ilvl w:val="0"/>
          <w:numId w:val="16"/>
        </w:numPr>
        <w:tabs>
          <w:tab w:pos="3080" w:val="left" w:leader="none"/>
        </w:tabs>
        <w:spacing w:line="234" w:lineRule="exact" w:before="1" w:after="0"/>
        <w:ind w:left="3079" w:right="0" w:hanging="420"/>
        <w:jc w:val="left"/>
        <w:rPr>
          <w:sz w:val="18"/>
        </w:rPr>
      </w:pPr>
      <w:r>
        <w:rPr>
          <w:spacing w:val="-1"/>
          <w:sz w:val="18"/>
        </w:rPr>
        <w:t>穿衣：自己能够穿衣及脱衣；</w:t>
      </w:r>
    </w:p>
    <w:p>
      <w:pPr>
        <w:pStyle w:val="ListParagraph"/>
        <w:numPr>
          <w:ilvl w:val="0"/>
          <w:numId w:val="16"/>
        </w:numPr>
        <w:tabs>
          <w:tab w:pos="3080" w:val="left" w:leader="none"/>
        </w:tabs>
        <w:spacing w:line="233" w:lineRule="exact" w:before="0" w:after="0"/>
        <w:ind w:left="3079" w:right="0" w:hanging="420"/>
        <w:jc w:val="left"/>
        <w:rPr>
          <w:sz w:val="18"/>
        </w:rPr>
      </w:pPr>
      <w:r>
        <w:rPr>
          <w:spacing w:val="-1"/>
          <w:sz w:val="18"/>
        </w:rPr>
        <w:t>移动：自己从一个房间到另一个房间；</w:t>
      </w:r>
    </w:p>
    <w:p>
      <w:pPr>
        <w:pStyle w:val="ListParagraph"/>
        <w:numPr>
          <w:ilvl w:val="0"/>
          <w:numId w:val="16"/>
        </w:numPr>
        <w:tabs>
          <w:tab w:pos="3080" w:val="left" w:leader="none"/>
        </w:tabs>
        <w:spacing w:line="233" w:lineRule="exact" w:before="0" w:after="0"/>
        <w:ind w:left="3079" w:right="0" w:hanging="420"/>
        <w:jc w:val="left"/>
        <w:rPr>
          <w:sz w:val="18"/>
        </w:rPr>
      </w:pPr>
      <w:r>
        <w:rPr>
          <w:spacing w:val="-1"/>
          <w:sz w:val="18"/>
        </w:rPr>
        <w:t>行动：自己上下床或上下轮椅；</w:t>
      </w:r>
    </w:p>
    <w:p>
      <w:pPr>
        <w:pStyle w:val="ListParagraph"/>
        <w:numPr>
          <w:ilvl w:val="0"/>
          <w:numId w:val="16"/>
        </w:numPr>
        <w:tabs>
          <w:tab w:pos="3080" w:val="left" w:leader="none"/>
        </w:tabs>
        <w:spacing w:line="234" w:lineRule="exact" w:before="0" w:after="0"/>
        <w:ind w:left="3079" w:right="0" w:hanging="420"/>
        <w:jc w:val="left"/>
        <w:rPr>
          <w:sz w:val="18"/>
        </w:rPr>
      </w:pPr>
      <w:r>
        <w:rPr>
          <w:spacing w:val="-1"/>
          <w:sz w:val="18"/>
        </w:rPr>
        <w:t>如厕：自己控制进行大小便；</w:t>
      </w:r>
    </w:p>
    <w:p>
      <w:pPr>
        <w:pStyle w:val="ListParagraph"/>
        <w:numPr>
          <w:ilvl w:val="0"/>
          <w:numId w:val="16"/>
        </w:numPr>
        <w:tabs>
          <w:tab w:pos="3080" w:val="left" w:leader="none"/>
        </w:tabs>
        <w:spacing w:line="234" w:lineRule="exact" w:before="0" w:after="0"/>
        <w:ind w:left="3079" w:right="0" w:hanging="420"/>
        <w:jc w:val="left"/>
        <w:rPr>
          <w:sz w:val="18"/>
        </w:rPr>
      </w:pPr>
      <w:r>
        <w:rPr>
          <w:spacing w:val="-1"/>
          <w:sz w:val="18"/>
        </w:rPr>
        <w:t>进食：自己从已准备好的碗或碟中取食物放入口中；</w:t>
      </w:r>
    </w:p>
    <w:p>
      <w:pPr>
        <w:pStyle w:val="ListParagraph"/>
        <w:numPr>
          <w:ilvl w:val="0"/>
          <w:numId w:val="16"/>
        </w:numPr>
        <w:tabs>
          <w:tab w:pos="3080" w:val="left" w:leader="none"/>
        </w:tabs>
        <w:spacing w:line="233" w:lineRule="exact" w:before="0" w:after="0"/>
        <w:ind w:left="3079" w:right="0" w:hanging="420"/>
        <w:jc w:val="left"/>
        <w:rPr>
          <w:sz w:val="18"/>
        </w:rPr>
      </w:pPr>
      <w:r>
        <w:rPr>
          <w:spacing w:val="-1"/>
          <w:sz w:val="18"/>
        </w:rPr>
        <w:t>洗澡：自己进行淋浴或盆浴。</w:t>
      </w:r>
    </w:p>
    <w:p>
      <w:pPr>
        <w:pStyle w:val="BodyText"/>
        <w:spacing w:line="237" w:lineRule="auto" w:before="1"/>
        <w:ind w:left="2659" w:right="488"/>
      </w:pPr>
      <w:r>
        <w:rPr>
          <w:spacing w:val="-7"/>
        </w:rPr>
        <w:t>申请理赔时，被保险人年龄必须在 </w:t>
      </w:r>
      <w:r>
        <w:rPr/>
        <w:t>3</w:t>
      </w:r>
      <w:r>
        <w:rPr>
          <w:spacing w:val="-9"/>
        </w:rPr>
        <w:t> 周岁以上，并且须提供理赔当时的诊断及</w:t>
      </w:r>
      <w:r>
        <w:rPr>
          <w:spacing w:val="-1"/>
        </w:rPr>
        <w:t>检查证据。</w:t>
      </w:r>
    </w:p>
    <w:p>
      <w:pPr>
        <w:pStyle w:val="BodyText"/>
        <w:tabs>
          <w:tab w:pos="2460" w:val="left" w:leader="none"/>
        </w:tabs>
        <w:spacing w:line="237" w:lineRule="auto" w:before="2"/>
        <w:ind w:left="2659" w:right="491" w:hanging="2439"/>
      </w:pPr>
      <w:r>
        <w:rPr/>
        <w:t>肢体机能完全丧失</w:t>
        <w:tab/>
        <w:t>：</w:t>
      </w:r>
      <w:r>
        <w:rPr>
          <w:spacing w:val="-73"/>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pStyle w:val="BodyText"/>
        <w:spacing w:line="233" w:lineRule="exact"/>
        <w:ind w:left="221"/>
      </w:pPr>
      <w:r>
        <w:rPr/>
        <w:t>语言能力或咀嚼吞咽能力完： 语言能力完全丧失，指无法发出四种语音（包括口唇音、齿舌音、口盖音和喉</w:t>
      </w:r>
    </w:p>
    <w:p>
      <w:pPr>
        <w:spacing w:after="0" w:line="233" w:lineRule="exact"/>
        <w:sectPr>
          <w:type w:val="continuous"/>
          <w:pgSz w:w="11960" w:h="16850"/>
          <w:pgMar w:top="280" w:bottom="1200" w:left="1480" w:right="1240"/>
        </w:sectPr>
      </w:pPr>
    </w:p>
    <w:p>
      <w:pPr>
        <w:pStyle w:val="BodyText"/>
        <w:spacing w:line="233" w:lineRule="exact"/>
        <w:ind w:left="221"/>
      </w:pPr>
      <w:r>
        <w:rPr/>
        <w:t>全丧失</w:t>
      </w:r>
    </w:p>
    <w:p>
      <w:pPr>
        <w:pStyle w:val="BodyText"/>
        <w:spacing w:line="237" w:lineRule="auto"/>
        <w:ind w:left="221" w:right="400"/>
      </w:pPr>
      <w:r>
        <w:rPr/>
        <w:br w:type="column"/>
      </w:r>
      <w:r>
        <w:rPr/>
        <w:t>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480" w:right="1240"/>
          <w:cols w:num="2" w:equalWidth="0">
            <w:col w:w="762" w:space="1676"/>
            <w:col w:w="6802"/>
          </w:cols>
        </w:sectPr>
      </w:pPr>
    </w:p>
    <w:p>
      <w:pPr>
        <w:pStyle w:val="BodyText"/>
        <w:tabs>
          <w:tab w:pos="2460" w:val="left" w:leader="none"/>
        </w:tabs>
        <w:ind w:left="2659" w:right="489" w:hanging="2439"/>
      </w:pPr>
      <w:r>
        <w:rPr/>
        <w:t>永久不可逆</w:t>
        <w:tab/>
        <w:t>：</w:t>
      </w:r>
      <w:r>
        <w:rPr>
          <w:spacing w:val="-72"/>
        </w:rPr>
        <w:t> </w:t>
      </w:r>
      <w:r>
        <w:rPr/>
        <w:t>指自疾病确诊或意外伤害发生之日起</w:t>
      </w:r>
      <w:r>
        <w:rPr>
          <w:spacing w:val="-20"/>
        </w:rPr>
        <w:t>，</w:t>
      </w:r>
      <w:r>
        <w:rPr/>
        <w:t>经过积极治疗</w:t>
      </w:r>
      <w:r>
        <w:rPr>
          <w:spacing w:val="-46"/>
        </w:rPr>
        <w:t> </w:t>
      </w:r>
      <w:r>
        <w:rPr/>
        <w:t>180</w:t>
      </w:r>
      <w:r>
        <w:rPr>
          <w:spacing w:val="-45"/>
        </w:rPr>
        <w:t> </w:t>
      </w:r>
      <w:r>
        <w:rPr/>
        <w:t>天</w:t>
      </w:r>
      <w:r>
        <w:rPr>
          <w:spacing w:val="-3"/>
        </w:rPr>
        <w:t>后</w:t>
      </w:r>
      <w:r>
        <w:rPr>
          <w:spacing w:val="-20"/>
        </w:rPr>
        <w:t>，</w:t>
      </w:r>
      <w:r>
        <w:rPr/>
        <w:t>仍无法通过现</w:t>
      </w:r>
      <w:r>
        <w:rPr>
          <w:spacing w:val="-1"/>
        </w:rPr>
        <w:t>有</w:t>
      </w:r>
      <w:r>
        <w:rPr/>
        <w:t>医疗手段恢复。</w:t>
      </w:r>
    </w:p>
    <w:sectPr>
      <w:type w:val="continuous"/>
      <w:pgSz w:w="11960" w:h="16850"/>
      <w:pgMar w:top="280" w:bottom="1200" w:left="148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2543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18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00690pt;margin-top:781.347778pt;width:78.7pt;height:11pt;mso-position-horizontal-relative:page;mso-position-vertical-relative:page;z-index:-25408"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18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3079" w:hanging="420"/>
        <w:jc w:val="left"/>
      </w:pPr>
      <w:rPr>
        <w:rFonts w:hint="default" w:ascii="宋体" w:hAnsi="宋体" w:eastAsia="宋体" w:cs="宋体"/>
        <w:spacing w:val="-32"/>
        <w:w w:val="100"/>
        <w:sz w:val="18"/>
        <w:szCs w:val="18"/>
      </w:rPr>
    </w:lvl>
    <w:lvl w:ilvl="1">
      <w:start w:val="0"/>
      <w:numFmt w:val="bullet"/>
      <w:lvlText w:val="•"/>
      <w:lvlJc w:val="left"/>
      <w:pPr>
        <w:ind w:left="3695" w:hanging="420"/>
      </w:pPr>
      <w:rPr>
        <w:rFonts w:hint="default"/>
      </w:rPr>
    </w:lvl>
    <w:lvl w:ilvl="2">
      <w:start w:val="0"/>
      <w:numFmt w:val="bullet"/>
      <w:lvlText w:val="•"/>
      <w:lvlJc w:val="left"/>
      <w:pPr>
        <w:ind w:left="4310" w:hanging="420"/>
      </w:pPr>
      <w:rPr>
        <w:rFonts w:hint="default"/>
      </w:rPr>
    </w:lvl>
    <w:lvl w:ilvl="3">
      <w:start w:val="0"/>
      <w:numFmt w:val="bullet"/>
      <w:lvlText w:val="•"/>
      <w:lvlJc w:val="left"/>
      <w:pPr>
        <w:ind w:left="4925" w:hanging="420"/>
      </w:pPr>
      <w:rPr>
        <w:rFonts w:hint="default"/>
      </w:rPr>
    </w:lvl>
    <w:lvl w:ilvl="4">
      <w:start w:val="0"/>
      <w:numFmt w:val="bullet"/>
      <w:lvlText w:val="•"/>
      <w:lvlJc w:val="left"/>
      <w:pPr>
        <w:ind w:left="5540" w:hanging="420"/>
      </w:pPr>
      <w:rPr>
        <w:rFonts w:hint="default"/>
      </w:rPr>
    </w:lvl>
    <w:lvl w:ilvl="5">
      <w:start w:val="0"/>
      <w:numFmt w:val="bullet"/>
      <w:lvlText w:val="•"/>
      <w:lvlJc w:val="left"/>
      <w:pPr>
        <w:ind w:left="6156" w:hanging="420"/>
      </w:pPr>
      <w:rPr>
        <w:rFonts w:hint="default"/>
      </w:rPr>
    </w:lvl>
    <w:lvl w:ilvl="6">
      <w:start w:val="0"/>
      <w:numFmt w:val="bullet"/>
      <w:lvlText w:val="•"/>
      <w:lvlJc w:val="left"/>
      <w:pPr>
        <w:ind w:left="6771" w:hanging="420"/>
      </w:pPr>
      <w:rPr>
        <w:rFonts w:hint="default"/>
      </w:rPr>
    </w:lvl>
    <w:lvl w:ilvl="7">
      <w:start w:val="0"/>
      <w:numFmt w:val="bullet"/>
      <w:lvlText w:val="•"/>
      <w:lvlJc w:val="left"/>
      <w:pPr>
        <w:ind w:left="7386" w:hanging="420"/>
      </w:pPr>
      <w:rPr>
        <w:rFonts w:hint="default"/>
      </w:rPr>
    </w:lvl>
    <w:lvl w:ilvl="8">
      <w:start w:val="0"/>
      <w:numFmt w:val="bullet"/>
      <w:lvlText w:val="•"/>
      <w:lvlJc w:val="left"/>
      <w:pPr>
        <w:ind w:left="8001" w:hanging="420"/>
      </w:pPr>
      <w:rPr>
        <w:rFonts w:hint="default"/>
      </w:rPr>
    </w:lvl>
  </w:abstractNum>
  <w:abstractNum w:abstractNumId="14">
    <w:multiLevelType w:val="hybridMultilevel"/>
    <w:lvl w:ilvl="0">
      <w:start w:val="1"/>
      <w:numFmt w:val="decimal"/>
      <w:lvlText w:val="(%1)"/>
      <w:lvlJc w:val="left"/>
      <w:pPr>
        <w:ind w:left="3089" w:hanging="411"/>
        <w:jc w:val="left"/>
      </w:pPr>
      <w:rPr>
        <w:rFonts w:hint="default" w:ascii="宋体" w:hAnsi="宋体" w:eastAsia="宋体" w:cs="宋体"/>
        <w:spacing w:val="-92"/>
        <w:w w:val="100"/>
        <w:sz w:val="18"/>
        <w:szCs w:val="18"/>
      </w:rPr>
    </w:lvl>
    <w:lvl w:ilvl="1">
      <w:start w:val="0"/>
      <w:numFmt w:val="bullet"/>
      <w:lvlText w:val="•"/>
      <w:lvlJc w:val="left"/>
      <w:pPr>
        <w:ind w:left="3695" w:hanging="411"/>
      </w:pPr>
      <w:rPr>
        <w:rFonts w:hint="default"/>
      </w:rPr>
    </w:lvl>
    <w:lvl w:ilvl="2">
      <w:start w:val="0"/>
      <w:numFmt w:val="bullet"/>
      <w:lvlText w:val="•"/>
      <w:lvlJc w:val="left"/>
      <w:pPr>
        <w:ind w:left="4310" w:hanging="411"/>
      </w:pPr>
      <w:rPr>
        <w:rFonts w:hint="default"/>
      </w:rPr>
    </w:lvl>
    <w:lvl w:ilvl="3">
      <w:start w:val="0"/>
      <w:numFmt w:val="bullet"/>
      <w:lvlText w:val="•"/>
      <w:lvlJc w:val="left"/>
      <w:pPr>
        <w:ind w:left="4925" w:hanging="411"/>
      </w:pPr>
      <w:rPr>
        <w:rFonts w:hint="default"/>
      </w:rPr>
    </w:lvl>
    <w:lvl w:ilvl="4">
      <w:start w:val="0"/>
      <w:numFmt w:val="bullet"/>
      <w:lvlText w:val="•"/>
      <w:lvlJc w:val="left"/>
      <w:pPr>
        <w:ind w:left="5540" w:hanging="411"/>
      </w:pPr>
      <w:rPr>
        <w:rFonts w:hint="default"/>
      </w:rPr>
    </w:lvl>
    <w:lvl w:ilvl="5">
      <w:start w:val="0"/>
      <w:numFmt w:val="bullet"/>
      <w:lvlText w:val="•"/>
      <w:lvlJc w:val="left"/>
      <w:pPr>
        <w:ind w:left="6156" w:hanging="411"/>
      </w:pPr>
      <w:rPr>
        <w:rFonts w:hint="default"/>
      </w:rPr>
    </w:lvl>
    <w:lvl w:ilvl="6">
      <w:start w:val="0"/>
      <w:numFmt w:val="bullet"/>
      <w:lvlText w:val="•"/>
      <w:lvlJc w:val="left"/>
      <w:pPr>
        <w:ind w:left="6771" w:hanging="411"/>
      </w:pPr>
      <w:rPr>
        <w:rFonts w:hint="default"/>
      </w:rPr>
    </w:lvl>
    <w:lvl w:ilvl="7">
      <w:start w:val="0"/>
      <w:numFmt w:val="bullet"/>
      <w:lvlText w:val="•"/>
      <w:lvlJc w:val="left"/>
      <w:pPr>
        <w:ind w:left="7386" w:hanging="411"/>
      </w:pPr>
      <w:rPr>
        <w:rFonts w:hint="default"/>
      </w:rPr>
    </w:lvl>
    <w:lvl w:ilvl="8">
      <w:start w:val="0"/>
      <w:numFmt w:val="bullet"/>
      <w:lvlText w:val="•"/>
      <w:lvlJc w:val="left"/>
      <w:pPr>
        <w:ind w:left="8001" w:hanging="411"/>
      </w:pPr>
      <w:rPr>
        <w:rFonts w:hint="default"/>
      </w:rPr>
    </w:lvl>
  </w:abstractNum>
  <w:abstractNum w:abstractNumId="13">
    <w:multiLevelType w:val="hybridMultilevel"/>
    <w:lvl w:ilvl="0">
      <w:start w:val="1"/>
      <w:numFmt w:val="decimal"/>
      <w:lvlText w:val="(%1)"/>
      <w:lvlJc w:val="left"/>
      <w:pPr>
        <w:ind w:left="675" w:hanging="420"/>
        <w:jc w:val="left"/>
      </w:pPr>
      <w:rPr>
        <w:rFonts w:hint="default" w:ascii="宋体" w:hAnsi="宋体" w:eastAsia="宋体" w:cs="宋体"/>
        <w:spacing w:val="-32"/>
        <w:w w:val="100"/>
        <w:sz w:val="18"/>
        <w:szCs w:val="18"/>
      </w:rPr>
    </w:lvl>
    <w:lvl w:ilvl="1">
      <w:start w:val="1"/>
      <w:numFmt w:val="decimal"/>
      <w:lvlText w:val="(%2)"/>
      <w:lvlJc w:val="left"/>
      <w:pPr>
        <w:ind w:left="3014" w:hanging="420"/>
        <w:jc w:val="left"/>
      </w:pPr>
      <w:rPr>
        <w:rFonts w:hint="default" w:ascii="宋体" w:hAnsi="宋体" w:eastAsia="宋体" w:cs="宋体"/>
        <w:spacing w:val="-92"/>
        <w:w w:val="100"/>
        <w:sz w:val="18"/>
        <w:szCs w:val="18"/>
      </w:rPr>
    </w:lvl>
    <w:lvl w:ilvl="2">
      <w:start w:val="0"/>
      <w:numFmt w:val="bullet"/>
      <w:lvlText w:val="•"/>
      <w:lvlJc w:val="left"/>
      <w:pPr>
        <w:ind w:left="3450" w:hanging="420"/>
      </w:pPr>
      <w:rPr>
        <w:rFonts w:hint="default"/>
      </w:rPr>
    </w:lvl>
    <w:lvl w:ilvl="3">
      <w:start w:val="0"/>
      <w:numFmt w:val="bullet"/>
      <w:lvlText w:val="•"/>
      <w:lvlJc w:val="left"/>
      <w:pPr>
        <w:ind w:left="3880" w:hanging="420"/>
      </w:pPr>
      <w:rPr>
        <w:rFonts w:hint="default"/>
      </w:rPr>
    </w:lvl>
    <w:lvl w:ilvl="4">
      <w:start w:val="0"/>
      <w:numFmt w:val="bullet"/>
      <w:lvlText w:val="•"/>
      <w:lvlJc w:val="left"/>
      <w:pPr>
        <w:ind w:left="4310" w:hanging="420"/>
      </w:pPr>
      <w:rPr>
        <w:rFonts w:hint="default"/>
      </w:rPr>
    </w:lvl>
    <w:lvl w:ilvl="5">
      <w:start w:val="0"/>
      <w:numFmt w:val="bullet"/>
      <w:lvlText w:val="•"/>
      <w:lvlJc w:val="left"/>
      <w:pPr>
        <w:ind w:left="4740" w:hanging="420"/>
      </w:pPr>
      <w:rPr>
        <w:rFonts w:hint="default"/>
      </w:rPr>
    </w:lvl>
    <w:lvl w:ilvl="6">
      <w:start w:val="0"/>
      <w:numFmt w:val="bullet"/>
      <w:lvlText w:val="•"/>
      <w:lvlJc w:val="left"/>
      <w:pPr>
        <w:ind w:left="5171" w:hanging="420"/>
      </w:pPr>
      <w:rPr>
        <w:rFonts w:hint="default"/>
      </w:rPr>
    </w:lvl>
    <w:lvl w:ilvl="7">
      <w:start w:val="0"/>
      <w:numFmt w:val="bullet"/>
      <w:lvlText w:val="•"/>
      <w:lvlJc w:val="left"/>
      <w:pPr>
        <w:ind w:left="5601" w:hanging="420"/>
      </w:pPr>
      <w:rPr>
        <w:rFonts w:hint="default"/>
      </w:rPr>
    </w:lvl>
    <w:lvl w:ilvl="8">
      <w:start w:val="0"/>
      <w:numFmt w:val="bullet"/>
      <w:lvlText w:val="•"/>
      <w:lvlJc w:val="left"/>
      <w:pPr>
        <w:ind w:left="6031" w:hanging="420"/>
      </w:pPr>
      <w:rPr>
        <w:rFonts w:hint="default"/>
      </w:rPr>
    </w:lvl>
  </w:abstractNum>
  <w:abstractNum w:abstractNumId="12">
    <w:multiLevelType w:val="hybridMultilevel"/>
    <w:lvl w:ilvl="0">
      <w:start w:val="0"/>
      <w:numFmt w:val="decimal"/>
      <w:lvlText w:val="%1"/>
      <w:lvlJc w:val="left"/>
      <w:pPr>
        <w:ind w:left="2784" w:hanging="137"/>
        <w:jc w:val="left"/>
      </w:pPr>
      <w:rPr>
        <w:rFonts w:hint="default" w:ascii="宋体" w:hAnsi="宋体" w:eastAsia="宋体" w:cs="宋体"/>
        <w:w w:val="100"/>
        <w:sz w:val="18"/>
        <w:szCs w:val="18"/>
      </w:rPr>
    </w:lvl>
    <w:lvl w:ilvl="1">
      <w:start w:val="0"/>
      <w:numFmt w:val="bullet"/>
      <w:lvlText w:val="•"/>
      <w:lvlJc w:val="left"/>
      <w:pPr>
        <w:ind w:left="3425" w:hanging="137"/>
      </w:pPr>
      <w:rPr>
        <w:rFonts w:hint="default"/>
      </w:rPr>
    </w:lvl>
    <w:lvl w:ilvl="2">
      <w:start w:val="0"/>
      <w:numFmt w:val="bullet"/>
      <w:lvlText w:val="•"/>
      <w:lvlJc w:val="left"/>
      <w:pPr>
        <w:ind w:left="4070" w:hanging="137"/>
      </w:pPr>
      <w:rPr>
        <w:rFonts w:hint="default"/>
      </w:rPr>
    </w:lvl>
    <w:lvl w:ilvl="3">
      <w:start w:val="0"/>
      <w:numFmt w:val="bullet"/>
      <w:lvlText w:val="•"/>
      <w:lvlJc w:val="left"/>
      <w:pPr>
        <w:ind w:left="4715" w:hanging="137"/>
      </w:pPr>
      <w:rPr>
        <w:rFonts w:hint="default"/>
      </w:rPr>
    </w:lvl>
    <w:lvl w:ilvl="4">
      <w:start w:val="0"/>
      <w:numFmt w:val="bullet"/>
      <w:lvlText w:val="•"/>
      <w:lvlJc w:val="left"/>
      <w:pPr>
        <w:ind w:left="5360" w:hanging="137"/>
      </w:pPr>
      <w:rPr>
        <w:rFonts w:hint="default"/>
      </w:rPr>
    </w:lvl>
    <w:lvl w:ilvl="5">
      <w:start w:val="0"/>
      <w:numFmt w:val="bullet"/>
      <w:lvlText w:val="•"/>
      <w:lvlJc w:val="left"/>
      <w:pPr>
        <w:ind w:left="6006" w:hanging="137"/>
      </w:pPr>
      <w:rPr>
        <w:rFonts w:hint="default"/>
      </w:rPr>
    </w:lvl>
    <w:lvl w:ilvl="6">
      <w:start w:val="0"/>
      <w:numFmt w:val="bullet"/>
      <w:lvlText w:val="•"/>
      <w:lvlJc w:val="left"/>
      <w:pPr>
        <w:ind w:left="6651" w:hanging="137"/>
      </w:pPr>
      <w:rPr>
        <w:rFonts w:hint="default"/>
      </w:rPr>
    </w:lvl>
    <w:lvl w:ilvl="7">
      <w:start w:val="0"/>
      <w:numFmt w:val="bullet"/>
      <w:lvlText w:val="•"/>
      <w:lvlJc w:val="left"/>
      <w:pPr>
        <w:ind w:left="7296" w:hanging="137"/>
      </w:pPr>
      <w:rPr>
        <w:rFonts w:hint="default"/>
      </w:rPr>
    </w:lvl>
    <w:lvl w:ilvl="8">
      <w:start w:val="0"/>
      <w:numFmt w:val="bullet"/>
      <w:lvlText w:val="•"/>
      <w:lvlJc w:val="left"/>
      <w:pPr>
        <w:ind w:left="7941" w:hanging="137"/>
      </w:pPr>
      <w:rPr>
        <w:rFonts w:hint="default"/>
      </w:rPr>
    </w:lvl>
  </w:abstractNum>
  <w:abstractNum w:abstractNumId="11">
    <w:multiLevelType w:val="hybridMultilevel"/>
    <w:lvl w:ilvl="0">
      <w:start w:val="1"/>
      <w:numFmt w:val="decimal"/>
      <w:lvlText w:val="(%1)"/>
      <w:lvlJc w:val="left"/>
      <w:pPr>
        <w:ind w:left="2647" w:hanging="420"/>
        <w:jc w:val="left"/>
      </w:pPr>
      <w:rPr>
        <w:rFonts w:hint="default" w:ascii="宋体" w:hAnsi="宋体" w:eastAsia="宋体" w:cs="宋体"/>
        <w:spacing w:val="-45"/>
        <w:w w:val="100"/>
        <w:sz w:val="18"/>
        <w:szCs w:val="18"/>
      </w:rPr>
    </w:lvl>
    <w:lvl w:ilvl="1">
      <w:start w:val="0"/>
      <w:numFmt w:val="bullet"/>
      <w:lvlText w:val="•"/>
      <w:lvlJc w:val="left"/>
      <w:pPr>
        <w:ind w:left="3299" w:hanging="420"/>
      </w:pPr>
      <w:rPr>
        <w:rFonts w:hint="default"/>
      </w:rPr>
    </w:lvl>
    <w:lvl w:ilvl="2">
      <w:start w:val="0"/>
      <w:numFmt w:val="bullet"/>
      <w:lvlText w:val="•"/>
      <w:lvlJc w:val="left"/>
      <w:pPr>
        <w:ind w:left="3958" w:hanging="420"/>
      </w:pPr>
      <w:rPr>
        <w:rFonts w:hint="default"/>
      </w:rPr>
    </w:lvl>
    <w:lvl w:ilvl="3">
      <w:start w:val="0"/>
      <w:numFmt w:val="bullet"/>
      <w:lvlText w:val="•"/>
      <w:lvlJc w:val="left"/>
      <w:pPr>
        <w:ind w:left="4617" w:hanging="420"/>
      </w:pPr>
      <w:rPr>
        <w:rFonts w:hint="default"/>
      </w:rPr>
    </w:lvl>
    <w:lvl w:ilvl="4">
      <w:start w:val="0"/>
      <w:numFmt w:val="bullet"/>
      <w:lvlText w:val="•"/>
      <w:lvlJc w:val="left"/>
      <w:pPr>
        <w:ind w:left="5276" w:hanging="420"/>
      </w:pPr>
      <w:rPr>
        <w:rFonts w:hint="default"/>
      </w:rPr>
    </w:lvl>
    <w:lvl w:ilvl="5">
      <w:start w:val="0"/>
      <w:numFmt w:val="bullet"/>
      <w:lvlText w:val="•"/>
      <w:lvlJc w:val="left"/>
      <w:pPr>
        <w:ind w:left="5936" w:hanging="420"/>
      </w:pPr>
      <w:rPr>
        <w:rFonts w:hint="default"/>
      </w:rPr>
    </w:lvl>
    <w:lvl w:ilvl="6">
      <w:start w:val="0"/>
      <w:numFmt w:val="bullet"/>
      <w:lvlText w:val="•"/>
      <w:lvlJc w:val="left"/>
      <w:pPr>
        <w:ind w:left="6595" w:hanging="420"/>
      </w:pPr>
      <w:rPr>
        <w:rFonts w:hint="default"/>
      </w:rPr>
    </w:lvl>
    <w:lvl w:ilvl="7">
      <w:start w:val="0"/>
      <w:numFmt w:val="bullet"/>
      <w:lvlText w:val="•"/>
      <w:lvlJc w:val="left"/>
      <w:pPr>
        <w:ind w:left="7254" w:hanging="420"/>
      </w:pPr>
      <w:rPr>
        <w:rFonts w:hint="default"/>
      </w:rPr>
    </w:lvl>
    <w:lvl w:ilvl="8">
      <w:start w:val="0"/>
      <w:numFmt w:val="bullet"/>
      <w:lvlText w:val="•"/>
      <w:lvlJc w:val="left"/>
      <w:pPr>
        <w:ind w:left="7913" w:hanging="420"/>
      </w:pPr>
      <w:rPr>
        <w:rFonts w:hint="default"/>
      </w:rPr>
    </w:lvl>
  </w:abstractNum>
  <w:abstractNum w:abstractNumId="10">
    <w:multiLevelType w:val="hybridMultilevel"/>
    <w:lvl w:ilvl="0">
      <w:start w:val="1"/>
      <w:numFmt w:val="decimal"/>
      <w:lvlText w:val="(%1)"/>
      <w:lvlJc w:val="left"/>
      <w:pPr>
        <w:ind w:left="2998" w:hanging="420"/>
        <w:jc w:val="left"/>
      </w:pPr>
      <w:rPr>
        <w:rFonts w:hint="default" w:ascii="宋体" w:hAnsi="宋体" w:eastAsia="宋体" w:cs="宋体"/>
        <w:spacing w:val="-32"/>
        <w:w w:val="100"/>
        <w:sz w:val="18"/>
        <w:szCs w:val="18"/>
      </w:rPr>
    </w:lvl>
    <w:lvl w:ilvl="1">
      <w:start w:val="0"/>
      <w:numFmt w:val="bullet"/>
      <w:lvlText w:val="•"/>
      <w:lvlJc w:val="left"/>
      <w:pPr>
        <w:ind w:left="3623" w:hanging="420"/>
      </w:pPr>
      <w:rPr>
        <w:rFonts w:hint="default"/>
      </w:rPr>
    </w:lvl>
    <w:lvl w:ilvl="2">
      <w:start w:val="0"/>
      <w:numFmt w:val="bullet"/>
      <w:lvlText w:val="•"/>
      <w:lvlJc w:val="left"/>
      <w:pPr>
        <w:ind w:left="4246" w:hanging="420"/>
      </w:pPr>
      <w:rPr>
        <w:rFonts w:hint="default"/>
      </w:rPr>
    </w:lvl>
    <w:lvl w:ilvl="3">
      <w:start w:val="0"/>
      <w:numFmt w:val="bullet"/>
      <w:lvlText w:val="•"/>
      <w:lvlJc w:val="left"/>
      <w:pPr>
        <w:ind w:left="4869" w:hanging="420"/>
      </w:pPr>
      <w:rPr>
        <w:rFonts w:hint="default"/>
      </w:rPr>
    </w:lvl>
    <w:lvl w:ilvl="4">
      <w:start w:val="0"/>
      <w:numFmt w:val="bullet"/>
      <w:lvlText w:val="•"/>
      <w:lvlJc w:val="left"/>
      <w:pPr>
        <w:ind w:left="5492" w:hanging="420"/>
      </w:pPr>
      <w:rPr>
        <w:rFonts w:hint="default"/>
      </w:rPr>
    </w:lvl>
    <w:lvl w:ilvl="5">
      <w:start w:val="0"/>
      <w:numFmt w:val="bullet"/>
      <w:lvlText w:val="•"/>
      <w:lvlJc w:val="left"/>
      <w:pPr>
        <w:ind w:left="6116" w:hanging="420"/>
      </w:pPr>
      <w:rPr>
        <w:rFonts w:hint="default"/>
      </w:rPr>
    </w:lvl>
    <w:lvl w:ilvl="6">
      <w:start w:val="0"/>
      <w:numFmt w:val="bullet"/>
      <w:lvlText w:val="•"/>
      <w:lvlJc w:val="left"/>
      <w:pPr>
        <w:ind w:left="6739" w:hanging="420"/>
      </w:pPr>
      <w:rPr>
        <w:rFonts w:hint="default"/>
      </w:rPr>
    </w:lvl>
    <w:lvl w:ilvl="7">
      <w:start w:val="0"/>
      <w:numFmt w:val="bullet"/>
      <w:lvlText w:val="•"/>
      <w:lvlJc w:val="left"/>
      <w:pPr>
        <w:ind w:left="7362" w:hanging="420"/>
      </w:pPr>
      <w:rPr>
        <w:rFonts w:hint="default"/>
      </w:rPr>
    </w:lvl>
    <w:lvl w:ilvl="8">
      <w:start w:val="0"/>
      <w:numFmt w:val="bullet"/>
      <w:lvlText w:val="•"/>
      <w:lvlJc w:val="left"/>
      <w:pPr>
        <w:ind w:left="7985" w:hanging="420"/>
      </w:pPr>
      <w:rPr>
        <w:rFonts w:hint="default"/>
      </w:rPr>
    </w:lvl>
  </w:abstractNum>
  <w:abstractNum w:abstractNumId="9">
    <w:multiLevelType w:val="hybridMultilevel"/>
    <w:lvl w:ilvl="0">
      <w:start w:val="1"/>
      <w:numFmt w:val="decimal"/>
      <w:lvlText w:val="(%1)"/>
      <w:lvlJc w:val="left"/>
      <w:pPr>
        <w:ind w:left="3014" w:hanging="420"/>
        <w:jc w:val="left"/>
      </w:pPr>
      <w:rPr>
        <w:rFonts w:hint="default" w:ascii="宋体" w:hAnsi="宋体" w:eastAsia="宋体" w:cs="宋体"/>
        <w:spacing w:val="-45"/>
        <w:w w:val="100"/>
        <w:sz w:val="18"/>
        <w:szCs w:val="18"/>
      </w:rPr>
    </w:lvl>
    <w:lvl w:ilvl="1">
      <w:start w:val="0"/>
      <w:numFmt w:val="bullet"/>
      <w:lvlText w:val="•"/>
      <w:lvlJc w:val="left"/>
      <w:pPr>
        <w:ind w:left="3641" w:hanging="420"/>
      </w:pPr>
      <w:rPr>
        <w:rFonts w:hint="default"/>
      </w:rPr>
    </w:lvl>
    <w:lvl w:ilvl="2">
      <w:start w:val="0"/>
      <w:numFmt w:val="bullet"/>
      <w:lvlText w:val="•"/>
      <w:lvlJc w:val="left"/>
      <w:pPr>
        <w:ind w:left="4262" w:hanging="420"/>
      </w:pPr>
      <w:rPr>
        <w:rFonts w:hint="default"/>
      </w:rPr>
    </w:lvl>
    <w:lvl w:ilvl="3">
      <w:start w:val="0"/>
      <w:numFmt w:val="bullet"/>
      <w:lvlText w:val="•"/>
      <w:lvlJc w:val="left"/>
      <w:pPr>
        <w:ind w:left="4883" w:hanging="420"/>
      </w:pPr>
      <w:rPr>
        <w:rFonts w:hint="default"/>
      </w:rPr>
    </w:lvl>
    <w:lvl w:ilvl="4">
      <w:start w:val="0"/>
      <w:numFmt w:val="bullet"/>
      <w:lvlText w:val="•"/>
      <w:lvlJc w:val="left"/>
      <w:pPr>
        <w:ind w:left="5504" w:hanging="420"/>
      </w:pPr>
      <w:rPr>
        <w:rFonts w:hint="default"/>
      </w:rPr>
    </w:lvl>
    <w:lvl w:ilvl="5">
      <w:start w:val="0"/>
      <w:numFmt w:val="bullet"/>
      <w:lvlText w:val="•"/>
      <w:lvlJc w:val="left"/>
      <w:pPr>
        <w:ind w:left="6126" w:hanging="420"/>
      </w:pPr>
      <w:rPr>
        <w:rFonts w:hint="default"/>
      </w:rPr>
    </w:lvl>
    <w:lvl w:ilvl="6">
      <w:start w:val="0"/>
      <w:numFmt w:val="bullet"/>
      <w:lvlText w:val="•"/>
      <w:lvlJc w:val="left"/>
      <w:pPr>
        <w:ind w:left="6747" w:hanging="420"/>
      </w:pPr>
      <w:rPr>
        <w:rFonts w:hint="default"/>
      </w:rPr>
    </w:lvl>
    <w:lvl w:ilvl="7">
      <w:start w:val="0"/>
      <w:numFmt w:val="bullet"/>
      <w:lvlText w:val="•"/>
      <w:lvlJc w:val="left"/>
      <w:pPr>
        <w:ind w:left="7368" w:hanging="420"/>
      </w:pPr>
      <w:rPr>
        <w:rFonts w:hint="default"/>
      </w:rPr>
    </w:lvl>
    <w:lvl w:ilvl="8">
      <w:start w:val="0"/>
      <w:numFmt w:val="bullet"/>
      <w:lvlText w:val="•"/>
      <w:lvlJc w:val="left"/>
      <w:pPr>
        <w:ind w:left="7989" w:hanging="420"/>
      </w:pPr>
      <w:rPr>
        <w:rFonts w:hint="default"/>
      </w:rPr>
    </w:lvl>
  </w:abstractNum>
  <w:abstractNum w:abstractNumId="8">
    <w:multiLevelType w:val="hybridMultilevel"/>
    <w:lvl w:ilvl="0">
      <w:start w:val="1"/>
      <w:numFmt w:val="decimal"/>
      <w:lvlText w:val="(%1)"/>
      <w:lvlJc w:val="left"/>
      <w:pPr>
        <w:ind w:left="3014" w:hanging="420"/>
        <w:jc w:val="left"/>
      </w:pPr>
      <w:rPr>
        <w:rFonts w:hint="default" w:ascii="宋体" w:hAnsi="宋体" w:eastAsia="宋体" w:cs="宋体"/>
        <w:spacing w:val="-92"/>
        <w:w w:val="100"/>
        <w:sz w:val="18"/>
        <w:szCs w:val="18"/>
      </w:rPr>
    </w:lvl>
    <w:lvl w:ilvl="1">
      <w:start w:val="0"/>
      <w:numFmt w:val="bullet"/>
      <w:lvlText w:val="•"/>
      <w:lvlJc w:val="left"/>
      <w:pPr>
        <w:ind w:left="3641" w:hanging="420"/>
      </w:pPr>
      <w:rPr>
        <w:rFonts w:hint="default"/>
      </w:rPr>
    </w:lvl>
    <w:lvl w:ilvl="2">
      <w:start w:val="0"/>
      <w:numFmt w:val="bullet"/>
      <w:lvlText w:val="•"/>
      <w:lvlJc w:val="left"/>
      <w:pPr>
        <w:ind w:left="4262" w:hanging="420"/>
      </w:pPr>
      <w:rPr>
        <w:rFonts w:hint="default"/>
      </w:rPr>
    </w:lvl>
    <w:lvl w:ilvl="3">
      <w:start w:val="0"/>
      <w:numFmt w:val="bullet"/>
      <w:lvlText w:val="•"/>
      <w:lvlJc w:val="left"/>
      <w:pPr>
        <w:ind w:left="4883" w:hanging="420"/>
      </w:pPr>
      <w:rPr>
        <w:rFonts w:hint="default"/>
      </w:rPr>
    </w:lvl>
    <w:lvl w:ilvl="4">
      <w:start w:val="0"/>
      <w:numFmt w:val="bullet"/>
      <w:lvlText w:val="•"/>
      <w:lvlJc w:val="left"/>
      <w:pPr>
        <w:ind w:left="5504" w:hanging="420"/>
      </w:pPr>
      <w:rPr>
        <w:rFonts w:hint="default"/>
      </w:rPr>
    </w:lvl>
    <w:lvl w:ilvl="5">
      <w:start w:val="0"/>
      <w:numFmt w:val="bullet"/>
      <w:lvlText w:val="•"/>
      <w:lvlJc w:val="left"/>
      <w:pPr>
        <w:ind w:left="6126" w:hanging="420"/>
      </w:pPr>
      <w:rPr>
        <w:rFonts w:hint="default"/>
      </w:rPr>
    </w:lvl>
    <w:lvl w:ilvl="6">
      <w:start w:val="0"/>
      <w:numFmt w:val="bullet"/>
      <w:lvlText w:val="•"/>
      <w:lvlJc w:val="left"/>
      <w:pPr>
        <w:ind w:left="6747" w:hanging="420"/>
      </w:pPr>
      <w:rPr>
        <w:rFonts w:hint="default"/>
      </w:rPr>
    </w:lvl>
    <w:lvl w:ilvl="7">
      <w:start w:val="0"/>
      <w:numFmt w:val="bullet"/>
      <w:lvlText w:val="•"/>
      <w:lvlJc w:val="left"/>
      <w:pPr>
        <w:ind w:left="7368" w:hanging="420"/>
      </w:pPr>
      <w:rPr>
        <w:rFonts w:hint="default"/>
      </w:rPr>
    </w:lvl>
    <w:lvl w:ilvl="8">
      <w:start w:val="0"/>
      <w:numFmt w:val="bullet"/>
      <w:lvlText w:val="•"/>
      <w:lvlJc w:val="left"/>
      <w:pPr>
        <w:ind w:left="7989" w:hanging="420"/>
      </w:pPr>
      <w:rPr>
        <w:rFonts w:hint="default"/>
      </w:rPr>
    </w:lvl>
  </w:abstractNum>
  <w:abstractNum w:abstractNumId="7">
    <w:multiLevelType w:val="hybridMultilevel"/>
    <w:lvl w:ilvl="0">
      <w:start w:val="1"/>
      <w:numFmt w:val="upperRoman"/>
      <w:lvlText w:val="%1"/>
      <w:lvlJc w:val="left"/>
      <w:pPr>
        <w:ind w:left="238" w:hanging="137"/>
        <w:jc w:val="left"/>
      </w:pPr>
      <w:rPr>
        <w:rFonts w:hint="default" w:ascii="宋体" w:hAnsi="宋体" w:eastAsia="宋体" w:cs="宋体"/>
        <w:w w:val="100"/>
        <w:sz w:val="18"/>
        <w:szCs w:val="18"/>
      </w:rPr>
    </w:lvl>
    <w:lvl w:ilvl="1">
      <w:start w:val="1"/>
      <w:numFmt w:val="decimal"/>
      <w:lvlText w:val="(%2)"/>
      <w:lvlJc w:val="left"/>
      <w:pPr>
        <w:ind w:left="2959" w:hanging="420"/>
        <w:jc w:val="left"/>
      </w:pPr>
      <w:rPr>
        <w:rFonts w:hint="default" w:ascii="宋体" w:hAnsi="宋体" w:eastAsia="宋体" w:cs="宋体"/>
        <w:spacing w:val="-32"/>
        <w:w w:val="100"/>
        <w:sz w:val="18"/>
        <w:szCs w:val="18"/>
      </w:rPr>
    </w:lvl>
    <w:lvl w:ilvl="2">
      <w:start w:val="1"/>
      <w:numFmt w:val="decimal"/>
      <w:lvlText w:val="(%3)"/>
      <w:lvlJc w:val="left"/>
      <w:pPr>
        <w:ind w:left="3142" w:hanging="420"/>
        <w:jc w:val="left"/>
      </w:pPr>
      <w:rPr>
        <w:rFonts w:hint="default" w:ascii="宋体" w:hAnsi="宋体" w:eastAsia="宋体" w:cs="宋体"/>
        <w:spacing w:val="-32"/>
        <w:w w:val="100"/>
        <w:sz w:val="18"/>
        <w:szCs w:val="18"/>
      </w:rPr>
    </w:lvl>
    <w:lvl w:ilvl="3">
      <w:start w:val="0"/>
      <w:numFmt w:val="bullet"/>
      <w:lvlText w:val="•"/>
      <w:lvlJc w:val="left"/>
      <w:pPr>
        <w:ind w:left="3544" w:hanging="420"/>
      </w:pPr>
      <w:rPr>
        <w:rFonts w:hint="default"/>
      </w:rPr>
    </w:lvl>
    <w:lvl w:ilvl="4">
      <w:start w:val="0"/>
      <w:numFmt w:val="bullet"/>
      <w:lvlText w:val="•"/>
      <w:lvlJc w:val="left"/>
      <w:pPr>
        <w:ind w:left="3948" w:hanging="420"/>
      </w:pPr>
      <w:rPr>
        <w:rFonts w:hint="default"/>
      </w:rPr>
    </w:lvl>
    <w:lvl w:ilvl="5">
      <w:start w:val="0"/>
      <w:numFmt w:val="bullet"/>
      <w:lvlText w:val="•"/>
      <w:lvlJc w:val="left"/>
      <w:pPr>
        <w:ind w:left="4352" w:hanging="420"/>
      </w:pPr>
      <w:rPr>
        <w:rFonts w:hint="default"/>
      </w:rPr>
    </w:lvl>
    <w:lvl w:ilvl="6">
      <w:start w:val="0"/>
      <w:numFmt w:val="bullet"/>
      <w:lvlText w:val="•"/>
      <w:lvlJc w:val="left"/>
      <w:pPr>
        <w:ind w:left="4756" w:hanging="420"/>
      </w:pPr>
      <w:rPr>
        <w:rFonts w:hint="default"/>
      </w:rPr>
    </w:lvl>
    <w:lvl w:ilvl="7">
      <w:start w:val="0"/>
      <w:numFmt w:val="bullet"/>
      <w:lvlText w:val="•"/>
      <w:lvlJc w:val="left"/>
      <w:pPr>
        <w:ind w:left="5161" w:hanging="420"/>
      </w:pPr>
      <w:rPr>
        <w:rFonts w:hint="default"/>
      </w:rPr>
    </w:lvl>
    <w:lvl w:ilvl="8">
      <w:start w:val="0"/>
      <w:numFmt w:val="bullet"/>
      <w:lvlText w:val="•"/>
      <w:lvlJc w:val="left"/>
      <w:pPr>
        <w:ind w:left="5565" w:hanging="420"/>
      </w:pPr>
      <w:rPr>
        <w:rFonts w:hint="default"/>
      </w:rPr>
    </w:lvl>
  </w:abstractNum>
  <w:abstractNum w:abstractNumId="6">
    <w:multiLevelType w:val="hybridMultilevel"/>
    <w:lvl w:ilvl="0">
      <w:start w:val="1"/>
      <w:numFmt w:val="decimal"/>
      <w:lvlText w:val="(%1)"/>
      <w:lvlJc w:val="left"/>
      <w:pPr>
        <w:ind w:left="545" w:hanging="420"/>
        <w:jc w:val="left"/>
      </w:pPr>
      <w:rPr>
        <w:rFonts w:hint="default" w:ascii="宋体" w:hAnsi="宋体" w:eastAsia="宋体" w:cs="宋体"/>
        <w:spacing w:val="-45"/>
        <w:w w:val="100"/>
        <w:sz w:val="18"/>
        <w:szCs w:val="18"/>
      </w:rPr>
    </w:lvl>
    <w:lvl w:ilvl="1">
      <w:start w:val="0"/>
      <w:numFmt w:val="bullet"/>
      <w:lvlText w:val="•"/>
      <w:lvlJc w:val="left"/>
      <w:pPr>
        <w:ind w:left="1121" w:hanging="420"/>
      </w:pPr>
      <w:rPr>
        <w:rFonts w:hint="default"/>
      </w:rPr>
    </w:lvl>
    <w:lvl w:ilvl="2">
      <w:start w:val="0"/>
      <w:numFmt w:val="bullet"/>
      <w:lvlText w:val="•"/>
      <w:lvlJc w:val="left"/>
      <w:pPr>
        <w:ind w:left="1703" w:hanging="420"/>
      </w:pPr>
      <w:rPr>
        <w:rFonts w:hint="default"/>
      </w:rPr>
    </w:lvl>
    <w:lvl w:ilvl="3">
      <w:start w:val="0"/>
      <w:numFmt w:val="bullet"/>
      <w:lvlText w:val="•"/>
      <w:lvlJc w:val="left"/>
      <w:pPr>
        <w:ind w:left="2285" w:hanging="420"/>
      </w:pPr>
      <w:rPr>
        <w:rFonts w:hint="default"/>
      </w:rPr>
    </w:lvl>
    <w:lvl w:ilvl="4">
      <w:start w:val="0"/>
      <w:numFmt w:val="bullet"/>
      <w:lvlText w:val="•"/>
      <w:lvlJc w:val="left"/>
      <w:pPr>
        <w:ind w:left="2867" w:hanging="420"/>
      </w:pPr>
      <w:rPr>
        <w:rFonts w:hint="default"/>
      </w:rPr>
    </w:lvl>
    <w:lvl w:ilvl="5">
      <w:start w:val="0"/>
      <w:numFmt w:val="bullet"/>
      <w:lvlText w:val="•"/>
      <w:lvlJc w:val="left"/>
      <w:pPr>
        <w:ind w:left="3448" w:hanging="420"/>
      </w:pPr>
      <w:rPr>
        <w:rFonts w:hint="default"/>
      </w:rPr>
    </w:lvl>
    <w:lvl w:ilvl="6">
      <w:start w:val="0"/>
      <w:numFmt w:val="bullet"/>
      <w:lvlText w:val="•"/>
      <w:lvlJc w:val="left"/>
      <w:pPr>
        <w:ind w:left="4030" w:hanging="420"/>
      </w:pPr>
      <w:rPr>
        <w:rFonts w:hint="default"/>
      </w:rPr>
    </w:lvl>
    <w:lvl w:ilvl="7">
      <w:start w:val="0"/>
      <w:numFmt w:val="bullet"/>
      <w:lvlText w:val="•"/>
      <w:lvlJc w:val="left"/>
      <w:pPr>
        <w:ind w:left="4612" w:hanging="420"/>
      </w:pPr>
      <w:rPr>
        <w:rFonts w:hint="default"/>
      </w:rPr>
    </w:lvl>
    <w:lvl w:ilvl="8">
      <w:start w:val="0"/>
      <w:numFmt w:val="bullet"/>
      <w:lvlText w:val="•"/>
      <w:lvlJc w:val="left"/>
      <w:pPr>
        <w:ind w:left="5194" w:hanging="420"/>
      </w:pPr>
      <w:rPr>
        <w:rFonts w:hint="default"/>
      </w:rPr>
    </w:lvl>
  </w:abstractNum>
  <w:abstractNum w:abstractNumId="5">
    <w:multiLevelType w:val="hybridMultilevel"/>
    <w:lvl w:ilvl="0">
      <w:start w:val="1"/>
      <w:numFmt w:val="decimal"/>
      <w:lvlText w:val="(%1)"/>
      <w:lvlJc w:val="left"/>
      <w:pPr>
        <w:ind w:left="2954" w:hanging="420"/>
        <w:jc w:val="left"/>
      </w:pPr>
      <w:rPr>
        <w:rFonts w:hint="default" w:ascii="宋体" w:hAnsi="宋体" w:eastAsia="宋体" w:cs="宋体"/>
        <w:spacing w:val="-32"/>
        <w:w w:val="100"/>
        <w:sz w:val="18"/>
        <w:szCs w:val="18"/>
      </w:rPr>
    </w:lvl>
    <w:lvl w:ilvl="1">
      <w:start w:val="0"/>
      <w:numFmt w:val="bullet"/>
      <w:lvlText w:val="•"/>
      <w:lvlJc w:val="left"/>
      <w:pPr>
        <w:ind w:left="3541" w:hanging="420"/>
      </w:pPr>
      <w:rPr>
        <w:rFonts w:hint="default"/>
      </w:rPr>
    </w:lvl>
    <w:lvl w:ilvl="2">
      <w:start w:val="0"/>
      <w:numFmt w:val="bullet"/>
      <w:lvlText w:val="•"/>
      <w:lvlJc w:val="left"/>
      <w:pPr>
        <w:ind w:left="4122" w:hanging="420"/>
      </w:pPr>
      <w:rPr>
        <w:rFonts w:hint="default"/>
      </w:rPr>
    </w:lvl>
    <w:lvl w:ilvl="3">
      <w:start w:val="0"/>
      <w:numFmt w:val="bullet"/>
      <w:lvlText w:val="•"/>
      <w:lvlJc w:val="left"/>
      <w:pPr>
        <w:ind w:left="4703" w:hanging="420"/>
      </w:pPr>
      <w:rPr>
        <w:rFonts w:hint="default"/>
      </w:rPr>
    </w:lvl>
    <w:lvl w:ilvl="4">
      <w:start w:val="0"/>
      <w:numFmt w:val="bullet"/>
      <w:lvlText w:val="•"/>
      <w:lvlJc w:val="left"/>
      <w:pPr>
        <w:ind w:left="5284" w:hanging="420"/>
      </w:pPr>
      <w:rPr>
        <w:rFonts w:hint="default"/>
      </w:rPr>
    </w:lvl>
    <w:lvl w:ilvl="5">
      <w:start w:val="0"/>
      <w:numFmt w:val="bullet"/>
      <w:lvlText w:val="•"/>
      <w:lvlJc w:val="left"/>
      <w:pPr>
        <w:ind w:left="5866" w:hanging="420"/>
      </w:pPr>
      <w:rPr>
        <w:rFonts w:hint="default"/>
      </w:rPr>
    </w:lvl>
    <w:lvl w:ilvl="6">
      <w:start w:val="0"/>
      <w:numFmt w:val="bullet"/>
      <w:lvlText w:val="•"/>
      <w:lvlJc w:val="left"/>
      <w:pPr>
        <w:ind w:left="6447" w:hanging="420"/>
      </w:pPr>
      <w:rPr>
        <w:rFonts w:hint="default"/>
      </w:rPr>
    </w:lvl>
    <w:lvl w:ilvl="7">
      <w:start w:val="0"/>
      <w:numFmt w:val="bullet"/>
      <w:lvlText w:val="•"/>
      <w:lvlJc w:val="left"/>
      <w:pPr>
        <w:ind w:left="7028" w:hanging="420"/>
      </w:pPr>
      <w:rPr>
        <w:rFonts w:hint="default"/>
      </w:rPr>
    </w:lvl>
    <w:lvl w:ilvl="8">
      <w:start w:val="0"/>
      <w:numFmt w:val="bullet"/>
      <w:lvlText w:val="•"/>
      <w:lvlJc w:val="left"/>
      <w:pPr>
        <w:ind w:left="7609" w:hanging="420"/>
      </w:pPr>
      <w:rPr>
        <w:rFonts w:hint="default"/>
      </w:rPr>
    </w:lvl>
  </w:abstractNum>
  <w:abstractNum w:abstractNumId="4">
    <w:multiLevelType w:val="hybridMultilevel"/>
    <w:lvl w:ilvl="0">
      <w:start w:val="1"/>
      <w:numFmt w:val="decimal"/>
      <w:lvlText w:val="(%1)"/>
      <w:lvlJc w:val="left"/>
      <w:pPr>
        <w:ind w:left="2959" w:hanging="420"/>
        <w:jc w:val="left"/>
      </w:pPr>
      <w:rPr>
        <w:rFonts w:hint="default" w:ascii="宋体" w:hAnsi="宋体" w:eastAsia="宋体" w:cs="宋体"/>
        <w:spacing w:val="-46"/>
        <w:w w:val="100"/>
        <w:sz w:val="18"/>
        <w:szCs w:val="18"/>
      </w:rPr>
    </w:lvl>
    <w:lvl w:ilvl="1">
      <w:start w:val="0"/>
      <w:numFmt w:val="bullet"/>
      <w:lvlText w:val="•"/>
      <w:lvlJc w:val="left"/>
      <w:pPr>
        <w:ind w:left="3541" w:hanging="420"/>
      </w:pPr>
      <w:rPr>
        <w:rFonts w:hint="default"/>
      </w:rPr>
    </w:lvl>
    <w:lvl w:ilvl="2">
      <w:start w:val="0"/>
      <w:numFmt w:val="bullet"/>
      <w:lvlText w:val="•"/>
      <w:lvlJc w:val="left"/>
      <w:pPr>
        <w:ind w:left="4122" w:hanging="420"/>
      </w:pPr>
      <w:rPr>
        <w:rFonts w:hint="default"/>
      </w:rPr>
    </w:lvl>
    <w:lvl w:ilvl="3">
      <w:start w:val="0"/>
      <w:numFmt w:val="bullet"/>
      <w:lvlText w:val="•"/>
      <w:lvlJc w:val="left"/>
      <w:pPr>
        <w:ind w:left="4703" w:hanging="420"/>
      </w:pPr>
      <w:rPr>
        <w:rFonts w:hint="default"/>
      </w:rPr>
    </w:lvl>
    <w:lvl w:ilvl="4">
      <w:start w:val="0"/>
      <w:numFmt w:val="bullet"/>
      <w:lvlText w:val="•"/>
      <w:lvlJc w:val="left"/>
      <w:pPr>
        <w:ind w:left="5284" w:hanging="420"/>
      </w:pPr>
      <w:rPr>
        <w:rFonts w:hint="default"/>
      </w:rPr>
    </w:lvl>
    <w:lvl w:ilvl="5">
      <w:start w:val="0"/>
      <w:numFmt w:val="bullet"/>
      <w:lvlText w:val="•"/>
      <w:lvlJc w:val="left"/>
      <w:pPr>
        <w:ind w:left="5866" w:hanging="420"/>
      </w:pPr>
      <w:rPr>
        <w:rFonts w:hint="default"/>
      </w:rPr>
    </w:lvl>
    <w:lvl w:ilvl="6">
      <w:start w:val="0"/>
      <w:numFmt w:val="bullet"/>
      <w:lvlText w:val="•"/>
      <w:lvlJc w:val="left"/>
      <w:pPr>
        <w:ind w:left="6447" w:hanging="420"/>
      </w:pPr>
      <w:rPr>
        <w:rFonts w:hint="default"/>
      </w:rPr>
    </w:lvl>
    <w:lvl w:ilvl="7">
      <w:start w:val="0"/>
      <w:numFmt w:val="bullet"/>
      <w:lvlText w:val="•"/>
      <w:lvlJc w:val="left"/>
      <w:pPr>
        <w:ind w:left="7028" w:hanging="420"/>
      </w:pPr>
      <w:rPr>
        <w:rFonts w:hint="default"/>
      </w:rPr>
    </w:lvl>
    <w:lvl w:ilvl="8">
      <w:start w:val="0"/>
      <w:numFmt w:val="bullet"/>
      <w:lvlText w:val="•"/>
      <w:lvlJc w:val="left"/>
      <w:pPr>
        <w:ind w:left="7609" w:hanging="420"/>
      </w:pPr>
      <w:rPr>
        <w:rFonts w:hint="default"/>
      </w:rPr>
    </w:lvl>
  </w:abstractNum>
  <w:abstractNum w:abstractNumId="3">
    <w:multiLevelType w:val="hybridMultilevel"/>
    <w:lvl w:ilvl="0">
      <w:start w:val="1"/>
      <w:numFmt w:val="decimal"/>
      <w:lvlText w:val="(%1)"/>
      <w:lvlJc w:val="left"/>
      <w:pPr>
        <w:ind w:left="2954" w:hanging="420"/>
        <w:jc w:val="left"/>
      </w:pPr>
      <w:rPr>
        <w:rFonts w:hint="default" w:ascii="宋体" w:hAnsi="宋体" w:eastAsia="宋体" w:cs="宋体"/>
        <w:spacing w:val="-32"/>
        <w:w w:val="100"/>
        <w:sz w:val="18"/>
        <w:szCs w:val="18"/>
      </w:rPr>
    </w:lvl>
    <w:lvl w:ilvl="1">
      <w:start w:val="1"/>
      <w:numFmt w:val="lowerLetter"/>
      <w:lvlText w:val="%2."/>
      <w:lvlJc w:val="left"/>
      <w:pPr>
        <w:ind w:left="3379" w:hanging="303"/>
        <w:jc w:val="left"/>
      </w:pPr>
      <w:rPr>
        <w:rFonts w:hint="default" w:ascii="宋体" w:hAnsi="宋体" w:eastAsia="宋体" w:cs="宋体"/>
        <w:spacing w:val="0"/>
        <w:w w:val="100"/>
        <w:sz w:val="18"/>
        <w:szCs w:val="18"/>
      </w:rPr>
    </w:lvl>
    <w:lvl w:ilvl="2">
      <w:start w:val="0"/>
      <w:numFmt w:val="bullet"/>
      <w:lvlText w:val="•"/>
      <w:lvlJc w:val="left"/>
      <w:pPr>
        <w:ind w:left="3979" w:hanging="303"/>
      </w:pPr>
      <w:rPr>
        <w:rFonts w:hint="default"/>
      </w:rPr>
    </w:lvl>
    <w:lvl w:ilvl="3">
      <w:start w:val="0"/>
      <w:numFmt w:val="bullet"/>
      <w:lvlText w:val="•"/>
      <w:lvlJc w:val="left"/>
      <w:pPr>
        <w:ind w:left="4578" w:hanging="303"/>
      </w:pPr>
      <w:rPr>
        <w:rFonts w:hint="default"/>
      </w:rPr>
    </w:lvl>
    <w:lvl w:ilvl="4">
      <w:start w:val="0"/>
      <w:numFmt w:val="bullet"/>
      <w:lvlText w:val="•"/>
      <w:lvlJc w:val="left"/>
      <w:pPr>
        <w:ind w:left="5177" w:hanging="303"/>
      </w:pPr>
      <w:rPr>
        <w:rFonts w:hint="default"/>
      </w:rPr>
    </w:lvl>
    <w:lvl w:ilvl="5">
      <w:start w:val="0"/>
      <w:numFmt w:val="bullet"/>
      <w:lvlText w:val="•"/>
      <w:lvlJc w:val="left"/>
      <w:pPr>
        <w:ind w:left="5776" w:hanging="303"/>
      </w:pPr>
      <w:rPr>
        <w:rFonts w:hint="default"/>
      </w:rPr>
    </w:lvl>
    <w:lvl w:ilvl="6">
      <w:start w:val="0"/>
      <w:numFmt w:val="bullet"/>
      <w:lvlText w:val="•"/>
      <w:lvlJc w:val="left"/>
      <w:pPr>
        <w:ind w:left="6375" w:hanging="303"/>
      </w:pPr>
      <w:rPr>
        <w:rFonts w:hint="default"/>
      </w:rPr>
    </w:lvl>
    <w:lvl w:ilvl="7">
      <w:start w:val="0"/>
      <w:numFmt w:val="bullet"/>
      <w:lvlText w:val="•"/>
      <w:lvlJc w:val="left"/>
      <w:pPr>
        <w:ind w:left="6974" w:hanging="303"/>
      </w:pPr>
      <w:rPr>
        <w:rFonts w:hint="default"/>
      </w:rPr>
    </w:lvl>
    <w:lvl w:ilvl="8">
      <w:start w:val="0"/>
      <w:numFmt w:val="bullet"/>
      <w:lvlText w:val="•"/>
      <w:lvlJc w:val="left"/>
      <w:pPr>
        <w:ind w:left="7573" w:hanging="303"/>
      </w:pPr>
      <w:rPr>
        <w:rFonts w:hint="default"/>
      </w:rPr>
    </w:lvl>
  </w:abstractNum>
  <w:abstractNum w:abstractNumId="2">
    <w:multiLevelType w:val="hybridMultilevel"/>
    <w:lvl w:ilvl="0">
      <w:start w:val="1"/>
      <w:numFmt w:val="decimal"/>
      <w:lvlText w:val="(%1)"/>
      <w:lvlJc w:val="left"/>
      <w:pPr>
        <w:ind w:left="2998" w:hanging="382"/>
        <w:jc w:val="left"/>
      </w:pPr>
      <w:rPr>
        <w:rFonts w:hint="default" w:ascii="宋体" w:hAnsi="宋体" w:eastAsia="宋体" w:cs="宋体"/>
        <w:w w:val="100"/>
        <w:sz w:val="18"/>
        <w:szCs w:val="18"/>
      </w:rPr>
    </w:lvl>
    <w:lvl w:ilvl="1">
      <w:start w:val="0"/>
      <w:numFmt w:val="bullet"/>
      <w:lvlText w:val="•"/>
      <w:lvlJc w:val="left"/>
      <w:pPr>
        <w:ind w:left="3581" w:hanging="382"/>
      </w:pPr>
      <w:rPr>
        <w:rFonts w:hint="default"/>
      </w:rPr>
    </w:lvl>
    <w:lvl w:ilvl="2">
      <w:start w:val="0"/>
      <w:numFmt w:val="bullet"/>
      <w:lvlText w:val="•"/>
      <w:lvlJc w:val="left"/>
      <w:pPr>
        <w:ind w:left="4162" w:hanging="382"/>
      </w:pPr>
      <w:rPr>
        <w:rFonts w:hint="default"/>
      </w:rPr>
    </w:lvl>
    <w:lvl w:ilvl="3">
      <w:start w:val="0"/>
      <w:numFmt w:val="bullet"/>
      <w:lvlText w:val="•"/>
      <w:lvlJc w:val="left"/>
      <w:pPr>
        <w:ind w:left="4743" w:hanging="382"/>
      </w:pPr>
      <w:rPr>
        <w:rFonts w:hint="default"/>
      </w:rPr>
    </w:lvl>
    <w:lvl w:ilvl="4">
      <w:start w:val="0"/>
      <w:numFmt w:val="bullet"/>
      <w:lvlText w:val="•"/>
      <w:lvlJc w:val="left"/>
      <w:pPr>
        <w:ind w:left="5324" w:hanging="382"/>
      </w:pPr>
      <w:rPr>
        <w:rFonts w:hint="default"/>
      </w:rPr>
    </w:lvl>
    <w:lvl w:ilvl="5">
      <w:start w:val="0"/>
      <w:numFmt w:val="bullet"/>
      <w:lvlText w:val="•"/>
      <w:lvlJc w:val="left"/>
      <w:pPr>
        <w:ind w:left="5906" w:hanging="382"/>
      </w:pPr>
      <w:rPr>
        <w:rFonts w:hint="default"/>
      </w:rPr>
    </w:lvl>
    <w:lvl w:ilvl="6">
      <w:start w:val="0"/>
      <w:numFmt w:val="bullet"/>
      <w:lvlText w:val="•"/>
      <w:lvlJc w:val="left"/>
      <w:pPr>
        <w:ind w:left="6487" w:hanging="382"/>
      </w:pPr>
      <w:rPr>
        <w:rFonts w:hint="default"/>
      </w:rPr>
    </w:lvl>
    <w:lvl w:ilvl="7">
      <w:start w:val="0"/>
      <w:numFmt w:val="bullet"/>
      <w:lvlText w:val="•"/>
      <w:lvlJc w:val="left"/>
      <w:pPr>
        <w:ind w:left="7068" w:hanging="382"/>
      </w:pPr>
      <w:rPr>
        <w:rFonts w:hint="default"/>
      </w:rPr>
    </w:lvl>
    <w:lvl w:ilvl="8">
      <w:start w:val="0"/>
      <w:numFmt w:val="bullet"/>
      <w:lvlText w:val="•"/>
      <w:lvlJc w:val="left"/>
      <w:pPr>
        <w:ind w:left="7649" w:hanging="382"/>
      </w:pPr>
      <w:rPr>
        <w:rFonts w:hint="default"/>
      </w:rPr>
    </w:lvl>
  </w:abstractNum>
  <w:abstractNum w:abstractNumId="1">
    <w:multiLevelType w:val="hybridMultilevel"/>
    <w:lvl w:ilvl="0">
      <w:start w:val="1"/>
      <w:numFmt w:val="decimal"/>
      <w:lvlText w:val="(%1)"/>
      <w:lvlJc w:val="left"/>
      <w:pPr>
        <w:ind w:left="521" w:hanging="420"/>
        <w:jc w:val="left"/>
      </w:pPr>
      <w:rPr>
        <w:rFonts w:hint="default" w:ascii="宋体" w:hAnsi="宋体" w:eastAsia="宋体" w:cs="宋体"/>
        <w:spacing w:val="-45"/>
        <w:w w:val="100"/>
        <w:sz w:val="18"/>
        <w:szCs w:val="18"/>
      </w:rPr>
    </w:lvl>
    <w:lvl w:ilvl="1">
      <w:start w:val="0"/>
      <w:numFmt w:val="bullet"/>
      <w:lvlText w:val="•"/>
      <w:lvlJc w:val="left"/>
      <w:pPr>
        <w:ind w:left="1107" w:hanging="420"/>
      </w:pPr>
      <w:rPr>
        <w:rFonts w:hint="default"/>
      </w:rPr>
    </w:lvl>
    <w:lvl w:ilvl="2">
      <w:start w:val="0"/>
      <w:numFmt w:val="bullet"/>
      <w:lvlText w:val="•"/>
      <w:lvlJc w:val="left"/>
      <w:pPr>
        <w:ind w:left="1695" w:hanging="420"/>
      </w:pPr>
      <w:rPr>
        <w:rFonts w:hint="default"/>
      </w:rPr>
    </w:lvl>
    <w:lvl w:ilvl="3">
      <w:start w:val="0"/>
      <w:numFmt w:val="bullet"/>
      <w:lvlText w:val="•"/>
      <w:lvlJc w:val="left"/>
      <w:pPr>
        <w:ind w:left="2283" w:hanging="420"/>
      </w:pPr>
      <w:rPr>
        <w:rFonts w:hint="default"/>
      </w:rPr>
    </w:lvl>
    <w:lvl w:ilvl="4">
      <w:start w:val="0"/>
      <w:numFmt w:val="bullet"/>
      <w:lvlText w:val="•"/>
      <w:lvlJc w:val="left"/>
      <w:pPr>
        <w:ind w:left="2871" w:hanging="420"/>
      </w:pPr>
      <w:rPr>
        <w:rFonts w:hint="default"/>
      </w:rPr>
    </w:lvl>
    <w:lvl w:ilvl="5">
      <w:start w:val="0"/>
      <w:numFmt w:val="bullet"/>
      <w:lvlText w:val="•"/>
      <w:lvlJc w:val="left"/>
      <w:pPr>
        <w:ind w:left="3458" w:hanging="420"/>
      </w:pPr>
      <w:rPr>
        <w:rFonts w:hint="default"/>
      </w:rPr>
    </w:lvl>
    <w:lvl w:ilvl="6">
      <w:start w:val="0"/>
      <w:numFmt w:val="bullet"/>
      <w:lvlText w:val="•"/>
      <w:lvlJc w:val="left"/>
      <w:pPr>
        <w:ind w:left="4046" w:hanging="420"/>
      </w:pPr>
      <w:rPr>
        <w:rFonts w:hint="default"/>
      </w:rPr>
    </w:lvl>
    <w:lvl w:ilvl="7">
      <w:start w:val="0"/>
      <w:numFmt w:val="bullet"/>
      <w:lvlText w:val="•"/>
      <w:lvlJc w:val="left"/>
      <w:pPr>
        <w:ind w:left="4634" w:hanging="420"/>
      </w:pPr>
      <w:rPr>
        <w:rFonts w:hint="default"/>
      </w:rPr>
    </w:lvl>
    <w:lvl w:ilvl="8">
      <w:start w:val="0"/>
      <w:numFmt w:val="bullet"/>
      <w:lvlText w:val="•"/>
      <w:lvlJc w:val="left"/>
      <w:pPr>
        <w:ind w:left="5222" w:hanging="420"/>
      </w:pPr>
      <w:rPr>
        <w:rFonts w:hint="default"/>
      </w:rPr>
    </w:lvl>
  </w:abstractNum>
  <w:abstractNum w:abstractNumId="0">
    <w:multiLevelType w:val="hybridMultilevel"/>
    <w:lvl w:ilvl="0">
      <w:start w:val="1"/>
      <w:numFmt w:val="decimal"/>
      <w:lvlText w:val="(%1)"/>
      <w:lvlJc w:val="left"/>
      <w:pPr>
        <w:ind w:left="2969" w:hanging="411"/>
        <w:jc w:val="left"/>
      </w:pPr>
      <w:rPr>
        <w:rFonts w:hint="default" w:ascii="宋体" w:hAnsi="宋体" w:eastAsia="宋体" w:cs="宋体"/>
        <w:spacing w:val="-41"/>
        <w:w w:val="100"/>
        <w:sz w:val="18"/>
        <w:szCs w:val="18"/>
      </w:rPr>
    </w:lvl>
    <w:lvl w:ilvl="1">
      <w:start w:val="1"/>
      <w:numFmt w:val="lowerLetter"/>
      <w:lvlText w:val="%2."/>
      <w:lvlJc w:val="left"/>
      <w:pPr>
        <w:ind w:left="3379" w:hanging="327"/>
        <w:jc w:val="left"/>
      </w:pPr>
      <w:rPr>
        <w:rFonts w:hint="default" w:ascii="宋体" w:hAnsi="宋体" w:eastAsia="宋体" w:cs="宋体"/>
        <w:spacing w:val="-35"/>
        <w:w w:val="100"/>
        <w:sz w:val="18"/>
        <w:szCs w:val="18"/>
      </w:rPr>
    </w:lvl>
    <w:lvl w:ilvl="2">
      <w:start w:val="0"/>
      <w:numFmt w:val="bullet"/>
      <w:lvlText w:val="•"/>
      <w:lvlJc w:val="left"/>
      <w:pPr>
        <w:ind w:left="3979" w:hanging="327"/>
      </w:pPr>
      <w:rPr>
        <w:rFonts w:hint="default"/>
      </w:rPr>
    </w:lvl>
    <w:lvl w:ilvl="3">
      <w:start w:val="0"/>
      <w:numFmt w:val="bullet"/>
      <w:lvlText w:val="•"/>
      <w:lvlJc w:val="left"/>
      <w:pPr>
        <w:ind w:left="4578" w:hanging="327"/>
      </w:pPr>
      <w:rPr>
        <w:rFonts w:hint="default"/>
      </w:rPr>
    </w:lvl>
    <w:lvl w:ilvl="4">
      <w:start w:val="0"/>
      <w:numFmt w:val="bullet"/>
      <w:lvlText w:val="•"/>
      <w:lvlJc w:val="left"/>
      <w:pPr>
        <w:ind w:left="5177" w:hanging="327"/>
      </w:pPr>
      <w:rPr>
        <w:rFonts w:hint="default"/>
      </w:rPr>
    </w:lvl>
    <w:lvl w:ilvl="5">
      <w:start w:val="0"/>
      <w:numFmt w:val="bullet"/>
      <w:lvlText w:val="•"/>
      <w:lvlJc w:val="left"/>
      <w:pPr>
        <w:ind w:left="5776" w:hanging="327"/>
      </w:pPr>
      <w:rPr>
        <w:rFonts w:hint="default"/>
      </w:rPr>
    </w:lvl>
    <w:lvl w:ilvl="6">
      <w:start w:val="0"/>
      <w:numFmt w:val="bullet"/>
      <w:lvlText w:val="•"/>
      <w:lvlJc w:val="left"/>
      <w:pPr>
        <w:ind w:left="6375" w:hanging="327"/>
      </w:pPr>
      <w:rPr>
        <w:rFonts w:hint="default"/>
      </w:rPr>
    </w:lvl>
    <w:lvl w:ilvl="7">
      <w:start w:val="0"/>
      <w:numFmt w:val="bullet"/>
      <w:lvlText w:val="•"/>
      <w:lvlJc w:val="left"/>
      <w:pPr>
        <w:ind w:left="6974" w:hanging="327"/>
      </w:pPr>
      <w:rPr>
        <w:rFonts w:hint="default"/>
      </w:rPr>
    </w:lvl>
    <w:lvl w:ilvl="8">
      <w:start w:val="0"/>
      <w:numFmt w:val="bullet"/>
      <w:lvlText w:val="•"/>
      <w:lvlJc w:val="left"/>
      <w:pPr>
        <w:ind w:left="7573" w:hanging="327"/>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50"/>
      <w:ind w:right="625"/>
      <w:jc w:val="center"/>
    </w:pPr>
    <w:rPr>
      <w:rFonts w:ascii="宋体" w:hAnsi="宋体" w:eastAsia="宋体" w:cs="宋体"/>
      <w:sz w:val="18"/>
      <w:szCs w:val="18"/>
    </w:rPr>
  </w:style>
  <w:style w:styleId="TOC2" w:type="paragraph">
    <w:name w:val="TOC 2"/>
    <w:basedOn w:val="Normal"/>
    <w:uiPriority w:val="1"/>
    <w:qFormat/>
    <w:pPr>
      <w:spacing w:before="166"/>
      <w:ind w:left="101"/>
    </w:pPr>
    <w:rPr>
      <w:rFonts w:ascii="宋体" w:hAnsi="宋体" w:eastAsia="宋体" w:cs="宋体"/>
      <w:sz w:val="18"/>
      <w:szCs w:val="18"/>
    </w:rPr>
  </w:style>
  <w:style w:styleId="TOC3" w:type="paragraph">
    <w:name w:val="TOC 3"/>
    <w:basedOn w:val="Normal"/>
    <w:uiPriority w:val="1"/>
    <w:qFormat/>
    <w:pPr>
      <w:spacing w:before="56"/>
      <w:ind w:left="312"/>
    </w:pPr>
    <w:rPr>
      <w:rFonts w:ascii="宋体" w:hAnsi="宋体" w:eastAsia="宋体" w:cs="宋体"/>
      <w:sz w:val="18"/>
      <w:szCs w:val="18"/>
    </w:rPr>
  </w:style>
  <w:style w:styleId="TOC4" w:type="paragraph">
    <w:name w:val="TOC 4"/>
    <w:basedOn w:val="Normal"/>
    <w:uiPriority w:val="1"/>
    <w:qFormat/>
    <w:pPr>
      <w:spacing w:before="55"/>
      <w:ind w:left="312"/>
    </w:pPr>
    <w:rPr>
      <w:rFonts w:ascii="宋体" w:hAnsi="宋体" w:eastAsia="宋体" w:cs="宋体"/>
      <w:b/>
      <w:bCs/>
      <w:i/>
    </w:rPr>
  </w:style>
  <w:style w:styleId="BodyText" w:type="paragraph">
    <w:name w:val="Body Text"/>
    <w:basedOn w:val="Normal"/>
    <w:uiPriority w:val="1"/>
    <w:qFormat/>
    <w:pPr>
      <w:ind w:left="2539"/>
    </w:pPr>
    <w:rPr>
      <w:rFonts w:ascii="宋体" w:hAnsi="宋体" w:eastAsia="宋体" w:cs="宋体"/>
      <w:sz w:val="18"/>
      <w:szCs w:val="18"/>
    </w:rPr>
  </w:style>
  <w:style w:styleId="Heading1" w:type="paragraph">
    <w:name w:val="Heading 1"/>
    <w:basedOn w:val="Normal"/>
    <w:uiPriority w:val="1"/>
    <w:qFormat/>
    <w:pPr>
      <w:ind w:left="101"/>
      <w:outlineLvl w:val="1"/>
    </w:pPr>
    <w:rPr>
      <w:rFonts w:ascii="宋体" w:hAnsi="宋体" w:eastAsia="宋体" w:cs="宋体"/>
      <w:b/>
      <w:bCs/>
      <w:sz w:val="18"/>
      <w:szCs w:val="18"/>
    </w:rPr>
  </w:style>
  <w:style w:styleId="ListParagraph" w:type="paragraph">
    <w:name w:val="List Paragraph"/>
    <w:basedOn w:val="Normal"/>
    <w:uiPriority w:val="1"/>
    <w:qFormat/>
    <w:pPr>
      <w:spacing w:line="233" w:lineRule="exact"/>
      <w:ind w:left="521" w:hanging="420"/>
    </w:pPr>
    <w:rPr>
      <w:rFonts w:ascii="宋体" w:hAnsi="宋体" w:eastAsia="宋体" w:cs="宋体"/>
    </w:rPr>
  </w:style>
  <w:style w:styleId="TableParagraph" w:type="paragraph">
    <w:name w:val="Table Paragraph"/>
    <w:basedOn w:val="Normal"/>
    <w:uiPriority w:val="1"/>
    <w:qFormat/>
    <w:pPr>
      <w:spacing w:before="36"/>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2018-10-20T00:34:49Z</dcterms:created>
  <dcterms:modified xsi:type="dcterms:W3CDTF">2018-10-20T00:34:49Z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2014-09-23T00:00:00Z</vt:filetime>
  </property>
  <property fmtid="{D5CDD505-2E9C-101B-9397-08002B2CF9AE}" pid="3" name="Creator">
    <vt:lpwstr>Microsoft Office Word</vt:lpwstr>
  </property>
  <property fmtid="{D5CDD505-2E9C-101B-9397-08002B2CF9AE}" pid="4" name="LastSaved">
    <vt:filetime>2014-09-23T00:00:00Z</vt:filetime>
  </property>
</Properties>
</file>