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3"/>
        <w:rPr>
          <w:rFonts w:ascii="Times New Roman"/>
          <w:sz w:val="16"/>
        </w:rPr>
      </w:pPr>
    </w:p>
    <w:p>
      <w:pPr>
        <w:spacing w:line="505" w:lineRule="exact" w:before="0"/>
        <w:ind w:left="4116" w:right="4636" w:firstLine="0"/>
        <w:jc w:val="center"/>
        <w:rPr>
          <w:rFonts w:ascii="微软雅黑" w:eastAsia="微软雅黑" w:hint="eastAsia"/>
          <w:b/>
          <w:sz w:val="32"/>
        </w:rPr>
      </w:pPr>
      <w:r>
        <w:rPr/>
        <w:pict>
          <v:group style="position:absolute;margin-left:393.779999pt;margin-top:-66.70433pt;width:151.6pt;height:88.6pt;mso-position-horizontal-relative:page;mso-position-vertical-relative:paragraph;z-index:1144" coordorigin="7876,-1334" coordsize="3032,1772">
            <v:shape style="position:absolute;left:7885;top:-1335;width:3022;height:315" type="#_x0000_t75" stroked="false">
              <v:imagedata r:id="rId5" o:title=""/>
            </v:shape>
            <v:shape style="position:absolute;left:7875;top:122;width:3022;height:315" type="#_x0000_t75" stroked="false">
              <v:imagedata r:id="rId5" o:title=""/>
            </v:shape>
            <v:shape style="position:absolute;left:8859;top:-1081;width:1105;height:1148" type="#_x0000_t75" stroked="false">
              <v:imagedata r:id="rId6" o:title=""/>
            </v:shape>
            <v:shapetype id="_x0000_t202" o:spt="202" coordsize="21600,21600" path="m,l,21600r21600,l21600,xe">
              <v:stroke joinstyle="miter"/>
              <v:path gradientshapeok="t" o:connecttype="rect"/>
            </v:shapetype>
            <v:shape style="position:absolute;left:8272;top:-1260;width:2262;height:161" type="#_x0000_t202" filled="false" stroked="false">
              <v:textbox inset="0,0,0,0">
                <w:txbxContent>
                  <w:p>
                    <w:pPr>
                      <w:spacing w:line="161" w:lineRule="exact" w:before="0"/>
                      <w:ind w:left="0" w:right="0" w:firstLine="0"/>
                      <w:jc w:val="left"/>
                      <w:rPr>
                        <w:sz w:val="16"/>
                      </w:rPr>
                    </w:pPr>
                    <w:r>
                      <w:rPr>
                        <w:sz w:val="16"/>
                      </w:rPr>
                      <w:t>平安人寿[2016</w:t>
                    </w:r>
                    <w:r>
                      <w:rPr>
                        <w:spacing w:val="-8"/>
                        <w:sz w:val="16"/>
                      </w:rPr>
                      <w:t>]疾病保险 </w:t>
                    </w:r>
                    <w:r>
                      <w:rPr>
                        <w:sz w:val="16"/>
                      </w:rPr>
                      <w:t>043</w:t>
                    </w:r>
                    <w:r>
                      <w:rPr>
                        <w:spacing w:val="-22"/>
                        <w:sz w:val="16"/>
                      </w:rPr>
                      <w:t> 号</w:t>
                    </w:r>
                  </w:p>
                </w:txbxContent>
              </v:textbox>
              <w10:wrap type="none"/>
            </v:shape>
            <v:shape style="position:absolute;left:8582;top:196;width:1624;height:161" type="#_x0000_t202" filled="false" stroked="false">
              <v:textbox inset="0,0,0,0">
                <w:txbxContent>
                  <w:p>
                    <w:pPr>
                      <w:spacing w:line="161" w:lineRule="exact" w:before="0"/>
                      <w:ind w:left="0" w:right="0" w:firstLine="0"/>
                      <w:jc w:val="left"/>
                      <w:rPr>
                        <w:sz w:val="16"/>
                      </w:rPr>
                    </w:pPr>
                    <w:r>
                      <w:rPr>
                        <w:sz w:val="16"/>
                      </w:rPr>
                      <w:t>请扫描以查询验证条款</w:t>
                    </w:r>
                  </w:p>
                </w:txbxContent>
              </v:textbox>
              <w10:wrap type="none"/>
            </v:shape>
            <w10:wrap type="none"/>
          </v:group>
        </w:pict>
      </w:r>
      <w:r>
        <w:rPr>
          <w:rFonts w:ascii="微软雅黑" w:eastAsia="微软雅黑" w:hint="eastAsia"/>
          <w:b/>
          <w:sz w:val="32"/>
        </w:rPr>
        <w:t>阅  读  指 引</w:t>
      </w:r>
    </w:p>
    <w:p>
      <w:pPr>
        <w:pStyle w:val="Heading3"/>
        <w:spacing w:line="499" w:lineRule="exact" w:before="131"/>
      </w:pPr>
      <w:r>
        <w:rPr/>
        <w:pict>
          <v:group style="position:absolute;margin-left:52.32pt;margin-top:5.977696pt;width:498.75pt;height:656.65pt;mso-position-horizontal-relative:page;mso-position-vertical-relative:paragraph;z-index:-68344" coordorigin="1046,120" coordsize="9975,13133">
            <v:shape style="position:absolute;left:5405;top:5405;width:95;height:165" type="#_x0000_t75" stroked="false">
              <v:imagedata r:id="rId7" o:title=""/>
            </v:shape>
            <v:shape style="position:absolute;left:1046;top:119;width:9975;height:13133" type="#_x0000_t75" stroked="false">
              <v:imagedata r:id="rId8" o:title=""/>
            </v:shape>
            <v:shape style="position:absolute;left:1702;top:9002;width:8752;height:3883" type="#_x0000_t75" stroked="false">
              <v:imagedata r:id="rId9" o:title=""/>
            </v:shape>
            <v:shape style="position:absolute;left:4501;top:9233;width:3272;height:3320" type="#_x0000_t75" stroked="false">
              <v:imagedata r:id="rId10" o:title=""/>
            </v:shape>
            <v:shape style="position:absolute;left:1815;top:9247;width:2556;height:3305" type="#_x0000_t75" stroked="false">
              <v:imagedata r:id="rId11" o:title=""/>
            </v:shape>
            <v:shape style="position:absolute;left:7575;top:9247;width:2820;height:3288" type="#_x0000_t75" stroked="false">
              <v:imagedata r:id="rId12" o:title=""/>
            </v:shape>
            <w10:wrap type="none"/>
          </v:group>
        </w:pict>
      </w:r>
      <w:r>
        <w:rPr>
          <w:rFonts w:ascii="Arial" w:hAnsi="Arial" w:eastAsia="Arial"/>
          <w:position w:val="-11"/>
          <w:sz w:val="52"/>
        </w:rPr>
        <w:t></w:t>
      </w:r>
      <w:r>
        <w:rPr/>
        <w:t>平安附加福佑安康提前给付重大疾病保险产品提供重疾保障</w:t>
      </w:r>
    </w:p>
    <w:p>
      <w:pPr>
        <w:spacing w:line="397" w:lineRule="exact" w:before="0"/>
        <w:ind w:left="245" w:right="0" w:firstLine="0"/>
        <w:jc w:val="left"/>
        <w:rPr>
          <w:rFonts w:ascii="Microsoft JhengHei" w:hAnsi="Microsoft JhengHei" w:eastAsia="Microsoft JhengHei" w:hint="eastAsia"/>
          <w:b/>
          <w:sz w:val="21"/>
        </w:rPr>
      </w:pPr>
      <w:r>
        <w:rPr>
          <w:rFonts w:ascii="Arial" w:hAnsi="Arial" w:eastAsia="Arial"/>
          <w:b/>
          <w:position w:val="-11"/>
          <w:sz w:val="52"/>
        </w:rPr>
        <w:t></w:t>
      </w:r>
      <w:r>
        <w:rPr>
          <w:rFonts w:ascii="Microsoft JhengHei" w:hAnsi="Microsoft JhengHei" w:eastAsia="Microsoft JhengHei" w:hint="eastAsia"/>
          <w:b/>
          <w:sz w:val="21"/>
        </w:rPr>
        <w:t>为了帮助您更好地了解产品，我们先介绍几个保险条款中常用的术语</w:t>
      </w:r>
    </w:p>
    <w:p>
      <w:pPr>
        <w:pStyle w:val="ListParagraph"/>
        <w:numPr>
          <w:ilvl w:val="0"/>
          <w:numId w:val="1"/>
        </w:numPr>
        <w:tabs>
          <w:tab w:pos="1191" w:val="left" w:leader="none"/>
          <w:tab w:pos="1192" w:val="left" w:leader="none"/>
        </w:tabs>
        <w:spacing w:line="260" w:lineRule="exact" w:before="0" w:after="0"/>
        <w:ind w:left="1191" w:right="0" w:hanging="420"/>
        <w:jc w:val="left"/>
        <w:rPr>
          <w:sz w:val="21"/>
        </w:rPr>
      </w:pPr>
      <w:r>
        <w:rPr>
          <w:rFonts w:ascii="Microsoft JhengHei" w:eastAsia="Microsoft JhengHei" w:hint="eastAsia"/>
          <w:b/>
          <w:sz w:val="21"/>
        </w:rPr>
        <w:t>被保险人</w:t>
      </w:r>
      <w:r>
        <w:rPr>
          <w:spacing w:val="-3"/>
          <w:sz w:val="21"/>
        </w:rPr>
        <w:t>就是受保险合同保障的人。</w:t>
      </w:r>
    </w:p>
    <w:p>
      <w:pPr>
        <w:pStyle w:val="ListParagraph"/>
        <w:numPr>
          <w:ilvl w:val="0"/>
          <w:numId w:val="1"/>
        </w:numPr>
        <w:tabs>
          <w:tab w:pos="1191" w:val="left" w:leader="none"/>
          <w:tab w:pos="1192" w:val="left" w:leader="none"/>
        </w:tabs>
        <w:spacing w:line="359" w:lineRule="exact" w:before="0" w:after="0"/>
        <w:ind w:left="1191" w:right="0" w:hanging="420"/>
        <w:jc w:val="left"/>
        <w:rPr>
          <w:sz w:val="21"/>
        </w:rPr>
      </w:pPr>
      <w:r>
        <w:rPr>
          <w:rFonts w:ascii="Microsoft JhengHei" w:eastAsia="Microsoft JhengHei" w:hint="eastAsia"/>
          <w:b/>
          <w:sz w:val="21"/>
        </w:rPr>
        <w:t>投保人</w:t>
      </w:r>
      <w:r>
        <w:rPr>
          <w:spacing w:val="-3"/>
          <w:sz w:val="21"/>
        </w:rPr>
        <w:t>就是购买保险并交纳保险费的人。</w:t>
      </w:r>
    </w:p>
    <w:p>
      <w:pPr>
        <w:pStyle w:val="ListParagraph"/>
        <w:numPr>
          <w:ilvl w:val="0"/>
          <w:numId w:val="1"/>
        </w:numPr>
        <w:tabs>
          <w:tab w:pos="1191" w:val="left" w:leader="none"/>
          <w:tab w:pos="1192" w:val="left" w:leader="none"/>
        </w:tabs>
        <w:spacing w:line="359" w:lineRule="exact" w:before="0" w:after="0"/>
        <w:ind w:left="1191" w:right="0" w:hanging="420"/>
        <w:jc w:val="left"/>
        <w:rPr>
          <w:sz w:val="21"/>
        </w:rPr>
      </w:pPr>
      <w:r>
        <w:rPr>
          <w:rFonts w:ascii="Microsoft JhengHei" w:eastAsia="Microsoft JhengHei" w:hint="eastAsia"/>
          <w:b/>
          <w:sz w:val="21"/>
        </w:rPr>
        <w:t>受益人</w:t>
      </w:r>
      <w:r>
        <w:rPr>
          <w:spacing w:val="-3"/>
          <w:sz w:val="21"/>
        </w:rPr>
        <w:t>就是发生保险事故后领取保险金的人。</w:t>
      </w:r>
    </w:p>
    <w:p>
      <w:pPr>
        <w:pStyle w:val="ListParagraph"/>
        <w:numPr>
          <w:ilvl w:val="0"/>
          <w:numId w:val="1"/>
        </w:numPr>
        <w:tabs>
          <w:tab w:pos="1191" w:val="left" w:leader="none"/>
          <w:tab w:pos="1192" w:val="left" w:leader="none"/>
        </w:tabs>
        <w:spacing w:line="361" w:lineRule="exact" w:before="0" w:after="0"/>
        <w:ind w:left="1191" w:right="0" w:hanging="420"/>
        <w:jc w:val="left"/>
        <w:rPr>
          <w:sz w:val="21"/>
        </w:rPr>
      </w:pPr>
      <w:r>
        <w:rPr>
          <w:rFonts w:ascii="Microsoft JhengHei" w:eastAsia="Microsoft JhengHei" w:hint="eastAsia"/>
          <w:b/>
          <w:sz w:val="21"/>
        </w:rPr>
        <w:t>保险人</w:t>
      </w:r>
      <w:r>
        <w:rPr>
          <w:spacing w:val="-3"/>
          <w:sz w:val="21"/>
        </w:rPr>
        <w:t>就是保险公司。</w:t>
      </w:r>
    </w:p>
    <w:p>
      <w:pPr>
        <w:pStyle w:val="Heading3"/>
        <w:spacing w:line="516" w:lineRule="exact" w:before="2"/>
      </w:pPr>
      <w:r>
        <w:rPr>
          <w:rFonts w:ascii="Arial" w:hAnsi="Arial" w:eastAsia="Arial"/>
          <w:position w:val="-11"/>
          <w:sz w:val="52"/>
        </w:rPr>
        <w:t></w:t>
      </w:r>
      <w:r>
        <w:rPr/>
        <w:t>下面我们举例说明本产品提供哪些保障</w:t>
      </w:r>
    </w:p>
    <w:p>
      <w:pPr>
        <w:pStyle w:val="BodyText"/>
        <w:spacing w:line="193" w:lineRule="exact"/>
        <w:ind w:left="771"/>
      </w:pPr>
      <w:r>
        <w:rPr/>
        <w:t>例子：30 周岁的王先生为自己投保福佑安康保障计划，其中，主险为平安福佑安康两全保险（简</w:t>
      </w:r>
    </w:p>
    <w:p>
      <w:pPr>
        <w:pStyle w:val="BodyText"/>
        <w:spacing w:line="273" w:lineRule="auto" w:before="37"/>
        <w:ind w:left="771" w:right="1120"/>
      </w:pPr>
      <w:r>
        <w:rPr>
          <w:spacing w:val="-1"/>
          <w:w w:val="100"/>
        </w:rPr>
        <w:t>称福佑安康两全</w:t>
      </w:r>
      <w:r>
        <w:rPr>
          <w:spacing w:val="-104"/>
          <w:w w:val="100"/>
        </w:rPr>
        <w:t>）</w:t>
      </w:r>
      <w:r>
        <w:rPr>
          <w:spacing w:val="-2"/>
          <w:w w:val="100"/>
        </w:rPr>
        <w:t>，附加险为平安附加福佑安康提前给付重大疾病保险</w:t>
      </w:r>
      <w:r>
        <w:rPr>
          <w:w w:val="100"/>
        </w:rPr>
        <w:t>（</w:t>
      </w:r>
      <w:r>
        <w:rPr>
          <w:spacing w:val="-2"/>
          <w:w w:val="100"/>
        </w:rPr>
        <w:t>简称福佑安康重疾</w:t>
      </w:r>
      <w:r>
        <w:rPr>
          <w:spacing w:val="-106"/>
          <w:w w:val="100"/>
        </w:rPr>
        <w:t>）</w:t>
      </w:r>
      <w:r>
        <w:rPr>
          <w:w w:val="100"/>
        </w:rPr>
        <w:t>，</w:t>
      </w:r>
      <w:r>
        <w:rPr>
          <w:spacing w:val="-6"/>
        </w:rPr>
        <w:t>主附险基本保险金额均为 </w:t>
      </w:r>
      <w:r>
        <w:rPr/>
        <w:t>20</w:t>
      </w:r>
      <w:r>
        <w:rPr>
          <w:spacing w:val="-10"/>
        </w:rPr>
        <w:t> 万元。交费期 </w:t>
      </w:r>
      <w:r>
        <w:rPr/>
        <w:t>10</w:t>
      </w:r>
      <w:r>
        <w:rPr>
          <w:spacing w:val="-7"/>
        </w:rPr>
        <w:t> 年，交费方式为月交，主险及附加险月交保险费</w:t>
      </w:r>
    </w:p>
    <w:p>
      <w:pPr>
        <w:pStyle w:val="BodyText"/>
        <w:spacing w:before="7"/>
        <w:ind w:left="771"/>
      </w:pPr>
      <w:r>
        <w:rPr/>
        <w:t>共 905 元，保障至被保险人 100 周岁的保单周年日零时。</w:t>
      </w:r>
    </w:p>
    <w:p>
      <w:pPr>
        <w:pStyle w:val="BodyText"/>
        <w:spacing w:before="36" w:after="49"/>
        <w:ind w:left="772"/>
      </w:pPr>
      <w:r>
        <w:rPr/>
        <w:t>本例中王先生为投保人、被保险人及受益人，平安人寿为保险人。</w:t>
      </w: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34"/>
        <w:gridCol w:w="993"/>
        <w:gridCol w:w="2695"/>
        <w:gridCol w:w="3705"/>
      </w:tblGrid>
      <w:tr>
        <w:trPr>
          <w:trHeight w:val="470" w:hRule="atLeast"/>
        </w:trPr>
        <w:tc>
          <w:tcPr>
            <w:tcW w:w="1334" w:type="dxa"/>
          </w:tcPr>
          <w:p>
            <w:pPr>
              <w:pStyle w:val="TableParagraph"/>
              <w:spacing w:line="365" w:lineRule="exact"/>
              <w:ind w:right="232"/>
              <w:jc w:val="right"/>
              <w:rPr>
                <w:rFonts w:ascii="Microsoft JhengHei" w:eastAsia="Microsoft JhengHei" w:hint="eastAsia"/>
                <w:b/>
                <w:sz w:val="21"/>
              </w:rPr>
            </w:pPr>
            <w:r>
              <w:rPr>
                <w:rFonts w:ascii="Microsoft JhengHei" w:eastAsia="Microsoft JhengHei" w:hint="eastAsia"/>
                <w:b/>
                <w:sz w:val="21"/>
              </w:rPr>
              <w:t>保障内容</w:t>
            </w:r>
          </w:p>
        </w:tc>
        <w:tc>
          <w:tcPr>
            <w:tcW w:w="993" w:type="dxa"/>
          </w:tcPr>
          <w:p>
            <w:pPr>
              <w:pStyle w:val="TableParagraph"/>
              <w:spacing w:line="365" w:lineRule="exact"/>
              <w:ind w:left="161" w:right="150"/>
              <w:jc w:val="center"/>
              <w:rPr>
                <w:rFonts w:ascii="Microsoft JhengHei" w:eastAsia="Microsoft JhengHei" w:hint="eastAsia"/>
                <w:b/>
                <w:sz w:val="21"/>
              </w:rPr>
            </w:pPr>
            <w:r>
              <w:rPr>
                <w:rFonts w:ascii="Microsoft JhengHei" w:eastAsia="Microsoft JhengHei" w:hint="eastAsia"/>
                <w:b/>
                <w:sz w:val="21"/>
              </w:rPr>
              <w:t>领取人</w:t>
            </w:r>
          </w:p>
        </w:tc>
        <w:tc>
          <w:tcPr>
            <w:tcW w:w="2695" w:type="dxa"/>
          </w:tcPr>
          <w:p>
            <w:pPr>
              <w:pStyle w:val="TableParagraph"/>
              <w:spacing w:line="365" w:lineRule="exact"/>
              <w:ind w:left="67" w:right="53"/>
              <w:jc w:val="center"/>
              <w:rPr>
                <w:rFonts w:ascii="Microsoft JhengHei" w:eastAsia="Microsoft JhengHei" w:hint="eastAsia"/>
                <w:b/>
                <w:sz w:val="21"/>
              </w:rPr>
            </w:pPr>
            <w:r>
              <w:rPr>
                <w:rFonts w:ascii="Microsoft JhengHei" w:eastAsia="Microsoft JhengHei" w:hint="eastAsia"/>
                <w:b/>
                <w:sz w:val="21"/>
              </w:rPr>
              <w:t>给付金额</w:t>
            </w:r>
          </w:p>
        </w:tc>
        <w:tc>
          <w:tcPr>
            <w:tcW w:w="3705" w:type="dxa"/>
          </w:tcPr>
          <w:p>
            <w:pPr>
              <w:pStyle w:val="TableParagraph"/>
              <w:spacing w:line="365" w:lineRule="exact"/>
              <w:ind w:left="1413" w:right="1401"/>
              <w:jc w:val="center"/>
              <w:rPr>
                <w:rFonts w:ascii="Microsoft JhengHei" w:eastAsia="Microsoft JhengHei" w:hint="eastAsia"/>
                <w:b/>
                <w:sz w:val="21"/>
              </w:rPr>
            </w:pPr>
            <w:r>
              <w:rPr>
                <w:rFonts w:ascii="Microsoft JhengHei" w:eastAsia="Microsoft JhengHei" w:hint="eastAsia"/>
                <w:b/>
                <w:sz w:val="21"/>
              </w:rPr>
              <w:t>领取条件</w:t>
            </w:r>
          </w:p>
        </w:tc>
      </w:tr>
      <w:tr>
        <w:trPr>
          <w:trHeight w:val="1247" w:hRule="atLeast"/>
        </w:trPr>
        <w:tc>
          <w:tcPr>
            <w:tcW w:w="1334" w:type="dxa"/>
          </w:tcPr>
          <w:p>
            <w:pPr>
              <w:pStyle w:val="TableParagraph"/>
              <w:spacing w:before="11"/>
              <w:rPr>
                <w:sz w:val="22"/>
              </w:rPr>
            </w:pPr>
          </w:p>
          <w:p>
            <w:pPr>
              <w:pStyle w:val="TableParagraph"/>
              <w:spacing w:line="273" w:lineRule="auto"/>
              <w:ind w:left="107" w:right="93"/>
              <w:rPr>
                <w:sz w:val="21"/>
              </w:rPr>
            </w:pPr>
            <w:r>
              <w:rPr>
                <w:sz w:val="21"/>
              </w:rPr>
              <w:t>特定轻度重疾保险金</w:t>
            </w:r>
          </w:p>
        </w:tc>
        <w:tc>
          <w:tcPr>
            <w:tcW w:w="993" w:type="dxa"/>
          </w:tcPr>
          <w:p>
            <w:pPr>
              <w:pStyle w:val="TableParagraph"/>
              <w:rPr>
                <w:sz w:val="20"/>
              </w:rPr>
            </w:pPr>
          </w:p>
          <w:p>
            <w:pPr>
              <w:pStyle w:val="TableParagraph"/>
              <w:spacing w:before="10"/>
              <w:rPr>
                <w:sz w:val="14"/>
              </w:rPr>
            </w:pPr>
          </w:p>
          <w:p>
            <w:pPr>
              <w:pStyle w:val="TableParagraph"/>
              <w:ind w:left="161" w:right="151"/>
              <w:jc w:val="center"/>
              <w:rPr>
                <w:sz w:val="21"/>
              </w:rPr>
            </w:pPr>
            <w:r>
              <w:rPr>
                <w:sz w:val="21"/>
              </w:rPr>
              <w:t>王先生</w:t>
            </w:r>
          </w:p>
        </w:tc>
        <w:tc>
          <w:tcPr>
            <w:tcW w:w="2695" w:type="dxa"/>
          </w:tcPr>
          <w:p>
            <w:pPr>
              <w:pStyle w:val="TableParagraph"/>
              <w:rPr>
                <w:sz w:val="20"/>
              </w:rPr>
            </w:pPr>
          </w:p>
          <w:p>
            <w:pPr>
              <w:pStyle w:val="TableParagraph"/>
              <w:spacing w:before="10"/>
              <w:rPr>
                <w:sz w:val="14"/>
              </w:rPr>
            </w:pPr>
          </w:p>
          <w:p>
            <w:pPr>
              <w:pStyle w:val="TableParagraph"/>
              <w:ind w:left="67" w:right="58"/>
              <w:jc w:val="center"/>
              <w:rPr>
                <w:sz w:val="21"/>
              </w:rPr>
            </w:pPr>
            <w:r>
              <w:rPr>
                <w:sz w:val="21"/>
              </w:rPr>
              <w:t>20 万×20=4 万元</w:t>
            </w:r>
          </w:p>
        </w:tc>
        <w:tc>
          <w:tcPr>
            <w:tcW w:w="3705" w:type="dxa"/>
          </w:tcPr>
          <w:p>
            <w:pPr>
              <w:pStyle w:val="TableParagraph"/>
              <w:spacing w:line="273" w:lineRule="auto"/>
              <w:ind w:left="108" w:right="11"/>
              <w:rPr>
                <w:sz w:val="21"/>
              </w:rPr>
            </w:pPr>
            <w:r>
              <w:rPr>
                <w:spacing w:val="-9"/>
                <w:sz w:val="21"/>
              </w:rPr>
              <w:t>王先生在第 </w:t>
            </w:r>
            <w:r>
              <w:rPr>
                <w:sz w:val="21"/>
              </w:rPr>
              <w:t>3</w:t>
            </w:r>
            <w:r>
              <w:rPr>
                <w:spacing w:val="-7"/>
                <w:sz w:val="21"/>
              </w:rPr>
              <w:t> 个保单年度末经医院确诊</w:t>
            </w:r>
            <w:r>
              <w:rPr>
                <w:spacing w:val="-4"/>
                <w:sz w:val="21"/>
              </w:rPr>
              <w:t>初次发生合同约定的特定轻度重疾。我</w:t>
            </w:r>
            <w:r>
              <w:rPr>
                <w:spacing w:val="-3"/>
                <w:sz w:val="21"/>
              </w:rPr>
              <w:t>们提供保障的特定轻度重疾包括早 期</w:t>
            </w:r>
            <w:r>
              <w:rPr>
                <w:spacing w:val="-7"/>
                <w:sz w:val="21"/>
              </w:rPr>
              <w:t>恶性病变、原位癌等共 </w:t>
            </w:r>
            <w:r>
              <w:rPr>
                <w:sz w:val="21"/>
              </w:rPr>
              <w:t>20</w:t>
            </w:r>
            <w:r>
              <w:rPr>
                <w:spacing w:val="-16"/>
                <w:sz w:val="21"/>
              </w:rPr>
              <w:t> 种。</w:t>
            </w:r>
          </w:p>
        </w:tc>
      </w:tr>
      <w:tr>
        <w:trPr>
          <w:trHeight w:val="623" w:hRule="atLeast"/>
        </w:trPr>
        <w:tc>
          <w:tcPr>
            <w:tcW w:w="1334" w:type="dxa"/>
          </w:tcPr>
          <w:p>
            <w:pPr>
              <w:pStyle w:val="TableParagraph"/>
              <w:spacing w:before="143"/>
              <w:ind w:right="160"/>
              <w:jc w:val="right"/>
              <w:rPr>
                <w:sz w:val="21"/>
              </w:rPr>
            </w:pPr>
            <w:r>
              <w:rPr>
                <w:sz w:val="21"/>
              </w:rPr>
              <w:t>豁免保险费</w:t>
            </w:r>
          </w:p>
        </w:tc>
        <w:tc>
          <w:tcPr>
            <w:tcW w:w="993" w:type="dxa"/>
          </w:tcPr>
          <w:p>
            <w:pPr>
              <w:pStyle w:val="TableParagraph"/>
              <w:spacing w:before="143"/>
              <w:ind w:left="10"/>
              <w:jc w:val="center"/>
              <w:rPr>
                <w:sz w:val="21"/>
              </w:rPr>
            </w:pPr>
            <w:r>
              <w:rPr>
                <w:w w:val="100"/>
                <w:sz w:val="21"/>
              </w:rPr>
              <w:t>/</w:t>
            </w:r>
          </w:p>
        </w:tc>
        <w:tc>
          <w:tcPr>
            <w:tcW w:w="2695" w:type="dxa"/>
          </w:tcPr>
          <w:p>
            <w:pPr>
              <w:pStyle w:val="TableParagraph"/>
              <w:spacing w:line="262" w:lineRule="exact"/>
              <w:ind w:left="67" w:right="58"/>
              <w:jc w:val="center"/>
              <w:rPr>
                <w:sz w:val="21"/>
              </w:rPr>
            </w:pPr>
            <w:r>
              <w:rPr>
                <w:sz w:val="21"/>
              </w:rPr>
              <w:t>豁免剩余 84 个月的保险费</w:t>
            </w:r>
          </w:p>
          <w:p>
            <w:pPr>
              <w:pStyle w:val="TableParagraph"/>
              <w:spacing w:before="37"/>
              <w:ind w:left="67" w:right="56"/>
              <w:jc w:val="center"/>
              <w:rPr>
                <w:sz w:val="21"/>
              </w:rPr>
            </w:pPr>
            <w:r>
              <w:rPr>
                <w:sz w:val="21"/>
              </w:rPr>
              <w:t>905×84=76020 元</w:t>
            </w:r>
          </w:p>
        </w:tc>
        <w:tc>
          <w:tcPr>
            <w:tcW w:w="3705" w:type="dxa"/>
          </w:tcPr>
          <w:p>
            <w:pPr>
              <w:pStyle w:val="TableParagraph"/>
              <w:spacing w:line="273" w:lineRule="auto"/>
              <w:ind w:left="108" w:right="14"/>
              <w:rPr>
                <w:sz w:val="21"/>
              </w:rPr>
            </w:pPr>
            <w:r>
              <w:rPr>
                <w:spacing w:val="-9"/>
                <w:sz w:val="21"/>
              </w:rPr>
              <w:t>王先生在第 </w:t>
            </w:r>
            <w:r>
              <w:rPr>
                <w:sz w:val="21"/>
              </w:rPr>
              <w:t>3</w:t>
            </w:r>
            <w:r>
              <w:rPr>
                <w:spacing w:val="-8"/>
                <w:sz w:val="21"/>
              </w:rPr>
              <w:t> 个保单年度末经医院确</w:t>
            </w:r>
            <w:r>
              <w:rPr>
                <w:spacing w:val="-5"/>
                <w:sz w:val="21"/>
              </w:rPr>
              <w:t>诊初次发生合同约定的特定轻度重疾。</w:t>
            </w:r>
          </w:p>
        </w:tc>
      </w:tr>
      <w:tr>
        <w:trPr>
          <w:trHeight w:val="1247" w:hRule="atLeast"/>
        </w:trPr>
        <w:tc>
          <w:tcPr>
            <w:tcW w:w="1334" w:type="dxa"/>
          </w:tcPr>
          <w:p>
            <w:pPr>
              <w:pStyle w:val="TableParagraph"/>
              <w:spacing w:before="11"/>
              <w:rPr>
                <w:sz w:val="22"/>
              </w:rPr>
            </w:pPr>
          </w:p>
          <w:p>
            <w:pPr>
              <w:pStyle w:val="TableParagraph"/>
              <w:spacing w:line="273" w:lineRule="auto"/>
              <w:ind w:left="107" w:right="93"/>
              <w:rPr>
                <w:sz w:val="21"/>
              </w:rPr>
            </w:pPr>
            <w:r>
              <w:rPr>
                <w:sz w:val="21"/>
              </w:rPr>
              <w:t>重大疾病保险金</w:t>
            </w:r>
          </w:p>
        </w:tc>
        <w:tc>
          <w:tcPr>
            <w:tcW w:w="993" w:type="dxa"/>
          </w:tcPr>
          <w:p>
            <w:pPr>
              <w:pStyle w:val="TableParagraph"/>
              <w:rPr>
                <w:sz w:val="20"/>
              </w:rPr>
            </w:pPr>
          </w:p>
          <w:p>
            <w:pPr>
              <w:pStyle w:val="TableParagraph"/>
              <w:spacing w:before="10"/>
              <w:rPr>
                <w:sz w:val="14"/>
              </w:rPr>
            </w:pPr>
          </w:p>
          <w:p>
            <w:pPr>
              <w:pStyle w:val="TableParagraph"/>
              <w:ind w:left="161" w:right="151"/>
              <w:jc w:val="center"/>
              <w:rPr>
                <w:sz w:val="21"/>
              </w:rPr>
            </w:pPr>
            <w:r>
              <w:rPr>
                <w:sz w:val="21"/>
              </w:rPr>
              <w:t>王先生</w:t>
            </w:r>
          </w:p>
        </w:tc>
        <w:tc>
          <w:tcPr>
            <w:tcW w:w="2695" w:type="dxa"/>
          </w:tcPr>
          <w:p>
            <w:pPr>
              <w:pStyle w:val="TableParagraph"/>
              <w:rPr>
                <w:sz w:val="20"/>
              </w:rPr>
            </w:pPr>
          </w:p>
          <w:p>
            <w:pPr>
              <w:pStyle w:val="TableParagraph"/>
              <w:spacing w:before="10"/>
              <w:rPr>
                <w:sz w:val="14"/>
              </w:rPr>
            </w:pPr>
          </w:p>
          <w:p>
            <w:pPr>
              <w:pStyle w:val="TableParagraph"/>
              <w:ind w:left="67" w:right="56"/>
              <w:jc w:val="center"/>
              <w:rPr>
                <w:sz w:val="21"/>
              </w:rPr>
            </w:pPr>
            <w:r>
              <w:rPr>
                <w:sz w:val="21"/>
              </w:rPr>
              <w:t>20 万元</w:t>
            </w:r>
          </w:p>
        </w:tc>
        <w:tc>
          <w:tcPr>
            <w:tcW w:w="3705" w:type="dxa"/>
          </w:tcPr>
          <w:p>
            <w:pPr>
              <w:pStyle w:val="TableParagraph"/>
              <w:spacing w:line="273" w:lineRule="auto"/>
              <w:ind w:left="109" w:right="219"/>
              <w:rPr>
                <w:sz w:val="21"/>
              </w:rPr>
            </w:pPr>
            <w:r>
              <w:rPr>
                <w:spacing w:val="-10"/>
                <w:sz w:val="21"/>
              </w:rPr>
              <w:t>王先生在第 </w:t>
            </w:r>
            <w:r>
              <w:rPr>
                <w:sz w:val="21"/>
              </w:rPr>
              <w:t>8</w:t>
            </w:r>
            <w:r>
              <w:rPr>
                <w:spacing w:val="-8"/>
                <w:sz w:val="21"/>
              </w:rPr>
              <w:t> 个保单年度经医院确诊</w:t>
            </w:r>
            <w:r>
              <w:rPr>
                <w:spacing w:val="-3"/>
                <w:sz w:val="21"/>
              </w:rPr>
              <w:t>初次发生合同约定的重大疾病。</w:t>
            </w:r>
          </w:p>
          <w:p>
            <w:pPr>
              <w:pStyle w:val="TableParagraph"/>
              <w:spacing w:line="273" w:lineRule="auto" w:before="20"/>
              <w:ind w:left="109" w:right="219"/>
              <w:rPr>
                <w:sz w:val="21"/>
              </w:rPr>
            </w:pPr>
            <w:r>
              <w:rPr>
                <w:sz w:val="21"/>
              </w:rPr>
              <w:t>我们提供保障的重大疾病包括恶性肿瘤、急性心肌梗塞等共 80 种。</w:t>
            </w:r>
          </w:p>
        </w:tc>
      </w:tr>
    </w:tbl>
    <w:p>
      <w:pPr>
        <w:pStyle w:val="Heading3"/>
        <w:spacing w:line="357" w:lineRule="exact" w:before="120"/>
        <w:ind w:left="788"/>
      </w:pPr>
      <w:r>
        <w:rPr/>
        <w:t>以上举例仅供您更好地理解产品之用，您所购买产品的具体保险利益以保险合同中载明的为准。</w:t>
      </w:r>
    </w:p>
    <w:p>
      <w:pPr>
        <w:spacing w:line="589" w:lineRule="exact" w:before="0"/>
        <w:ind w:left="245" w:right="0" w:firstLine="0"/>
        <w:jc w:val="left"/>
        <w:rPr>
          <w:rFonts w:ascii="Microsoft JhengHei" w:hAnsi="Microsoft JhengHei" w:eastAsia="Microsoft JhengHei" w:hint="eastAsia"/>
          <w:b/>
          <w:sz w:val="21"/>
        </w:rPr>
      </w:pPr>
      <w:r>
        <w:rPr>
          <w:rFonts w:ascii="Arial" w:hAnsi="Arial" w:eastAsia="Arial"/>
          <w:b/>
          <w:w w:val="110"/>
          <w:position w:val="-11"/>
          <w:sz w:val="52"/>
        </w:rPr>
        <w:t></w:t>
      </w:r>
      <w:r>
        <w:rPr>
          <w:rFonts w:ascii="Microsoft JhengHei" w:hAnsi="Microsoft JhengHei" w:eastAsia="Microsoft JhengHei" w:hint="eastAsia"/>
          <w:b/>
          <w:w w:val="110"/>
          <w:sz w:val="21"/>
        </w:rPr>
        <w:t>条款目录</w:t>
      </w:r>
    </w:p>
    <w:p>
      <w:pPr>
        <w:spacing w:after="0" w:line="589" w:lineRule="exact"/>
        <w:jc w:val="left"/>
        <w:rPr>
          <w:rFonts w:ascii="Microsoft JhengHei" w:hAnsi="Microsoft JhengHei" w:eastAsia="Microsoft JhengHei" w:hint="eastAsia"/>
          <w:sz w:val="21"/>
        </w:rPr>
        <w:sectPr>
          <w:type w:val="continuous"/>
          <w:pgSz w:w="11910" w:h="16840"/>
          <w:pgMar w:top="400" w:bottom="280" w:left="940" w:right="420"/>
        </w:sectPr>
      </w:pPr>
    </w:p>
    <w:p>
      <w:pPr>
        <w:spacing w:before="96"/>
        <w:ind w:left="1018" w:right="0" w:firstLine="0"/>
        <w:jc w:val="left"/>
        <w:rPr>
          <w:rFonts w:ascii="Microsoft JhengHei" w:eastAsia="Microsoft JhengHei" w:hint="eastAsia"/>
          <w:b/>
          <w:sz w:val="21"/>
        </w:rPr>
      </w:pPr>
      <w:r>
        <w:rPr>
          <w:b/>
          <w:sz w:val="21"/>
        </w:rPr>
        <w:t>1.</w:t>
      </w:r>
      <w:r>
        <w:rPr>
          <w:rFonts w:ascii="Microsoft JhengHei" w:eastAsia="Microsoft JhengHei" w:hint="eastAsia"/>
          <w:b/>
          <w:sz w:val="21"/>
        </w:rPr>
        <w:t>我们保什么、保多久</w:t>
      </w:r>
    </w:p>
    <w:p>
      <w:pPr>
        <w:pStyle w:val="ListParagraph"/>
        <w:numPr>
          <w:ilvl w:val="1"/>
          <w:numId w:val="2"/>
        </w:numPr>
        <w:tabs>
          <w:tab w:pos="1652" w:val="left" w:leader="none"/>
        </w:tabs>
        <w:spacing w:line="240" w:lineRule="auto" w:before="1" w:after="0"/>
        <w:ind w:left="1652" w:right="0" w:hanging="423"/>
        <w:jc w:val="left"/>
        <w:rPr>
          <w:sz w:val="21"/>
        </w:rPr>
      </w:pPr>
      <w:r>
        <w:rPr>
          <w:spacing w:val="-3"/>
          <w:sz w:val="21"/>
        </w:rPr>
        <w:t>保险责任</w:t>
      </w:r>
    </w:p>
    <w:p>
      <w:pPr>
        <w:pStyle w:val="ListParagraph"/>
        <w:numPr>
          <w:ilvl w:val="1"/>
          <w:numId w:val="2"/>
        </w:numPr>
        <w:tabs>
          <w:tab w:pos="1650" w:val="left" w:leader="none"/>
        </w:tabs>
        <w:spacing w:line="240" w:lineRule="auto" w:before="25" w:after="0"/>
        <w:ind w:left="1649" w:right="0" w:hanging="420"/>
        <w:jc w:val="left"/>
        <w:rPr>
          <w:sz w:val="21"/>
        </w:rPr>
      </w:pPr>
      <w:r>
        <w:rPr>
          <w:spacing w:val="-2"/>
          <w:sz w:val="21"/>
        </w:rPr>
        <w:t>保险期间</w:t>
      </w:r>
    </w:p>
    <w:p>
      <w:pPr>
        <w:pStyle w:val="ListParagraph"/>
        <w:numPr>
          <w:ilvl w:val="1"/>
          <w:numId w:val="3"/>
        </w:numPr>
        <w:tabs>
          <w:tab w:pos="1168" w:val="left" w:leader="none"/>
        </w:tabs>
        <w:spacing w:line="240" w:lineRule="auto" w:before="148" w:after="0"/>
        <w:ind w:left="1167" w:right="0" w:hanging="423"/>
        <w:jc w:val="left"/>
        <w:rPr>
          <w:sz w:val="21"/>
        </w:rPr>
      </w:pPr>
      <w:r>
        <w:rPr>
          <w:spacing w:val="-3"/>
          <w:w w:val="100"/>
          <w:sz w:val="21"/>
        </w:rPr>
        <w:br w:type="column"/>
      </w:r>
      <w:r>
        <w:rPr>
          <w:spacing w:val="-2"/>
          <w:sz w:val="21"/>
        </w:rPr>
        <w:t>受益人</w:t>
      </w:r>
    </w:p>
    <w:p>
      <w:pPr>
        <w:pStyle w:val="ListParagraph"/>
        <w:numPr>
          <w:ilvl w:val="1"/>
          <w:numId w:val="3"/>
        </w:numPr>
        <w:tabs>
          <w:tab w:pos="1168" w:val="left" w:leader="none"/>
        </w:tabs>
        <w:spacing w:line="240" w:lineRule="auto" w:before="24" w:after="0"/>
        <w:ind w:left="1167" w:right="0" w:hanging="423"/>
        <w:jc w:val="left"/>
        <w:rPr>
          <w:sz w:val="21"/>
        </w:rPr>
      </w:pPr>
      <w:r>
        <w:rPr>
          <w:spacing w:val="-3"/>
          <w:sz w:val="21"/>
        </w:rPr>
        <w:t>保险金申请</w:t>
      </w:r>
    </w:p>
    <w:p>
      <w:pPr>
        <w:pStyle w:val="ListParagraph"/>
        <w:numPr>
          <w:ilvl w:val="1"/>
          <w:numId w:val="3"/>
        </w:numPr>
        <w:tabs>
          <w:tab w:pos="1168" w:val="left" w:leader="none"/>
        </w:tabs>
        <w:spacing w:line="240" w:lineRule="auto" w:before="24" w:after="0"/>
        <w:ind w:left="1167" w:right="0" w:hanging="423"/>
        <w:jc w:val="left"/>
        <w:rPr>
          <w:sz w:val="21"/>
        </w:rPr>
      </w:pPr>
      <w:r>
        <w:rPr>
          <w:spacing w:val="-3"/>
          <w:sz w:val="21"/>
        </w:rPr>
        <w:t>保险金的给付</w:t>
      </w:r>
    </w:p>
    <w:p>
      <w:pPr>
        <w:pStyle w:val="Heading3"/>
        <w:spacing w:line="353" w:lineRule="exact" w:before="67"/>
        <w:ind w:left="1018"/>
      </w:pPr>
      <w:r>
        <w:rPr>
          <w:b w:val="0"/>
        </w:rPr>
        <w:br w:type="column"/>
      </w:r>
      <w:r>
        <w:rPr>
          <w:rFonts w:ascii="宋体" w:eastAsia="宋体" w:hint="eastAsia"/>
        </w:rPr>
        <w:t>8.</w:t>
      </w:r>
      <w:r>
        <w:rPr/>
        <w:t>重大疾病释义</w:t>
      </w:r>
    </w:p>
    <w:p>
      <w:pPr>
        <w:spacing w:line="320" w:lineRule="exact" w:before="0"/>
        <w:ind w:left="1018" w:right="0" w:firstLine="0"/>
        <w:jc w:val="left"/>
        <w:rPr>
          <w:rFonts w:ascii="Microsoft JhengHei" w:eastAsia="Microsoft JhengHei" w:hint="eastAsia"/>
          <w:b/>
          <w:sz w:val="21"/>
        </w:rPr>
      </w:pPr>
      <w:r>
        <w:rPr>
          <w:b/>
          <w:sz w:val="21"/>
        </w:rPr>
        <w:t>9.</w:t>
      </w:r>
      <w:r>
        <w:rPr>
          <w:rFonts w:ascii="Microsoft JhengHei" w:eastAsia="Microsoft JhengHei" w:hint="eastAsia"/>
          <w:b/>
          <w:sz w:val="21"/>
        </w:rPr>
        <w:t>特定轻度重疾释义</w:t>
      </w:r>
    </w:p>
    <w:p>
      <w:pPr>
        <w:spacing w:line="333" w:lineRule="exact" w:before="0"/>
        <w:ind w:left="1018" w:right="0" w:firstLine="0"/>
        <w:jc w:val="left"/>
        <w:rPr>
          <w:rFonts w:ascii="Microsoft JhengHei" w:eastAsia="Microsoft JhengHei" w:hint="eastAsia"/>
          <w:b/>
          <w:sz w:val="21"/>
        </w:rPr>
      </w:pPr>
      <w:r>
        <w:rPr>
          <w:b/>
          <w:sz w:val="21"/>
        </w:rPr>
        <w:t>10.</w:t>
      </w:r>
      <w:r>
        <w:rPr>
          <w:rFonts w:ascii="Microsoft JhengHei" w:eastAsia="Microsoft JhengHei" w:hint="eastAsia"/>
          <w:b/>
          <w:sz w:val="21"/>
        </w:rPr>
        <w:t>需关注的其他内容</w:t>
      </w:r>
    </w:p>
    <w:p>
      <w:pPr>
        <w:spacing w:after="0" w:line="333" w:lineRule="exact"/>
        <w:jc w:val="left"/>
        <w:rPr>
          <w:rFonts w:ascii="Microsoft JhengHei" w:eastAsia="Microsoft JhengHei" w:hint="eastAsia"/>
          <w:sz w:val="21"/>
        </w:rPr>
        <w:sectPr>
          <w:type w:val="continuous"/>
          <w:pgSz w:w="11910" w:h="16840"/>
          <w:pgMar w:top="400" w:bottom="280" w:left="940" w:right="420"/>
          <w:cols w:num="3" w:equalWidth="0">
            <w:col w:w="3131" w:space="40"/>
            <w:col w:w="2426" w:space="163"/>
            <w:col w:w="4790"/>
          </w:cols>
        </w:sectPr>
      </w:pPr>
    </w:p>
    <w:p>
      <w:pPr>
        <w:pStyle w:val="BodyText"/>
        <w:spacing w:before="3"/>
        <w:rPr>
          <w:rFonts w:ascii="Microsoft JhengHei"/>
          <w:b/>
          <w:sz w:val="2"/>
        </w:rPr>
      </w:pPr>
    </w:p>
    <w:tbl>
      <w:tblPr>
        <w:tblW w:w="0" w:type="auto"/>
        <w:jc w:val="left"/>
        <w:tblInd w:w="9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43"/>
        <w:gridCol w:w="3382"/>
        <w:gridCol w:w="671"/>
        <w:gridCol w:w="1784"/>
      </w:tblGrid>
      <w:tr>
        <w:trPr>
          <w:trHeight w:val="268" w:hRule="atLeast"/>
        </w:trPr>
        <w:tc>
          <w:tcPr>
            <w:tcW w:w="2443" w:type="dxa"/>
          </w:tcPr>
          <w:p>
            <w:pPr>
              <w:pStyle w:val="TableParagraph"/>
              <w:spacing w:line="249" w:lineRule="exact"/>
              <w:ind w:left="50"/>
              <w:rPr>
                <w:rFonts w:ascii="Microsoft JhengHei" w:eastAsia="Microsoft JhengHei" w:hint="eastAsia"/>
                <w:b/>
                <w:sz w:val="21"/>
              </w:rPr>
            </w:pPr>
            <w:r>
              <w:rPr>
                <w:b/>
                <w:sz w:val="21"/>
              </w:rPr>
              <w:t>2.</w:t>
            </w:r>
            <w:r>
              <w:rPr>
                <w:rFonts w:ascii="Microsoft JhengHei" w:eastAsia="Microsoft JhengHei" w:hint="eastAsia"/>
                <w:b/>
                <w:sz w:val="21"/>
              </w:rPr>
              <w:t>我们不保什么</w:t>
            </w:r>
          </w:p>
        </w:tc>
        <w:tc>
          <w:tcPr>
            <w:tcW w:w="3382" w:type="dxa"/>
          </w:tcPr>
          <w:p>
            <w:pPr>
              <w:pStyle w:val="TableParagraph"/>
              <w:spacing w:line="235" w:lineRule="exact"/>
              <w:ind w:left="292"/>
              <w:rPr>
                <w:rFonts w:ascii="Microsoft JhengHei" w:eastAsia="Microsoft JhengHei" w:hint="eastAsia"/>
                <w:b/>
                <w:sz w:val="21"/>
              </w:rPr>
            </w:pPr>
            <w:r>
              <w:rPr>
                <w:b/>
                <w:sz w:val="21"/>
              </w:rPr>
              <w:t>5.</w:t>
            </w:r>
            <w:r>
              <w:rPr>
                <w:rFonts w:ascii="Microsoft JhengHei" w:eastAsia="Microsoft JhengHei" w:hint="eastAsia"/>
                <w:b/>
                <w:sz w:val="21"/>
              </w:rPr>
              <w:t>如何豁免保险费</w:t>
            </w:r>
          </w:p>
        </w:tc>
        <w:tc>
          <w:tcPr>
            <w:tcW w:w="671" w:type="dxa"/>
          </w:tcPr>
          <w:p>
            <w:pPr>
              <w:pStyle w:val="TableParagraph"/>
              <w:spacing w:line="237" w:lineRule="exact"/>
              <w:ind w:right="50"/>
              <w:jc w:val="right"/>
              <w:rPr>
                <w:sz w:val="21"/>
              </w:rPr>
            </w:pPr>
            <w:r>
              <w:rPr>
                <w:sz w:val="21"/>
              </w:rPr>
              <w:t>10.1</w:t>
            </w:r>
          </w:p>
        </w:tc>
        <w:tc>
          <w:tcPr>
            <w:tcW w:w="1784" w:type="dxa"/>
          </w:tcPr>
          <w:p>
            <w:pPr>
              <w:pStyle w:val="TableParagraph"/>
              <w:spacing w:line="237" w:lineRule="exact"/>
              <w:ind w:left="50"/>
              <w:rPr>
                <w:sz w:val="21"/>
              </w:rPr>
            </w:pPr>
            <w:r>
              <w:rPr>
                <w:sz w:val="21"/>
              </w:rPr>
              <w:t>合同订立</w:t>
            </w:r>
          </w:p>
        </w:tc>
      </w:tr>
      <w:tr>
        <w:trPr>
          <w:trHeight w:val="299" w:hRule="atLeast"/>
        </w:trPr>
        <w:tc>
          <w:tcPr>
            <w:tcW w:w="2443" w:type="dxa"/>
          </w:tcPr>
          <w:p>
            <w:pPr>
              <w:pStyle w:val="TableParagraph"/>
              <w:spacing w:line="257" w:lineRule="exact"/>
              <w:ind w:left="261"/>
              <w:rPr>
                <w:sz w:val="21"/>
              </w:rPr>
            </w:pPr>
            <w:r>
              <w:rPr>
                <w:sz w:val="21"/>
              </w:rPr>
              <w:t>2.1 责任免除</w:t>
            </w:r>
          </w:p>
        </w:tc>
        <w:tc>
          <w:tcPr>
            <w:tcW w:w="3382" w:type="dxa"/>
          </w:tcPr>
          <w:p>
            <w:pPr>
              <w:pStyle w:val="TableParagraph"/>
              <w:spacing w:line="242" w:lineRule="exact"/>
              <w:ind w:left="503"/>
              <w:rPr>
                <w:sz w:val="21"/>
              </w:rPr>
            </w:pPr>
            <w:r>
              <w:rPr>
                <w:sz w:val="21"/>
              </w:rPr>
              <w:t>5.1 豁免保险费的申请</w:t>
            </w:r>
          </w:p>
        </w:tc>
        <w:tc>
          <w:tcPr>
            <w:tcW w:w="671" w:type="dxa"/>
          </w:tcPr>
          <w:p>
            <w:pPr>
              <w:pStyle w:val="TableParagraph"/>
              <w:spacing w:line="269" w:lineRule="exact"/>
              <w:ind w:right="50"/>
              <w:jc w:val="right"/>
              <w:rPr>
                <w:sz w:val="21"/>
              </w:rPr>
            </w:pPr>
            <w:r>
              <w:rPr>
                <w:sz w:val="21"/>
              </w:rPr>
              <w:t>10.2</w:t>
            </w:r>
          </w:p>
        </w:tc>
        <w:tc>
          <w:tcPr>
            <w:tcW w:w="1784" w:type="dxa"/>
          </w:tcPr>
          <w:p>
            <w:pPr>
              <w:pStyle w:val="TableParagraph"/>
              <w:spacing w:line="269" w:lineRule="exact"/>
              <w:ind w:left="50"/>
              <w:rPr>
                <w:sz w:val="21"/>
              </w:rPr>
            </w:pPr>
            <w:r>
              <w:rPr>
                <w:sz w:val="21"/>
              </w:rPr>
              <w:t>合同生效</w:t>
            </w:r>
          </w:p>
        </w:tc>
      </w:tr>
      <w:tr>
        <w:trPr>
          <w:trHeight w:val="300" w:hRule="atLeast"/>
        </w:trPr>
        <w:tc>
          <w:tcPr>
            <w:tcW w:w="2443" w:type="dxa"/>
          </w:tcPr>
          <w:p>
            <w:pPr>
              <w:pStyle w:val="TableParagraph"/>
              <w:spacing w:line="257" w:lineRule="exact"/>
              <w:ind w:right="499"/>
              <w:jc w:val="right"/>
              <w:rPr>
                <w:sz w:val="21"/>
              </w:rPr>
            </w:pPr>
            <w:r>
              <w:rPr>
                <w:sz w:val="21"/>
              </w:rPr>
              <w:t>2.2 其他免责条款</w:t>
            </w:r>
          </w:p>
        </w:tc>
        <w:tc>
          <w:tcPr>
            <w:tcW w:w="3382" w:type="dxa"/>
          </w:tcPr>
          <w:p>
            <w:pPr>
              <w:pStyle w:val="TableParagraph"/>
              <w:spacing w:line="242" w:lineRule="exact"/>
              <w:ind w:left="503"/>
              <w:rPr>
                <w:sz w:val="21"/>
              </w:rPr>
            </w:pPr>
            <w:r>
              <w:rPr>
                <w:sz w:val="21"/>
              </w:rPr>
              <w:t>5.2 保险费的豁免</w:t>
            </w:r>
          </w:p>
        </w:tc>
        <w:tc>
          <w:tcPr>
            <w:tcW w:w="671" w:type="dxa"/>
          </w:tcPr>
          <w:p>
            <w:pPr>
              <w:pStyle w:val="TableParagraph"/>
              <w:spacing w:line="269" w:lineRule="exact"/>
              <w:ind w:right="50"/>
              <w:jc w:val="right"/>
              <w:rPr>
                <w:sz w:val="21"/>
              </w:rPr>
            </w:pPr>
            <w:r>
              <w:rPr>
                <w:sz w:val="21"/>
              </w:rPr>
              <w:t>10.3</w:t>
            </w:r>
          </w:p>
        </w:tc>
        <w:tc>
          <w:tcPr>
            <w:tcW w:w="1784" w:type="dxa"/>
          </w:tcPr>
          <w:p>
            <w:pPr>
              <w:pStyle w:val="TableParagraph"/>
              <w:spacing w:line="269" w:lineRule="exact"/>
              <w:ind w:left="50"/>
              <w:rPr>
                <w:sz w:val="21"/>
              </w:rPr>
            </w:pPr>
            <w:r>
              <w:rPr>
                <w:sz w:val="21"/>
              </w:rPr>
              <w:t>投保年龄</w:t>
            </w:r>
          </w:p>
        </w:tc>
      </w:tr>
      <w:tr>
        <w:trPr>
          <w:trHeight w:val="299" w:hRule="atLeast"/>
        </w:trPr>
        <w:tc>
          <w:tcPr>
            <w:tcW w:w="2443" w:type="dxa"/>
          </w:tcPr>
          <w:p>
            <w:pPr>
              <w:pStyle w:val="TableParagraph"/>
              <w:spacing w:line="280" w:lineRule="exact"/>
              <w:ind w:left="50"/>
              <w:rPr>
                <w:rFonts w:ascii="Microsoft JhengHei" w:eastAsia="Microsoft JhengHei" w:hint="eastAsia"/>
                <w:b/>
                <w:sz w:val="21"/>
              </w:rPr>
            </w:pPr>
            <w:r>
              <w:rPr>
                <w:b/>
                <w:sz w:val="21"/>
              </w:rPr>
              <w:t>3.</w:t>
            </w:r>
            <w:r>
              <w:rPr>
                <w:rFonts w:ascii="Microsoft JhengHei" w:eastAsia="Microsoft JhengHei" w:hint="eastAsia"/>
                <w:b/>
                <w:sz w:val="21"/>
              </w:rPr>
              <w:t>如何支付保险费</w:t>
            </w:r>
          </w:p>
        </w:tc>
        <w:tc>
          <w:tcPr>
            <w:tcW w:w="3382" w:type="dxa"/>
          </w:tcPr>
          <w:p>
            <w:pPr>
              <w:pStyle w:val="TableParagraph"/>
              <w:spacing w:line="266" w:lineRule="exact"/>
              <w:ind w:left="292"/>
              <w:rPr>
                <w:rFonts w:ascii="Microsoft JhengHei" w:eastAsia="Microsoft JhengHei" w:hint="eastAsia"/>
                <w:b/>
                <w:sz w:val="21"/>
              </w:rPr>
            </w:pPr>
            <w:r>
              <w:rPr>
                <w:b/>
                <w:sz w:val="21"/>
              </w:rPr>
              <w:t>6.</w:t>
            </w:r>
            <w:r>
              <w:rPr>
                <w:rFonts w:ascii="Microsoft JhengHei" w:eastAsia="Microsoft JhengHei" w:hint="eastAsia"/>
                <w:b/>
                <w:sz w:val="21"/>
              </w:rPr>
              <w:t>如何退保</w:t>
            </w:r>
          </w:p>
        </w:tc>
        <w:tc>
          <w:tcPr>
            <w:tcW w:w="671" w:type="dxa"/>
          </w:tcPr>
          <w:p>
            <w:pPr>
              <w:pStyle w:val="TableParagraph"/>
              <w:spacing w:line="268" w:lineRule="exact"/>
              <w:ind w:right="50"/>
              <w:jc w:val="right"/>
              <w:rPr>
                <w:sz w:val="21"/>
              </w:rPr>
            </w:pPr>
            <w:r>
              <w:rPr>
                <w:sz w:val="21"/>
              </w:rPr>
              <w:t>10.4</w:t>
            </w:r>
          </w:p>
        </w:tc>
        <w:tc>
          <w:tcPr>
            <w:tcW w:w="1784" w:type="dxa"/>
          </w:tcPr>
          <w:p>
            <w:pPr>
              <w:pStyle w:val="TableParagraph"/>
              <w:spacing w:line="268" w:lineRule="exact"/>
              <w:ind w:left="50"/>
              <w:rPr>
                <w:sz w:val="21"/>
              </w:rPr>
            </w:pPr>
            <w:r>
              <w:rPr>
                <w:sz w:val="21"/>
              </w:rPr>
              <w:t>年龄错误</w:t>
            </w:r>
          </w:p>
        </w:tc>
      </w:tr>
      <w:tr>
        <w:trPr>
          <w:trHeight w:val="299" w:hRule="atLeast"/>
        </w:trPr>
        <w:tc>
          <w:tcPr>
            <w:tcW w:w="2443" w:type="dxa"/>
          </w:tcPr>
          <w:p>
            <w:pPr>
              <w:pStyle w:val="TableParagraph"/>
              <w:spacing w:line="257" w:lineRule="exact"/>
              <w:ind w:right="499"/>
              <w:jc w:val="right"/>
              <w:rPr>
                <w:sz w:val="21"/>
              </w:rPr>
            </w:pPr>
            <w:r>
              <w:rPr>
                <w:sz w:val="21"/>
              </w:rPr>
              <w:t>3.1 保险费的支付</w:t>
            </w:r>
          </w:p>
        </w:tc>
        <w:tc>
          <w:tcPr>
            <w:tcW w:w="3382" w:type="dxa"/>
          </w:tcPr>
          <w:p>
            <w:pPr>
              <w:pStyle w:val="TableParagraph"/>
              <w:spacing w:line="242" w:lineRule="exact"/>
              <w:ind w:left="503"/>
              <w:rPr>
                <w:sz w:val="21"/>
              </w:rPr>
            </w:pPr>
            <w:r>
              <w:rPr>
                <w:sz w:val="21"/>
              </w:rPr>
              <w:t>6.1 犹豫期</w:t>
            </w:r>
          </w:p>
        </w:tc>
        <w:tc>
          <w:tcPr>
            <w:tcW w:w="671" w:type="dxa"/>
          </w:tcPr>
          <w:p>
            <w:pPr>
              <w:pStyle w:val="TableParagraph"/>
              <w:spacing w:line="268" w:lineRule="exact"/>
              <w:ind w:right="50"/>
              <w:jc w:val="right"/>
              <w:rPr>
                <w:sz w:val="21"/>
              </w:rPr>
            </w:pPr>
            <w:r>
              <w:rPr>
                <w:sz w:val="21"/>
              </w:rPr>
              <w:t>10.5</w:t>
            </w:r>
          </w:p>
        </w:tc>
        <w:tc>
          <w:tcPr>
            <w:tcW w:w="1784" w:type="dxa"/>
          </w:tcPr>
          <w:p>
            <w:pPr>
              <w:pStyle w:val="TableParagraph"/>
              <w:spacing w:line="268" w:lineRule="exact"/>
              <w:ind w:left="50"/>
              <w:rPr>
                <w:sz w:val="21"/>
              </w:rPr>
            </w:pPr>
            <w:r>
              <w:rPr>
                <w:sz w:val="21"/>
              </w:rPr>
              <w:t>效力终止</w:t>
            </w:r>
          </w:p>
        </w:tc>
      </w:tr>
      <w:tr>
        <w:trPr>
          <w:trHeight w:val="857" w:hRule="atLeast"/>
        </w:trPr>
        <w:tc>
          <w:tcPr>
            <w:tcW w:w="2443" w:type="dxa"/>
          </w:tcPr>
          <w:p>
            <w:pPr>
              <w:pStyle w:val="TableParagraph"/>
              <w:numPr>
                <w:ilvl w:val="1"/>
                <w:numId w:val="4"/>
              </w:numPr>
              <w:tabs>
                <w:tab w:pos="684" w:val="left" w:leader="none"/>
              </w:tabs>
              <w:spacing w:line="257" w:lineRule="exact" w:before="0" w:after="0"/>
              <w:ind w:left="683" w:right="0" w:hanging="422"/>
              <w:jc w:val="left"/>
              <w:rPr>
                <w:sz w:val="21"/>
              </w:rPr>
            </w:pPr>
            <w:r>
              <w:rPr>
                <w:spacing w:val="-2"/>
                <w:sz w:val="21"/>
              </w:rPr>
              <w:t>宽限期</w:t>
            </w:r>
          </w:p>
          <w:p>
            <w:pPr>
              <w:pStyle w:val="TableParagraph"/>
              <w:numPr>
                <w:ilvl w:val="1"/>
                <w:numId w:val="4"/>
              </w:numPr>
              <w:tabs>
                <w:tab w:pos="682" w:val="left" w:leader="none"/>
              </w:tabs>
              <w:spacing w:line="254" w:lineRule="exact" w:before="25" w:after="0"/>
              <w:ind w:left="681" w:right="0" w:hanging="420"/>
              <w:jc w:val="left"/>
              <w:rPr>
                <w:sz w:val="21"/>
              </w:rPr>
            </w:pPr>
            <w:r>
              <w:rPr>
                <w:spacing w:val="-3"/>
                <w:sz w:val="21"/>
              </w:rPr>
              <w:t>效力中止与恢复</w:t>
            </w:r>
          </w:p>
          <w:p>
            <w:pPr>
              <w:pStyle w:val="TableParagraph"/>
              <w:spacing w:line="301" w:lineRule="exact"/>
              <w:ind w:left="50"/>
              <w:rPr>
                <w:rFonts w:ascii="Microsoft JhengHei" w:eastAsia="Microsoft JhengHei" w:hint="eastAsia"/>
                <w:b/>
                <w:sz w:val="21"/>
              </w:rPr>
            </w:pPr>
            <w:r>
              <w:rPr>
                <w:b/>
                <w:sz w:val="21"/>
              </w:rPr>
              <w:t>4.</w:t>
            </w:r>
            <w:r>
              <w:rPr>
                <w:rFonts w:ascii="Microsoft JhengHei" w:eastAsia="Microsoft JhengHei" w:hint="eastAsia"/>
                <w:b/>
                <w:sz w:val="21"/>
              </w:rPr>
              <w:t>如何领取保险金</w:t>
            </w:r>
          </w:p>
        </w:tc>
        <w:tc>
          <w:tcPr>
            <w:tcW w:w="3382" w:type="dxa"/>
          </w:tcPr>
          <w:p>
            <w:pPr>
              <w:pStyle w:val="TableParagraph"/>
              <w:spacing w:line="222" w:lineRule="exact"/>
              <w:ind w:left="503"/>
              <w:rPr>
                <w:sz w:val="21"/>
              </w:rPr>
            </w:pPr>
            <w:r>
              <w:rPr>
                <w:sz w:val="21"/>
              </w:rPr>
              <w:t>6.2 您解除合同的手续及风险</w:t>
            </w:r>
          </w:p>
          <w:p>
            <w:pPr>
              <w:pStyle w:val="TableParagraph"/>
              <w:spacing w:line="345" w:lineRule="exact"/>
              <w:ind w:left="292"/>
              <w:rPr>
                <w:rFonts w:ascii="Microsoft JhengHei" w:eastAsia="Microsoft JhengHei" w:hint="eastAsia"/>
                <w:b/>
                <w:sz w:val="21"/>
              </w:rPr>
            </w:pPr>
            <w:r>
              <w:rPr>
                <w:b/>
                <w:sz w:val="21"/>
              </w:rPr>
              <w:t>7.</w:t>
            </w:r>
            <w:r>
              <w:rPr>
                <w:rFonts w:ascii="Microsoft JhengHei" w:eastAsia="Microsoft JhengHei" w:hint="eastAsia"/>
                <w:b/>
                <w:sz w:val="21"/>
              </w:rPr>
              <w:t>其他权益</w:t>
            </w:r>
          </w:p>
          <w:p>
            <w:pPr>
              <w:pStyle w:val="TableParagraph"/>
              <w:spacing w:line="269" w:lineRule="exact" w:before="1"/>
              <w:ind w:left="503"/>
              <w:rPr>
                <w:sz w:val="21"/>
              </w:rPr>
            </w:pPr>
            <w:r>
              <w:rPr>
                <w:sz w:val="21"/>
              </w:rPr>
              <w:t>7.1 现金价值</w:t>
            </w:r>
          </w:p>
        </w:tc>
        <w:tc>
          <w:tcPr>
            <w:tcW w:w="671" w:type="dxa"/>
          </w:tcPr>
          <w:p>
            <w:pPr>
              <w:pStyle w:val="TableParagraph"/>
              <w:spacing w:line="266" w:lineRule="exact"/>
              <w:ind w:right="50"/>
              <w:jc w:val="right"/>
              <w:rPr>
                <w:sz w:val="21"/>
              </w:rPr>
            </w:pPr>
            <w:r>
              <w:rPr>
                <w:sz w:val="21"/>
              </w:rPr>
              <w:t>10.6</w:t>
            </w:r>
          </w:p>
        </w:tc>
        <w:tc>
          <w:tcPr>
            <w:tcW w:w="1784" w:type="dxa"/>
          </w:tcPr>
          <w:p>
            <w:pPr>
              <w:pStyle w:val="TableParagraph"/>
              <w:spacing w:line="266" w:lineRule="exact"/>
              <w:ind w:left="50"/>
              <w:rPr>
                <w:sz w:val="21"/>
              </w:rPr>
            </w:pPr>
            <w:r>
              <w:rPr>
                <w:sz w:val="21"/>
              </w:rPr>
              <w:t>适用主险合同条款</w:t>
            </w:r>
          </w:p>
        </w:tc>
      </w:tr>
    </w:tbl>
    <w:p>
      <w:pPr>
        <w:pStyle w:val="BodyText"/>
        <w:rPr>
          <w:rFonts w:ascii="Microsoft JhengHei"/>
          <w:b/>
          <w:sz w:val="20"/>
        </w:rPr>
      </w:pPr>
    </w:p>
    <w:p>
      <w:pPr>
        <w:pStyle w:val="BodyText"/>
        <w:spacing w:before="9"/>
        <w:rPr>
          <w:rFonts w:ascii="Microsoft JhengHei"/>
          <w:b/>
          <w:sz w:val="28"/>
        </w:rPr>
      </w:pPr>
      <w:r>
        <w:rPr/>
        <w:pict>
          <v:group style="position:absolute;margin-left:445.860016pt;margin-top:26.801666pt;width:122.65pt;height:31.2pt;mso-position-horizontal-relative:page;mso-position-vertical-relative:paragraph;z-index:1048;mso-wrap-distance-left:0;mso-wrap-distance-right:0" coordorigin="8917,536" coordsize="2453,624">
            <v:shape style="position:absolute;left:8917;top:536;width:2453;height:624" type="#_x0000_t75" stroked="false">
              <v:imagedata r:id="rId13" o:title=""/>
            </v:shape>
            <v:shape style="position:absolute;left:8917;top:536;width:2453;height:624" type="#_x0000_t202" filled="false" stroked="false">
              <v:textbox inset="0,0,0,0">
                <w:txbxContent>
                  <w:p>
                    <w:pPr>
                      <w:spacing w:line="316" w:lineRule="auto" w:before="7"/>
                      <w:ind w:left="142" w:right="329" w:firstLine="0"/>
                      <w:jc w:val="left"/>
                      <w:rPr>
                        <w:sz w:val="18"/>
                      </w:rPr>
                    </w:pPr>
                    <w:r>
                      <w:rPr>
                        <w:sz w:val="18"/>
                      </w:rPr>
                      <w:t>险种简称：福佑安康重疾险种代码：3045</w:t>
                    </w:r>
                  </w:p>
                </w:txbxContent>
              </v:textbox>
              <w10:wrap type="none"/>
            </v:shape>
            <w10:wrap type="topAndBottom"/>
          </v:group>
        </w:pict>
      </w:r>
    </w:p>
    <w:p>
      <w:pPr>
        <w:spacing w:after="0"/>
        <w:rPr>
          <w:rFonts w:ascii="Microsoft JhengHei"/>
          <w:sz w:val="28"/>
        </w:rPr>
        <w:sectPr>
          <w:type w:val="continuous"/>
          <w:pgSz w:w="11910" w:h="16840"/>
          <w:pgMar w:top="400" w:bottom="280" w:left="940" w:right="420"/>
        </w:sectPr>
      </w:pPr>
    </w:p>
    <w:p>
      <w:pPr>
        <w:pStyle w:val="BodyText"/>
        <w:ind w:left="234"/>
        <w:rPr>
          <w:rFonts w:ascii="Microsoft JhengHei"/>
          <w:sz w:val="20"/>
        </w:rPr>
      </w:pPr>
      <w:r>
        <w:rPr>
          <w:rFonts w:ascii="Microsoft JhengHei"/>
          <w:sz w:val="20"/>
        </w:rPr>
        <w:drawing>
          <wp:inline distT="0" distB="0" distL="0" distR="0">
            <wp:extent cx="2052277" cy="342042"/>
            <wp:effectExtent l="0" t="0" r="0" b="0"/>
            <wp:docPr id="1" name="image10.png" descr="新LOGO-K"/>
            <wp:cNvGraphicFramePr>
              <a:graphicFrameLocks noChangeAspect="1"/>
            </wp:cNvGraphicFramePr>
            <a:graphic>
              <a:graphicData uri="http://schemas.openxmlformats.org/drawingml/2006/picture">
                <pic:pic>
                  <pic:nvPicPr>
                    <pic:cNvPr id="2" name="image10.png"/>
                    <pic:cNvPicPr/>
                  </pic:nvPicPr>
                  <pic:blipFill>
                    <a:blip r:embed="rId14" cstate="print"/>
                    <a:stretch>
                      <a:fillRect/>
                    </a:stretch>
                  </pic:blipFill>
                  <pic:spPr>
                    <a:xfrm>
                      <a:off x="0" y="0"/>
                      <a:ext cx="2052277" cy="342042"/>
                    </a:xfrm>
                    <a:prstGeom prst="rect">
                      <a:avLst/>
                    </a:prstGeom>
                  </pic:spPr>
                </pic:pic>
              </a:graphicData>
            </a:graphic>
          </wp:inline>
        </w:drawing>
      </w:r>
      <w:r>
        <w:rPr>
          <w:rFonts w:ascii="Microsoft JhengHei"/>
          <w:sz w:val="20"/>
        </w:rPr>
      </w:r>
    </w:p>
    <w:p>
      <w:pPr>
        <w:pStyle w:val="BodyText"/>
        <w:spacing w:before="7"/>
        <w:rPr>
          <w:rFonts w:ascii="Microsoft JhengHei"/>
          <w:b/>
          <w:sz w:val="27"/>
        </w:rPr>
      </w:pPr>
      <w:r>
        <w:rPr/>
        <w:drawing>
          <wp:anchor distT="0" distB="0" distL="0" distR="0" allowOverlap="1" layoutInCell="1" locked="0" behindDoc="0" simplePos="0" relativeHeight="1168">
            <wp:simplePos x="0" y="0"/>
            <wp:positionH relativeFrom="page">
              <wp:posOffset>1475917</wp:posOffset>
            </wp:positionH>
            <wp:positionV relativeFrom="paragraph">
              <wp:posOffset>328207</wp:posOffset>
            </wp:positionV>
            <wp:extent cx="4715768" cy="230504"/>
            <wp:effectExtent l="0" t="0" r="0" b="0"/>
            <wp:wrapTopAndBottom/>
            <wp:docPr id="3" name="image11.png" descr="抬头"/>
            <wp:cNvGraphicFramePr>
              <a:graphicFrameLocks noChangeAspect="1"/>
            </wp:cNvGraphicFramePr>
            <a:graphic>
              <a:graphicData uri="http://schemas.openxmlformats.org/drawingml/2006/picture">
                <pic:pic>
                  <pic:nvPicPr>
                    <pic:cNvPr id="4" name="image11.png"/>
                    <pic:cNvPicPr/>
                  </pic:nvPicPr>
                  <pic:blipFill>
                    <a:blip r:embed="rId15" cstate="print"/>
                    <a:stretch>
                      <a:fillRect/>
                    </a:stretch>
                  </pic:blipFill>
                  <pic:spPr>
                    <a:xfrm>
                      <a:off x="0" y="0"/>
                      <a:ext cx="4715768" cy="230504"/>
                    </a:xfrm>
                    <a:prstGeom prst="rect">
                      <a:avLst/>
                    </a:prstGeom>
                  </pic:spPr>
                </pic:pic>
              </a:graphicData>
            </a:graphic>
          </wp:anchor>
        </w:drawing>
      </w:r>
    </w:p>
    <w:p>
      <w:pPr>
        <w:pStyle w:val="BodyText"/>
        <w:spacing w:before="3"/>
        <w:rPr>
          <w:rFonts w:ascii="Microsoft JhengHei"/>
          <w:b/>
          <w:sz w:val="7"/>
        </w:rPr>
      </w:pPr>
    </w:p>
    <w:p>
      <w:pPr>
        <w:spacing w:line="505" w:lineRule="exact" w:before="0"/>
        <w:ind w:left="1948" w:right="0" w:firstLine="0"/>
        <w:jc w:val="left"/>
        <w:rPr>
          <w:rFonts w:ascii="微软雅黑" w:eastAsia="微软雅黑" w:hint="eastAsia"/>
          <w:b/>
          <w:sz w:val="32"/>
        </w:rPr>
      </w:pPr>
      <w:r>
        <w:rPr>
          <w:rFonts w:ascii="微软雅黑" w:eastAsia="微软雅黑" w:hint="eastAsia"/>
          <w:b/>
          <w:sz w:val="32"/>
        </w:rPr>
        <w:t>平安附加福佑安康提前给付重大疾病保险条款</w:t>
      </w:r>
    </w:p>
    <w:p>
      <w:pPr>
        <w:pStyle w:val="BodyText"/>
        <w:spacing w:before="5"/>
        <w:rPr>
          <w:rFonts w:ascii="微软雅黑"/>
          <w:b/>
          <w:sz w:val="24"/>
        </w:rPr>
      </w:pPr>
    </w:p>
    <w:p>
      <w:pPr>
        <w:pStyle w:val="BodyText"/>
        <w:ind w:left="220"/>
      </w:pPr>
      <w:r>
        <w:rPr/>
        <w:t>在本条款中，“您”指投保人，“我们”、“本公司”均指中国平安人寿保险股份有限公司。</w:t>
      </w:r>
    </w:p>
    <w:p>
      <w:pPr>
        <w:pStyle w:val="BodyText"/>
        <w:spacing w:before="9"/>
        <w:rPr>
          <w:sz w:val="26"/>
        </w:rPr>
      </w:pPr>
    </w:p>
    <w:p>
      <w:pPr>
        <w:pStyle w:val="Heading1"/>
        <w:tabs>
          <w:tab w:pos="980" w:val="left" w:leader="none"/>
        </w:tabs>
        <w:spacing w:line="457" w:lineRule="exact" w:before="0"/>
        <w:ind w:left="313" w:firstLine="0"/>
        <w:rPr>
          <w:rFonts w:ascii="宋体" w:hAnsi="宋体" w:eastAsia="宋体" w:hint="eastAsia"/>
        </w:rPr>
      </w:pPr>
      <w:r>
        <w:rPr>
          <w:rFonts w:ascii="Arial" w:hAnsi="Arial" w:eastAsia="Arial"/>
          <w:position w:val="-9"/>
          <w:sz w:val="40"/>
        </w:rPr>
        <w:t></w:t>
        <w:tab/>
      </w:r>
      <w:r>
        <w:rPr>
          <w:rFonts w:ascii="宋体" w:hAnsi="宋体" w:eastAsia="宋体" w:hint="eastAsia"/>
          <w:w w:val="95"/>
        </w:rPr>
        <w:t>我们保什么、保多久</w:t>
      </w:r>
    </w:p>
    <w:p>
      <w:pPr>
        <w:pStyle w:val="Heading2"/>
        <w:spacing w:line="306" w:lineRule="exact"/>
      </w:pPr>
      <w:r>
        <w:rPr/>
        <w:t>这部分讲的是我们提供的保障以及我们提供保障的期间。</w:t>
      </w:r>
    </w:p>
    <w:p>
      <w:pPr>
        <w:pStyle w:val="BodyText"/>
        <w:spacing w:before="4"/>
        <w:rPr>
          <w:sz w:val="13"/>
        </w:rPr>
      </w:pPr>
      <w:r>
        <w:rPr/>
        <w:pict>
          <v:group style="position:absolute;margin-left:45.599998pt;margin-top:10.705153pt;width:504pt;height:1pt;mso-position-horizontal-relative:page;mso-position-vertical-relative:paragraph;z-index:1192;mso-wrap-distance-left:0;mso-wrap-distance-right:0" coordorigin="912,214" coordsize="10080,20">
            <v:line style="position:absolute" from="912,224" to="1673,224" stroked="true" strokeweight=".96pt" strokecolor="#000000">
              <v:stroke dashstyle="solid"/>
            </v:line>
            <v:rect style="position:absolute;left:1672;top:214;width:20;height:20" filled="true" fillcolor="#000000" stroked="false">
              <v:fill type="solid"/>
            </v:rect>
            <v:line style="position:absolute" from="1692,224" to="3989,224" stroked="true" strokeweight=".96pt" strokecolor="#000000">
              <v:stroke dashstyle="solid"/>
            </v:line>
            <v:rect style="position:absolute;left:3988;top:214;width:20;height:20" filled="true" fillcolor="#000000" stroked="false">
              <v:fill type="solid"/>
            </v:rect>
            <v:line style="position:absolute" from="4008,224" to="10992,224" stroked="true" strokeweight=".96pt" strokecolor="#000000">
              <v:stroke dashstyle="solid"/>
            </v:line>
            <w10:wrap type="topAndBottom"/>
          </v:group>
        </w:pict>
      </w:r>
    </w:p>
    <w:p>
      <w:pPr>
        <w:pStyle w:val="BodyText"/>
        <w:spacing w:before="12"/>
        <w:rPr>
          <w:sz w:val="16"/>
        </w:rPr>
      </w:pPr>
    </w:p>
    <w:p>
      <w:pPr>
        <w:pStyle w:val="ListParagraph"/>
        <w:numPr>
          <w:ilvl w:val="1"/>
          <w:numId w:val="5"/>
        </w:numPr>
        <w:tabs>
          <w:tab w:pos="980" w:val="left" w:leader="none"/>
          <w:tab w:pos="981" w:val="left" w:leader="none"/>
          <w:tab w:pos="3296" w:val="left" w:leader="none"/>
        </w:tabs>
        <w:spacing w:line="240" w:lineRule="auto" w:before="36" w:after="0"/>
        <w:ind w:left="980" w:right="0" w:hanging="648"/>
        <w:jc w:val="left"/>
        <w:rPr>
          <w:sz w:val="21"/>
        </w:rPr>
      </w:pPr>
      <w:r>
        <w:rPr>
          <w:b/>
          <w:sz w:val="21"/>
        </w:rPr>
        <w:t>保险责任</w:t>
        <w:tab/>
      </w:r>
      <w:r>
        <w:rPr>
          <w:sz w:val="21"/>
        </w:rPr>
        <w:t>在本</w:t>
      </w:r>
      <w:r>
        <w:rPr>
          <w:spacing w:val="-3"/>
          <w:sz w:val="21"/>
        </w:rPr>
        <w:t>附</w:t>
      </w:r>
      <w:r>
        <w:rPr>
          <w:sz w:val="21"/>
        </w:rPr>
        <w:t>加</w:t>
      </w:r>
      <w:r>
        <w:rPr>
          <w:spacing w:val="-3"/>
          <w:sz w:val="21"/>
        </w:rPr>
        <w:t>险</w:t>
      </w:r>
      <w:r>
        <w:rPr>
          <w:sz w:val="21"/>
        </w:rPr>
        <w:t>合</w:t>
      </w:r>
      <w:r>
        <w:rPr>
          <w:spacing w:val="-3"/>
          <w:sz w:val="21"/>
        </w:rPr>
        <w:t>同</w:t>
      </w:r>
      <w:r>
        <w:rPr>
          <w:sz w:val="21"/>
        </w:rPr>
        <w:t>保</w:t>
      </w:r>
      <w:r>
        <w:rPr>
          <w:spacing w:val="-3"/>
          <w:sz w:val="21"/>
        </w:rPr>
        <w:t>险</w:t>
      </w:r>
      <w:r>
        <w:rPr>
          <w:sz w:val="21"/>
        </w:rPr>
        <w:t>期</w:t>
      </w:r>
      <w:r>
        <w:rPr>
          <w:spacing w:val="-3"/>
          <w:sz w:val="21"/>
        </w:rPr>
        <w:t>间</w:t>
      </w:r>
      <w:r>
        <w:rPr>
          <w:sz w:val="21"/>
        </w:rPr>
        <w:t>内，</w:t>
      </w:r>
      <w:r>
        <w:rPr>
          <w:spacing w:val="-3"/>
          <w:sz w:val="21"/>
        </w:rPr>
        <w:t>我</w:t>
      </w:r>
      <w:r>
        <w:rPr>
          <w:sz w:val="21"/>
        </w:rPr>
        <w:t>们</w:t>
      </w:r>
      <w:r>
        <w:rPr>
          <w:spacing w:val="-3"/>
          <w:sz w:val="21"/>
        </w:rPr>
        <w:t>承</w:t>
      </w:r>
      <w:r>
        <w:rPr>
          <w:sz w:val="21"/>
        </w:rPr>
        <w:t>担</w:t>
      </w:r>
      <w:r>
        <w:rPr>
          <w:spacing w:val="-3"/>
          <w:sz w:val="21"/>
        </w:rPr>
        <w:t>如</w:t>
      </w:r>
      <w:r>
        <w:rPr>
          <w:sz w:val="21"/>
        </w:rPr>
        <w:t>下</w:t>
      </w:r>
      <w:r>
        <w:rPr>
          <w:spacing w:val="-3"/>
          <w:sz w:val="21"/>
        </w:rPr>
        <w:t>保</w:t>
      </w:r>
      <w:r>
        <w:rPr>
          <w:sz w:val="21"/>
        </w:rPr>
        <w:t>险</w:t>
      </w:r>
      <w:r>
        <w:rPr>
          <w:spacing w:val="-3"/>
          <w:sz w:val="21"/>
        </w:rPr>
        <w:t>责</w:t>
      </w:r>
      <w:r>
        <w:rPr>
          <w:sz w:val="21"/>
        </w:rPr>
        <w:t>任：</w:t>
      </w:r>
    </w:p>
    <w:p>
      <w:pPr>
        <w:pStyle w:val="BodyText"/>
        <w:spacing w:before="12"/>
        <w:rPr>
          <w:sz w:val="17"/>
        </w:rPr>
      </w:pPr>
    </w:p>
    <w:p>
      <w:pPr>
        <w:pStyle w:val="BodyText"/>
        <w:tabs>
          <w:tab w:pos="3296" w:val="left" w:leader="none"/>
        </w:tabs>
        <w:spacing w:before="1"/>
        <w:ind w:left="980"/>
      </w:pPr>
      <w:r>
        <w:rPr/>
        <w:pict>
          <v:group style="position:absolute;margin-left:204.839996pt;margin-top:19.049347pt;width:344.9pt;height:13.7pt;mso-position-horizontal-relative:page;mso-position-vertical-relative:paragraph;z-index:1240;mso-wrap-distance-left:0;mso-wrap-distance-right:0" coordorigin="4097,381" coordsize="6898,274">
            <v:rect style="position:absolute;left:4096;top:380;width:6788;height:274" filled="true" fillcolor="#dadada" stroked="false">
              <v:fill type="solid"/>
            </v:rect>
            <v:shape style="position:absolute;left:4096;top:380;width:6898;height:274" type="#_x0000_t202" filled="false" stroked="false">
              <v:textbox inset="0,0,0,0">
                <w:txbxContent>
                  <w:p>
                    <w:pPr>
                      <w:spacing w:line="243" w:lineRule="exact" w:before="0"/>
                      <w:ind w:left="0" w:right="0" w:firstLine="0"/>
                      <w:jc w:val="left"/>
                      <w:rPr>
                        <w:sz w:val="21"/>
                      </w:rPr>
                    </w:pPr>
                    <w:r>
                      <w:rPr>
                        <w:spacing w:val="-2"/>
                        <w:sz w:val="21"/>
                      </w:rPr>
                      <w:t>并经</w:t>
                    </w:r>
                    <w:r>
                      <w:rPr>
                        <w:rFonts w:ascii="黑体" w:hAnsi="黑体" w:eastAsia="黑体" w:hint="eastAsia"/>
                        <w:b/>
                        <w:spacing w:val="-6"/>
                        <w:sz w:val="21"/>
                      </w:rPr>
                      <w:t>医院 </w:t>
                    </w:r>
                    <w:hyperlink w:history="true" w:anchor="_bookmark0">
                      <w:r>
                        <w:rPr>
                          <w:rFonts w:ascii="黑体" w:hAnsi="黑体" w:eastAsia="黑体" w:hint="eastAsia"/>
                          <w:b/>
                          <w:position w:val="11"/>
                          <w:sz w:val="11"/>
                        </w:rPr>
                        <w:t>1</w:t>
                      </w:r>
                    </w:hyperlink>
                    <w:r>
                      <w:rPr>
                        <w:spacing w:val="-5"/>
                        <w:sz w:val="21"/>
                      </w:rPr>
                      <w:t>确诊为本附加险合同约定的</w:t>
                    </w:r>
                    <w:r>
                      <w:rPr>
                        <w:rFonts w:ascii="黑体" w:hAnsi="黑体" w:eastAsia="黑体" w:hint="eastAsia"/>
                        <w:b/>
                        <w:spacing w:val="-3"/>
                        <w:sz w:val="21"/>
                      </w:rPr>
                      <w:t>“重大疾病”</w:t>
                    </w:r>
                    <w:hyperlink w:history="true" w:anchor="_bookmark1">
                      <w:r>
                        <w:rPr>
                          <w:rFonts w:ascii="黑体" w:hAnsi="黑体" w:eastAsia="黑体" w:hint="eastAsia"/>
                          <w:b/>
                          <w:spacing w:val="-8"/>
                          <w:position w:val="11"/>
                          <w:sz w:val="11"/>
                        </w:rPr>
                        <w:t>2</w:t>
                      </w:r>
                    </w:hyperlink>
                    <w:r>
                      <w:rPr>
                        <w:spacing w:val="-24"/>
                        <w:sz w:val="21"/>
                      </w:rPr>
                      <w:t>或</w:t>
                    </w:r>
                    <w:r>
                      <w:rPr>
                        <w:rFonts w:ascii="黑体" w:hAnsi="黑体" w:eastAsia="黑体" w:hint="eastAsia"/>
                        <w:b/>
                        <w:spacing w:val="-2"/>
                        <w:sz w:val="21"/>
                      </w:rPr>
                      <w:t>“特定轻度重疾”</w:t>
                    </w:r>
                    <w:hyperlink w:history="true" w:anchor="_bookmark2">
                      <w:r>
                        <w:rPr>
                          <w:rFonts w:ascii="黑体" w:hAnsi="黑体" w:eastAsia="黑体" w:hint="eastAsia"/>
                          <w:b/>
                          <w:spacing w:val="-5"/>
                          <w:position w:val="11"/>
                          <w:sz w:val="11"/>
                        </w:rPr>
                        <w:t>3</w:t>
                      </w:r>
                    </w:hyperlink>
                    <w:r>
                      <w:rPr>
                        <w:spacing w:val="-5"/>
                        <w:sz w:val="21"/>
                      </w:rPr>
                      <w:t>，</w:t>
                    </w:r>
                  </w:p>
                </w:txbxContent>
              </v:textbox>
              <w10:wrap type="none"/>
            </v:shape>
            <w10:wrap type="topAndBottom"/>
          </v:group>
        </w:pict>
      </w:r>
      <w:r>
        <w:rPr>
          <w:rFonts w:ascii="等线" w:eastAsia="等线" w:hint="eastAsia"/>
          <w:b/>
          <w:position w:val="1"/>
          <w:sz w:val="24"/>
        </w:rPr>
        <w:t>等待期</w:t>
        <w:tab/>
      </w:r>
      <w:r>
        <w:rPr>
          <w:shd w:fill="DADADA" w:color="auto" w:val="clear"/>
        </w:rPr>
        <w:t>从本</w:t>
      </w:r>
      <w:r>
        <w:rPr>
          <w:spacing w:val="-3"/>
          <w:shd w:fill="DADADA" w:color="auto" w:val="clear"/>
        </w:rPr>
        <w:t>附</w:t>
      </w:r>
      <w:r>
        <w:rPr>
          <w:shd w:fill="DADADA" w:color="auto" w:val="clear"/>
        </w:rPr>
        <w:t>加</w:t>
      </w:r>
      <w:r>
        <w:rPr>
          <w:spacing w:val="-3"/>
          <w:shd w:fill="DADADA" w:color="auto" w:val="clear"/>
        </w:rPr>
        <w:t>险</w:t>
      </w:r>
      <w:r>
        <w:rPr>
          <w:shd w:fill="DADADA" w:color="auto" w:val="clear"/>
        </w:rPr>
        <w:t>合</w:t>
      </w:r>
      <w:r>
        <w:rPr>
          <w:spacing w:val="-3"/>
          <w:shd w:fill="DADADA" w:color="auto" w:val="clear"/>
        </w:rPr>
        <w:t>同</w:t>
      </w:r>
      <w:r>
        <w:rPr>
          <w:shd w:fill="DADADA" w:color="auto" w:val="clear"/>
        </w:rPr>
        <w:t>生</w:t>
      </w:r>
      <w:r>
        <w:rPr>
          <w:spacing w:val="-3"/>
          <w:shd w:fill="DADADA" w:color="auto" w:val="clear"/>
        </w:rPr>
        <w:t>效</w:t>
      </w:r>
      <w:r>
        <w:rPr>
          <w:shd w:fill="DADADA" w:color="auto" w:val="clear"/>
        </w:rPr>
        <w:t>（</w:t>
      </w:r>
      <w:r>
        <w:rPr>
          <w:spacing w:val="-3"/>
          <w:shd w:fill="DADADA" w:color="auto" w:val="clear"/>
        </w:rPr>
        <w:t>或</w:t>
      </w:r>
      <w:r>
        <w:rPr>
          <w:shd w:fill="DADADA" w:color="auto" w:val="clear"/>
        </w:rPr>
        <w:t>最后</w:t>
      </w:r>
      <w:r>
        <w:rPr>
          <w:spacing w:val="-3"/>
          <w:shd w:fill="DADADA" w:color="auto" w:val="clear"/>
        </w:rPr>
        <w:t>复</w:t>
      </w:r>
      <w:r>
        <w:rPr>
          <w:shd w:fill="DADADA" w:color="auto" w:val="clear"/>
        </w:rPr>
        <w:t>效</w:t>
      </w:r>
      <w:r>
        <w:rPr>
          <w:spacing w:val="-3"/>
          <w:shd w:fill="DADADA" w:color="auto" w:val="clear"/>
        </w:rPr>
        <w:t>）</w:t>
      </w:r>
      <w:r>
        <w:rPr>
          <w:shd w:fill="DADADA" w:color="auto" w:val="clear"/>
        </w:rPr>
        <w:t>之</w:t>
      </w:r>
      <w:r>
        <w:rPr>
          <w:spacing w:val="-3"/>
          <w:shd w:fill="DADADA" w:color="auto" w:val="clear"/>
        </w:rPr>
        <w:t>日</w:t>
      </w:r>
      <w:r>
        <w:rPr>
          <w:shd w:fill="DADADA" w:color="auto" w:val="clear"/>
        </w:rPr>
        <w:t>起</w:t>
      </w:r>
      <w:r>
        <w:rPr>
          <w:spacing w:val="-2"/>
          <w:shd w:fill="DADADA" w:color="auto" w:val="clear"/>
        </w:rPr>
        <w:t> </w:t>
      </w:r>
      <w:r>
        <w:rPr>
          <w:shd w:fill="DADADA" w:color="auto" w:val="clear"/>
        </w:rPr>
        <w:t>180</w:t>
      </w:r>
      <w:r>
        <w:rPr>
          <w:spacing w:val="-5"/>
          <w:shd w:fill="DADADA" w:color="auto" w:val="clear"/>
        </w:rPr>
        <w:t> </w:t>
      </w:r>
      <w:r>
        <w:rPr>
          <w:spacing w:val="-3"/>
          <w:shd w:fill="DADADA" w:color="auto" w:val="clear"/>
        </w:rPr>
        <w:t>日</w:t>
      </w:r>
      <w:r>
        <w:rPr>
          <w:shd w:fill="DADADA" w:color="auto" w:val="clear"/>
        </w:rPr>
        <w:t>内，</w:t>
      </w:r>
      <w:r>
        <w:rPr>
          <w:spacing w:val="-3"/>
          <w:shd w:fill="DADADA" w:color="auto" w:val="clear"/>
        </w:rPr>
        <w:t>被</w:t>
      </w:r>
      <w:r>
        <w:rPr>
          <w:shd w:fill="DADADA" w:color="auto" w:val="clear"/>
        </w:rPr>
        <w:t>保</w:t>
      </w:r>
      <w:r>
        <w:rPr>
          <w:spacing w:val="-3"/>
          <w:shd w:fill="DADADA" w:color="auto" w:val="clear"/>
        </w:rPr>
        <w:t>险</w:t>
      </w:r>
      <w:r>
        <w:rPr>
          <w:shd w:fill="DADADA" w:color="auto" w:val="clear"/>
        </w:rPr>
        <w:t>人</w:t>
      </w:r>
      <w:r>
        <w:rPr>
          <w:spacing w:val="-3"/>
          <w:shd w:fill="DADADA" w:color="auto" w:val="clear"/>
        </w:rPr>
        <w:t>首</w:t>
      </w:r>
      <w:r>
        <w:rPr>
          <w:shd w:fill="DADADA" w:color="auto" w:val="clear"/>
        </w:rPr>
        <w:t>次</w:t>
      </w:r>
      <w:r>
        <w:rPr>
          <w:spacing w:val="-3"/>
          <w:shd w:fill="DADADA" w:color="auto" w:val="clear"/>
        </w:rPr>
        <w:t>发病</w:t>
      </w:r>
    </w:p>
    <w:p>
      <w:pPr>
        <w:pStyle w:val="BodyText"/>
        <w:spacing w:line="253" w:lineRule="exact"/>
        <w:ind w:left="3296"/>
      </w:pPr>
      <w:r>
        <w:rPr>
          <w:shd w:fill="DADADA" w:color="auto" w:val="clear"/>
        </w:rPr>
        <w:t>我们不承担保险责任，退还本附加险合同的现金价值，本附加险合同终止，</w:t>
      </w:r>
    </w:p>
    <w:p>
      <w:pPr>
        <w:pStyle w:val="BodyText"/>
        <w:spacing w:line="273" w:lineRule="auto" w:before="37"/>
        <w:ind w:left="3296" w:right="161"/>
      </w:pPr>
      <w:r>
        <w:rPr>
          <w:shd w:fill="DADADA" w:color="auto" w:val="clear"/>
        </w:rPr>
        <w:t>主险合同同时终止，我们退还主险合同的现金价值。这 180 日的时间称为等待期</w:t>
      </w:r>
      <w:r>
        <w:rPr/>
        <w:t>；被保险人因</w:t>
      </w:r>
      <w:r>
        <w:rPr>
          <w:rFonts w:ascii="黑体" w:eastAsia="黑体" w:hint="eastAsia"/>
          <w:b/>
        </w:rPr>
        <w:t>意外伤害 </w:t>
      </w:r>
      <w:hyperlink w:history="true" w:anchor="_bookmark3">
        <w:r>
          <w:rPr>
            <w:rFonts w:ascii="黑体" w:eastAsia="黑体" w:hint="eastAsia"/>
            <w:b/>
            <w:position w:val="11"/>
            <w:sz w:val="11"/>
          </w:rPr>
          <w:t>4</w:t>
        </w:r>
      </w:hyperlink>
      <w:r>
        <w:rPr/>
        <w:t>发生上述情形的，无等待期。</w:t>
      </w:r>
    </w:p>
    <w:p>
      <w:pPr>
        <w:pStyle w:val="BodyText"/>
        <w:spacing w:before="4"/>
        <w:ind w:left="3296"/>
      </w:pPr>
      <w:r>
        <w:rPr>
          <w:spacing w:val="-11"/>
        </w:rPr>
        <w:t>如果在等待期后发生保险事故，我们按照下列方式给付保险金或豁免保险费：</w:t>
      </w:r>
    </w:p>
    <w:p>
      <w:pPr>
        <w:pStyle w:val="BodyText"/>
        <w:spacing w:before="4"/>
        <w:rPr>
          <w:sz w:val="19"/>
        </w:rPr>
      </w:pPr>
    </w:p>
    <w:p>
      <w:pPr>
        <w:pStyle w:val="BodyText"/>
        <w:tabs>
          <w:tab w:pos="3296" w:val="left" w:leader="none"/>
        </w:tabs>
        <w:spacing w:line="254" w:lineRule="auto"/>
        <w:ind w:left="3296" w:right="215" w:hanging="2316"/>
      </w:pPr>
      <w:r>
        <w:rPr>
          <w:rFonts w:ascii="等线" w:hAnsi="等线" w:eastAsia="等线" w:hint="eastAsia"/>
          <w:b/>
          <w:position w:val="1"/>
          <w:sz w:val="24"/>
        </w:rPr>
        <w:t>重大疾病保险金</w:t>
        <w:tab/>
      </w:r>
      <w:r>
        <w:rPr/>
        <w:t>被保</w:t>
      </w:r>
      <w:r>
        <w:rPr>
          <w:spacing w:val="-3"/>
        </w:rPr>
        <w:t>险</w:t>
      </w:r>
      <w:r>
        <w:rPr/>
        <w:t>人</w:t>
      </w:r>
      <w:r>
        <w:rPr>
          <w:spacing w:val="-3"/>
        </w:rPr>
        <w:t>经</w:t>
      </w:r>
      <w:r>
        <w:rPr/>
        <w:t>医</w:t>
      </w:r>
      <w:r>
        <w:rPr>
          <w:spacing w:val="-3"/>
        </w:rPr>
        <w:t>院</w:t>
      </w:r>
      <w:r>
        <w:rPr/>
        <w:t>确</w:t>
      </w:r>
      <w:r>
        <w:rPr>
          <w:spacing w:val="-3"/>
        </w:rPr>
        <w:t>诊</w:t>
      </w:r>
      <w:r>
        <w:rPr/>
        <w:t>初</w:t>
      </w:r>
      <w:r>
        <w:rPr>
          <w:spacing w:val="-3"/>
        </w:rPr>
        <w:t>次</w:t>
      </w:r>
      <w:r>
        <w:rPr/>
        <w:t>发生</w:t>
      </w:r>
      <w:r>
        <w:rPr>
          <w:spacing w:val="-3"/>
        </w:rPr>
        <w:t>本</w:t>
      </w:r>
      <w:r>
        <w:rPr/>
        <w:t>附</w:t>
      </w:r>
      <w:r>
        <w:rPr>
          <w:spacing w:val="-3"/>
        </w:rPr>
        <w:t>加</w:t>
      </w:r>
      <w:r>
        <w:rPr/>
        <w:t>险</w:t>
      </w:r>
      <w:r>
        <w:rPr>
          <w:spacing w:val="-3"/>
        </w:rPr>
        <w:t>合</w:t>
      </w:r>
      <w:r>
        <w:rPr/>
        <w:t>同</w:t>
      </w:r>
      <w:r>
        <w:rPr>
          <w:spacing w:val="-3"/>
        </w:rPr>
        <w:t>约</w:t>
      </w:r>
      <w:r>
        <w:rPr/>
        <w:t>定</w:t>
      </w:r>
      <w:r>
        <w:rPr>
          <w:spacing w:val="-22"/>
        </w:rPr>
        <w:t>的</w:t>
      </w:r>
      <w:r>
        <w:rPr/>
        <w:t>“重</w:t>
      </w:r>
      <w:r>
        <w:rPr>
          <w:spacing w:val="-3"/>
        </w:rPr>
        <w:t>大</w:t>
      </w:r>
      <w:r>
        <w:rPr/>
        <w:t>疾</w:t>
      </w:r>
      <w:r>
        <w:rPr>
          <w:spacing w:val="-3"/>
        </w:rPr>
        <w:t>病</w:t>
      </w:r>
      <w:r>
        <w:rPr>
          <w:spacing w:val="-64"/>
        </w:rPr>
        <w:t>”，</w:t>
      </w:r>
      <w:r>
        <w:rPr/>
        <w:t>我</w:t>
      </w:r>
      <w:r>
        <w:rPr>
          <w:spacing w:val="-3"/>
        </w:rPr>
        <w:t>们</w:t>
      </w:r>
      <w:r>
        <w:rPr/>
        <w:t>按照 下列</w:t>
      </w:r>
      <w:r>
        <w:rPr>
          <w:spacing w:val="-3"/>
        </w:rPr>
        <w:t>两</w:t>
      </w:r>
      <w:r>
        <w:rPr/>
        <w:t>者</w:t>
      </w:r>
      <w:r>
        <w:rPr>
          <w:spacing w:val="-3"/>
        </w:rPr>
        <w:t>的</w:t>
      </w:r>
      <w:r>
        <w:rPr/>
        <w:t>较</w:t>
      </w:r>
      <w:r>
        <w:rPr>
          <w:spacing w:val="-3"/>
        </w:rPr>
        <w:t>大</w:t>
      </w:r>
      <w:r>
        <w:rPr/>
        <w:t>值</w:t>
      </w:r>
      <w:r>
        <w:rPr>
          <w:spacing w:val="-3"/>
        </w:rPr>
        <w:t>给</w:t>
      </w:r>
      <w:r>
        <w:rPr/>
        <w:t>付</w:t>
      </w:r>
      <w:r>
        <w:rPr>
          <w:spacing w:val="-3"/>
        </w:rPr>
        <w:t>重</w:t>
      </w:r>
      <w:r>
        <w:rPr/>
        <w:t>大疾</w:t>
      </w:r>
      <w:r>
        <w:rPr>
          <w:spacing w:val="-3"/>
        </w:rPr>
        <w:t>病</w:t>
      </w:r>
      <w:r>
        <w:rPr/>
        <w:t>保</w:t>
      </w:r>
      <w:r>
        <w:rPr>
          <w:spacing w:val="-3"/>
        </w:rPr>
        <w:t>险</w:t>
      </w:r>
      <w:r>
        <w:rPr/>
        <w:t>金：</w:t>
      </w:r>
    </w:p>
    <w:p>
      <w:pPr>
        <w:pStyle w:val="BodyText"/>
        <w:spacing w:before="24"/>
        <w:ind w:left="3296"/>
      </w:pPr>
      <w:r>
        <w:rPr/>
        <w:t>（1）本附加险合同及主险合同所交保险费之和的 100%；</w:t>
      </w:r>
    </w:p>
    <w:p>
      <w:pPr>
        <w:spacing w:before="36"/>
        <w:ind w:left="3297" w:right="0" w:firstLine="0"/>
        <w:jc w:val="left"/>
        <w:rPr>
          <w:sz w:val="21"/>
        </w:rPr>
      </w:pPr>
      <w:r>
        <w:rPr>
          <w:sz w:val="21"/>
        </w:rPr>
        <w:t>（2）本附加险合同的</w:t>
      </w:r>
      <w:r>
        <w:rPr>
          <w:rFonts w:ascii="黑体" w:eastAsia="黑体" w:hint="eastAsia"/>
          <w:b/>
          <w:sz w:val="21"/>
        </w:rPr>
        <w:t>基本保险金额 </w:t>
      </w:r>
      <w:hyperlink w:history="true" w:anchor="_bookmark4">
        <w:r>
          <w:rPr>
            <w:rFonts w:ascii="黑体" w:eastAsia="黑体" w:hint="eastAsia"/>
            <w:b/>
            <w:position w:val="11"/>
            <w:sz w:val="11"/>
          </w:rPr>
          <w:t>5</w:t>
        </w:r>
      </w:hyperlink>
      <w:r>
        <w:rPr>
          <w:sz w:val="21"/>
        </w:rPr>
        <w:t>。</w:t>
      </w:r>
    </w:p>
    <w:p>
      <w:pPr>
        <w:pStyle w:val="BodyText"/>
        <w:spacing w:before="13"/>
        <w:rPr>
          <w:sz w:val="26"/>
        </w:rPr>
      </w:pPr>
    </w:p>
    <w:p>
      <w:pPr>
        <w:pStyle w:val="BodyText"/>
        <w:ind w:left="3296"/>
      </w:pPr>
      <w:r>
        <w:rPr/>
        <w:t>我们给付重大疾病保险金后，本附加险合同终止，主险合同同时终止。</w:t>
      </w:r>
    </w:p>
    <w:p>
      <w:pPr>
        <w:pStyle w:val="BodyText"/>
        <w:spacing w:line="273" w:lineRule="auto" w:before="37"/>
        <w:ind w:left="3296" w:right="220"/>
      </w:pPr>
      <w:r>
        <w:rPr/>
        <w:t>“所交保险费”按照确诊“重大疾病”当时的基本保险金额确定的月交保险费╳</w:t>
      </w:r>
      <w:r>
        <w:rPr>
          <w:rFonts w:ascii="黑体" w:hAnsi="黑体" w:eastAsia="黑体" w:hint="eastAsia"/>
          <w:b/>
        </w:rPr>
        <w:t>保单年度 </w:t>
      </w:r>
      <w:hyperlink w:history="true" w:anchor="_bookmark5">
        <w:r>
          <w:rPr>
            <w:rFonts w:ascii="黑体" w:hAnsi="黑体" w:eastAsia="黑体" w:hint="eastAsia"/>
            <w:b/>
            <w:position w:val="11"/>
            <w:sz w:val="11"/>
          </w:rPr>
          <w:t>6</w:t>
        </w:r>
      </w:hyperlink>
      <w:r>
        <w:rPr/>
        <w:t>数（交费期满后为交费年度数）╳12 计算。</w:t>
      </w:r>
    </w:p>
    <w:p>
      <w:pPr>
        <w:pStyle w:val="BodyText"/>
        <w:spacing w:before="1"/>
      </w:pPr>
    </w:p>
    <w:p>
      <w:pPr>
        <w:spacing w:after="0"/>
        <w:sectPr>
          <w:pgSz w:w="11910" w:h="16840"/>
          <w:pgMar w:top="1100" w:bottom="280" w:left="800" w:right="800"/>
        </w:sectPr>
      </w:pPr>
    </w:p>
    <w:p>
      <w:pPr>
        <w:pStyle w:val="Heading1"/>
        <w:spacing w:line="232" w:lineRule="auto" w:before="31"/>
        <w:ind w:left="980" w:firstLine="0"/>
      </w:pPr>
      <w:r>
        <w:rPr/>
        <w:t>特定轻度重疾保险金</w:t>
      </w:r>
    </w:p>
    <w:p>
      <w:pPr>
        <w:pStyle w:val="BodyText"/>
        <w:spacing w:line="273" w:lineRule="auto" w:before="57"/>
        <w:ind w:left="147" w:right="215"/>
        <w:jc w:val="both"/>
      </w:pPr>
      <w:r>
        <w:rPr/>
        <w:br w:type="column"/>
      </w:r>
      <w:r>
        <w:rPr>
          <w:spacing w:val="-8"/>
        </w:rPr>
        <w:t>被保险人经医院确诊初次发生本附加险合同约定的“特定轻度重疾”，但此</w:t>
      </w:r>
      <w:r>
        <w:rPr>
          <w:spacing w:val="-11"/>
          <w:w w:val="100"/>
        </w:rPr>
        <w:t>前未发生本附加险合同约定的“重大疾病”，我们按照基本保险金额的</w:t>
      </w:r>
      <w:r>
        <w:rPr>
          <w:spacing w:val="-38"/>
        </w:rPr>
        <w:t> </w:t>
      </w:r>
      <w:r>
        <w:rPr>
          <w:spacing w:val="-3"/>
          <w:w w:val="100"/>
        </w:rPr>
        <w:t>2</w:t>
      </w:r>
      <w:r>
        <w:rPr>
          <w:w w:val="100"/>
        </w:rPr>
        <w:t>0%</w:t>
      </w:r>
      <w:r>
        <w:rPr>
          <w:spacing w:val="-3"/>
        </w:rPr>
        <w:t>给付特定轻度重疾保险金。</w:t>
      </w:r>
    </w:p>
    <w:p>
      <w:pPr>
        <w:spacing w:after="0" w:line="273" w:lineRule="auto"/>
        <w:jc w:val="both"/>
        <w:sectPr>
          <w:type w:val="continuous"/>
          <w:pgSz w:w="11910" w:h="16840"/>
          <w:pgMar w:top="400" w:bottom="280" w:left="800" w:right="800"/>
          <w:cols w:num="2" w:equalWidth="0">
            <w:col w:w="3110" w:space="40"/>
            <w:col w:w="7160"/>
          </w:cols>
        </w:sectPr>
      </w:pPr>
    </w:p>
    <w:p>
      <w:pPr>
        <w:pStyle w:val="BodyText"/>
        <w:spacing w:before="9"/>
      </w:pPr>
    </w:p>
    <w:p>
      <w:pPr>
        <w:pStyle w:val="BodyText"/>
        <w:spacing w:line="20" w:lineRule="exact"/>
        <w:ind w:left="215"/>
        <w:rPr>
          <w:sz w:val="2"/>
        </w:rPr>
      </w:pPr>
      <w:r>
        <w:rPr>
          <w:rFonts w:ascii="Times New Roman"/>
          <w:spacing w:val="5"/>
          <w:sz w:val="2"/>
        </w:rPr>
        <w:t> </w:t>
      </w:r>
      <w:r>
        <w:rPr>
          <w:spacing w:val="5"/>
          <w:sz w:val="2"/>
        </w:rPr>
        <w:pict>
          <v:group style="width:144pt;height:.5pt;mso-position-horizontal-relative:char;mso-position-vertical-relative:line" coordorigin="0,0" coordsize="2880,10">
            <v:line style="position:absolute" from="0,5" to="2880,5" stroked="true" strokeweight=".48pt" strokecolor="#000000">
              <v:stroke dashstyle="solid"/>
            </v:line>
          </v:group>
        </w:pict>
      </w:r>
      <w:r>
        <w:rPr>
          <w:spacing w:val="5"/>
          <w:sz w:val="2"/>
        </w:rPr>
      </w:r>
    </w:p>
    <w:p>
      <w:pPr>
        <w:spacing w:line="271" w:lineRule="auto" w:before="41"/>
        <w:ind w:left="364" w:right="83" w:hanging="144"/>
        <w:jc w:val="left"/>
        <w:rPr>
          <w:sz w:val="18"/>
        </w:rPr>
      </w:pPr>
      <w:bookmarkStart w:name="_bookmark0" w:id="1"/>
      <w:bookmarkEnd w:id="1"/>
      <w:r>
        <w:rPr/>
      </w:r>
      <w:r>
        <w:rPr>
          <w:rFonts w:ascii="Microsoft JhengHei" w:eastAsia="Microsoft JhengHei" w:hint="eastAsia"/>
          <w:b/>
          <w:position w:val="9"/>
          <w:sz w:val="9"/>
        </w:rPr>
        <w:t>1 </w:t>
      </w:r>
      <w:r>
        <w:rPr>
          <w:rFonts w:ascii="Microsoft JhengHei" w:eastAsia="Microsoft JhengHei" w:hint="eastAsia"/>
          <w:b/>
          <w:sz w:val="18"/>
        </w:rPr>
        <w:t>医院</w:t>
      </w:r>
      <w:r>
        <w:rPr>
          <w:sz w:val="18"/>
        </w:rPr>
        <w:t>指经中华人民共和国卫生部门评审确定的二级或二级以上的公立医院，</w:t>
      </w:r>
      <w:r>
        <w:rPr>
          <w:sz w:val="18"/>
          <w:shd w:fill="DADADA" w:color="auto" w:val="clear"/>
        </w:rPr>
        <w:t>但不包括精神病院及专供康复、休养、戒毒、戒酒、护理、养老等非以直接诊治病人为目的的医疗机构。</w:t>
      </w:r>
      <w:r>
        <w:rPr>
          <w:sz w:val="18"/>
        </w:rPr>
        <w:t>该医院必须具有符合国家有关医院管理规则设置标准的医疗设备， 且全天二十四小时有合格医师及护士驻院提供医疗及护理服务。</w:t>
      </w:r>
    </w:p>
    <w:p>
      <w:pPr>
        <w:spacing w:line="280" w:lineRule="exact" w:before="5"/>
        <w:ind w:left="400" w:right="217" w:hanging="181"/>
        <w:jc w:val="left"/>
        <w:rPr>
          <w:sz w:val="18"/>
        </w:rPr>
      </w:pPr>
      <w:bookmarkStart w:name="_bookmark1" w:id="2"/>
      <w:bookmarkEnd w:id="2"/>
      <w:r>
        <w:rPr/>
      </w:r>
      <w:r>
        <w:rPr>
          <w:rFonts w:ascii="Microsoft JhengHei" w:hAnsi="Microsoft JhengHei" w:eastAsia="Microsoft JhengHei" w:hint="eastAsia"/>
          <w:b/>
          <w:position w:val="9"/>
          <w:sz w:val="9"/>
        </w:rPr>
        <w:t>2 </w:t>
      </w:r>
      <w:r>
        <w:rPr>
          <w:rFonts w:ascii="Microsoft JhengHei" w:hAnsi="Microsoft JhengHei" w:eastAsia="Microsoft JhengHei" w:hint="eastAsia"/>
          <w:b/>
          <w:sz w:val="18"/>
        </w:rPr>
        <w:t>重大疾病</w:t>
      </w:r>
      <w:r>
        <w:rPr>
          <w:spacing w:val="-3"/>
          <w:sz w:val="18"/>
        </w:rPr>
        <w:t>指被保险人初次发生符合“</w:t>
      </w:r>
      <w:r>
        <w:rPr>
          <w:sz w:val="18"/>
        </w:rPr>
        <w:t>8</w:t>
      </w:r>
      <w:r>
        <w:rPr>
          <w:spacing w:val="-10"/>
          <w:sz w:val="18"/>
        </w:rPr>
        <w:t> 重大疾病释义”定义的疾病，或初次接受符合</w:t>
      </w:r>
      <w:r>
        <w:rPr>
          <w:sz w:val="18"/>
        </w:rPr>
        <w:t>“8</w:t>
      </w:r>
      <w:r>
        <w:rPr>
          <w:spacing w:val="-9"/>
          <w:sz w:val="18"/>
        </w:rPr>
        <w:t> 重大疾病释义”定义的手术。该疾病</w:t>
      </w:r>
      <w:r>
        <w:rPr>
          <w:spacing w:val="-13"/>
          <w:sz w:val="18"/>
        </w:rPr>
        <w:t>或手术应当由专科医生明确诊断。专科医生应当同时满足以下四项资格条件：</w:t>
      </w:r>
      <w:r>
        <w:rPr>
          <w:sz w:val="18"/>
        </w:rPr>
        <w:t>（</w:t>
      </w:r>
      <w:r>
        <w:rPr>
          <w:spacing w:val="-2"/>
          <w:sz w:val="18"/>
        </w:rPr>
        <w:t>1</w:t>
      </w:r>
      <w:r>
        <w:rPr>
          <w:spacing w:val="-10"/>
          <w:sz w:val="18"/>
        </w:rPr>
        <w:t>）</w:t>
      </w:r>
      <w:r>
        <w:rPr>
          <w:spacing w:val="-1"/>
          <w:sz w:val="18"/>
        </w:rPr>
        <w:t>具有有效的中华人民共和国《医师资格证</w:t>
      </w:r>
    </w:p>
    <w:p>
      <w:pPr>
        <w:spacing w:line="283" w:lineRule="auto" w:before="14"/>
        <w:ind w:left="400" w:right="222" w:firstLine="0"/>
        <w:jc w:val="left"/>
        <w:rPr>
          <w:sz w:val="18"/>
        </w:rPr>
      </w:pPr>
      <w:r>
        <w:rPr>
          <w:spacing w:val="-63"/>
          <w:sz w:val="18"/>
        </w:rPr>
        <w:t>书》；</w:t>
      </w:r>
      <w:r>
        <w:rPr>
          <w:spacing w:val="1"/>
          <w:sz w:val="18"/>
        </w:rPr>
        <w:t>（</w:t>
      </w:r>
      <w:r>
        <w:rPr>
          <w:spacing w:val="-2"/>
          <w:sz w:val="18"/>
        </w:rPr>
        <w:t>2</w:t>
      </w:r>
      <w:r>
        <w:rPr>
          <w:spacing w:val="-8"/>
          <w:sz w:val="18"/>
        </w:rPr>
        <w:t>）</w:t>
      </w:r>
      <w:r>
        <w:rPr>
          <w:spacing w:val="-10"/>
          <w:sz w:val="18"/>
        </w:rPr>
        <w:t>具有有效的中华人民共和国《医师执业证书》，并按期到相关部门登记注册；</w:t>
      </w:r>
      <w:r>
        <w:rPr>
          <w:spacing w:val="1"/>
          <w:sz w:val="18"/>
        </w:rPr>
        <w:t>（</w:t>
      </w:r>
      <w:r>
        <w:rPr>
          <w:spacing w:val="-2"/>
          <w:sz w:val="18"/>
        </w:rPr>
        <w:t>3</w:t>
      </w:r>
      <w:r>
        <w:rPr>
          <w:spacing w:val="-8"/>
          <w:sz w:val="18"/>
        </w:rPr>
        <w:t>）</w:t>
      </w:r>
      <w:r>
        <w:rPr>
          <w:sz w:val="18"/>
        </w:rPr>
        <w:t>具有有效的中华人民共和国主治</w:t>
      </w:r>
      <w:r>
        <w:rPr>
          <w:spacing w:val="-10"/>
          <w:sz w:val="18"/>
        </w:rPr>
        <w:t>医师或主治医师以上职称的《医师职称证书》；</w:t>
      </w:r>
      <w:r>
        <w:rPr>
          <w:spacing w:val="1"/>
          <w:sz w:val="18"/>
        </w:rPr>
        <w:t>（</w:t>
      </w:r>
      <w:r>
        <w:rPr>
          <w:spacing w:val="-2"/>
          <w:sz w:val="18"/>
        </w:rPr>
        <w:t>4</w:t>
      </w:r>
      <w:r>
        <w:rPr>
          <w:sz w:val="18"/>
        </w:rPr>
        <w:t>）在二级或二级以上医院的相应科室从事临床工作三年以上。</w:t>
      </w:r>
    </w:p>
    <w:p>
      <w:pPr>
        <w:spacing w:line="269" w:lineRule="exact" w:before="0"/>
        <w:ind w:left="220" w:right="0" w:firstLine="0"/>
        <w:jc w:val="left"/>
        <w:rPr>
          <w:sz w:val="18"/>
        </w:rPr>
      </w:pPr>
      <w:bookmarkStart w:name="_bookmark2" w:id="3"/>
      <w:bookmarkEnd w:id="3"/>
      <w:r>
        <w:rPr/>
      </w:r>
      <w:r>
        <w:rPr>
          <w:rFonts w:ascii="Microsoft JhengHei" w:hAnsi="Microsoft JhengHei" w:eastAsia="Microsoft JhengHei" w:hint="eastAsia"/>
          <w:b/>
          <w:position w:val="9"/>
          <w:sz w:val="9"/>
        </w:rPr>
        <w:t>3  </w:t>
      </w:r>
      <w:r>
        <w:rPr>
          <w:rFonts w:ascii="Microsoft JhengHei" w:hAnsi="Microsoft JhengHei" w:eastAsia="Microsoft JhengHei" w:hint="eastAsia"/>
          <w:b/>
          <w:sz w:val="18"/>
        </w:rPr>
        <w:t>特定轻度重疾</w:t>
      </w:r>
      <w:r>
        <w:rPr>
          <w:spacing w:val="-6"/>
          <w:sz w:val="18"/>
        </w:rPr>
        <w:t>指被保险人初次发生符合</w:t>
      </w:r>
      <w:r>
        <w:rPr>
          <w:sz w:val="18"/>
        </w:rPr>
        <w:t>“9</w:t>
      </w:r>
      <w:r>
        <w:rPr>
          <w:spacing w:val="-16"/>
          <w:sz w:val="18"/>
        </w:rPr>
        <w:t> 特定轻度重疾释义”定义的疾病，或初次接受符合</w:t>
      </w:r>
      <w:r>
        <w:rPr>
          <w:sz w:val="18"/>
        </w:rPr>
        <w:t>“9</w:t>
      </w:r>
      <w:r>
        <w:rPr>
          <w:spacing w:val="-11"/>
          <w:sz w:val="18"/>
        </w:rPr>
        <w:t> 特定轻度重疾释义”的手术。</w:t>
      </w:r>
    </w:p>
    <w:p>
      <w:pPr>
        <w:spacing w:line="228" w:lineRule="exact" w:before="25"/>
        <w:ind w:left="400" w:right="0" w:firstLine="0"/>
        <w:jc w:val="left"/>
        <w:rPr>
          <w:sz w:val="18"/>
        </w:rPr>
      </w:pPr>
      <w:r>
        <w:rPr>
          <w:sz w:val="18"/>
        </w:rPr>
        <w:t>该疾病或手术应当由专科医生明确诊断。</w:t>
      </w:r>
    </w:p>
    <w:p>
      <w:pPr>
        <w:spacing w:line="290" w:lineRule="exact" w:before="0"/>
        <w:ind w:left="220" w:right="0" w:firstLine="0"/>
        <w:jc w:val="left"/>
        <w:rPr>
          <w:sz w:val="18"/>
        </w:rPr>
      </w:pPr>
      <w:bookmarkStart w:name="_bookmark3" w:id="4"/>
      <w:bookmarkEnd w:id="4"/>
      <w:r>
        <w:rPr/>
      </w:r>
      <w:r>
        <w:rPr>
          <w:rFonts w:ascii="Microsoft JhengHei" w:eastAsia="Microsoft JhengHei" w:hint="eastAsia"/>
          <w:b/>
          <w:position w:val="9"/>
          <w:sz w:val="9"/>
        </w:rPr>
        <w:t>4 </w:t>
      </w:r>
      <w:r>
        <w:rPr>
          <w:rFonts w:ascii="Microsoft JhengHei" w:eastAsia="Microsoft JhengHei" w:hint="eastAsia"/>
          <w:b/>
          <w:sz w:val="18"/>
        </w:rPr>
        <w:t>意外伤害</w:t>
      </w:r>
      <w:r>
        <w:rPr>
          <w:sz w:val="18"/>
        </w:rPr>
        <w:t>指遭受外来的、突发的、非本意的、非疾病的使身体受到伤害的客观事件。</w:t>
      </w:r>
    </w:p>
    <w:p>
      <w:pPr>
        <w:spacing w:line="281" w:lineRule="exact" w:before="0"/>
        <w:ind w:left="220" w:right="0" w:firstLine="0"/>
        <w:jc w:val="left"/>
        <w:rPr>
          <w:sz w:val="18"/>
        </w:rPr>
      </w:pPr>
      <w:bookmarkStart w:name="_bookmark4" w:id="5"/>
      <w:bookmarkEnd w:id="5"/>
      <w:r>
        <w:rPr/>
      </w:r>
      <w:r>
        <w:rPr>
          <w:rFonts w:ascii="Microsoft JhengHei" w:eastAsia="Microsoft JhengHei" w:hint="eastAsia"/>
          <w:b/>
          <w:position w:val="9"/>
          <w:sz w:val="9"/>
        </w:rPr>
        <w:t>5 </w:t>
      </w:r>
      <w:r>
        <w:rPr>
          <w:rFonts w:ascii="Microsoft JhengHei" w:eastAsia="Microsoft JhengHei" w:hint="eastAsia"/>
          <w:b/>
          <w:spacing w:val="-5"/>
          <w:sz w:val="18"/>
        </w:rPr>
        <w:t>基本保险金额</w:t>
      </w:r>
      <w:r>
        <w:rPr>
          <w:spacing w:val="-13"/>
          <w:sz w:val="18"/>
        </w:rPr>
        <w:t>指投保时您购买的金额，会在投保书以及保险单上载明。若该金额发生变更，则以变更后的金额为基本保险金额。</w:t>
      </w:r>
    </w:p>
    <w:p>
      <w:pPr>
        <w:spacing w:line="297" w:lineRule="exact" w:before="0"/>
        <w:ind w:left="220" w:right="0" w:firstLine="0"/>
        <w:jc w:val="left"/>
        <w:rPr>
          <w:sz w:val="18"/>
        </w:rPr>
      </w:pPr>
      <w:bookmarkStart w:name="_bookmark5" w:id="6"/>
      <w:bookmarkEnd w:id="6"/>
      <w:r>
        <w:rPr/>
      </w:r>
      <w:r>
        <w:rPr>
          <w:rFonts w:ascii="Microsoft JhengHei" w:eastAsia="Microsoft JhengHei" w:hint="eastAsia"/>
          <w:b/>
          <w:position w:val="9"/>
          <w:sz w:val="9"/>
        </w:rPr>
        <w:t>6 </w:t>
      </w:r>
      <w:r>
        <w:rPr>
          <w:rFonts w:ascii="Microsoft JhengHei" w:eastAsia="Microsoft JhengHei" w:hint="eastAsia"/>
          <w:b/>
          <w:sz w:val="18"/>
        </w:rPr>
        <w:t>保单年度</w:t>
      </w:r>
      <w:r>
        <w:rPr>
          <w:sz w:val="18"/>
        </w:rPr>
        <w:t>指从保险合同生效日或生效对应日零时起至下一年度保险合同生效对应日零时止的期间为一个保单年度。</w:t>
      </w:r>
    </w:p>
    <w:p>
      <w:pPr>
        <w:spacing w:after="0" w:line="297" w:lineRule="exact"/>
        <w:jc w:val="left"/>
        <w:rPr>
          <w:sz w:val="18"/>
        </w:rPr>
        <w:sectPr>
          <w:type w:val="continuous"/>
          <w:pgSz w:w="11910" w:h="16840"/>
          <w:pgMar w:top="400" w:bottom="280" w:left="800" w:right="800"/>
        </w:sectPr>
      </w:pPr>
    </w:p>
    <w:p>
      <w:pPr>
        <w:pStyle w:val="BodyText"/>
        <w:spacing w:line="273" w:lineRule="auto" w:before="22"/>
        <w:ind w:left="3176" w:right="200"/>
      </w:pPr>
      <w:r>
        <w:rPr/>
        <w:t>特定轻度重疾保险金给付以一次为限。我们给付特定轻度重疾保险金后， 本附加险合同继续有效，基本保险金额不变。</w:t>
      </w:r>
    </w:p>
    <w:p>
      <w:pPr>
        <w:pStyle w:val="BodyText"/>
        <w:spacing w:before="8"/>
        <w:rPr>
          <w:sz w:val="28"/>
        </w:rPr>
      </w:pPr>
    </w:p>
    <w:p>
      <w:pPr>
        <w:tabs>
          <w:tab w:pos="3176" w:val="left" w:leader="none"/>
        </w:tabs>
        <w:spacing w:line="254" w:lineRule="auto" w:before="0"/>
        <w:ind w:left="3176" w:right="195" w:hanging="2316"/>
        <w:jc w:val="left"/>
        <w:rPr>
          <w:sz w:val="21"/>
        </w:rPr>
      </w:pPr>
      <w:r>
        <w:rPr>
          <w:rFonts w:ascii="等线" w:hAnsi="等线" w:eastAsia="等线" w:hint="eastAsia"/>
          <w:b/>
          <w:position w:val="1"/>
          <w:sz w:val="24"/>
        </w:rPr>
        <w:t>豁免保险费</w:t>
        <w:tab/>
      </w:r>
      <w:r>
        <w:rPr>
          <w:sz w:val="21"/>
        </w:rPr>
        <w:t>被保</w:t>
      </w:r>
      <w:r>
        <w:rPr>
          <w:spacing w:val="-3"/>
          <w:sz w:val="21"/>
        </w:rPr>
        <w:t>险</w:t>
      </w:r>
      <w:r>
        <w:rPr>
          <w:sz w:val="21"/>
        </w:rPr>
        <w:t>人</w:t>
      </w:r>
      <w:r>
        <w:rPr>
          <w:spacing w:val="-3"/>
          <w:sz w:val="21"/>
        </w:rPr>
        <w:t>经</w:t>
      </w:r>
      <w:r>
        <w:rPr>
          <w:sz w:val="21"/>
        </w:rPr>
        <w:t>医</w:t>
      </w:r>
      <w:r>
        <w:rPr>
          <w:spacing w:val="-3"/>
          <w:sz w:val="21"/>
        </w:rPr>
        <w:t>院</w:t>
      </w:r>
      <w:r>
        <w:rPr>
          <w:sz w:val="21"/>
        </w:rPr>
        <w:t>确</w:t>
      </w:r>
      <w:r>
        <w:rPr>
          <w:spacing w:val="-3"/>
          <w:sz w:val="21"/>
        </w:rPr>
        <w:t>诊</w:t>
      </w:r>
      <w:r>
        <w:rPr>
          <w:sz w:val="21"/>
        </w:rPr>
        <w:t>初</w:t>
      </w:r>
      <w:r>
        <w:rPr>
          <w:spacing w:val="-3"/>
          <w:sz w:val="21"/>
        </w:rPr>
        <w:t>次</w:t>
      </w:r>
      <w:r>
        <w:rPr>
          <w:sz w:val="21"/>
        </w:rPr>
        <w:t>发生</w:t>
      </w:r>
      <w:r>
        <w:rPr>
          <w:spacing w:val="-3"/>
          <w:sz w:val="21"/>
        </w:rPr>
        <w:t>本</w:t>
      </w:r>
      <w:r>
        <w:rPr>
          <w:sz w:val="21"/>
        </w:rPr>
        <w:t>附</w:t>
      </w:r>
      <w:r>
        <w:rPr>
          <w:spacing w:val="-3"/>
          <w:sz w:val="21"/>
        </w:rPr>
        <w:t>加</w:t>
      </w:r>
      <w:r>
        <w:rPr>
          <w:sz w:val="21"/>
        </w:rPr>
        <w:t>险</w:t>
      </w:r>
      <w:r>
        <w:rPr>
          <w:spacing w:val="-3"/>
          <w:sz w:val="21"/>
        </w:rPr>
        <w:t>合</w:t>
      </w:r>
      <w:r>
        <w:rPr>
          <w:sz w:val="21"/>
        </w:rPr>
        <w:t>同</w:t>
      </w:r>
      <w:r>
        <w:rPr>
          <w:spacing w:val="-3"/>
          <w:sz w:val="21"/>
        </w:rPr>
        <w:t>约</w:t>
      </w:r>
      <w:r>
        <w:rPr>
          <w:sz w:val="21"/>
        </w:rPr>
        <w:t>定</w:t>
      </w:r>
      <w:r>
        <w:rPr>
          <w:spacing w:val="-22"/>
          <w:sz w:val="21"/>
        </w:rPr>
        <w:t>的</w:t>
      </w:r>
      <w:r>
        <w:rPr>
          <w:sz w:val="21"/>
        </w:rPr>
        <w:t>“特</w:t>
      </w:r>
      <w:r>
        <w:rPr>
          <w:spacing w:val="-3"/>
          <w:sz w:val="21"/>
        </w:rPr>
        <w:t>定</w:t>
      </w:r>
      <w:r>
        <w:rPr>
          <w:sz w:val="21"/>
        </w:rPr>
        <w:t>轻</w:t>
      </w:r>
      <w:r>
        <w:rPr>
          <w:spacing w:val="-3"/>
          <w:sz w:val="21"/>
        </w:rPr>
        <w:t>度</w:t>
      </w:r>
      <w:r>
        <w:rPr>
          <w:sz w:val="21"/>
        </w:rPr>
        <w:t>重</w:t>
      </w:r>
      <w:r>
        <w:rPr>
          <w:spacing w:val="-3"/>
          <w:sz w:val="21"/>
        </w:rPr>
        <w:t>疾</w:t>
      </w:r>
      <w:r>
        <w:rPr>
          <w:spacing w:val="-64"/>
          <w:sz w:val="21"/>
        </w:rPr>
        <w:t>”，</w:t>
      </w:r>
      <w:r>
        <w:rPr>
          <w:sz w:val="21"/>
        </w:rPr>
        <w:t>我们 免予</w:t>
      </w:r>
      <w:r>
        <w:rPr>
          <w:spacing w:val="-3"/>
          <w:sz w:val="21"/>
        </w:rPr>
        <w:t>收</w:t>
      </w:r>
      <w:r>
        <w:rPr>
          <w:sz w:val="21"/>
        </w:rPr>
        <w:t>取</w:t>
      </w:r>
      <w:r>
        <w:rPr>
          <w:spacing w:val="-3"/>
          <w:sz w:val="21"/>
        </w:rPr>
        <w:t>自</w:t>
      </w:r>
      <w:r>
        <w:rPr>
          <w:rFonts w:ascii="黑体" w:hAnsi="黑体" w:eastAsia="黑体" w:hint="eastAsia"/>
          <w:b/>
          <w:sz w:val="21"/>
        </w:rPr>
        <w:t>本条款约定</w:t>
      </w:r>
      <w:r>
        <w:rPr>
          <w:rFonts w:ascii="黑体" w:hAnsi="黑体" w:eastAsia="黑体" w:hint="eastAsia"/>
          <w:b/>
          <w:spacing w:val="-3"/>
          <w:sz w:val="21"/>
        </w:rPr>
        <w:t>确</w:t>
      </w:r>
      <w:r>
        <w:rPr>
          <w:rFonts w:ascii="黑体" w:hAnsi="黑体" w:eastAsia="黑体" w:hint="eastAsia"/>
          <w:b/>
          <w:sz w:val="21"/>
        </w:rPr>
        <w:t>诊日</w:t>
      </w:r>
      <w:r>
        <w:rPr>
          <w:rFonts w:ascii="黑体" w:hAnsi="黑体" w:eastAsia="黑体" w:hint="eastAsia"/>
          <w:b/>
          <w:spacing w:val="-17"/>
          <w:sz w:val="21"/>
        </w:rPr>
        <w:t> </w:t>
      </w:r>
      <w:hyperlink w:history="true" w:anchor="_bookmark6">
        <w:r>
          <w:rPr>
            <w:rFonts w:ascii="黑体" w:hAnsi="黑体" w:eastAsia="黑体" w:hint="eastAsia"/>
            <w:b/>
            <w:position w:val="11"/>
            <w:sz w:val="11"/>
          </w:rPr>
          <w:t>7</w:t>
        </w:r>
      </w:hyperlink>
      <w:r>
        <w:rPr>
          <w:sz w:val="21"/>
        </w:rPr>
        <w:t>起</w:t>
      </w:r>
      <w:r>
        <w:rPr>
          <w:spacing w:val="-3"/>
          <w:sz w:val="21"/>
        </w:rPr>
        <w:t>保</w:t>
      </w:r>
      <w:r>
        <w:rPr>
          <w:sz w:val="21"/>
        </w:rPr>
        <w:t>险</w:t>
      </w:r>
      <w:r>
        <w:rPr>
          <w:spacing w:val="-3"/>
          <w:sz w:val="21"/>
        </w:rPr>
        <w:t>期</w:t>
      </w:r>
      <w:r>
        <w:rPr>
          <w:sz w:val="21"/>
        </w:rPr>
        <w:t>间</w:t>
      </w:r>
      <w:r>
        <w:rPr>
          <w:spacing w:val="-3"/>
          <w:sz w:val="21"/>
        </w:rPr>
        <w:t>内</w:t>
      </w:r>
      <w:r>
        <w:rPr>
          <w:sz w:val="21"/>
        </w:rPr>
        <w:t>剩</w:t>
      </w:r>
      <w:r>
        <w:rPr>
          <w:spacing w:val="-3"/>
          <w:sz w:val="21"/>
        </w:rPr>
        <w:t>余的</w:t>
      </w:r>
      <w:r>
        <w:rPr>
          <w:sz w:val="21"/>
        </w:rPr>
        <w:t>各期</w:t>
      </w:r>
      <w:r>
        <w:rPr>
          <w:spacing w:val="-3"/>
          <w:sz w:val="21"/>
        </w:rPr>
        <w:t>保</w:t>
      </w:r>
      <w:r>
        <w:rPr>
          <w:sz w:val="21"/>
        </w:rPr>
        <w:t>险</w:t>
      </w:r>
      <w:r>
        <w:rPr>
          <w:spacing w:val="-3"/>
          <w:sz w:val="21"/>
        </w:rPr>
        <w:t>费。</w:t>
      </w:r>
    </w:p>
    <w:p>
      <w:pPr>
        <w:pStyle w:val="BodyText"/>
        <w:spacing w:before="5"/>
        <w:rPr>
          <w:sz w:val="29"/>
        </w:rPr>
      </w:pPr>
    </w:p>
    <w:p>
      <w:pPr>
        <w:pStyle w:val="BodyText"/>
        <w:spacing w:line="554" w:lineRule="auto"/>
        <w:ind w:left="3176" w:right="111"/>
      </w:pPr>
      <w:r>
        <w:rPr>
          <w:spacing w:val="-10"/>
        </w:rPr>
        <w:t>本附加险合同所豁免保险费的金额仅包含主险合同和本附加险合同的保险费。</w:t>
      </w:r>
      <w:r>
        <w:rPr>
          <w:spacing w:val="-5"/>
        </w:rPr>
        <w:t>已获豁免保险费的保险合同，其权益与正常交费的保险合同相同。</w:t>
      </w:r>
    </w:p>
    <w:p>
      <w:pPr>
        <w:spacing w:after="0" w:line="554" w:lineRule="auto"/>
        <w:sectPr>
          <w:pgSz w:w="11910" w:h="16840"/>
          <w:pgMar w:top="1080" w:bottom="280" w:left="920" w:right="820"/>
        </w:sectPr>
      </w:pPr>
    </w:p>
    <w:p>
      <w:pPr>
        <w:pStyle w:val="Heading1"/>
        <w:spacing w:line="232" w:lineRule="auto" w:before="83"/>
        <w:ind w:left="860" w:firstLine="0"/>
      </w:pPr>
      <w:r>
        <w:rPr/>
        <w:t>我们所保障的重大疾病</w:t>
      </w:r>
    </w:p>
    <w:p>
      <w:pPr>
        <w:pStyle w:val="BodyText"/>
        <w:spacing w:line="273" w:lineRule="auto" w:before="109"/>
        <w:ind w:left="147" w:right="200" w:hanging="1"/>
      </w:pPr>
      <w:r>
        <w:rPr/>
        <w:br w:type="column"/>
      </w:r>
      <w:r>
        <w:rPr>
          <w:spacing w:val="-6"/>
        </w:rPr>
        <w:t>我们提供保障的重大疾病共有 </w:t>
      </w:r>
      <w:r>
        <w:rPr/>
        <w:t>80</w:t>
      </w:r>
      <w:r>
        <w:rPr>
          <w:spacing w:val="-8"/>
        </w:rPr>
        <w:t> 种，名称如下，具体释义见“</w:t>
      </w:r>
      <w:r>
        <w:rPr/>
        <w:t>8</w:t>
      </w:r>
      <w:r>
        <w:rPr>
          <w:spacing w:val="-11"/>
        </w:rPr>
        <w:t> 重大疾病</w:t>
      </w:r>
      <w:r>
        <w:rPr>
          <w:spacing w:val="-27"/>
        </w:rPr>
        <w:t>释义”。</w:t>
      </w:r>
    </w:p>
    <w:p>
      <w:pPr>
        <w:spacing w:after="0" w:line="273" w:lineRule="auto"/>
        <w:sectPr>
          <w:type w:val="continuous"/>
          <w:pgSz w:w="11910" w:h="16840"/>
          <w:pgMar w:top="400" w:bottom="280" w:left="920" w:right="820"/>
          <w:cols w:num="2" w:equalWidth="0">
            <w:col w:w="2990" w:space="40"/>
            <w:col w:w="7140"/>
          </w:cols>
        </w:sectPr>
      </w:pPr>
    </w:p>
    <w:tbl>
      <w:tblPr>
        <w:tblW w:w="0" w:type="auto"/>
        <w:jc w:val="left"/>
        <w:tblInd w:w="31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01"/>
        <w:gridCol w:w="4026"/>
      </w:tblGrid>
      <w:tr>
        <w:trPr>
          <w:trHeight w:val="328" w:hRule="atLeast"/>
        </w:trPr>
        <w:tc>
          <w:tcPr>
            <w:tcW w:w="6727" w:type="dxa"/>
            <w:gridSpan w:val="2"/>
          </w:tcPr>
          <w:p>
            <w:pPr>
              <w:pStyle w:val="TableParagraph"/>
              <w:spacing w:line="272" w:lineRule="exact"/>
              <w:ind w:left="107"/>
              <w:rPr>
                <w:b/>
                <w:sz w:val="21"/>
              </w:rPr>
            </w:pPr>
            <w:r>
              <w:rPr>
                <w:b/>
                <w:sz w:val="21"/>
              </w:rPr>
              <w:t>第 1 类：与恶性肿瘤相关的疾病</w:t>
            </w:r>
          </w:p>
        </w:tc>
      </w:tr>
      <w:tr>
        <w:trPr>
          <w:trHeight w:val="467" w:hRule="atLeast"/>
        </w:trPr>
        <w:tc>
          <w:tcPr>
            <w:tcW w:w="2701" w:type="dxa"/>
            <w:tcBorders>
              <w:right w:val="nil"/>
            </w:tcBorders>
          </w:tcPr>
          <w:p>
            <w:pPr>
              <w:pStyle w:val="TableParagraph"/>
              <w:spacing w:before="64"/>
              <w:ind w:left="107"/>
              <w:rPr>
                <w:sz w:val="21"/>
              </w:rPr>
            </w:pPr>
            <w:r>
              <w:rPr>
                <w:sz w:val="21"/>
              </w:rPr>
              <w:t>1、恶性肿瘤</w:t>
            </w:r>
          </w:p>
        </w:tc>
        <w:tc>
          <w:tcPr>
            <w:tcW w:w="4026" w:type="dxa"/>
            <w:tcBorders>
              <w:left w:val="nil"/>
            </w:tcBorders>
          </w:tcPr>
          <w:p>
            <w:pPr>
              <w:pStyle w:val="TableParagraph"/>
              <w:spacing w:before="64"/>
              <w:ind w:left="284"/>
              <w:rPr>
                <w:sz w:val="21"/>
              </w:rPr>
            </w:pPr>
            <w:r>
              <w:rPr>
                <w:sz w:val="21"/>
              </w:rPr>
              <w:t>2、侵蚀性葡萄胎（或称恶性葡萄胎）</w:t>
            </w:r>
          </w:p>
        </w:tc>
      </w:tr>
      <w:tr>
        <w:trPr>
          <w:trHeight w:val="330" w:hRule="atLeast"/>
        </w:trPr>
        <w:tc>
          <w:tcPr>
            <w:tcW w:w="6727" w:type="dxa"/>
            <w:gridSpan w:val="2"/>
          </w:tcPr>
          <w:p>
            <w:pPr>
              <w:pStyle w:val="TableParagraph"/>
              <w:spacing w:line="265" w:lineRule="exact"/>
              <w:ind w:left="107"/>
              <w:rPr>
                <w:b/>
                <w:sz w:val="21"/>
              </w:rPr>
            </w:pPr>
            <w:r>
              <w:rPr>
                <w:b/>
                <w:sz w:val="21"/>
              </w:rPr>
              <w:t>第 2 类：与心脏或脑血管相关的疾病</w:t>
            </w:r>
          </w:p>
        </w:tc>
      </w:tr>
      <w:tr>
        <w:trPr>
          <w:trHeight w:val="2183" w:hRule="atLeast"/>
        </w:trPr>
        <w:tc>
          <w:tcPr>
            <w:tcW w:w="2701" w:type="dxa"/>
            <w:tcBorders>
              <w:right w:val="nil"/>
            </w:tcBorders>
          </w:tcPr>
          <w:p>
            <w:pPr>
              <w:pStyle w:val="TableParagraph"/>
              <w:spacing w:line="262" w:lineRule="exact"/>
              <w:ind w:left="107"/>
              <w:rPr>
                <w:sz w:val="21"/>
              </w:rPr>
            </w:pPr>
            <w:r>
              <w:rPr>
                <w:sz w:val="21"/>
              </w:rPr>
              <w:t>3、急性心肌梗塞</w:t>
            </w:r>
          </w:p>
          <w:p>
            <w:pPr>
              <w:pStyle w:val="TableParagraph"/>
              <w:spacing w:before="37"/>
              <w:ind w:left="107"/>
              <w:rPr>
                <w:sz w:val="21"/>
              </w:rPr>
            </w:pPr>
            <w:r>
              <w:rPr>
                <w:sz w:val="21"/>
              </w:rPr>
              <w:t>5、心脏瓣膜手术</w:t>
            </w:r>
          </w:p>
          <w:p>
            <w:pPr>
              <w:pStyle w:val="TableParagraph"/>
              <w:spacing w:before="37"/>
              <w:ind w:left="107"/>
              <w:rPr>
                <w:sz w:val="21"/>
              </w:rPr>
            </w:pPr>
            <w:r>
              <w:rPr>
                <w:sz w:val="21"/>
              </w:rPr>
              <w:t>7、脑中风后遗症</w:t>
            </w:r>
          </w:p>
          <w:p>
            <w:pPr>
              <w:pStyle w:val="TableParagraph"/>
              <w:spacing w:before="37"/>
              <w:ind w:left="107"/>
              <w:rPr>
                <w:sz w:val="21"/>
              </w:rPr>
            </w:pPr>
            <w:r>
              <w:rPr>
                <w:sz w:val="21"/>
              </w:rPr>
              <w:t>9、主动脉手术</w:t>
            </w:r>
          </w:p>
          <w:p>
            <w:pPr>
              <w:pStyle w:val="TableParagraph"/>
              <w:spacing w:before="37"/>
              <w:ind w:left="107"/>
              <w:rPr>
                <w:sz w:val="21"/>
              </w:rPr>
            </w:pPr>
            <w:r>
              <w:rPr>
                <w:sz w:val="21"/>
              </w:rPr>
              <w:t>10、严重感染性心内膜炎</w:t>
            </w:r>
          </w:p>
          <w:p>
            <w:pPr>
              <w:pStyle w:val="TableParagraph"/>
              <w:spacing w:before="37"/>
              <w:ind w:left="107"/>
              <w:rPr>
                <w:sz w:val="21"/>
              </w:rPr>
            </w:pPr>
            <w:r>
              <w:rPr>
                <w:sz w:val="21"/>
              </w:rPr>
              <w:t>12、艾森门格综合征</w:t>
            </w:r>
          </w:p>
          <w:p>
            <w:pPr>
              <w:pStyle w:val="TableParagraph"/>
              <w:spacing w:before="37"/>
              <w:ind w:left="107"/>
              <w:rPr>
                <w:sz w:val="21"/>
              </w:rPr>
            </w:pPr>
            <w:r>
              <w:rPr>
                <w:sz w:val="21"/>
              </w:rPr>
              <w:t>14、严重冠心病</w:t>
            </w:r>
          </w:p>
        </w:tc>
        <w:tc>
          <w:tcPr>
            <w:tcW w:w="4026" w:type="dxa"/>
            <w:tcBorders>
              <w:left w:val="nil"/>
            </w:tcBorders>
          </w:tcPr>
          <w:p>
            <w:pPr>
              <w:pStyle w:val="TableParagraph"/>
              <w:spacing w:line="262" w:lineRule="exact"/>
              <w:ind w:left="284"/>
              <w:rPr>
                <w:sz w:val="21"/>
              </w:rPr>
            </w:pPr>
            <w:r>
              <w:rPr>
                <w:sz w:val="21"/>
              </w:rPr>
              <w:t>4、严重原发性肺动脉高压</w:t>
            </w:r>
          </w:p>
          <w:p>
            <w:pPr>
              <w:pStyle w:val="TableParagraph"/>
              <w:spacing w:before="37"/>
              <w:ind w:left="284"/>
              <w:rPr>
                <w:sz w:val="21"/>
              </w:rPr>
            </w:pPr>
            <w:r>
              <w:rPr>
                <w:sz w:val="21"/>
              </w:rPr>
              <w:t>6、严重的原发性心肌病</w:t>
            </w:r>
          </w:p>
          <w:p>
            <w:pPr>
              <w:pStyle w:val="TableParagraph"/>
              <w:spacing w:line="273" w:lineRule="auto" w:before="37"/>
              <w:ind w:left="599" w:right="39" w:hanging="315"/>
              <w:rPr>
                <w:sz w:val="21"/>
              </w:rPr>
            </w:pPr>
            <w:r>
              <w:rPr>
                <w:sz w:val="21"/>
              </w:rPr>
              <w:t>8、冠状动脉搭桥术（或称冠状动脉旁路移植术）</w:t>
            </w:r>
          </w:p>
          <w:p>
            <w:pPr>
              <w:pStyle w:val="TableParagraph"/>
              <w:spacing w:before="7"/>
              <w:ind w:left="284"/>
              <w:rPr>
                <w:sz w:val="21"/>
              </w:rPr>
            </w:pPr>
            <w:r>
              <w:rPr>
                <w:sz w:val="21"/>
              </w:rPr>
              <w:t>11、严重肺源性心脏病</w:t>
            </w:r>
          </w:p>
          <w:p>
            <w:pPr>
              <w:pStyle w:val="TableParagraph"/>
              <w:spacing w:before="36"/>
              <w:ind w:left="284"/>
              <w:rPr>
                <w:sz w:val="21"/>
              </w:rPr>
            </w:pPr>
            <w:r>
              <w:rPr>
                <w:sz w:val="21"/>
              </w:rPr>
              <w:t>13、严重的Ⅲ度房室传导阻滞</w:t>
            </w:r>
          </w:p>
          <w:p>
            <w:pPr>
              <w:pStyle w:val="TableParagraph"/>
              <w:spacing w:before="36"/>
              <w:ind w:left="284"/>
              <w:rPr>
                <w:sz w:val="21"/>
              </w:rPr>
            </w:pPr>
            <w:r>
              <w:rPr>
                <w:sz w:val="21"/>
              </w:rPr>
              <w:t>15、风湿热导致的心脏瓣膜疾病</w:t>
            </w:r>
          </w:p>
        </w:tc>
      </w:tr>
      <w:tr>
        <w:trPr>
          <w:trHeight w:val="311" w:hRule="atLeast"/>
        </w:trPr>
        <w:tc>
          <w:tcPr>
            <w:tcW w:w="6727" w:type="dxa"/>
            <w:gridSpan w:val="2"/>
          </w:tcPr>
          <w:p>
            <w:pPr>
              <w:pStyle w:val="TableParagraph"/>
              <w:spacing w:line="262" w:lineRule="exact"/>
              <w:ind w:left="107"/>
              <w:rPr>
                <w:b/>
                <w:sz w:val="21"/>
              </w:rPr>
            </w:pPr>
            <w:r>
              <w:rPr>
                <w:b/>
                <w:sz w:val="21"/>
              </w:rPr>
              <w:t>第 3 类：与器官功能严重受损相关的疾病</w:t>
            </w:r>
          </w:p>
        </w:tc>
      </w:tr>
      <w:tr>
        <w:trPr>
          <w:trHeight w:val="4682" w:hRule="atLeast"/>
        </w:trPr>
        <w:tc>
          <w:tcPr>
            <w:tcW w:w="2701" w:type="dxa"/>
            <w:tcBorders>
              <w:right w:val="nil"/>
            </w:tcBorders>
          </w:tcPr>
          <w:p>
            <w:pPr>
              <w:pStyle w:val="TableParagraph"/>
              <w:spacing w:line="265" w:lineRule="exact"/>
              <w:ind w:left="107"/>
              <w:rPr>
                <w:sz w:val="21"/>
              </w:rPr>
            </w:pPr>
            <w:r>
              <w:rPr>
                <w:sz w:val="21"/>
              </w:rPr>
              <w:t>16、重型再生障碍性贫血</w:t>
            </w:r>
          </w:p>
          <w:p>
            <w:pPr>
              <w:pStyle w:val="TableParagraph"/>
              <w:spacing w:before="37"/>
              <w:ind w:left="107"/>
              <w:rPr>
                <w:sz w:val="21"/>
              </w:rPr>
            </w:pPr>
            <w:r>
              <w:rPr>
                <w:sz w:val="21"/>
              </w:rPr>
              <w:t>18、双耳失聪</w:t>
            </w:r>
          </w:p>
          <w:p>
            <w:pPr>
              <w:pStyle w:val="TableParagraph"/>
              <w:spacing w:before="37"/>
              <w:ind w:left="107"/>
              <w:rPr>
                <w:sz w:val="21"/>
              </w:rPr>
            </w:pPr>
            <w:r>
              <w:rPr>
                <w:sz w:val="21"/>
              </w:rPr>
              <w:t>20、双目失明</w:t>
            </w:r>
          </w:p>
          <w:p>
            <w:pPr>
              <w:pStyle w:val="TableParagraph"/>
              <w:spacing w:before="37"/>
              <w:ind w:left="107"/>
              <w:rPr>
                <w:sz w:val="21"/>
              </w:rPr>
            </w:pPr>
            <w:r>
              <w:rPr>
                <w:sz w:val="21"/>
              </w:rPr>
              <w:t>22、语言能力丧失</w:t>
            </w:r>
          </w:p>
          <w:p>
            <w:pPr>
              <w:pStyle w:val="TableParagraph"/>
              <w:spacing w:before="37"/>
              <w:ind w:left="107"/>
              <w:rPr>
                <w:sz w:val="21"/>
              </w:rPr>
            </w:pPr>
            <w:r>
              <w:rPr>
                <w:sz w:val="21"/>
              </w:rPr>
              <w:t>24、严重溃疡性结肠炎</w:t>
            </w:r>
          </w:p>
          <w:p>
            <w:pPr>
              <w:pStyle w:val="TableParagraph"/>
              <w:spacing w:before="37"/>
              <w:ind w:left="107"/>
              <w:rPr>
                <w:sz w:val="21"/>
              </w:rPr>
            </w:pPr>
            <w:r>
              <w:rPr>
                <w:sz w:val="21"/>
              </w:rPr>
              <w:t>26、终末期肺病</w:t>
            </w:r>
          </w:p>
          <w:p>
            <w:pPr>
              <w:pStyle w:val="TableParagraph"/>
              <w:spacing w:before="37"/>
              <w:ind w:left="107"/>
              <w:rPr>
                <w:sz w:val="21"/>
              </w:rPr>
            </w:pPr>
            <w:r>
              <w:rPr>
                <w:sz w:val="21"/>
              </w:rPr>
              <w:t>27、胰腺移植</w:t>
            </w:r>
          </w:p>
          <w:p>
            <w:pPr>
              <w:pStyle w:val="TableParagraph"/>
              <w:spacing w:before="37"/>
              <w:ind w:left="107"/>
              <w:rPr>
                <w:sz w:val="21"/>
              </w:rPr>
            </w:pPr>
            <w:r>
              <w:rPr>
                <w:sz w:val="21"/>
              </w:rPr>
              <w:t>29、严重肾髓质囊性病</w:t>
            </w:r>
          </w:p>
          <w:p>
            <w:pPr>
              <w:pStyle w:val="TableParagraph"/>
              <w:spacing w:before="37"/>
              <w:ind w:left="107"/>
              <w:rPr>
                <w:sz w:val="21"/>
              </w:rPr>
            </w:pPr>
            <w:r>
              <w:rPr>
                <w:sz w:val="21"/>
              </w:rPr>
              <w:t>31、严重自身免疫性肝炎</w:t>
            </w:r>
          </w:p>
          <w:p>
            <w:pPr>
              <w:pStyle w:val="TableParagraph"/>
              <w:spacing w:before="37"/>
              <w:ind w:left="107"/>
              <w:rPr>
                <w:sz w:val="21"/>
              </w:rPr>
            </w:pPr>
            <w:r>
              <w:rPr>
                <w:sz w:val="21"/>
              </w:rPr>
              <w:t>33、肺淋巴管肌瘤病</w:t>
            </w:r>
          </w:p>
          <w:p>
            <w:pPr>
              <w:pStyle w:val="TableParagraph"/>
              <w:spacing w:before="37"/>
              <w:ind w:left="107"/>
              <w:rPr>
                <w:sz w:val="21"/>
              </w:rPr>
            </w:pPr>
            <w:r>
              <w:rPr>
                <w:sz w:val="21"/>
              </w:rPr>
              <w:t>35、慢性复发性胰腺炎</w:t>
            </w:r>
          </w:p>
          <w:p>
            <w:pPr>
              <w:pStyle w:val="TableParagraph"/>
              <w:spacing w:before="37"/>
              <w:ind w:left="107"/>
              <w:rPr>
                <w:sz w:val="21"/>
              </w:rPr>
            </w:pPr>
            <w:r>
              <w:rPr>
                <w:sz w:val="21"/>
              </w:rPr>
              <w:t>37、严重小肠疾病并发症</w:t>
            </w:r>
          </w:p>
          <w:p>
            <w:pPr>
              <w:pStyle w:val="TableParagraph"/>
              <w:spacing w:before="37"/>
              <w:ind w:left="107"/>
              <w:rPr>
                <w:sz w:val="21"/>
              </w:rPr>
            </w:pPr>
            <w:r>
              <w:rPr>
                <w:sz w:val="21"/>
              </w:rPr>
              <w:t>39、严重克隆病</w:t>
            </w:r>
          </w:p>
          <w:p>
            <w:pPr>
              <w:pStyle w:val="TableParagraph"/>
              <w:spacing w:before="37"/>
              <w:ind w:left="107"/>
              <w:rPr>
                <w:sz w:val="21"/>
              </w:rPr>
            </w:pPr>
            <w:r>
              <w:rPr>
                <w:sz w:val="21"/>
              </w:rPr>
              <w:t>41、严重哮喘</w:t>
            </w:r>
          </w:p>
          <w:p>
            <w:pPr>
              <w:pStyle w:val="TableParagraph"/>
              <w:spacing w:before="37"/>
              <w:ind w:left="107"/>
              <w:rPr>
                <w:sz w:val="21"/>
              </w:rPr>
            </w:pPr>
            <w:r>
              <w:rPr>
                <w:sz w:val="21"/>
              </w:rPr>
              <w:t>43、胆道重建手术</w:t>
            </w:r>
          </w:p>
        </w:tc>
        <w:tc>
          <w:tcPr>
            <w:tcW w:w="4026" w:type="dxa"/>
            <w:tcBorders>
              <w:left w:val="nil"/>
            </w:tcBorders>
          </w:tcPr>
          <w:p>
            <w:pPr>
              <w:pStyle w:val="TableParagraph"/>
              <w:spacing w:line="264" w:lineRule="exact"/>
              <w:ind w:left="284"/>
              <w:rPr>
                <w:sz w:val="21"/>
              </w:rPr>
            </w:pPr>
            <w:r>
              <w:rPr>
                <w:sz w:val="21"/>
              </w:rPr>
              <w:t>17</w:t>
            </w:r>
            <w:r>
              <w:rPr>
                <w:spacing w:val="-12"/>
                <w:sz w:val="21"/>
              </w:rPr>
              <w:t>、重大器官移植术或造血干细胞移植术</w:t>
            </w:r>
          </w:p>
          <w:p>
            <w:pPr>
              <w:pStyle w:val="TableParagraph"/>
              <w:spacing w:before="38"/>
              <w:ind w:left="284"/>
              <w:rPr>
                <w:sz w:val="21"/>
              </w:rPr>
            </w:pPr>
            <w:r>
              <w:rPr>
                <w:sz w:val="21"/>
              </w:rPr>
              <w:t>19、慢性肝功能衰竭失代偿期</w:t>
            </w:r>
          </w:p>
          <w:p>
            <w:pPr>
              <w:pStyle w:val="TableParagraph"/>
              <w:spacing w:before="37"/>
              <w:ind w:left="284"/>
              <w:rPr>
                <w:sz w:val="21"/>
              </w:rPr>
            </w:pPr>
            <w:r>
              <w:rPr>
                <w:sz w:val="21"/>
              </w:rPr>
              <w:t>21、系统性红斑狼疮并发肾功能损害</w:t>
            </w:r>
          </w:p>
          <w:p>
            <w:pPr>
              <w:pStyle w:val="TableParagraph"/>
              <w:spacing w:before="37"/>
              <w:ind w:left="284"/>
              <w:rPr>
                <w:sz w:val="21"/>
              </w:rPr>
            </w:pPr>
            <w:r>
              <w:rPr>
                <w:sz w:val="21"/>
              </w:rPr>
              <w:t>23、急性或亚急性重症肝炎</w:t>
            </w:r>
          </w:p>
          <w:p>
            <w:pPr>
              <w:pStyle w:val="TableParagraph"/>
              <w:spacing w:line="273" w:lineRule="auto" w:before="37"/>
              <w:ind w:left="704" w:right="94" w:hanging="421"/>
              <w:rPr>
                <w:sz w:val="21"/>
              </w:rPr>
            </w:pPr>
            <w:r>
              <w:rPr>
                <w:sz w:val="21"/>
              </w:rPr>
              <w:t>25、终末期肾病（或称慢性肾功能衰竭尿毒症期）</w:t>
            </w:r>
          </w:p>
          <w:p>
            <w:pPr>
              <w:pStyle w:val="TableParagraph"/>
              <w:spacing w:before="7"/>
              <w:ind w:left="284"/>
              <w:rPr>
                <w:sz w:val="21"/>
              </w:rPr>
            </w:pPr>
            <w:r>
              <w:rPr>
                <w:sz w:val="21"/>
              </w:rPr>
              <w:t>28、急性坏死性胰腺炎开腹手术</w:t>
            </w:r>
          </w:p>
          <w:p>
            <w:pPr>
              <w:pStyle w:val="TableParagraph"/>
              <w:spacing w:before="36"/>
              <w:ind w:left="284"/>
              <w:rPr>
                <w:sz w:val="21"/>
              </w:rPr>
            </w:pPr>
            <w:r>
              <w:rPr>
                <w:sz w:val="21"/>
              </w:rPr>
              <w:t>30、严重肝豆状核变性（Wilson 病）</w:t>
            </w:r>
          </w:p>
          <w:p>
            <w:pPr>
              <w:pStyle w:val="TableParagraph"/>
              <w:spacing w:before="36"/>
              <w:ind w:left="285"/>
              <w:rPr>
                <w:sz w:val="21"/>
              </w:rPr>
            </w:pPr>
            <w:r>
              <w:rPr>
                <w:sz w:val="21"/>
              </w:rPr>
              <w:t>32、严重弥漫性系统性硬皮病</w:t>
            </w:r>
          </w:p>
          <w:p>
            <w:pPr>
              <w:pStyle w:val="TableParagraph"/>
              <w:spacing w:before="36"/>
              <w:ind w:left="285"/>
              <w:rPr>
                <w:sz w:val="21"/>
              </w:rPr>
            </w:pPr>
            <w:r>
              <w:rPr>
                <w:sz w:val="21"/>
              </w:rPr>
              <w:t>34、肺泡蛋白质沉积症</w:t>
            </w:r>
          </w:p>
          <w:p>
            <w:pPr>
              <w:pStyle w:val="TableParagraph"/>
              <w:spacing w:before="36"/>
              <w:ind w:left="285"/>
              <w:rPr>
                <w:sz w:val="21"/>
              </w:rPr>
            </w:pPr>
            <w:r>
              <w:rPr>
                <w:sz w:val="21"/>
              </w:rPr>
              <w:t>36、特发性慢性肾上腺皮质功能减退</w:t>
            </w:r>
          </w:p>
          <w:p>
            <w:pPr>
              <w:pStyle w:val="TableParagraph"/>
              <w:spacing w:before="36"/>
              <w:ind w:left="285"/>
              <w:rPr>
                <w:sz w:val="21"/>
              </w:rPr>
            </w:pPr>
            <w:r>
              <w:rPr>
                <w:sz w:val="21"/>
              </w:rPr>
              <w:t>38、严重的骨髓增生异常综合征</w:t>
            </w:r>
          </w:p>
          <w:p>
            <w:pPr>
              <w:pStyle w:val="TableParagraph"/>
              <w:spacing w:before="36"/>
              <w:ind w:left="285"/>
              <w:rPr>
                <w:sz w:val="21"/>
              </w:rPr>
            </w:pPr>
            <w:r>
              <w:rPr>
                <w:sz w:val="21"/>
              </w:rPr>
              <w:t>40、骨髓纤维化</w:t>
            </w:r>
          </w:p>
          <w:p>
            <w:pPr>
              <w:pStyle w:val="TableParagraph"/>
              <w:spacing w:before="36"/>
              <w:ind w:left="285"/>
              <w:rPr>
                <w:sz w:val="21"/>
              </w:rPr>
            </w:pPr>
            <w:r>
              <w:rPr>
                <w:sz w:val="21"/>
              </w:rPr>
              <w:t>42、小肠移植</w:t>
            </w:r>
          </w:p>
        </w:tc>
      </w:tr>
      <w:tr>
        <w:trPr>
          <w:trHeight w:val="311" w:hRule="atLeast"/>
        </w:trPr>
        <w:tc>
          <w:tcPr>
            <w:tcW w:w="6727" w:type="dxa"/>
            <w:gridSpan w:val="2"/>
          </w:tcPr>
          <w:p>
            <w:pPr>
              <w:pStyle w:val="TableParagraph"/>
              <w:spacing w:line="262" w:lineRule="exact"/>
              <w:ind w:left="107"/>
              <w:rPr>
                <w:b/>
                <w:sz w:val="21"/>
              </w:rPr>
            </w:pPr>
            <w:r>
              <w:rPr>
                <w:b/>
                <w:sz w:val="21"/>
              </w:rPr>
              <w:t>第 4 类：与神经系统相关的疾病</w:t>
            </w:r>
          </w:p>
        </w:tc>
      </w:tr>
      <w:tr>
        <w:trPr>
          <w:trHeight w:val="1238" w:hRule="atLeast"/>
        </w:trPr>
        <w:tc>
          <w:tcPr>
            <w:tcW w:w="2701" w:type="dxa"/>
            <w:tcBorders>
              <w:right w:val="nil"/>
            </w:tcBorders>
          </w:tcPr>
          <w:p>
            <w:pPr>
              <w:pStyle w:val="TableParagraph"/>
              <w:spacing w:line="262" w:lineRule="exact"/>
              <w:ind w:left="107"/>
              <w:rPr>
                <w:sz w:val="21"/>
              </w:rPr>
            </w:pPr>
            <w:r>
              <w:rPr>
                <w:sz w:val="21"/>
              </w:rPr>
              <w:t>44、良性脑肿瘤</w:t>
            </w:r>
          </w:p>
          <w:p>
            <w:pPr>
              <w:pStyle w:val="TableParagraph"/>
              <w:spacing w:before="37"/>
              <w:ind w:left="107"/>
              <w:rPr>
                <w:sz w:val="21"/>
              </w:rPr>
            </w:pPr>
            <w:r>
              <w:rPr>
                <w:sz w:val="21"/>
              </w:rPr>
              <w:t>46、深度昏迷</w:t>
            </w:r>
          </w:p>
          <w:p>
            <w:pPr>
              <w:pStyle w:val="TableParagraph"/>
              <w:spacing w:before="37"/>
              <w:ind w:left="107"/>
              <w:rPr>
                <w:sz w:val="21"/>
              </w:rPr>
            </w:pPr>
            <w:r>
              <w:rPr>
                <w:sz w:val="21"/>
              </w:rPr>
              <w:t>48、瘫痪</w:t>
            </w:r>
          </w:p>
          <w:p>
            <w:pPr>
              <w:pStyle w:val="TableParagraph"/>
              <w:spacing w:before="37"/>
              <w:ind w:left="107"/>
              <w:rPr>
                <w:sz w:val="21"/>
              </w:rPr>
            </w:pPr>
            <w:r>
              <w:rPr>
                <w:sz w:val="21"/>
              </w:rPr>
              <w:t>50、严重帕金森病</w:t>
            </w:r>
          </w:p>
        </w:tc>
        <w:tc>
          <w:tcPr>
            <w:tcW w:w="4026" w:type="dxa"/>
            <w:tcBorders>
              <w:left w:val="nil"/>
            </w:tcBorders>
          </w:tcPr>
          <w:p>
            <w:pPr>
              <w:pStyle w:val="TableParagraph"/>
              <w:spacing w:line="262" w:lineRule="exact"/>
              <w:ind w:left="284"/>
              <w:rPr>
                <w:sz w:val="21"/>
              </w:rPr>
            </w:pPr>
            <w:r>
              <w:rPr>
                <w:sz w:val="21"/>
              </w:rPr>
              <w:t>45、脑炎后遗症或脑膜炎后遗症</w:t>
            </w:r>
          </w:p>
          <w:p>
            <w:pPr>
              <w:pStyle w:val="TableParagraph"/>
              <w:spacing w:before="37"/>
              <w:ind w:left="284"/>
              <w:rPr>
                <w:sz w:val="21"/>
              </w:rPr>
            </w:pPr>
            <w:r>
              <w:rPr>
                <w:sz w:val="21"/>
              </w:rPr>
              <w:t>47、严重阿尔茨海默病</w:t>
            </w:r>
          </w:p>
          <w:p>
            <w:pPr>
              <w:pStyle w:val="TableParagraph"/>
              <w:spacing w:before="37"/>
              <w:ind w:left="284"/>
              <w:rPr>
                <w:sz w:val="21"/>
              </w:rPr>
            </w:pPr>
            <w:r>
              <w:rPr>
                <w:sz w:val="21"/>
              </w:rPr>
              <w:t>49、严重的多发性硬化</w:t>
            </w:r>
          </w:p>
          <w:p>
            <w:pPr>
              <w:pStyle w:val="TableParagraph"/>
              <w:spacing w:before="37"/>
              <w:ind w:left="284"/>
              <w:rPr>
                <w:sz w:val="21"/>
              </w:rPr>
            </w:pPr>
            <w:r>
              <w:rPr>
                <w:sz w:val="21"/>
              </w:rPr>
              <w:t>51、严重运动神经元病</w:t>
            </w:r>
          </w:p>
        </w:tc>
      </w:tr>
    </w:tbl>
    <w:p>
      <w:pPr>
        <w:pStyle w:val="BodyText"/>
        <w:rPr>
          <w:sz w:val="22"/>
        </w:rPr>
      </w:pPr>
      <w:r>
        <w:rPr/>
        <w:pict>
          <v:line style="position:absolute;mso-position-horizontal-relative:page;mso-position-vertical-relative:paragraph;z-index:1288;mso-wrap-distance-left:0;mso-wrap-distance-right:0" from="51pt,16.60663pt" to="195pt,16.60663pt" stroked="true" strokeweight=".48pt" strokecolor="#000000">
            <v:stroke dashstyle="solid"/>
            <w10:wrap type="topAndBottom"/>
          </v:line>
        </w:pict>
      </w:r>
    </w:p>
    <w:p>
      <w:pPr>
        <w:spacing w:before="25"/>
        <w:ind w:left="100" w:right="0" w:firstLine="0"/>
        <w:jc w:val="left"/>
        <w:rPr>
          <w:sz w:val="18"/>
        </w:rPr>
      </w:pPr>
      <w:bookmarkStart w:name="_bookmark6" w:id="7"/>
      <w:bookmarkEnd w:id="7"/>
      <w:r>
        <w:rPr/>
      </w:r>
      <w:r>
        <w:rPr>
          <w:rFonts w:ascii="Microsoft JhengHei" w:hAnsi="Microsoft JhengHei" w:eastAsia="Microsoft JhengHei" w:hint="eastAsia"/>
          <w:b/>
          <w:position w:val="9"/>
          <w:sz w:val="9"/>
        </w:rPr>
        <w:t>7 </w:t>
      </w:r>
      <w:r>
        <w:rPr>
          <w:rFonts w:ascii="Microsoft JhengHei" w:hAnsi="Microsoft JhengHei" w:eastAsia="Microsoft JhengHei" w:hint="eastAsia"/>
          <w:b/>
          <w:sz w:val="18"/>
        </w:rPr>
        <w:t>本条款约定确诊日</w:t>
      </w:r>
      <w:r>
        <w:rPr>
          <w:sz w:val="18"/>
        </w:rPr>
        <w:t>指满足本附加险合同“特定轻度重疾”定义所有条件之日。</w:t>
      </w:r>
    </w:p>
    <w:p>
      <w:pPr>
        <w:spacing w:after="0"/>
        <w:jc w:val="left"/>
        <w:rPr>
          <w:sz w:val="18"/>
        </w:rPr>
        <w:sectPr>
          <w:type w:val="continuous"/>
          <w:pgSz w:w="11910" w:h="16840"/>
          <w:pgMar w:top="400" w:bottom="280" w:left="920" w:right="820"/>
        </w:sectPr>
      </w:pPr>
    </w:p>
    <w:tbl>
      <w:tblPr>
        <w:tblW w:w="0" w:type="auto"/>
        <w:jc w:val="left"/>
        <w:tblInd w:w="33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75"/>
        <w:gridCol w:w="3852"/>
      </w:tblGrid>
      <w:tr>
        <w:trPr>
          <w:trHeight w:val="314" w:hRule="atLeast"/>
        </w:trPr>
        <w:tc>
          <w:tcPr>
            <w:tcW w:w="2875" w:type="dxa"/>
            <w:tcBorders>
              <w:top w:val="single" w:sz="4" w:space="0" w:color="000000"/>
              <w:left w:val="single" w:sz="4" w:space="0" w:color="000000"/>
            </w:tcBorders>
          </w:tcPr>
          <w:p>
            <w:pPr>
              <w:pStyle w:val="TableParagraph"/>
              <w:spacing w:line="259" w:lineRule="exact"/>
              <w:ind w:left="107"/>
              <w:rPr>
                <w:sz w:val="21"/>
              </w:rPr>
            </w:pPr>
            <w:r>
              <w:rPr>
                <w:sz w:val="21"/>
              </w:rPr>
              <w:t>52、严重脑损伤</w:t>
            </w:r>
          </w:p>
        </w:tc>
        <w:tc>
          <w:tcPr>
            <w:tcW w:w="3852" w:type="dxa"/>
            <w:tcBorders>
              <w:top w:val="single" w:sz="4" w:space="0" w:color="000000"/>
              <w:right w:val="single" w:sz="4" w:space="0" w:color="000000"/>
            </w:tcBorders>
          </w:tcPr>
          <w:p>
            <w:pPr>
              <w:pStyle w:val="TableParagraph"/>
              <w:spacing w:line="259" w:lineRule="exact"/>
              <w:ind w:left="110"/>
              <w:rPr>
                <w:sz w:val="21"/>
              </w:rPr>
            </w:pPr>
            <w:r>
              <w:rPr>
                <w:sz w:val="21"/>
              </w:rPr>
              <w:t>53、非阿尔茨海默病所致严重痴呆</w:t>
            </w:r>
          </w:p>
        </w:tc>
      </w:tr>
      <w:tr>
        <w:trPr>
          <w:trHeight w:val="311" w:hRule="atLeast"/>
        </w:trPr>
        <w:tc>
          <w:tcPr>
            <w:tcW w:w="2875" w:type="dxa"/>
            <w:tcBorders>
              <w:left w:val="single" w:sz="4" w:space="0" w:color="000000"/>
            </w:tcBorders>
          </w:tcPr>
          <w:p>
            <w:pPr>
              <w:pStyle w:val="TableParagraph"/>
              <w:spacing w:line="256" w:lineRule="exact"/>
              <w:ind w:left="107"/>
              <w:rPr>
                <w:sz w:val="21"/>
              </w:rPr>
            </w:pPr>
            <w:r>
              <w:rPr>
                <w:sz w:val="21"/>
              </w:rPr>
              <w:t>54、植物人状态</w:t>
            </w:r>
          </w:p>
        </w:tc>
        <w:tc>
          <w:tcPr>
            <w:tcW w:w="3852" w:type="dxa"/>
            <w:tcBorders>
              <w:right w:val="single" w:sz="4" w:space="0" w:color="000000"/>
            </w:tcBorders>
          </w:tcPr>
          <w:p>
            <w:pPr>
              <w:pStyle w:val="TableParagraph"/>
              <w:spacing w:line="256" w:lineRule="exact"/>
              <w:ind w:left="110"/>
              <w:rPr>
                <w:sz w:val="21"/>
              </w:rPr>
            </w:pPr>
            <w:r>
              <w:rPr>
                <w:sz w:val="21"/>
              </w:rPr>
              <w:t>55、进行性核上性麻痹</w:t>
            </w:r>
          </w:p>
        </w:tc>
      </w:tr>
      <w:tr>
        <w:trPr>
          <w:trHeight w:val="311" w:hRule="atLeast"/>
        </w:trPr>
        <w:tc>
          <w:tcPr>
            <w:tcW w:w="2875" w:type="dxa"/>
            <w:tcBorders>
              <w:left w:val="single" w:sz="4" w:space="0" w:color="000000"/>
            </w:tcBorders>
          </w:tcPr>
          <w:p>
            <w:pPr>
              <w:pStyle w:val="TableParagraph"/>
              <w:spacing w:line="256" w:lineRule="exact"/>
              <w:ind w:left="107"/>
              <w:rPr>
                <w:sz w:val="21"/>
              </w:rPr>
            </w:pPr>
            <w:r>
              <w:rPr>
                <w:sz w:val="21"/>
              </w:rPr>
              <w:t>56、开颅手术</w:t>
            </w:r>
          </w:p>
        </w:tc>
        <w:tc>
          <w:tcPr>
            <w:tcW w:w="3852" w:type="dxa"/>
            <w:tcBorders>
              <w:right w:val="single" w:sz="4" w:space="0" w:color="000000"/>
            </w:tcBorders>
          </w:tcPr>
          <w:p>
            <w:pPr>
              <w:pStyle w:val="TableParagraph"/>
              <w:spacing w:line="256" w:lineRule="exact"/>
              <w:ind w:left="110"/>
              <w:rPr>
                <w:sz w:val="21"/>
              </w:rPr>
            </w:pPr>
            <w:r>
              <w:rPr>
                <w:sz w:val="21"/>
              </w:rPr>
              <w:t>57、亚急性硬化性全脑炎</w:t>
            </w:r>
          </w:p>
        </w:tc>
      </w:tr>
      <w:tr>
        <w:trPr>
          <w:trHeight w:val="311" w:hRule="atLeast"/>
        </w:trPr>
        <w:tc>
          <w:tcPr>
            <w:tcW w:w="2875" w:type="dxa"/>
            <w:tcBorders>
              <w:left w:val="single" w:sz="4" w:space="0" w:color="000000"/>
            </w:tcBorders>
          </w:tcPr>
          <w:p>
            <w:pPr>
              <w:pStyle w:val="TableParagraph"/>
              <w:spacing w:line="256" w:lineRule="exact"/>
              <w:ind w:left="107"/>
              <w:rPr>
                <w:sz w:val="21"/>
              </w:rPr>
            </w:pPr>
            <w:r>
              <w:rPr>
                <w:sz w:val="21"/>
              </w:rPr>
              <w:t>58、克雅氏病</w:t>
            </w:r>
          </w:p>
        </w:tc>
        <w:tc>
          <w:tcPr>
            <w:tcW w:w="3852" w:type="dxa"/>
            <w:tcBorders>
              <w:right w:val="single" w:sz="4" w:space="0" w:color="000000"/>
            </w:tcBorders>
          </w:tcPr>
          <w:p>
            <w:pPr>
              <w:pStyle w:val="TableParagraph"/>
              <w:spacing w:line="256" w:lineRule="exact"/>
              <w:ind w:left="110"/>
              <w:rPr>
                <w:sz w:val="21"/>
              </w:rPr>
            </w:pPr>
            <w:r>
              <w:rPr>
                <w:sz w:val="21"/>
              </w:rPr>
              <w:t>59、丧失一眼及一肢</w:t>
            </w:r>
          </w:p>
        </w:tc>
      </w:tr>
      <w:tr>
        <w:trPr>
          <w:trHeight w:val="312" w:hRule="atLeast"/>
        </w:trPr>
        <w:tc>
          <w:tcPr>
            <w:tcW w:w="2875" w:type="dxa"/>
            <w:tcBorders>
              <w:left w:val="single" w:sz="4" w:space="0" w:color="000000"/>
            </w:tcBorders>
          </w:tcPr>
          <w:p>
            <w:pPr>
              <w:pStyle w:val="TableParagraph"/>
              <w:spacing w:line="256" w:lineRule="exact"/>
              <w:ind w:left="107"/>
              <w:rPr>
                <w:sz w:val="21"/>
              </w:rPr>
            </w:pPr>
            <w:r>
              <w:rPr>
                <w:sz w:val="21"/>
              </w:rPr>
              <w:t>60、进行性多灶性白质脑病</w:t>
            </w:r>
          </w:p>
        </w:tc>
        <w:tc>
          <w:tcPr>
            <w:tcW w:w="3852" w:type="dxa"/>
            <w:tcBorders>
              <w:right w:val="single" w:sz="4" w:space="0" w:color="000000"/>
            </w:tcBorders>
          </w:tcPr>
          <w:p>
            <w:pPr>
              <w:pStyle w:val="TableParagraph"/>
              <w:spacing w:line="256" w:lineRule="exact"/>
              <w:ind w:left="110"/>
              <w:rPr>
                <w:sz w:val="21"/>
              </w:rPr>
            </w:pPr>
            <w:r>
              <w:rPr>
                <w:sz w:val="21"/>
              </w:rPr>
              <w:t>61、破裂脑动脉瘤夹闭手术</w:t>
            </w:r>
          </w:p>
        </w:tc>
      </w:tr>
      <w:tr>
        <w:trPr>
          <w:trHeight w:val="311" w:hRule="atLeast"/>
        </w:trPr>
        <w:tc>
          <w:tcPr>
            <w:tcW w:w="2875" w:type="dxa"/>
            <w:tcBorders>
              <w:left w:val="single" w:sz="4" w:space="0" w:color="000000"/>
              <w:bottom w:val="single" w:sz="4" w:space="0" w:color="000000"/>
            </w:tcBorders>
          </w:tcPr>
          <w:p>
            <w:pPr>
              <w:pStyle w:val="TableParagraph"/>
              <w:spacing w:line="256" w:lineRule="exact"/>
              <w:ind w:left="107"/>
              <w:rPr>
                <w:sz w:val="21"/>
              </w:rPr>
            </w:pPr>
            <w:r>
              <w:rPr>
                <w:sz w:val="21"/>
              </w:rPr>
              <w:t>62、脊髓小脑变性症</w:t>
            </w:r>
          </w:p>
        </w:tc>
        <w:tc>
          <w:tcPr>
            <w:tcW w:w="3852" w:type="dxa"/>
            <w:tcBorders>
              <w:bottom w:val="single" w:sz="4" w:space="0" w:color="000000"/>
              <w:right w:val="single" w:sz="4" w:space="0" w:color="000000"/>
            </w:tcBorders>
          </w:tcPr>
          <w:p>
            <w:pPr>
              <w:pStyle w:val="TableParagraph"/>
              <w:rPr>
                <w:rFonts w:ascii="Times New Roman"/>
                <w:sz w:val="20"/>
              </w:rPr>
            </w:pPr>
          </w:p>
        </w:tc>
      </w:tr>
      <w:tr>
        <w:trPr>
          <w:trHeight w:val="311" w:hRule="atLeast"/>
        </w:trPr>
        <w:tc>
          <w:tcPr>
            <w:tcW w:w="6727" w:type="dxa"/>
            <w:gridSpan w:val="2"/>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7"/>
              <w:rPr>
                <w:b/>
                <w:sz w:val="21"/>
              </w:rPr>
            </w:pPr>
            <w:r>
              <w:rPr>
                <w:b/>
                <w:sz w:val="21"/>
              </w:rPr>
              <w:t>第 5 类：其他重大疾病</w:t>
            </w:r>
          </w:p>
        </w:tc>
      </w:tr>
      <w:tr>
        <w:trPr>
          <w:trHeight w:val="312" w:hRule="atLeast"/>
        </w:trPr>
        <w:tc>
          <w:tcPr>
            <w:tcW w:w="2875" w:type="dxa"/>
            <w:tcBorders>
              <w:top w:val="single" w:sz="4" w:space="0" w:color="000000"/>
              <w:left w:val="single" w:sz="4" w:space="0" w:color="000000"/>
            </w:tcBorders>
          </w:tcPr>
          <w:p>
            <w:pPr>
              <w:pStyle w:val="TableParagraph"/>
              <w:spacing w:line="257" w:lineRule="exact"/>
              <w:ind w:left="107"/>
              <w:rPr>
                <w:sz w:val="21"/>
              </w:rPr>
            </w:pPr>
            <w:r>
              <w:rPr>
                <w:sz w:val="21"/>
              </w:rPr>
              <w:t>63、多个肢体缺失</w:t>
            </w:r>
          </w:p>
        </w:tc>
        <w:tc>
          <w:tcPr>
            <w:tcW w:w="3852" w:type="dxa"/>
            <w:tcBorders>
              <w:top w:val="single" w:sz="4" w:space="0" w:color="000000"/>
              <w:right w:val="single" w:sz="4" w:space="0" w:color="000000"/>
            </w:tcBorders>
          </w:tcPr>
          <w:p>
            <w:pPr>
              <w:pStyle w:val="TableParagraph"/>
              <w:spacing w:line="257" w:lineRule="exact"/>
              <w:ind w:left="110"/>
              <w:rPr>
                <w:sz w:val="21"/>
              </w:rPr>
            </w:pPr>
            <w:r>
              <w:rPr>
                <w:sz w:val="21"/>
              </w:rPr>
              <w:t>64、严重的 1 型糖尿病</w:t>
            </w:r>
          </w:p>
        </w:tc>
      </w:tr>
      <w:tr>
        <w:trPr>
          <w:trHeight w:val="311" w:hRule="atLeast"/>
        </w:trPr>
        <w:tc>
          <w:tcPr>
            <w:tcW w:w="2875" w:type="dxa"/>
            <w:tcBorders>
              <w:left w:val="single" w:sz="4" w:space="0" w:color="000000"/>
            </w:tcBorders>
          </w:tcPr>
          <w:p>
            <w:pPr>
              <w:pStyle w:val="TableParagraph"/>
              <w:spacing w:line="256" w:lineRule="exact"/>
              <w:ind w:left="107"/>
              <w:rPr>
                <w:sz w:val="21"/>
              </w:rPr>
            </w:pPr>
            <w:r>
              <w:rPr>
                <w:sz w:val="21"/>
              </w:rPr>
              <w:t>65、严重Ⅲ度烧伤</w:t>
            </w:r>
          </w:p>
        </w:tc>
        <w:tc>
          <w:tcPr>
            <w:tcW w:w="3852" w:type="dxa"/>
            <w:tcBorders>
              <w:right w:val="single" w:sz="4" w:space="0" w:color="000000"/>
            </w:tcBorders>
          </w:tcPr>
          <w:p>
            <w:pPr>
              <w:pStyle w:val="TableParagraph"/>
              <w:spacing w:line="256" w:lineRule="exact"/>
              <w:ind w:left="110"/>
              <w:rPr>
                <w:sz w:val="21"/>
              </w:rPr>
            </w:pPr>
            <w:r>
              <w:rPr>
                <w:sz w:val="21"/>
              </w:rPr>
              <w:t>66、严重类风湿性关节炎</w:t>
            </w:r>
          </w:p>
        </w:tc>
      </w:tr>
      <w:tr>
        <w:trPr>
          <w:trHeight w:val="311" w:hRule="atLeast"/>
        </w:trPr>
        <w:tc>
          <w:tcPr>
            <w:tcW w:w="2875" w:type="dxa"/>
            <w:tcBorders>
              <w:left w:val="single" w:sz="4" w:space="0" w:color="000000"/>
            </w:tcBorders>
          </w:tcPr>
          <w:p>
            <w:pPr>
              <w:pStyle w:val="TableParagraph"/>
              <w:spacing w:line="256" w:lineRule="exact"/>
              <w:ind w:left="107"/>
              <w:rPr>
                <w:sz w:val="21"/>
              </w:rPr>
            </w:pPr>
            <w:r>
              <w:rPr>
                <w:sz w:val="21"/>
              </w:rPr>
              <w:t>67、象皮病</w:t>
            </w:r>
          </w:p>
        </w:tc>
        <w:tc>
          <w:tcPr>
            <w:tcW w:w="3852" w:type="dxa"/>
            <w:tcBorders>
              <w:right w:val="single" w:sz="4" w:space="0" w:color="000000"/>
            </w:tcBorders>
          </w:tcPr>
          <w:p>
            <w:pPr>
              <w:pStyle w:val="TableParagraph"/>
              <w:spacing w:line="256" w:lineRule="exact"/>
              <w:ind w:left="110"/>
              <w:rPr>
                <w:sz w:val="21"/>
              </w:rPr>
            </w:pPr>
            <w:r>
              <w:rPr>
                <w:sz w:val="21"/>
              </w:rPr>
              <w:t>68、经输血导致的艾滋病病毒感染或患</w:t>
            </w:r>
          </w:p>
        </w:tc>
      </w:tr>
      <w:tr>
        <w:trPr>
          <w:trHeight w:val="311" w:hRule="atLeast"/>
        </w:trPr>
        <w:tc>
          <w:tcPr>
            <w:tcW w:w="2875" w:type="dxa"/>
            <w:tcBorders>
              <w:left w:val="single" w:sz="4" w:space="0" w:color="000000"/>
            </w:tcBorders>
          </w:tcPr>
          <w:p>
            <w:pPr>
              <w:pStyle w:val="TableParagraph"/>
              <w:spacing w:line="256" w:lineRule="exact"/>
              <w:ind w:left="107"/>
              <w:rPr>
                <w:sz w:val="21"/>
              </w:rPr>
            </w:pPr>
            <w:r>
              <w:rPr>
                <w:sz w:val="21"/>
              </w:rPr>
              <w:t>69、严重肌营养不良症</w:t>
            </w:r>
          </w:p>
        </w:tc>
        <w:tc>
          <w:tcPr>
            <w:tcW w:w="3852" w:type="dxa"/>
            <w:tcBorders>
              <w:right w:val="single" w:sz="4" w:space="0" w:color="000000"/>
            </w:tcBorders>
          </w:tcPr>
          <w:p>
            <w:pPr>
              <w:pStyle w:val="TableParagraph"/>
              <w:spacing w:line="256" w:lineRule="exact"/>
              <w:ind w:left="530"/>
              <w:rPr>
                <w:sz w:val="21"/>
              </w:rPr>
            </w:pPr>
            <w:r>
              <w:rPr>
                <w:sz w:val="21"/>
              </w:rPr>
              <w:t>艾滋病</w:t>
            </w:r>
          </w:p>
        </w:tc>
      </w:tr>
      <w:tr>
        <w:trPr>
          <w:trHeight w:val="311" w:hRule="atLeast"/>
        </w:trPr>
        <w:tc>
          <w:tcPr>
            <w:tcW w:w="2875" w:type="dxa"/>
            <w:tcBorders>
              <w:left w:val="single" w:sz="4" w:space="0" w:color="000000"/>
            </w:tcBorders>
          </w:tcPr>
          <w:p>
            <w:pPr>
              <w:pStyle w:val="TableParagraph"/>
              <w:spacing w:line="256" w:lineRule="exact"/>
              <w:ind w:left="107"/>
              <w:rPr>
                <w:sz w:val="21"/>
              </w:rPr>
            </w:pPr>
            <w:r>
              <w:rPr>
                <w:sz w:val="21"/>
              </w:rPr>
              <w:t>70、弥漫性血管内凝血</w:t>
            </w:r>
          </w:p>
        </w:tc>
        <w:tc>
          <w:tcPr>
            <w:tcW w:w="3852" w:type="dxa"/>
            <w:tcBorders>
              <w:right w:val="single" w:sz="4" w:space="0" w:color="000000"/>
            </w:tcBorders>
          </w:tcPr>
          <w:p>
            <w:pPr>
              <w:pStyle w:val="TableParagraph"/>
              <w:spacing w:line="256" w:lineRule="exact"/>
              <w:ind w:left="110"/>
              <w:rPr>
                <w:sz w:val="21"/>
              </w:rPr>
            </w:pPr>
            <w:r>
              <w:rPr>
                <w:sz w:val="21"/>
              </w:rPr>
              <w:t>71、因职业关系导致的艾滋病病毒感染</w:t>
            </w:r>
          </w:p>
        </w:tc>
      </w:tr>
      <w:tr>
        <w:trPr>
          <w:trHeight w:val="311" w:hRule="atLeast"/>
        </w:trPr>
        <w:tc>
          <w:tcPr>
            <w:tcW w:w="2875" w:type="dxa"/>
            <w:tcBorders>
              <w:left w:val="single" w:sz="4" w:space="0" w:color="000000"/>
            </w:tcBorders>
          </w:tcPr>
          <w:p>
            <w:pPr>
              <w:pStyle w:val="TableParagraph"/>
              <w:spacing w:line="256" w:lineRule="exact"/>
              <w:ind w:left="107"/>
              <w:rPr>
                <w:sz w:val="21"/>
              </w:rPr>
            </w:pPr>
            <w:r>
              <w:rPr>
                <w:sz w:val="21"/>
              </w:rPr>
              <w:t>72、嗜铬细胞瘤</w:t>
            </w:r>
          </w:p>
        </w:tc>
        <w:tc>
          <w:tcPr>
            <w:tcW w:w="3852" w:type="dxa"/>
            <w:tcBorders>
              <w:right w:val="single" w:sz="4" w:space="0" w:color="000000"/>
            </w:tcBorders>
          </w:tcPr>
          <w:p>
            <w:pPr>
              <w:pStyle w:val="TableParagraph"/>
              <w:spacing w:line="256" w:lineRule="exact"/>
              <w:ind w:left="530"/>
              <w:rPr>
                <w:sz w:val="21"/>
              </w:rPr>
            </w:pPr>
            <w:r>
              <w:rPr>
                <w:sz w:val="21"/>
              </w:rPr>
              <w:t>或患艾滋病</w:t>
            </w:r>
          </w:p>
        </w:tc>
      </w:tr>
      <w:tr>
        <w:trPr>
          <w:trHeight w:val="311" w:hRule="atLeast"/>
        </w:trPr>
        <w:tc>
          <w:tcPr>
            <w:tcW w:w="2875" w:type="dxa"/>
            <w:tcBorders>
              <w:left w:val="single" w:sz="4" w:space="0" w:color="000000"/>
            </w:tcBorders>
          </w:tcPr>
          <w:p>
            <w:pPr>
              <w:pStyle w:val="TableParagraph"/>
              <w:spacing w:line="256" w:lineRule="exact"/>
              <w:ind w:left="107"/>
              <w:rPr>
                <w:sz w:val="21"/>
              </w:rPr>
            </w:pPr>
            <w:r>
              <w:rPr>
                <w:sz w:val="21"/>
              </w:rPr>
              <w:t>73、严重的原发性硬化性胆管</w:t>
            </w:r>
          </w:p>
        </w:tc>
        <w:tc>
          <w:tcPr>
            <w:tcW w:w="3852" w:type="dxa"/>
            <w:tcBorders>
              <w:right w:val="single" w:sz="4" w:space="0" w:color="000000"/>
            </w:tcBorders>
          </w:tcPr>
          <w:p>
            <w:pPr>
              <w:pStyle w:val="TableParagraph"/>
              <w:spacing w:line="256" w:lineRule="exact"/>
              <w:ind w:left="110"/>
              <w:rPr>
                <w:sz w:val="21"/>
              </w:rPr>
            </w:pPr>
            <w:r>
              <w:rPr>
                <w:sz w:val="21"/>
              </w:rPr>
              <w:t>74、因器官移植导致的艾滋病病毒感染</w:t>
            </w:r>
          </w:p>
        </w:tc>
      </w:tr>
      <w:tr>
        <w:trPr>
          <w:trHeight w:val="312" w:hRule="atLeast"/>
        </w:trPr>
        <w:tc>
          <w:tcPr>
            <w:tcW w:w="2875" w:type="dxa"/>
            <w:tcBorders>
              <w:left w:val="single" w:sz="4" w:space="0" w:color="000000"/>
            </w:tcBorders>
          </w:tcPr>
          <w:p>
            <w:pPr>
              <w:pStyle w:val="TableParagraph"/>
              <w:spacing w:line="256" w:lineRule="exact"/>
              <w:ind w:left="510"/>
              <w:rPr>
                <w:sz w:val="21"/>
              </w:rPr>
            </w:pPr>
            <w:r>
              <w:rPr>
                <w:w w:val="100"/>
                <w:sz w:val="21"/>
              </w:rPr>
              <w:t>炎</w:t>
            </w:r>
          </w:p>
        </w:tc>
        <w:tc>
          <w:tcPr>
            <w:tcW w:w="3852" w:type="dxa"/>
            <w:tcBorders>
              <w:right w:val="single" w:sz="4" w:space="0" w:color="000000"/>
            </w:tcBorders>
          </w:tcPr>
          <w:p>
            <w:pPr>
              <w:pStyle w:val="TableParagraph"/>
              <w:spacing w:line="256" w:lineRule="exact"/>
              <w:ind w:left="530"/>
              <w:rPr>
                <w:sz w:val="21"/>
              </w:rPr>
            </w:pPr>
            <w:r>
              <w:rPr>
                <w:sz w:val="21"/>
              </w:rPr>
              <w:t>或患艾滋病</w:t>
            </w:r>
          </w:p>
        </w:tc>
      </w:tr>
      <w:tr>
        <w:trPr>
          <w:trHeight w:val="311" w:hRule="atLeast"/>
        </w:trPr>
        <w:tc>
          <w:tcPr>
            <w:tcW w:w="2875" w:type="dxa"/>
            <w:tcBorders>
              <w:left w:val="single" w:sz="4" w:space="0" w:color="000000"/>
            </w:tcBorders>
          </w:tcPr>
          <w:p>
            <w:pPr>
              <w:pStyle w:val="TableParagraph"/>
              <w:spacing w:line="256" w:lineRule="exact"/>
              <w:ind w:left="107"/>
              <w:rPr>
                <w:sz w:val="21"/>
              </w:rPr>
            </w:pPr>
            <w:r>
              <w:rPr>
                <w:sz w:val="21"/>
              </w:rPr>
              <w:t>75、严重面部烧伤</w:t>
            </w:r>
          </w:p>
        </w:tc>
        <w:tc>
          <w:tcPr>
            <w:tcW w:w="3852" w:type="dxa"/>
            <w:tcBorders>
              <w:right w:val="single" w:sz="4" w:space="0" w:color="000000"/>
            </w:tcBorders>
          </w:tcPr>
          <w:p>
            <w:pPr>
              <w:pStyle w:val="TableParagraph"/>
              <w:spacing w:line="256" w:lineRule="exact"/>
              <w:ind w:left="110"/>
              <w:rPr>
                <w:sz w:val="21"/>
              </w:rPr>
            </w:pPr>
            <w:r>
              <w:rPr>
                <w:sz w:val="21"/>
              </w:rPr>
              <w:t>76、严重瑞氏综合症（Reye 综合征，也</w:t>
            </w:r>
          </w:p>
        </w:tc>
      </w:tr>
      <w:tr>
        <w:trPr>
          <w:trHeight w:val="311" w:hRule="atLeast"/>
        </w:trPr>
        <w:tc>
          <w:tcPr>
            <w:tcW w:w="2875" w:type="dxa"/>
            <w:tcBorders>
              <w:left w:val="single" w:sz="4" w:space="0" w:color="000000"/>
            </w:tcBorders>
          </w:tcPr>
          <w:p>
            <w:pPr>
              <w:pStyle w:val="TableParagraph"/>
              <w:spacing w:line="256" w:lineRule="exact"/>
              <w:ind w:left="107"/>
              <w:rPr>
                <w:sz w:val="21"/>
              </w:rPr>
            </w:pPr>
            <w:r>
              <w:rPr>
                <w:sz w:val="21"/>
              </w:rPr>
              <w:t>77、成骨不全症第三型</w:t>
            </w:r>
          </w:p>
        </w:tc>
        <w:tc>
          <w:tcPr>
            <w:tcW w:w="3852" w:type="dxa"/>
            <w:tcBorders>
              <w:right w:val="single" w:sz="4" w:space="0" w:color="000000"/>
            </w:tcBorders>
          </w:tcPr>
          <w:p>
            <w:pPr>
              <w:pStyle w:val="TableParagraph"/>
              <w:spacing w:line="256" w:lineRule="exact"/>
              <w:ind w:left="530"/>
              <w:rPr>
                <w:sz w:val="21"/>
              </w:rPr>
            </w:pPr>
            <w:r>
              <w:rPr>
                <w:sz w:val="21"/>
              </w:rPr>
              <w:t>称赖氏综合征、雷氏综合征）</w:t>
            </w:r>
          </w:p>
        </w:tc>
      </w:tr>
      <w:tr>
        <w:trPr>
          <w:trHeight w:val="312" w:hRule="atLeast"/>
        </w:trPr>
        <w:tc>
          <w:tcPr>
            <w:tcW w:w="2875" w:type="dxa"/>
            <w:tcBorders>
              <w:left w:val="single" w:sz="4" w:space="0" w:color="000000"/>
            </w:tcBorders>
          </w:tcPr>
          <w:p>
            <w:pPr>
              <w:pStyle w:val="TableParagraph"/>
              <w:spacing w:line="256" w:lineRule="exact"/>
              <w:ind w:left="107"/>
              <w:rPr>
                <w:sz w:val="21"/>
              </w:rPr>
            </w:pPr>
            <w:r>
              <w:rPr>
                <w:sz w:val="21"/>
              </w:rPr>
              <w:t>78、多处臂丛神经根性撕脱</w:t>
            </w:r>
          </w:p>
        </w:tc>
        <w:tc>
          <w:tcPr>
            <w:tcW w:w="3852" w:type="dxa"/>
            <w:tcBorders>
              <w:right w:val="single" w:sz="4" w:space="0" w:color="000000"/>
            </w:tcBorders>
          </w:tcPr>
          <w:p>
            <w:pPr>
              <w:pStyle w:val="TableParagraph"/>
              <w:spacing w:line="256" w:lineRule="exact"/>
              <w:ind w:left="110"/>
              <w:rPr>
                <w:sz w:val="21"/>
              </w:rPr>
            </w:pPr>
            <w:r>
              <w:rPr>
                <w:sz w:val="21"/>
              </w:rPr>
              <w:t>79、原发性脊柱侧弯的矫正手术</w:t>
            </w:r>
          </w:p>
        </w:tc>
      </w:tr>
      <w:tr>
        <w:trPr>
          <w:trHeight w:val="311" w:hRule="atLeast"/>
        </w:trPr>
        <w:tc>
          <w:tcPr>
            <w:tcW w:w="2875" w:type="dxa"/>
            <w:tcBorders>
              <w:left w:val="single" w:sz="4" w:space="0" w:color="000000"/>
              <w:bottom w:val="single" w:sz="4" w:space="0" w:color="000000"/>
            </w:tcBorders>
          </w:tcPr>
          <w:p>
            <w:pPr>
              <w:pStyle w:val="TableParagraph"/>
              <w:spacing w:line="256" w:lineRule="exact"/>
              <w:ind w:left="107"/>
              <w:rPr>
                <w:sz w:val="21"/>
              </w:rPr>
            </w:pPr>
            <w:r>
              <w:rPr>
                <w:sz w:val="21"/>
              </w:rPr>
              <w:t>80、溶血性链球菌引起的坏疽</w:t>
            </w:r>
          </w:p>
        </w:tc>
        <w:tc>
          <w:tcPr>
            <w:tcW w:w="3852" w:type="dxa"/>
            <w:tcBorders>
              <w:bottom w:val="single" w:sz="4" w:space="0" w:color="000000"/>
              <w:right w:val="single" w:sz="4" w:space="0" w:color="000000"/>
            </w:tcBorders>
          </w:tcPr>
          <w:p>
            <w:pPr>
              <w:pStyle w:val="TableParagraph"/>
              <w:rPr>
                <w:rFonts w:ascii="Times New Roman"/>
                <w:sz w:val="20"/>
              </w:rPr>
            </w:pPr>
          </w:p>
        </w:tc>
      </w:tr>
    </w:tbl>
    <w:p>
      <w:pPr>
        <w:pStyle w:val="BodyText"/>
        <w:spacing w:before="11"/>
        <w:rPr>
          <w:sz w:val="27"/>
        </w:rPr>
      </w:pPr>
    </w:p>
    <w:p>
      <w:pPr>
        <w:spacing w:after="0"/>
        <w:rPr>
          <w:sz w:val="27"/>
        </w:rPr>
        <w:sectPr>
          <w:pgSz w:w="11910" w:h="16840"/>
          <w:pgMar w:top="1120" w:bottom="280" w:left="800" w:right="800"/>
        </w:sectPr>
      </w:pPr>
    </w:p>
    <w:p>
      <w:pPr>
        <w:pStyle w:val="Heading1"/>
        <w:spacing w:line="232" w:lineRule="auto"/>
        <w:ind w:left="980" w:firstLine="0"/>
      </w:pPr>
      <w:r>
        <w:rPr/>
        <w:t>我们所保障的特定轻度重疾</w:t>
      </w:r>
    </w:p>
    <w:p>
      <w:pPr>
        <w:pStyle w:val="BodyText"/>
        <w:spacing w:line="273" w:lineRule="auto" w:before="56"/>
        <w:ind w:left="147" w:right="220" w:hanging="1"/>
      </w:pPr>
      <w:r>
        <w:rPr/>
        <w:br w:type="column"/>
      </w:r>
      <w:r>
        <w:rPr>
          <w:spacing w:val="-6"/>
        </w:rPr>
        <w:t>我们提供保障的特定轻度重疾共有 </w:t>
      </w:r>
      <w:r>
        <w:rPr/>
        <w:t>20</w:t>
      </w:r>
      <w:r>
        <w:rPr>
          <w:spacing w:val="-8"/>
        </w:rPr>
        <w:t> 种，名称如下，具体释义见“</w:t>
      </w:r>
      <w:r>
        <w:rPr/>
        <w:t>9</w:t>
      </w:r>
      <w:r>
        <w:rPr>
          <w:spacing w:val="-15"/>
        </w:rPr>
        <w:t> 特定</w:t>
      </w:r>
      <w:r>
        <w:rPr>
          <w:spacing w:val="-16"/>
        </w:rPr>
        <w:t>轻度重疾释义”。</w:t>
      </w:r>
    </w:p>
    <w:p>
      <w:pPr>
        <w:spacing w:after="0" w:line="273" w:lineRule="auto"/>
        <w:sectPr>
          <w:type w:val="continuous"/>
          <w:pgSz w:w="11910" w:h="16840"/>
          <w:pgMar w:top="400" w:bottom="280" w:left="800" w:right="800"/>
          <w:cols w:num="2" w:equalWidth="0">
            <w:col w:w="3110" w:space="40"/>
            <w:col w:w="7160"/>
          </w:cols>
        </w:sectPr>
      </w:pPr>
    </w:p>
    <w:p>
      <w:pPr>
        <w:pStyle w:val="BodyText"/>
        <w:spacing w:before="6" w:after="1"/>
        <w:rPr>
          <w:sz w:val="14"/>
        </w:rPr>
      </w:pPr>
    </w:p>
    <w:tbl>
      <w:tblPr>
        <w:tblW w:w="0" w:type="auto"/>
        <w:jc w:val="left"/>
        <w:tblInd w:w="33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90"/>
        <w:gridCol w:w="497"/>
        <w:gridCol w:w="1054"/>
        <w:gridCol w:w="3338"/>
      </w:tblGrid>
      <w:tr>
        <w:trPr>
          <w:trHeight w:val="273" w:hRule="atLeast"/>
        </w:trPr>
        <w:tc>
          <w:tcPr>
            <w:tcW w:w="6779" w:type="dxa"/>
            <w:gridSpan w:val="4"/>
          </w:tcPr>
          <w:p>
            <w:pPr>
              <w:pStyle w:val="TableParagraph"/>
              <w:spacing w:line="241" w:lineRule="exact"/>
              <w:ind w:left="107"/>
              <w:rPr>
                <w:b/>
                <w:sz w:val="21"/>
              </w:rPr>
            </w:pPr>
            <w:r>
              <w:rPr>
                <w:b/>
                <w:sz w:val="21"/>
              </w:rPr>
              <w:t>第 1 类：与恶性肿瘤相关的疾病</w:t>
            </w:r>
          </w:p>
        </w:tc>
      </w:tr>
      <w:tr>
        <w:trPr>
          <w:trHeight w:val="273" w:hRule="atLeast"/>
        </w:trPr>
        <w:tc>
          <w:tcPr>
            <w:tcW w:w="1890" w:type="dxa"/>
            <w:tcBorders>
              <w:right w:val="nil"/>
            </w:tcBorders>
          </w:tcPr>
          <w:p>
            <w:pPr>
              <w:pStyle w:val="TableParagraph"/>
              <w:spacing w:line="241" w:lineRule="exact"/>
              <w:ind w:left="107"/>
              <w:rPr>
                <w:sz w:val="21"/>
              </w:rPr>
            </w:pPr>
            <w:r>
              <w:rPr>
                <w:sz w:val="21"/>
              </w:rPr>
              <w:t>1、早期恶性病变</w:t>
            </w:r>
          </w:p>
        </w:tc>
        <w:tc>
          <w:tcPr>
            <w:tcW w:w="1551" w:type="dxa"/>
            <w:gridSpan w:val="2"/>
            <w:tcBorders>
              <w:left w:val="nil"/>
              <w:right w:val="nil"/>
            </w:tcBorders>
          </w:tcPr>
          <w:p>
            <w:pPr>
              <w:pStyle w:val="TableParagraph"/>
              <w:spacing w:line="241" w:lineRule="exact"/>
              <w:ind w:left="106"/>
              <w:rPr>
                <w:sz w:val="21"/>
              </w:rPr>
            </w:pPr>
            <w:r>
              <w:rPr>
                <w:sz w:val="21"/>
              </w:rPr>
              <w:t>2、原位癌</w:t>
            </w:r>
          </w:p>
        </w:tc>
        <w:tc>
          <w:tcPr>
            <w:tcW w:w="3338" w:type="dxa"/>
            <w:tcBorders>
              <w:left w:val="nil"/>
            </w:tcBorders>
          </w:tcPr>
          <w:p>
            <w:pPr>
              <w:pStyle w:val="TableParagraph"/>
              <w:spacing w:line="241" w:lineRule="exact"/>
              <w:ind w:left="504"/>
              <w:rPr>
                <w:sz w:val="21"/>
              </w:rPr>
            </w:pPr>
            <w:r>
              <w:rPr>
                <w:sz w:val="21"/>
              </w:rPr>
              <w:t>3、皮肤癌</w:t>
            </w:r>
          </w:p>
        </w:tc>
      </w:tr>
      <w:tr>
        <w:trPr>
          <w:trHeight w:val="270" w:hRule="atLeast"/>
        </w:trPr>
        <w:tc>
          <w:tcPr>
            <w:tcW w:w="6779" w:type="dxa"/>
            <w:gridSpan w:val="4"/>
          </w:tcPr>
          <w:p>
            <w:pPr>
              <w:pStyle w:val="TableParagraph"/>
              <w:spacing w:line="241" w:lineRule="exact"/>
              <w:ind w:left="107"/>
              <w:rPr>
                <w:b/>
                <w:sz w:val="21"/>
              </w:rPr>
            </w:pPr>
            <w:r>
              <w:rPr>
                <w:b/>
                <w:sz w:val="21"/>
              </w:rPr>
              <w:t>第 2 类：与心脏或脑血管相关的疾病</w:t>
            </w:r>
          </w:p>
        </w:tc>
      </w:tr>
      <w:tr>
        <w:trPr>
          <w:trHeight w:val="817" w:hRule="atLeast"/>
        </w:trPr>
        <w:tc>
          <w:tcPr>
            <w:tcW w:w="2387" w:type="dxa"/>
            <w:gridSpan w:val="2"/>
            <w:tcBorders>
              <w:right w:val="nil"/>
            </w:tcBorders>
          </w:tcPr>
          <w:p>
            <w:pPr>
              <w:pStyle w:val="TableParagraph"/>
              <w:spacing w:line="240" w:lineRule="exact"/>
              <w:ind w:left="107"/>
              <w:rPr>
                <w:sz w:val="21"/>
              </w:rPr>
            </w:pPr>
            <w:r>
              <w:rPr>
                <w:sz w:val="21"/>
              </w:rPr>
              <w:t>4、心脏瓣膜介入手术</w:t>
            </w:r>
          </w:p>
          <w:p>
            <w:pPr>
              <w:pStyle w:val="TableParagraph"/>
              <w:spacing w:line="272" w:lineRule="exact"/>
              <w:ind w:left="107"/>
              <w:rPr>
                <w:sz w:val="21"/>
              </w:rPr>
            </w:pPr>
            <w:r>
              <w:rPr>
                <w:sz w:val="21"/>
              </w:rPr>
              <w:t>6、心包膜切除术</w:t>
            </w:r>
          </w:p>
          <w:p>
            <w:pPr>
              <w:pStyle w:val="TableParagraph"/>
              <w:spacing w:line="273" w:lineRule="exact"/>
              <w:ind w:left="107"/>
              <w:rPr>
                <w:sz w:val="21"/>
              </w:rPr>
            </w:pPr>
            <w:r>
              <w:rPr>
                <w:sz w:val="21"/>
              </w:rPr>
              <w:t>8、早期原发性心肌病</w:t>
            </w:r>
          </w:p>
        </w:tc>
        <w:tc>
          <w:tcPr>
            <w:tcW w:w="4392" w:type="dxa"/>
            <w:gridSpan w:val="2"/>
            <w:tcBorders>
              <w:left w:val="nil"/>
            </w:tcBorders>
          </w:tcPr>
          <w:p>
            <w:pPr>
              <w:pStyle w:val="TableParagraph"/>
              <w:spacing w:line="240" w:lineRule="exact"/>
              <w:ind w:left="183"/>
              <w:rPr>
                <w:sz w:val="21"/>
              </w:rPr>
            </w:pPr>
            <w:r>
              <w:rPr>
                <w:sz w:val="21"/>
              </w:rPr>
              <w:t>5、主动脉内手术</w:t>
            </w:r>
          </w:p>
          <w:p>
            <w:pPr>
              <w:pStyle w:val="TableParagraph"/>
              <w:spacing w:line="272" w:lineRule="exact"/>
              <w:ind w:left="183"/>
              <w:rPr>
                <w:sz w:val="21"/>
              </w:rPr>
            </w:pPr>
            <w:r>
              <w:rPr>
                <w:sz w:val="21"/>
              </w:rPr>
              <w:t>7、颈动脉血管成形术或内膜切除术</w:t>
            </w:r>
          </w:p>
          <w:p>
            <w:pPr>
              <w:pStyle w:val="TableParagraph"/>
              <w:spacing w:line="273" w:lineRule="exact"/>
              <w:ind w:left="183"/>
              <w:rPr>
                <w:sz w:val="21"/>
              </w:rPr>
            </w:pPr>
            <w:r>
              <w:rPr>
                <w:sz w:val="21"/>
              </w:rPr>
              <w:t>9、心脏起搏器植入</w:t>
            </w:r>
          </w:p>
        </w:tc>
      </w:tr>
      <w:tr>
        <w:trPr>
          <w:trHeight w:val="273" w:hRule="atLeast"/>
        </w:trPr>
        <w:tc>
          <w:tcPr>
            <w:tcW w:w="6779" w:type="dxa"/>
            <w:gridSpan w:val="4"/>
          </w:tcPr>
          <w:p>
            <w:pPr>
              <w:pStyle w:val="TableParagraph"/>
              <w:spacing w:line="241" w:lineRule="exact"/>
              <w:ind w:left="107"/>
              <w:rPr>
                <w:b/>
                <w:sz w:val="21"/>
              </w:rPr>
            </w:pPr>
            <w:r>
              <w:rPr>
                <w:b/>
                <w:sz w:val="21"/>
              </w:rPr>
              <w:t>第 3 类：与器官功能严重受损相关的疾病</w:t>
            </w:r>
          </w:p>
        </w:tc>
      </w:tr>
      <w:tr>
        <w:trPr>
          <w:trHeight w:val="815" w:hRule="atLeast"/>
        </w:trPr>
        <w:tc>
          <w:tcPr>
            <w:tcW w:w="1890" w:type="dxa"/>
            <w:tcBorders>
              <w:right w:val="nil"/>
            </w:tcBorders>
          </w:tcPr>
          <w:p>
            <w:pPr>
              <w:pStyle w:val="TableParagraph"/>
              <w:spacing w:line="239" w:lineRule="exact"/>
              <w:ind w:left="107"/>
              <w:rPr>
                <w:sz w:val="21"/>
              </w:rPr>
            </w:pPr>
            <w:r>
              <w:rPr>
                <w:sz w:val="21"/>
              </w:rPr>
              <w:t>10、听力严重受损</w:t>
            </w:r>
          </w:p>
          <w:p>
            <w:pPr>
              <w:pStyle w:val="TableParagraph"/>
              <w:spacing w:line="272" w:lineRule="exact"/>
              <w:ind w:left="107"/>
              <w:rPr>
                <w:sz w:val="21"/>
              </w:rPr>
            </w:pPr>
            <w:r>
              <w:rPr>
                <w:sz w:val="21"/>
              </w:rPr>
              <w:t>12、肝叶切除</w:t>
            </w:r>
          </w:p>
          <w:p>
            <w:pPr>
              <w:pStyle w:val="TableParagraph"/>
              <w:spacing w:line="274" w:lineRule="exact"/>
              <w:ind w:left="107"/>
              <w:rPr>
                <w:sz w:val="21"/>
              </w:rPr>
            </w:pPr>
            <w:r>
              <w:rPr>
                <w:sz w:val="21"/>
              </w:rPr>
              <w:t>14、视力严重受损</w:t>
            </w:r>
          </w:p>
        </w:tc>
        <w:tc>
          <w:tcPr>
            <w:tcW w:w="497" w:type="dxa"/>
            <w:tcBorders>
              <w:left w:val="nil"/>
              <w:right w:val="nil"/>
            </w:tcBorders>
          </w:tcPr>
          <w:p>
            <w:pPr>
              <w:pStyle w:val="TableParagraph"/>
              <w:rPr>
                <w:rFonts w:ascii="Times New Roman"/>
                <w:sz w:val="20"/>
              </w:rPr>
            </w:pPr>
          </w:p>
        </w:tc>
        <w:tc>
          <w:tcPr>
            <w:tcW w:w="4392" w:type="dxa"/>
            <w:gridSpan w:val="2"/>
            <w:tcBorders>
              <w:left w:val="nil"/>
            </w:tcBorders>
          </w:tcPr>
          <w:p>
            <w:pPr>
              <w:pStyle w:val="TableParagraph"/>
              <w:spacing w:line="239" w:lineRule="exact"/>
              <w:ind w:left="183"/>
              <w:rPr>
                <w:sz w:val="21"/>
              </w:rPr>
            </w:pPr>
            <w:r>
              <w:rPr>
                <w:sz w:val="21"/>
              </w:rPr>
              <w:t>11、单个肢体缺失</w:t>
            </w:r>
          </w:p>
          <w:p>
            <w:pPr>
              <w:pStyle w:val="TableParagraph"/>
              <w:spacing w:line="273" w:lineRule="exact"/>
              <w:ind w:left="183"/>
              <w:rPr>
                <w:sz w:val="21"/>
              </w:rPr>
            </w:pPr>
            <w:r>
              <w:rPr>
                <w:sz w:val="21"/>
              </w:rPr>
              <w:t>13、非严重型再生障碍性贫血</w:t>
            </w:r>
          </w:p>
        </w:tc>
      </w:tr>
      <w:tr>
        <w:trPr>
          <w:trHeight w:val="273" w:hRule="atLeast"/>
        </w:trPr>
        <w:tc>
          <w:tcPr>
            <w:tcW w:w="6779" w:type="dxa"/>
            <w:gridSpan w:val="4"/>
          </w:tcPr>
          <w:p>
            <w:pPr>
              <w:pStyle w:val="TableParagraph"/>
              <w:spacing w:line="241" w:lineRule="exact"/>
              <w:ind w:left="107"/>
              <w:rPr>
                <w:b/>
                <w:sz w:val="21"/>
              </w:rPr>
            </w:pPr>
            <w:r>
              <w:rPr>
                <w:b/>
                <w:sz w:val="21"/>
              </w:rPr>
              <w:t>第 4 类：与神经系统相关的疾病</w:t>
            </w:r>
          </w:p>
        </w:tc>
      </w:tr>
      <w:tr>
        <w:trPr>
          <w:trHeight w:val="818" w:hRule="atLeast"/>
        </w:trPr>
        <w:tc>
          <w:tcPr>
            <w:tcW w:w="2387" w:type="dxa"/>
            <w:gridSpan w:val="2"/>
            <w:tcBorders>
              <w:right w:val="nil"/>
            </w:tcBorders>
          </w:tcPr>
          <w:p>
            <w:pPr>
              <w:pStyle w:val="TableParagraph"/>
              <w:spacing w:line="239" w:lineRule="exact"/>
              <w:ind w:left="107"/>
              <w:rPr>
                <w:sz w:val="21"/>
              </w:rPr>
            </w:pPr>
            <w:r>
              <w:rPr>
                <w:sz w:val="21"/>
              </w:rPr>
              <w:t>15、轻度脑损伤</w:t>
            </w:r>
          </w:p>
          <w:p>
            <w:pPr>
              <w:pStyle w:val="TableParagraph"/>
              <w:spacing w:line="272" w:lineRule="exact"/>
              <w:ind w:left="107"/>
              <w:rPr>
                <w:sz w:val="21"/>
              </w:rPr>
            </w:pPr>
            <w:r>
              <w:rPr>
                <w:sz w:val="21"/>
              </w:rPr>
              <w:t>17、轻度颅脑手术</w:t>
            </w:r>
          </w:p>
          <w:p>
            <w:pPr>
              <w:pStyle w:val="TableParagraph"/>
              <w:spacing w:line="274" w:lineRule="exact"/>
              <w:ind w:left="107"/>
              <w:rPr>
                <w:sz w:val="21"/>
              </w:rPr>
            </w:pPr>
            <w:r>
              <w:rPr>
                <w:sz w:val="21"/>
              </w:rPr>
              <w:t>19、早期运动神经元病</w:t>
            </w:r>
          </w:p>
        </w:tc>
        <w:tc>
          <w:tcPr>
            <w:tcW w:w="4392" w:type="dxa"/>
            <w:gridSpan w:val="2"/>
            <w:tcBorders>
              <w:left w:val="nil"/>
            </w:tcBorders>
          </w:tcPr>
          <w:p>
            <w:pPr>
              <w:pStyle w:val="TableParagraph"/>
              <w:spacing w:line="239" w:lineRule="exact"/>
              <w:ind w:left="183"/>
              <w:rPr>
                <w:sz w:val="21"/>
              </w:rPr>
            </w:pPr>
            <w:r>
              <w:rPr>
                <w:sz w:val="21"/>
              </w:rPr>
              <w:t>16、脑垂体瘤、脑囊肿、脑动脉瘤及脑血管瘤</w:t>
            </w:r>
          </w:p>
          <w:p>
            <w:pPr>
              <w:pStyle w:val="TableParagraph"/>
              <w:spacing w:line="272" w:lineRule="exact"/>
              <w:ind w:left="183"/>
              <w:rPr>
                <w:sz w:val="21"/>
              </w:rPr>
            </w:pPr>
            <w:r>
              <w:rPr>
                <w:sz w:val="21"/>
              </w:rPr>
              <w:t>18、中度瘫痪</w:t>
            </w:r>
          </w:p>
          <w:p>
            <w:pPr>
              <w:pStyle w:val="TableParagraph"/>
              <w:spacing w:line="274" w:lineRule="exact"/>
              <w:ind w:left="183"/>
              <w:rPr>
                <w:sz w:val="21"/>
              </w:rPr>
            </w:pPr>
            <w:r>
              <w:rPr>
                <w:sz w:val="21"/>
              </w:rPr>
              <w:t>20、中度昏迷</w:t>
            </w:r>
          </w:p>
        </w:tc>
      </w:tr>
    </w:tbl>
    <w:p>
      <w:pPr>
        <w:pStyle w:val="BodyText"/>
        <w:spacing w:before="2"/>
        <w:rPr>
          <w:sz w:val="24"/>
        </w:rPr>
      </w:pPr>
    </w:p>
    <w:p>
      <w:pPr>
        <w:pStyle w:val="ListParagraph"/>
        <w:numPr>
          <w:ilvl w:val="1"/>
          <w:numId w:val="5"/>
        </w:numPr>
        <w:tabs>
          <w:tab w:pos="980" w:val="left" w:leader="none"/>
          <w:tab w:pos="981" w:val="left" w:leader="none"/>
          <w:tab w:pos="3296" w:val="left" w:leader="none"/>
        </w:tabs>
        <w:spacing w:line="240" w:lineRule="auto" w:before="36" w:after="0"/>
        <w:ind w:left="980" w:right="0" w:hanging="648"/>
        <w:jc w:val="left"/>
        <w:rPr>
          <w:sz w:val="21"/>
        </w:rPr>
      </w:pPr>
      <w:r>
        <w:rPr>
          <w:b/>
          <w:sz w:val="21"/>
        </w:rPr>
        <w:t>保险期间</w:t>
        <w:tab/>
      </w:r>
      <w:r>
        <w:rPr>
          <w:sz w:val="21"/>
        </w:rPr>
        <w:t>本附</w:t>
      </w:r>
      <w:r>
        <w:rPr>
          <w:spacing w:val="-3"/>
          <w:sz w:val="21"/>
        </w:rPr>
        <w:t>加</w:t>
      </w:r>
      <w:r>
        <w:rPr>
          <w:sz w:val="21"/>
        </w:rPr>
        <w:t>险</w:t>
      </w:r>
      <w:r>
        <w:rPr>
          <w:spacing w:val="-3"/>
          <w:sz w:val="21"/>
        </w:rPr>
        <w:t>合</w:t>
      </w:r>
      <w:r>
        <w:rPr>
          <w:sz w:val="21"/>
        </w:rPr>
        <w:t>同</w:t>
      </w:r>
      <w:r>
        <w:rPr>
          <w:spacing w:val="-3"/>
          <w:sz w:val="21"/>
        </w:rPr>
        <w:t>的</w:t>
      </w:r>
      <w:r>
        <w:rPr>
          <w:sz w:val="21"/>
        </w:rPr>
        <w:t>保</w:t>
      </w:r>
      <w:r>
        <w:rPr>
          <w:spacing w:val="-3"/>
          <w:sz w:val="21"/>
        </w:rPr>
        <w:t>险</w:t>
      </w:r>
      <w:r>
        <w:rPr>
          <w:sz w:val="21"/>
        </w:rPr>
        <w:t>期</w:t>
      </w:r>
      <w:r>
        <w:rPr>
          <w:spacing w:val="-3"/>
          <w:sz w:val="21"/>
        </w:rPr>
        <w:t>间</w:t>
      </w:r>
      <w:r>
        <w:rPr>
          <w:sz w:val="21"/>
        </w:rPr>
        <w:t>同主</w:t>
      </w:r>
      <w:r>
        <w:rPr>
          <w:spacing w:val="-3"/>
          <w:sz w:val="21"/>
        </w:rPr>
        <w:t>险</w:t>
      </w:r>
      <w:r>
        <w:rPr>
          <w:sz w:val="21"/>
        </w:rPr>
        <w:t>合</w:t>
      </w:r>
      <w:r>
        <w:rPr>
          <w:spacing w:val="-3"/>
          <w:sz w:val="21"/>
        </w:rPr>
        <w:t>同</w:t>
      </w:r>
      <w:r>
        <w:rPr>
          <w:sz w:val="21"/>
        </w:rPr>
        <w:t>保</w:t>
      </w:r>
      <w:r>
        <w:rPr>
          <w:spacing w:val="-3"/>
          <w:sz w:val="21"/>
        </w:rPr>
        <w:t>险</w:t>
      </w:r>
      <w:r>
        <w:rPr>
          <w:sz w:val="21"/>
        </w:rPr>
        <w:t>期</w:t>
      </w:r>
      <w:r>
        <w:rPr>
          <w:spacing w:val="-3"/>
          <w:sz w:val="21"/>
        </w:rPr>
        <w:t>间</w:t>
      </w:r>
      <w:r>
        <w:rPr>
          <w:sz w:val="21"/>
        </w:rPr>
        <w:t>。</w:t>
      </w:r>
    </w:p>
    <w:p>
      <w:pPr>
        <w:pStyle w:val="BodyText"/>
        <w:spacing w:before="11"/>
        <w:rPr>
          <w:sz w:val="20"/>
        </w:rPr>
      </w:pPr>
    </w:p>
    <w:p>
      <w:pPr>
        <w:tabs>
          <w:tab w:pos="980" w:val="left" w:leader="none"/>
        </w:tabs>
        <w:spacing w:line="441" w:lineRule="exact" w:before="0"/>
        <w:ind w:left="313" w:right="0" w:firstLine="0"/>
        <w:jc w:val="left"/>
        <w:rPr>
          <w:b/>
          <w:sz w:val="24"/>
        </w:rPr>
      </w:pPr>
      <w:r>
        <w:rPr>
          <w:rFonts w:ascii="Arial" w:hAnsi="Arial" w:eastAsia="Arial"/>
          <w:b/>
          <w:position w:val="-9"/>
          <w:sz w:val="40"/>
        </w:rPr>
        <w:t></w:t>
        <w:tab/>
      </w:r>
      <w:r>
        <w:rPr>
          <w:b/>
          <w:w w:val="95"/>
          <w:sz w:val="24"/>
        </w:rPr>
        <w:t>我们不保什么</w:t>
      </w:r>
    </w:p>
    <w:p>
      <w:pPr>
        <w:pStyle w:val="Heading2"/>
        <w:spacing w:line="290" w:lineRule="exact"/>
      </w:pPr>
      <w:r>
        <w:rPr/>
        <w:pict>
          <v:group style="position:absolute;margin-left:45.599998pt;margin-top:17.508675pt;width:504pt;height:1pt;mso-position-horizontal-relative:page;mso-position-vertical-relative:paragraph;z-index:1312;mso-wrap-distance-left:0;mso-wrap-distance-right:0" coordorigin="912,350" coordsize="10080,20">
            <v:line style="position:absolute" from="912,360" to="1673,360" stroked="true" strokeweight=".96pt" strokecolor="#000000">
              <v:stroke dashstyle="solid"/>
            </v:line>
            <v:rect style="position:absolute;left:1672;top:350;width:20;height:20" filled="true" fillcolor="#000000" stroked="false">
              <v:fill type="solid"/>
            </v:rect>
            <v:line style="position:absolute" from="1692,360" to="3989,360" stroked="true" strokeweight=".96pt" strokecolor="#000000">
              <v:stroke dashstyle="solid"/>
            </v:line>
            <v:rect style="position:absolute;left:3988;top:350;width:20;height:20" filled="true" fillcolor="#000000" stroked="false">
              <v:fill type="solid"/>
            </v:rect>
            <v:line style="position:absolute" from="4008,360" to="10992,360" stroked="true" strokeweight=".96pt" strokecolor="#000000">
              <v:stroke dashstyle="solid"/>
            </v:line>
            <w10:wrap type="topAndBottom"/>
          </v:group>
        </w:pict>
      </w:r>
      <w:r>
        <w:rPr/>
        <w:t>这部分讲的是我们不承担保险责任的情况。</w:t>
      </w:r>
    </w:p>
    <w:p>
      <w:pPr>
        <w:pStyle w:val="BodyText"/>
        <w:spacing w:before="2"/>
        <w:rPr>
          <w:sz w:val="12"/>
        </w:rPr>
      </w:pPr>
    </w:p>
    <w:p>
      <w:pPr>
        <w:tabs>
          <w:tab w:pos="980" w:val="left" w:leader="none"/>
          <w:tab w:pos="3296" w:val="left" w:leader="none"/>
        </w:tabs>
        <w:spacing w:before="36"/>
        <w:ind w:left="332" w:right="0" w:firstLine="0"/>
        <w:jc w:val="left"/>
        <w:rPr>
          <w:sz w:val="21"/>
        </w:rPr>
      </w:pPr>
      <w:r>
        <w:rPr>
          <w:b/>
          <w:sz w:val="21"/>
        </w:rPr>
        <w:t>2.1</w:t>
        <w:tab/>
        <w:t>责任免除</w:t>
        <w:tab/>
      </w:r>
      <w:r>
        <w:rPr>
          <w:sz w:val="21"/>
          <w:shd w:fill="DADADA" w:color="auto" w:val="clear"/>
        </w:rPr>
        <w:t>因下列情形之一导致被保险人初次发生“重大疾病”或“特定轻度重疾”</w:t>
      </w:r>
    </w:p>
    <w:p>
      <w:pPr>
        <w:pStyle w:val="BodyText"/>
        <w:spacing w:before="36"/>
        <w:ind w:left="3296"/>
      </w:pPr>
      <w:r>
        <w:rPr>
          <w:shd w:fill="DADADA" w:color="auto" w:val="clear"/>
        </w:rPr>
        <w:t>的，我们不承担给付保险金或豁免保险费的责任：</w:t>
      </w:r>
    </w:p>
    <w:p>
      <w:pPr>
        <w:pStyle w:val="BodyText"/>
        <w:spacing w:before="36"/>
        <w:ind w:left="3296"/>
      </w:pPr>
      <w:r>
        <w:rPr>
          <w:shd w:fill="DADADA" w:color="auto" w:val="clear"/>
        </w:rPr>
        <w:t>（1）投保人对被保险人的故意杀害、故意伤害；</w:t>
      </w:r>
    </w:p>
    <w:p>
      <w:pPr>
        <w:pStyle w:val="BodyText"/>
        <w:spacing w:before="36"/>
        <w:ind w:left="3296"/>
      </w:pPr>
      <w:r>
        <w:rPr>
          <w:shd w:fill="DADADA" w:color="auto" w:val="clear"/>
        </w:rPr>
        <w:t>（2）被保险人故意自伤、故意犯罪或者抗拒依法采取的刑事强制措施；</w:t>
      </w:r>
    </w:p>
    <w:p>
      <w:pPr>
        <w:spacing w:after="0"/>
        <w:sectPr>
          <w:type w:val="continuous"/>
          <w:pgSz w:w="11910" w:h="16840"/>
          <w:pgMar w:top="400" w:bottom="280" w:left="800" w:right="80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4"/>
        <w:gridCol w:w="2471"/>
        <w:gridCol w:w="6896"/>
      </w:tblGrid>
      <w:tr>
        <w:trPr>
          <w:trHeight w:val="4871" w:hRule="atLeast"/>
        </w:trPr>
        <w:tc>
          <w:tcPr>
            <w:tcW w:w="714" w:type="dxa"/>
          </w:tcPr>
          <w:p>
            <w:pPr>
              <w:pStyle w:val="TableParagraph"/>
              <w:rPr>
                <w:rFonts w:ascii="Times New Roman"/>
                <w:sz w:val="18"/>
              </w:rPr>
            </w:pPr>
          </w:p>
        </w:tc>
        <w:tc>
          <w:tcPr>
            <w:tcW w:w="2471" w:type="dxa"/>
          </w:tcPr>
          <w:p>
            <w:pPr>
              <w:pStyle w:val="TableParagraph"/>
              <w:rPr>
                <w:rFonts w:ascii="Times New Roman"/>
                <w:sz w:val="18"/>
              </w:rPr>
            </w:pPr>
          </w:p>
        </w:tc>
        <w:tc>
          <w:tcPr>
            <w:tcW w:w="6896" w:type="dxa"/>
          </w:tcPr>
          <w:p>
            <w:pPr>
              <w:pStyle w:val="TableParagraph"/>
              <w:spacing w:line="237" w:lineRule="exact"/>
              <w:ind w:left="-1"/>
              <w:rPr>
                <w:sz w:val="21"/>
              </w:rPr>
            </w:pPr>
            <w:r>
              <w:rPr>
                <w:sz w:val="21"/>
              </w:rPr>
              <w:t>（3）被保险人主动吸食或注射</w:t>
            </w:r>
            <w:r>
              <w:rPr>
                <w:rFonts w:ascii="黑体" w:eastAsia="黑体" w:hint="eastAsia"/>
                <w:b/>
                <w:sz w:val="21"/>
              </w:rPr>
              <w:t>毒品 </w:t>
            </w:r>
            <w:hyperlink w:history="true" w:anchor="_bookmark7">
              <w:r>
                <w:rPr>
                  <w:rFonts w:ascii="黑体" w:eastAsia="黑体" w:hint="eastAsia"/>
                  <w:b/>
                  <w:position w:val="11"/>
                  <w:sz w:val="11"/>
                </w:rPr>
                <w:t>8</w:t>
              </w:r>
            </w:hyperlink>
            <w:r>
              <w:rPr>
                <w:sz w:val="21"/>
              </w:rPr>
              <w:t>；</w:t>
            </w:r>
          </w:p>
          <w:p>
            <w:pPr>
              <w:pStyle w:val="TableParagraph"/>
              <w:spacing w:before="37"/>
              <w:ind w:left="-1"/>
              <w:rPr>
                <w:sz w:val="21"/>
              </w:rPr>
            </w:pPr>
            <w:r>
              <w:rPr>
                <w:sz w:val="21"/>
              </w:rPr>
              <w:t>（4）被保险人</w:t>
            </w:r>
            <w:r>
              <w:rPr>
                <w:rFonts w:ascii="黑体" w:eastAsia="黑体" w:hint="eastAsia"/>
                <w:b/>
                <w:sz w:val="21"/>
              </w:rPr>
              <w:t>酒后驾驶 </w:t>
            </w:r>
            <w:hyperlink w:history="true" w:anchor="_bookmark8">
              <w:r>
                <w:rPr>
                  <w:rFonts w:ascii="黑体" w:eastAsia="黑体" w:hint="eastAsia"/>
                  <w:b/>
                  <w:position w:val="11"/>
                  <w:sz w:val="11"/>
                </w:rPr>
                <w:t>9</w:t>
              </w:r>
            </w:hyperlink>
            <w:r>
              <w:rPr>
                <w:rFonts w:ascii="黑体" w:eastAsia="黑体" w:hint="eastAsia"/>
                <w:b/>
                <w:sz w:val="21"/>
              </w:rPr>
              <w:t>机动车 </w:t>
            </w:r>
            <w:hyperlink w:history="true" w:anchor="_bookmark9">
              <w:r>
                <w:rPr>
                  <w:rFonts w:ascii="黑体" w:eastAsia="黑体" w:hint="eastAsia"/>
                  <w:b/>
                  <w:position w:val="11"/>
                  <w:sz w:val="11"/>
                </w:rPr>
                <w:t>10</w:t>
              </w:r>
            </w:hyperlink>
            <w:r>
              <w:rPr>
                <w:sz w:val="21"/>
              </w:rPr>
              <w:t>；</w:t>
            </w:r>
          </w:p>
          <w:p>
            <w:pPr>
              <w:pStyle w:val="TableParagraph"/>
              <w:spacing w:line="273" w:lineRule="auto" w:before="37"/>
              <w:ind w:left="503" w:hanging="504"/>
              <w:rPr>
                <w:sz w:val="21"/>
              </w:rPr>
            </w:pPr>
            <w:r>
              <w:rPr>
                <w:spacing w:val="-14"/>
                <w:sz w:val="21"/>
              </w:rPr>
              <w:t>（5）</w:t>
            </w:r>
            <w:r>
              <w:rPr>
                <w:spacing w:val="-3"/>
                <w:sz w:val="21"/>
              </w:rPr>
              <w:t>被保险人</w:t>
            </w:r>
            <w:r>
              <w:rPr>
                <w:rFonts w:ascii="黑体" w:eastAsia="黑体" w:hint="eastAsia"/>
                <w:b/>
                <w:spacing w:val="-3"/>
                <w:sz w:val="21"/>
              </w:rPr>
              <w:t>感染艾滋病病毒或患艾滋病 </w:t>
            </w:r>
            <w:hyperlink w:history="true" w:anchor="_bookmark10">
              <w:r>
                <w:rPr>
                  <w:rFonts w:ascii="黑体" w:eastAsia="黑体" w:hint="eastAsia"/>
                  <w:b/>
                  <w:spacing w:val="-12"/>
                  <w:position w:val="11"/>
                  <w:sz w:val="11"/>
                </w:rPr>
                <w:t>11</w:t>
              </w:r>
            </w:hyperlink>
            <w:r>
              <w:rPr>
                <w:spacing w:val="-12"/>
                <w:sz w:val="21"/>
              </w:rPr>
              <w:t>（</w:t>
            </w:r>
            <w:r>
              <w:rPr>
                <w:spacing w:val="-8"/>
                <w:sz w:val="21"/>
              </w:rPr>
              <w:t>不包括经输血、因职业关系、</w:t>
            </w:r>
            <w:r>
              <w:rPr>
                <w:spacing w:val="-3"/>
                <w:w w:val="100"/>
                <w:sz w:val="21"/>
              </w:rPr>
              <w:t>器官移植导致的艾滋病病毒感染或患艾滋病</w:t>
            </w:r>
            <w:r>
              <w:rPr>
                <w:spacing w:val="-108"/>
                <w:w w:val="100"/>
                <w:sz w:val="21"/>
              </w:rPr>
              <w:t>）</w:t>
            </w:r>
            <w:r>
              <w:rPr>
                <w:w w:val="100"/>
                <w:sz w:val="21"/>
              </w:rPr>
              <w:t>；</w:t>
            </w:r>
          </w:p>
          <w:p>
            <w:pPr>
              <w:pStyle w:val="TableParagraph"/>
              <w:spacing w:before="7"/>
              <w:ind w:left="-1"/>
              <w:rPr>
                <w:sz w:val="21"/>
              </w:rPr>
            </w:pPr>
            <w:r>
              <w:rPr>
                <w:sz w:val="21"/>
                <w:shd w:fill="DADADA" w:color="auto" w:val="clear"/>
              </w:rPr>
              <w:t>（6）战争、军事冲突、暴乱或武装叛乱；</w:t>
            </w:r>
          </w:p>
          <w:p>
            <w:pPr>
              <w:pStyle w:val="TableParagraph"/>
              <w:spacing w:before="36"/>
              <w:ind w:left="-1"/>
              <w:rPr>
                <w:sz w:val="21"/>
              </w:rPr>
            </w:pPr>
            <w:r>
              <w:rPr>
                <w:sz w:val="21"/>
                <w:shd w:fill="DADADA" w:color="auto" w:val="clear"/>
              </w:rPr>
              <w:t>（7）核爆炸、核辐射或核污染；</w:t>
            </w:r>
          </w:p>
          <w:p>
            <w:pPr>
              <w:pStyle w:val="TableParagraph"/>
              <w:spacing w:line="273" w:lineRule="auto" w:before="36"/>
              <w:ind w:left="465" w:right="102" w:hanging="466"/>
              <w:jc w:val="both"/>
              <w:rPr>
                <w:sz w:val="21"/>
              </w:rPr>
            </w:pPr>
            <w:r>
              <w:rPr>
                <w:w w:val="100"/>
                <w:sz w:val="21"/>
              </w:rPr>
              <w:t>（</w:t>
            </w:r>
            <w:r>
              <w:rPr>
                <w:spacing w:val="-3"/>
                <w:w w:val="100"/>
                <w:sz w:val="21"/>
              </w:rPr>
              <w:t>8</w:t>
            </w:r>
            <w:r>
              <w:rPr>
                <w:spacing w:val="-56"/>
                <w:w w:val="100"/>
                <w:sz w:val="21"/>
              </w:rPr>
              <w:t>）</w:t>
            </w:r>
            <w:r>
              <w:rPr>
                <w:rFonts w:ascii="黑体" w:eastAsia="黑体" w:hint="eastAsia"/>
                <w:b/>
                <w:w w:val="100"/>
                <w:sz w:val="21"/>
              </w:rPr>
              <w:t>遗传性疾病</w:t>
            </w:r>
            <w:r>
              <w:rPr>
                <w:rFonts w:ascii="黑体" w:eastAsia="黑体" w:hint="eastAsia"/>
                <w:b/>
                <w:sz w:val="21"/>
              </w:rPr>
              <w:t> </w:t>
            </w:r>
            <w:hyperlink w:history="true" w:anchor="_bookmark11">
              <w:r>
                <w:rPr>
                  <w:rFonts w:ascii="黑体" w:eastAsia="黑体" w:hint="eastAsia"/>
                  <w:b/>
                  <w:spacing w:val="1"/>
                  <w:w w:val="99"/>
                  <w:position w:val="11"/>
                  <w:sz w:val="11"/>
                </w:rPr>
                <w:t>1</w:t>
              </w:r>
              <w:r>
                <w:rPr>
                  <w:rFonts w:ascii="黑体" w:eastAsia="黑体" w:hint="eastAsia"/>
                  <w:b/>
                  <w:spacing w:val="-51"/>
                  <w:w w:val="99"/>
                  <w:position w:val="11"/>
                  <w:sz w:val="11"/>
                </w:rPr>
                <w:t>2</w:t>
              </w:r>
            </w:hyperlink>
            <w:r>
              <w:rPr>
                <w:spacing w:val="-3"/>
                <w:w w:val="100"/>
                <w:sz w:val="21"/>
              </w:rPr>
              <w:t>（</w:t>
            </w:r>
            <w:r>
              <w:rPr>
                <w:spacing w:val="-11"/>
                <w:w w:val="100"/>
                <w:sz w:val="21"/>
              </w:rPr>
              <w:t>不包括严重肾髓质囊性病、严重肝豆状核变性</w:t>
            </w:r>
            <w:r>
              <w:rPr>
                <w:spacing w:val="-1"/>
                <w:w w:val="100"/>
                <w:sz w:val="21"/>
              </w:rPr>
              <w:t>（</w:t>
            </w:r>
            <w:r>
              <w:rPr>
                <w:w w:val="100"/>
                <w:sz w:val="21"/>
              </w:rPr>
              <w:t>W</w:t>
            </w:r>
            <w:r>
              <w:rPr>
                <w:spacing w:val="-3"/>
                <w:w w:val="100"/>
                <w:sz w:val="21"/>
              </w:rPr>
              <w:t>i</w:t>
            </w:r>
            <w:r>
              <w:rPr>
                <w:w w:val="100"/>
                <w:sz w:val="21"/>
              </w:rPr>
              <w:t>ls</w:t>
            </w:r>
            <w:r>
              <w:rPr>
                <w:spacing w:val="-3"/>
                <w:w w:val="100"/>
                <w:sz w:val="21"/>
              </w:rPr>
              <w:t>o</w:t>
            </w:r>
            <w:r>
              <w:rPr>
                <w:w w:val="100"/>
                <w:sz w:val="21"/>
              </w:rPr>
              <w:t>n病</w:t>
            </w:r>
            <w:r>
              <w:rPr>
                <w:spacing w:val="-106"/>
                <w:w w:val="100"/>
                <w:sz w:val="21"/>
              </w:rPr>
              <w:t>）</w:t>
            </w:r>
            <w:r>
              <w:rPr>
                <w:spacing w:val="-3"/>
                <w:w w:val="100"/>
                <w:sz w:val="21"/>
              </w:rPr>
              <w:t>、艾森门格综合征及成骨不全症第三型</w:t>
            </w:r>
            <w:r>
              <w:rPr>
                <w:spacing w:val="-108"/>
                <w:w w:val="100"/>
                <w:sz w:val="21"/>
              </w:rPr>
              <w:t>）</w:t>
            </w:r>
            <w:r>
              <w:rPr>
                <w:spacing w:val="-3"/>
                <w:w w:val="100"/>
                <w:sz w:val="21"/>
              </w:rPr>
              <w:t>，</w:t>
            </w:r>
            <w:r>
              <w:rPr>
                <w:rFonts w:ascii="黑体" w:eastAsia="黑体" w:hint="eastAsia"/>
                <w:b/>
                <w:w w:val="100"/>
                <w:sz w:val="21"/>
                <w:shd w:fill="DADADA" w:color="auto" w:val="clear"/>
              </w:rPr>
              <w:t>先天性畸形、变形或染</w:t>
            </w:r>
            <w:r>
              <w:rPr>
                <w:rFonts w:ascii="黑体" w:eastAsia="黑体" w:hint="eastAsia"/>
                <w:b/>
                <w:spacing w:val="-8"/>
                <w:sz w:val="21"/>
              </w:rPr>
              <w:t>色体异常 </w:t>
            </w:r>
            <w:hyperlink w:history="true" w:anchor="_bookmark12">
              <w:r>
                <w:rPr>
                  <w:rFonts w:ascii="黑体" w:eastAsia="黑体" w:hint="eastAsia"/>
                  <w:b/>
                  <w:position w:val="11"/>
                  <w:sz w:val="11"/>
                </w:rPr>
                <w:t>13</w:t>
              </w:r>
            </w:hyperlink>
            <w:r>
              <w:rPr>
                <w:sz w:val="21"/>
              </w:rPr>
              <w:t>。</w:t>
            </w:r>
          </w:p>
          <w:p>
            <w:pPr>
              <w:pStyle w:val="TableParagraph"/>
              <w:spacing w:line="273" w:lineRule="auto" w:before="3"/>
              <w:ind w:left="-1" w:right="104"/>
              <w:jc w:val="both"/>
              <w:rPr>
                <w:sz w:val="21"/>
              </w:rPr>
            </w:pPr>
            <w:r>
              <w:rPr>
                <w:sz w:val="21"/>
                <w:shd w:fill="DADADA" w:color="auto" w:val="clear"/>
              </w:rPr>
              <w:t>发生上述第（1）项情形导致被保险人初次发生“重大疾病” 的，本附加险合同终止，主险</w:t>
            </w:r>
            <w:r>
              <w:rPr>
                <w:spacing w:val="-212"/>
                <w:sz w:val="21"/>
                <w:shd w:fill="DADADA" w:color="auto" w:val="clear"/>
              </w:rPr>
              <w:t>合</w:t>
            </w:r>
            <w:r>
              <w:rPr>
                <w:sz w:val="21"/>
                <w:shd w:fill="DADADA" w:color="auto" w:val="clear"/>
              </w:rPr>
              <w:t>同同时终止，我们向被保险人退还本附加险合同及主险</w:t>
            </w:r>
            <w:r>
              <w:rPr>
                <w:spacing w:val="-3"/>
                <w:sz w:val="21"/>
                <w:shd w:fill="DADADA" w:color="auto" w:val="clear"/>
              </w:rPr>
              <w:t>合同的现金价值。</w:t>
            </w:r>
          </w:p>
          <w:p>
            <w:pPr>
              <w:pStyle w:val="TableParagraph"/>
              <w:spacing w:line="273" w:lineRule="auto" w:before="7"/>
              <w:ind w:left="-1" w:right="106"/>
              <w:jc w:val="both"/>
              <w:rPr>
                <w:sz w:val="21"/>
              </w:rPr>
            </w:pPr>
            <w:r>
              <w:rPr>
                <w:sz w:val="21"/>
                <w:shd w:fill="DADADA" w:color="auto" w:val="clear"/>
              </w:rPr>
              <w:t>发生上述其他情形导致被保险人初次发生“重大疾病”的，本附加险合同</w:t>
            </w:r>
            <w:r>
              <w:rPr>
                <w:spacing w:val="-212"/>
                <w:sz w:val="21"/>
                <w:shd w:fill="DADADA" w:color="auto" w:val="clear"/>
              </w:rPr>
              <w:t>终</w:t>
            </w:r>
            <w:r>
              <w:rPr>
                <w:sz w:val="21"/>
                <w:shd w:fill="DADADA" w:color="auto" w:val="clear"/>
              </w:rPr>
              <w:t>止，主险合同同时终止，我们向您退还本附加险合同及主险合同的现金 价值。</w:t>
            </w:r>
          </w:p>
        </w:tc>
      </w:tr>
      <w:tr>
        <w:trPr>
          <w:trHeight w:val="1284" w:hRule="atLeast"/>
        </w:trPr>
        <w:tc>
          <w:tcPr>
            <w:tcW w:w="714" w:type="dxa"/>
          </w:tcPr>
          <w:p>
            <w:pPr>
              <w:pStyle w:val="TableParagraph"/>
              <w:spacing w:before="7"/>
              <w:rPr>
                <w:sz w:val="14"/>
              </w:rPr>
            </w:pPr>
          </w:p>
          <w:p>
            <w:pPr>
              <w:pStyle w:val="TableParagraph"/>
              <w:ind w:right="174"/>
              <w:jc w:val="right"/>
              <w:rPr>
                <w:b/>
                <w:sz w:val="21"/>
              </w:rPr>
            </w:pPr>
            <w:r>
              <w:rPr>
                <w:b/>
                <w:sz w:val="21"/>
              </w:rPr>
              <w:t>2.2</w:t>
            </w:r>
          </w:p>
        </w:tc>
        <w:tc>
          <w:tcPr>
            <w:tcW w:w="2471" w:type="dxa"/>
          </w:tcPr>
          <w:p>
            <w:pPr>
              <w:pStyle w:val="TableParagraph"/>
              <w:spacing w:before="7"/>
              <w:rPr>
                <w:sz w:val="14"/>
              </w:rPr>
            </w:pPr>
          </w:p>
          <w:p>
            <w:pPr>
              <w:pStyle w:val="TableParagraph"/>
              <w:ind w:left="154"/>
              <w:rPr>
                <w:b/>
                <w:sz w:val="21"/>
              </w:rPr>
            </w:pPr>
            <w:r>
              <w:rPr>
                <w:b/>
                <w:sz w:val="21"/>
              </w:rPr>
              <w:t>其他免责条款</w:t>
            </w:r>
          </w:p>
        </w:tc>
        <w:tc>
          <w:tcPr>
            <w:tcW w:w="6896" w:type="dxa"/>
          </w:tcPr>
          <w:p>
            <w:pPr>
              <w:pStyle w:val="TableParagraph"/>
              <w:spacing w:before="7"/>
              <w:rPr>
                <w:sz w:val="14"/>
              </w:rPr>
            </w:pPr>
          </w:p>
          <w:p>
            <w:pPr>
              <w:pStyle w:val="TableParagraph"/>
              <w:spacing w:line="273" w:lineRule="auto"/>
              <w:ind w:left="-1" w:right="10" w:hanging="1"/>
              <w:rPr>
                <w:sz w:val="21"/>
              </w:rPr>
            </w:pPr>
            <w:r>
              <w:rPr>
                <w:sz w:val="21"/>
              </w:rPr>
              <w:t>除“2.1</w:t>
            </w:r>
            <w:r>
              <w:rPr>
                <w:spacing w:val="-7"/>
                <w:sz w:val="21"/>
              </w:rPr>
              <w:t> 责任免除”外，本附加险合同中还有一些免除保险人责任的条款， 详见“1.1</w:t>
            </w:r>
            <w:r>
              <w:rPr>
                <w:spacing w:val="-35"/>
                <w:sz w:val="21"/>
              </w:rPr>
              <w:t> 保险责任”、“</w:t>
            </w:r>
            <w:r>
              <w:rPr>
                <w:sz w:val="21"/>
              </w:rPr>
              <w:t>8</w:t>
            </w:r>
            <w:r>
              <w:rPr>
                <w:spacing w:val="-31"/>
                <w:sz w:val="21"/>
              </w:rPr>
              <w:t> 重大疾病释义”、</w:t>
            </w:r>
            <w:r>
              <w:rPr>
                <w:sz w:val="21"/>
              </w:rPr>
              <w:t>“9</w:t>
            </w:r>
            <w:r>
              <w:rPr>
                <w:spacing w:val="-23"/>
                <w:sz w:val="21"/>
              </w:rPr>
              <w:t> 特定轻度重疾释义”、“脚注</w:t>
            </w:r>
          </w:p>
          <w:p>
            <w:pPr>
              <w:pStyle w:val="TableParagraph"/>
              <w:spacing w:before="7"/>
              <w:ind w:left="-1"/>
              <w:rPr>
                <w:sz w:val="21"/>
              </w:rPr>
            </w:pPr>
            <w:r>
              <w:rPr>
                <w:sz w:val="21"/>
              </w:rPr>
              <w:t>1 医院”中背景突出显示的内容。</w:t>
            </w:r>
          </w:p>
        </w:tc>
      </w:tr>
      <w:tr>
        <w:trPr>
          <w:trHeight w:val="944" w:hRule="atLeast"/>
        </w:trPr>
        <w:tc>
          <w:tcPr>
            <w:tcW w:w="714" w:type="dxa"/>
            <w:tcBorders>
              <w:bottom w:val="single" w:sz="8" w:space="0" w:color="000000"/>
            </w:tcBorders>
          </w:tcPr>
          <w:p>
            <w:pPr>
              <w:pStyle w:val="TableParagraph"/>
              <w:spacing w:before="145"/>
              <w:ind w:right="153"/>
              <w:jc w:val="right"/>
              <w:rPr>
                <w:rFonts w:ascii="Arial" w:hAnsi="Arial"/>
                <w:b/>
                <w:sz w:val="40"/>
              </w:rPr>
            </w:pPr>
            <w:r>
              <w:rPr>
                <w:rFonts w:ascii="Arial" w:hAnsi="Arial"/>
                <w:b/>
                <w:w w:val="119"/>
                <w:sz w:val="40"/>
              </w:rPr>
              <w:t></w:t>
            </w:r>
          </w:p>
        </w:tc>
        <w:tc>
          <w:tcPr>
            <w:tcW w:w="9367" w:type="dxa"/>
            <w:gridSpan w:val="2"/>
            <w:tcBorders>
              <w:bottom w:val="single" w:sz="8" w:space="0" w:color="000000"/>
            </w:tcBorders>
          </w:tcPr>
          <w:p>
            <w:pPr>
              <w:pStyle w:val="TableParagraph"/>
              <w:spacing w:before="144"/>
              <w:ind w:left="154"/>
              <w:rPr>
                <w:b/>
                <w:sz w:val="24"/>
              </w:rPr>
            </w:pPr>
            <w:r>
              <w:rPr>
                <w:b/>
                <w:w w:val="95"/>
                <w:sz w:val="24"/>
              </w:rPr>
              <w:t>如何支付保险费</w:t>
            </w:r>
          </w:p>
          <w:p>
            <w:pPr>
              <w:pStyle w:val="TableParagraph"/>
              <w:spacing w:before="105"/>
              <w:ind w:left="154"/>
              <w:rPr>
                <w:sz w:val="24"/>
              </w:rPr>
            </w:pPr>
            <w:r>
              <w:rPr>
                <w:sz w:val="24"/>
              </w:rPr>
              <w:t>这部分讲的是您应当按时交纳保险费，如果不及时交费可能会导致合同效力中止。</w:t>
            </w:r>
          </w:p>
        </w:tc>
      </w:tr>
      <w:tr>
        <w:trPr>
          <w:trHeight w:val="1724" w:hRule="atLeast"/>
        </w:trPr>
        <w:tc>
          <w:tcPr>
            <w:tcW w:w="714" w:type="dxa"/>
            <w:tcBorders>
              <w:top w:val="single" w:sz="8" w:space="0" w:color="000000"/>
            </w:tcBorders>
          </w:tcPr>
          <w:p>
            <w:pPr>
              <w:pStyle w:val="TableParagraph"/>
              <w:spacing w:before="11"/>
              <w:rPr>
                <w:sz w:val="18"/>
              </w:rPr>
            </w:pPr>
          </w:p>
          <w:p>
            <w:pPr>
              <w:pStyle w:val="TableParagraph"/>
              <w:ind w:right="174"/>
              <w:jc w:val="right"/>
              <w:rPr>
                <w:b/>
                <w:sz w:val="21"/>
              </w:rPr>
            </w:pPr>
            <w:r>
              <w:rPr>
                <w:b/>
                <w:sz w:val="21"/>
              </w:rPr>
              <w:t>3.1</w:t>
            </w:r>
          </w:p>
        </w:tc>
        <w:tc>
          <w:tcPr>
            <w:tcW w:w="2471" w:type="dxa"/>
            <w:tcBorders>
              <w:top w:val="single" w:sz="8" w:space="0" w:color="000000"/>
            </w:tcBorders>
          </w:tcPr>
          <w:p>
            <w:pPr>
              <w:pStyle w:val="TableParagraph"/>
              <w:spacing w:before="11"/>
              <w:rPr>
                <w:sz w:val="18"/>
              </w:rPr>
            </w:pPr>
          </w:p>
          <w:p>
            <w:pPr>
              <w:pStyle w:val="TableParagraph"/>
              <w:ind w:left="154"/>
              <w:rPr>
                <w:b/>
                <w:sz w:val="21"/>
              </w:rPr>
            </w:pPr>
            <w:r>
              <w:rPr>
                <w:b/>
                <w:sz w:val="21"/>
              </w:rPr>
              <w:t>保险费的支付</w:t>
            </w:r>
          </w:p>
        </w:tc>
        <w:tc>
          <w:tcPr>
            <w:tcW w:w="6896" w:type="dxa"/>
            <w:tcBorders>
              <w:top w:val="single" w:sz="8" w:space="0" w:color="000000"/>
            </w:tcBorders>
          </w:tcPr>
          <w:p>
            <w:pPr>
              <w:pStyle w:val="TableParagraph"/>
              <w:spacing w:before="11"/>
              <w:rPr>
                <w:sz w:val="18"/>
              </w:rPr>
            </w:pPr>
          </w:p>
          <w:p>
            <w:pPr>
              <w:pStyle w:val="TableParagraph"/>
              <w:spacing w:line="273" w:lineRule="auto"/>
              <w:ind w:left="-1" w:right="102"/>
              <w:jc w:val="both"/>
              <w:rPr>
                <w:sz w:val="21"/>
              </w:rPr>
            </w:pPr>
            <w:r>
              <w:rPr>
                <w:spacing w:val="-3"/>
                <w:sz w:val="21"/>
              </w:rPr>
              <w:t>本附加险合同的交费方式和交费期间由您和我们约定并在保险单上载明。</w:t>
            </w:r>
            <w:r>
              <w:rPr>
                <w:spacing w:val="-12"/>
                <w:sz w:val="21"/>
              </w:rPr>
              <w:t>分期支付保险费的，在支付首期保险费后，您应当在</w:t>
            </w:r>
            <w:r>
              <w:rPr>
                <w:rFonts w:ascii="黑体" w:eastAsia="黑体" w:hint="eastAsia"/>
                <w:b/>
                <w:spacing w:val="-2"/>
                <w:sz w:val="21"/>
              </w:rPr>
              <w:t>保险费约定支付日 </w:t>
            </w:r>
            <w:hyperlink w:history="true" w:anchor="_bookmark13">
              <w:r>
                <w:rPr>
                  <w:rFonts w:ascii="黑体" w:eastAsia="黑体" w:hint="eastAsia"/>
                  <w:b/>
                  <w:position w:val="11"/>
                  <w:sz w:val="11"/>
                </w:rPr>
                <w:t>14</w:t>
              </w:r>
            </w:hyperlink>
            <w:r>
              <w:rPr>
                <w:sz w:val="21"/>
              </w:rPr>
              <w:t>支</w:t>
            </w:r>
            <w:r>
              <w:rPr>
                <w:spacing w:val="-3"/>
                <w:sz w:val="21"/>
              </w:rPr>
              <w:t>付其余各期的保险费。</w:t>
            </w:r>
          </w:p>
          <w:p>
            <w:pPr>
              <w:pStyle w:val="TableParagraph"/>
              <w:spacing w:before="7"/>
              <w:ind w:left="-1"/>
              <w:jc w:val="both"/>
              <w:rPr>
                <w:sz w:val="21"/>
              </w:rPr>
            </w:pPr>
            <w:r>
              <w:rPr>
                <w:sz w:val="21"/>
              </w:rPr>
              <w:t>本附加险合同的保险费必须随主险合同保险费一同支付，不能单独支付。</w:t>
            </w:r>
          </w:p>
        </w:tc>
      </w:tr>
      <w:tr>
        <w:trPr>
          <w:trHeight w:val="1095" w:hRule="atLeast"/>
        </w:trPr>
        <w:tc>
          <w:tcPr>
            <w:tcW w:w="714" w:type="dxa"/>
          </w:tcPr>
          <w:p>
            <w:pPr>
              <w:pStyle w:val="TableParagraph"/>
              <w:spacing w:before="7"/>
              <w:rPr>
                <w:sz w:val="14"/>
              </w:rPr>
            </w:pPr>
          </w:p>
          <w:p>
            <w:pPr>
              <w:pStyle w:val="TableParagraph"/>
              <w:ind w:right="174"/>
              <w:jc w:val="right"/>
              <w:rPr>
                <w:b/>
                <w:sz w:val="21"/>
              </w:rPr>
            </w:pPr>
            <w:r>
              <w:rPr>
                <w:b/>
                <w:sz w:val="21"/>
              </w:rPr>
              <w:t>3.2</w:t>
            </w:r>
          </w:p>
        </w:tc>
        <w:tc>
          <w:tcPr>
            <w:tcW w:w="2471" w:type="dxa"/>
          </w:tcPr>
          <w:p>
            <w:pPr>
              <w:pStyle w:val="TableParagraph"/>
              <w:spacing w:before="7"/>
              <w:rPr>
                <w:sz w:val="14"/>
              </w:rPr>
            </w:pPr>
          </w:p>
          <w:p>
            <w:pPr>
              <w:pStyle w:val="TableParagraph"/>
              <w:ind w:left="154"/>
              <w:rPr>
                <w:b/>
                <w:sz w:val="21"/>
              </w:rPr>
            </w:pPr>
            <w:r>
              <w:rPr>
                <w:b/>
                <w:sz w:val="21"/>
              </w:rPr>
              <w:t>宽限期</w:t>
            </w:r>
          </w:p>
        </w:tc>
        <w:tc>
          <w:tcPr>
            <w:tcW w:w="6896" w:type="dxa"/>
          </w:tcPr>
          <w:p>
            <w:pPr>
              <w:pStyle w:val="TableParagraph"/>
              <w:spacing w:line="310" w:lineRule="atLeast" w:before="155"/>
              <w:ind w:left="-1" w:right="102"/>
              <w:jc w:val="both"/>
              <w:rPr>
                <w:sz w:val="21"/>
              </w:rPr>
            </w:pPr>
            <w:r>
              <w:rPr>
                <w:sz w:val="21"/>
              </w:rPr>
              <w:t>分期支付保险费的，在支付首期保险费后，除本附加险合同另有约定外， </w:t>
            </w:r>
            <w:r>
              <w:rPr>
                <w:spacing w:val="-8"/>
                <w:sz w:val="21"/>
              </w:rPr>
              <w:t>如果您到期未支付保险费，自保险费约定支付日的次日零时起 </w:t>
            </w:r>
            <w:r>
              <w:rPr>
                <w:sz w:val="21"/>
              </w:rPr>
              <w:t>60</w:t>
            </w:r>
            <w:r>
              <w:rPr>
                <w:spacing w:val="-10"/>
                <w:sz w:val="21"/>
              </w:rPr>
              <w:t> 日为宽限期。宽限期内发生的保险事故，我们仍会承担保险责任，但在给付保险金</w:t>
            </w:r>
          </w:p>
        </w:tc>
      </w:tr>
    </w:tbl>
    <w:p>
      <w:pPr>
        <w:pStyle w:val="BodyText"/>
        <w:spacing w:before="9"/>
        <w:rPr>
          <w:sz w:val="19"/>
        </w:rPr>
      </w:pPr>
      <w:r>
        <w:rPr/>
        <w:pict>
          <v:line style="position:absolute;mso-position-horizontal-relative:page;mso-position-vertical-relative:paragraph;z-index:1336;mso-wrap-distance-left:0;mso-wrap-distance-right:0" from="51pt,15.12026pt" to="195pt,15.12026pt" stroked="true" strokeweight=".481pt" strokecolor="#000000">
            <v:stroke dashstyle="solid"/>
            <w10:wrap type="topAndBottom"/>
          </v:line>
        </w:pict>
      </w:r>
      <w:r>
        <w:rPr/>
        <w:pict>
          <v:shape style="position:absolute;margin-left:204.840012pt;margin-top:57.600945pt;width:201.75pt;height:44.9pt;mso-position-horizontal-relative:page;mso-position-vertical-relative:page;z-index:-68056" coordorigin="4097,1152" coordsize="4035,898" path="m7445,1464l4097,1464,4097,1738,7445,1738,7445,1464m7682,1152l4097,1152,4097,1426,7682,1426,7682,1152m8131,1776l4097,1776,4097,2050,8131,2050,8131,1776e" filled="true" fillcolor="#dadada" stroked="false">
            <v:path arrowok="t"/>
            <v:fill type="solid"/>
            <w10:wrap type="none"/>
          </v:shape>
        </w:pict>
      </w:r>
      <w:r>
        <w:rPr/>
        <w:pict>
          <v:rect style="position:absolute;margin-left:204.839996pt;margin-top:151.199982pt;width:85.2pt;height:13.68pt;mso-position-horizontal-relative:page;mso-position-vertical-relative:page;z-index:-68032" filled="true" fillcolor="#dadada" stroked="false">
            <v:fill type="solid"/>
            <w10:wrap type="none"/>
          </v:rect>
        </w:pict>
      </w:r>
      <w:r>
        <w:rPr/>
        <w:pict>
          <v:rect style="position:absolute;margin-left:228.119995pt;margin-top:182.399979pt;width:61.56pt;height:13.68pt;mso-position-horizontal-relative:page;mso-position-vertical-relative:page;z-index:-68008" filled="true" fillcolor="#dadada" stroked="false">
            <v:fill type="solid"/>
            <w10:wrap type="none"/>
          </v:rect>
        </w:pict>
      </w:r>
    </w:p>
    <w:p>
      <w:pPr>
        <w:spacing w:line="259" w:lineRule="auto" w:before="22"/>
        <w:ind w:left="399" w:right="217" w:hanging="180"/>
        <w:jc w:val="left"/>
        <w:rPr>
          <w:sz w:val="18"/>
        </w:rPr>
      </w:pPr>
      <w:bookmarkStart w:name="_bookmark7" w:id="8"/>
      <w:bookmarkEnd w:id="8"/>
      <w:r>
        <w:rPr/>
      </w:r>
      <w:r>
        <w:rPr>
          <w:rFonts w:ascii="Microsoft JhengHei" w:eastAsia="Microsoft JhengHei" w:hint="eastAsia"/>
          <w:b/>
          <w:position w:val="9"/>
          <w:sz w:val="9"/>
        </w:rPr>
        <w:t>8 </w:t>
      </w:r>
      <w:r>
        <w:rPr>
          <w:rFonts w:ascii="Microsoft JhengHei" w:eastAsia="Microsoft JhengHei" w:hint="eastAsia"/>
          <w:b/>
          <w:sz w:val="18"/>
        </w:rPr>
        <w:t>毒品</w:t>
      </w:r>
      <w:r>
        <w:rPr>
          <w:spacing w:val="-7"/>
          <w:sz w:val="18"/>
        </w:rPr>
        <w:t>指《中华人民共和国刑法》规定的鸦片、海洛因、甲基苯丙胺</w:t>
      </w:r>
      <w:r>
        <w:rPr>
          <w:sz w:val="18"/>
        </w:rPr>
        <w:t>（冰毒</w:t>
      </w:r>
      <w:r>
        <w:rPr>
          <w:spacing w:val="-92"/>
          <w:sz w:val="18"/>
        </w:rPr>
        <w:t>）</w:t>
      </w:r>
      <w:r>
        <w:rPr>
          <w:spacing w:val="-6"/>
          <w:sz w:val="18"/>
        </w:rPr>
        <w:t>、吗啡、大麻、可卡因以及国家规定管制的其他能够使人形成瘾癖的麻醉药品和精神药品，但不包括由医生开具并遵医嘱使用的用于治疗疾病但含有毒品成分的处方药品。</w:t>
      </w:r>
    </w:p>
    <w:p>
      <w:pPr>
        <w:spacing w:line="278" w:lineRule="exact" w:before="18"/>
        <w:ind w:left="400" w:right="222" w:hanging="180"/>
        <w:jc w:val="left"/>
        <w:rPr>
          <w:sz w:val="18"/>
        </w:rPr>
      </w:pPr>
      <w:bookmarkStart w:name="_bookmark8" w:id="9"/>
      <w:bookmarkEnd w:id="9"/>
      <w:r>
        <w:rPr/>
      </w:r>
      <w:r>
        <w:rPr>
          <w:rFonts w:ascii="Microsoft JhengHei" w:eastAsia="Microsoft JhengHei" w:hint="eastAsia"/>
          <w:b/>
          <w:position w:val="9"/>
          <w:sz w:val="9"/>
        </w:rPr>
        <w:t>9 </w:t>
      </w:r>
      <w:r>
        <w:rPr>
          <w:rFonts w:ascii="Microsoft JhengHei" w:eastAsia="Microsoft JhengHei" w:hint="eastAsia"/>
          <w:b/>
          <w:sz w:val="18"/>
        </w:rPr>
        <w:t>酒后驾驶</w:t>
      </w:r>
      <w:r>
        <w:rPr>
          <w:sz w:val="18"/>
        </w:rPr>
        <w:t>指经检测或鉴定，发生事故时车辆驾驶人员每百毫升血液中的酒精含量达到或超过一定的标准，公安机关交通管理部门依据《中华人民共和国道路交通安全法》的规定认定为饮酒后驾驶或醉酒后驾驶。</w:t>
      </w:r>
    </w:p>
    <w:p>
      <w:pPr>
        <w:spacing w:line="255" w:lineRule="exact" w:before="0"/>
        <w:ind w:left="220" w:right="0" w:firstLine="0"/>
        <w:jc w:val="left"/>
        <w:rPr>
          <w:sz w:val="18"/>
        </w:rPr>
      </w:pPr>
      <w:bookmarkStart w:name="_bookmark9" w:id="10"/>
      <w:bookmarkEnd w:id="10"/>
      <w:r>
        <w:rPr/>
      </w:r>
      <w:r>
        <w:rPr>
          <w:rFonts w:ascii="Microsoft JhengHei" w:eastAsia="Microsoft JhengHei" w:hint="eastAsia"/>
          <w:b/>
          <w:position w:val="9"/>
          <w:sz w:val="9"/>
        </w:rPr>
        <w:t>10 </w:t>
      </w:r>
      <w:r>
        <w:rPr>
          <w:rFonts w:ascii="Microsoft JhengHei" w:eastAsia="Microsoft JhengHei" w:hint="eastAsia"/>
          <w:b/>
          <w:sz w:val="18"/>
        </w:rPr>
        <w:t>机动车</w:t>
      </w:r>
      <w:r>
        <w:rPr>
          <w:sz w:val="18"/>
        </w:rPr>
        <w:t>指以动力装置驱动或者牵引，上道路行驶的供人员乘用或者用于运送物品以及进行工程专项作业的轮式车辆。</w:t>
      </w:r>
    </w:p>
    <w:p>
      <w:pPr>
        <w:spacing w:line="278" w:lineRule="exact" w:before="29"/>
        <w:ind w:left="400" w:right="218" w:hanging="181"/>
        <w:jc w:val="left"/>
        <w:rPr>
          <w:sz w:val="18"/>
        </w:rPr>
      </w:pPr>
      <w:bookmarkStart w:name="_bookmark10" w:id="11"/>
      <w:bookmarkEnd w:id="11"/>
      <w:r>
        <w:rPr/>
      </w:r>
      <w:r>
        <w:rPr>
          <w:rFonts w:ascii="Microsoft JhengHei" w:eastAsia="Microsoft JhengHei" w:hint="eastAsia"/>
          <w:b/>
          <w:position w:val="9"/>
          <w:sz w:val="9"/>
        </w:rPr>
        <w:t>11 </w:t>
      </w:r>
      <w:r>
        <w:rPr>
          <w:rFonts w:ascii="Microsoft JhengHei" w:eastAsia="Microsoft JhengHei" w:hint="eastAsia"/>
          <w:b/>
          <w:sz w:val="18"/>
        </w:rPr>
        <w:t>感染艾滋病病毒或患艾滋病：</w:t>
      </w:r>
      <w:r>
        <w:rPr>
          <w:sz w:val="18"/>
        </w:rPr>
        <w:t>艾滋病病毒指人类免疫缺陷病毒，英文缩写为 HIV。艾滋病指人类免疫缺陷病毒引起的获得性免疫缺陷综合征，英文缩写为 AIDS。</w:t>
      </w:r>
    </w:p>
    <w:p>
      <w:pPr>
        <w:spacing w:line="285" w:lineRule="auto" w:before="15"/>
        <w:ind w:left="431" w:right="150" w:firstLine="0"/>
        <w:jc w:val="left"/>
        <w:rPr>
          <w:sz w:val="18"/>
        </w:rPr>
      </w:pPr>
      <w:r>
        <w:rPr>
          <w:sz w:val="18"/>
        </w:rPr>
        <w:t>在人体血液或其它样本中检测到艾滋病病毒或其抗体呈阳性，没有出现临床症状或体征的，为感染艾滋病病毒；如果同时出现了明显临床症状或体征的，为患艾滋病。</w:t>
      </w:r>
    </w:p>
    <w:p>
      <w:pPr>
        <w:spacing w:line="265" w:lineRule="exact" w:before="0"/>
        <w:ind w:left="220" w:right="0" w:firstLine="0"/>
        <w:jc w:val="left"/>
        <w:rPr>
          <w:sz w:val="18"/>
        </w:rPr>
      </w:pPr>
      <w:bookmarkStart w:name="_bookmark11" w:id="12"/>
      <w:bookmarkEnd w:id="12"/>
      <w:r>
        <w:rPr/>
      </w:r>
      <w:r>
        <w:rPr>
          <w:rFonts w:ascii="Microsoft JhengHei" w:eastAsia="Microsoft JhengHei" w:hint="eastAsia"/>
          <w:b/>
          <w:position w:val="9"/>
          <w:sz w:val="9"/>
        </w:rPr>
        <w:t>12 </w:t>
      </w:r>
      <w:r>
        <w:rPr>
          <w:rFonts w:ascii="Microsoft JhengHei" w:eastAsia="Microsoft JhengHei" w:hint="eastAsia"/>
          <w:b/>
          <w:sz w:val="18"/>
        </w:rPr>
        <w:t>遗传性疾病</w:t>
      </w:r>
      <w:r>
        <w:rPr>
          <w:sz w:val="18"/>
        </w:rPr>
        <w:t>指生殖细胞或受精卵的遗传物质（染色体和基因）发生突变或畸变所引起的疾病，通常具有由亲代传至后代的垂</w:t>
      </w:r>
    </w:p>
    <w:p>
      <w:pPr>
        <w:spacing w:line="230" w:lineRule="exact" w:before="24"/>
        <w:ind w:left="399" w:right="0" w:firstLine="0"/>
        <w:jc w:val="left"/>
        <w:rPr>
          <w:sz w:val="18"/>
        </w:rPr>
      </w:pPr>
      <w:r>
        <w:rPr>
          <w:sz w:val="18"/>
        </w:rPr>
        <w:t>直传递的特征。</w:t>
      </w:r>
    </w:p>
    <w:p>
      <w:pPr>
        <w:spacing w:line="278" w:lineRule="exact" w:before="38"/>
        <w:ind w:left="400" w:right="215" w:hanging="180"/>
        <w:jc w:val="left"/>
        <w:rPr>
          <w:sz w:val="18"/>
        </w:rPr>
      </w:pPr>
      <w:bookmarkStart w:name="_bookmark12" w:id="13"/>
      <w:bookmarkEnd w:id="13"/>
      <w:r>
        <w:rPr/>
      </w:r>
      <w:r>
        <w:rPr>
          <w:rFonts w:ascii="Microsoft JhengHei" w:eastAsia="Microsoft JhengHei" w:hint="eastAsia"/>
          <w:b/>
          <w:position w:val="9"/>
          <w:sz w:val="9"/>
        </w:rPr>
        <w:t>13 </w:t>
      </w:r>
      <w:r>
        <w:rPr>
          <w:rFonts w:ascii="Microsoft JhengHei" w:eastAsia="Microsoft JhengHei" w:hint="eastAsia"/>
          <w:b/>
          <w:spacing w:val="-2"/>
          <w:sz w:val="18"/>
        </w:rPr>
        <w:t>先天性畸形、变形或染色体异常</w:t>
      </w:r>
      <w:r>
        <w:rPr>
          <w:spacing w:val="-4"/>
          <w:sz w:val="18"/>
        </w:rPr>
        <w:t>指被保险人出生时就具有的畸形、变形或染色体异常。先天性畸形、变形和染色体异常依照</w:t>
      </w:r>
      <w:r>
        <w:rPr>
          <w:spacing w:val="-5"/>
          <w:sz w:val="18"/>
        </w:rPr>
        <w:t>世界卫生组织《疾病和有关健康问题的国际统计分类》</w:t>
      </w:r>
      <w:r>
        <w:rPr>
          <w:sz w:val="18"/>
        </w:rPr>
        <w:t>（ICD-10）确定。</w:t>
      </w:r>
    </w:p>
    <w:p>
      <w:pPr>
        <w:spacing w:line="280" w:lineRule="exact" w:before="0"/>
        <w:ind w:left="400" w:right="218" w:hanging="180"/>
        <w:jc w:val="left"/>
        <w:rPr>
          <w:sz w:val="18"/>
        </w:rPr>
      </w:pPr>
      <w:bookmarkStart w:name="_bookmark13" w:id="14"/>
      <w:bookmarkEnd w:id="14"/>
      <w:r>
        <w:rPr/>
      </w:r>
      <w:r>
        <w:rPr>
          <w:rFonts w:ascii="Microsoft JhengHei" w:eastAsia="Microsoft JhengHei" w:hint="eastAsia"/>
          <w:b/>
          <w:position w:val="9"/>
          <w:sz w:val="9"/>
        </w:rPr>
        <w:t>14 </w:t>
      </w:r>
      <w:r>
        <w:rPr>
          <w:rFonts w:ascii="Microsoft JhengHei" w:eastAsia="Microsoft JhengHei" w:hint="eastAsia"/>
          <w:b/>
          <w:sz w:val="18"/>
        </w:rPr>
        <w:t>保险费约定支付日</w:t>
      </w:r>
      <w:r>
        <w:rPr>
          <w:sz w:val="18"/>
        </w:rPr>
        <w:t>指保险合同生效日在每月、每季、每半年或每年（根据交费方式确定）的对应日。如果当月无对应的同一日，则以该月最后一日为对应日。</w:t>
      </w:r>
    </w:p>
    <w:p>
      <w:pPr>
        <w:spacing w:after="0" w:line="280" w:lineRule="exact"/>
        <w:jc w:val="left"/>
        <w:rPr>
          <w:sz w:val="18"/>
        </w:rPr>
        <w:sectPr>
          <w:pgSz w:w="11910" w:h="16840"/>
          <w:pgMar w:top="1140" w:bottom="280" w:left="800" w:right="800"/>
        </w:sectPr>
      </w:pPr>
    </w:p>
    <w:p>
      <w:pPr>
        <w:pStyle w:val="BodyText"/>
        <w:spacing w:before="22"/>
        <w:ind w:left="3296"/>
      </w:pPr>
      <w:r>
        <w:rPr/>
        <w:t>时会扣减您欠交的保险费。</w:t>
      </w:r>
    </w:p>
    <w:p>
      <w:pPr>
        <w:pStyle w:val="BodyText"/>
        <w:spacing w:line="273" w:lineRule="auto" w:before="37"/>
        <w:ind w:left="3297" w:right="220"/>
      </w:pPr>
      <w:r>
        <w:rPr/>
        <w:t>如果您宽限期结束之后仍未支付保险费，则本附加险合同自宽限期满的次日零时起效力中止。</w:t>
      </w:r>
    </w:p>
    <w:p>
      <w:pPr>
        <w:pStyle w:val="BodyText"/>
        <w:spacing w:before="3"/>
        <w:rPr>
          <w:sz w:val="27"/>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4"/>
        <w:gridCol w:w="2377"/>
        <w:gridCol w:w="6989"/>
      </w:tblGrid>
      <w:tr>
        <w:trPr>
          <w:trHeight w:val="2314" w:hRule="atLeast"/>
        </w:trPr>
        <w:tc>
          <w:tcPr>
            <w:tcW w:w="714" w:type="dxa"/>
          </w:tcPr>
          <w:p>
            <w:pPr>
              <w:pStyle w:val="TableParagraph"/>
              <w:spacing w:line="211" w:lineRule="exact"/>
              <w:ind w:right="174"/>
              <w:jc w:val="right"/>
              <w:rPr>
                <w:b/>
                <w:sz w:val="21"/>
              </w:rPr>
            </w:pPr>
            <w:r>
              <w:rPr>
                <w:b/>
                <w:sz w:val="21"/>
              </w:rPr>
              <w:t>3.3</w:t>
            </w:r>
          </w:p>
        </w:tc>
        <w:tc>
          <w:tcPr>
            <w:tcW w:w="2377" w:type="dxa"/>
          </w:tcPr>
          <w:p>
            <w:pPr>
              <w:pStyle w:val="TableParagraph"/>
              <w:spacing w:line="211" w:lineRule="exact"/>
              <w:ind w:left="154"/>
              <w:rPr>
                <w:b/>
                <w:sz w:val="21"/>
              </w:rPr>
            </w:pPr>
            <w:r>
              <w:rPr>
                <w:b/>
                <w:sz w:val="21"/>
              </w:rPr>
              <w:t>效力中止与恢复</w:t>
            </w:r>
          </w:p>
        </w:tc>
        <w:tc>
          <w:tcPr>
            <w:tcW w:w="6989" w:type="dxa"/>
          </w:tcPr>
          <w:p>
            <w:pPr>
              <w:pStyle w:val="TableParagraph"/>
              <w:spacing w:line="211" w:lineRule="exact"/>
              <w:ind w:left="93"/>
              <w:rPr>
                <w:sz w:val="21"/>
              </w:rPr>
            </w:pPr>
            <w:r>
              <w:rPr>
                <w:sz w:val="21"/>
              </w:rPr>
              <w:t>在本附加险合同效力中止期间，我们不承担保险责任。</w:t>
            </w:r>
          </w:p>
          <w:p>
            <w:pPr>
              <w:pStyle w:val="TableParagraph"/>
              <w:spacing w:line="273" w:lineRule="auto" w:before="37"/>
              <w:ind w:left="94" w:right="47" w:hanging="1"/>
              <w:rPr>
                <w:sz w:val="21"/>
              </w:rPr>
            </w:pPr>
            <w:r>
              <w:rPr>
                <w:sz w:val="21"/>
              </w:rPr>
              <w:t>本附加险合同效力中止后 2 年内，您可以申请恢复合同效力。经您与我们协商并达成协议，自您补交保险费之日起，合同效力恢复。</w:t>
            </w:r>
          </w:p>
          <w:p>
            <w:pPr>
              <w:pStyle w:val="TableParagraph"/>
              <w:spacing w:before="7"/>
              <w:ind w:left="94"/>
              <w:rPr>
                <w:sz w:val="21"/>
              </w:rPr>
            </w:pPr>
            <w:r>
              <w:rPr>
                <w:sz w:val="21"/>
              </w:rPr>
              <w:t>主险合同效力中止期间，本附加险合同不得单独申请复效。</w:t>
            </w:r>
          </w:p>
          <w:p>
            <w:pPr>
              <w:pStyle w:val="TableParagraph"/>
              <w:spacing w:line="273" w:lineRule="auto" w:before="36"/>
              <w:ind w:left="94" w:right="105" w:hanging="1"/>
              <w:jc w:val="both"/>
              <w:rPr>
                <w:sz w:val="21"/>
              </w:rPr>
            </w:pPr>
            <w:r>
              <w:rPr>
                <w:spacing w:val="-4"/>
                <w:sz w:val="21"/>
              </w:rPr>
              <w:t>自本附加险合同效力中止之日起满 </w:t>
            </w:r>
            <w:r>
              <w:rPr>
                <w:sz w:val="21"/>
              </w:rPr>
              <w:t>2</w:t>
            </w:r>
            <w:r>
              <w:rPr>
                <w:spacing w:val="-3"/>
                <w:sz w:val="21"/>
              </w:rPr>
              <w:t> 年您和我们未达成协议的，我们有权</w:t>
            </w:r>
            <w:r>
              <w:rPr>
                <w:sz w:val="21"/>
              </w:rPr>
              <w:t>解除合同。我们解除合同的，向您退还合同效力中止时本附加险合同的现</w:t>
            </w:r>
            <w:r>
              <w:rPr>
                <w:spacing w:val="-1"/>
                <w:sz w:val="21"/>
              </w:rPr>
              <w:t>金价值。</w:t>
            </w:r>
          </w:p>
        </w:tc>
      </w:tr>
      <w:tr>
        <w:trPr>
          <w:trHeight w:val="1169" w:hRule="atLeast"/>
        </w:trPr>
        <w:tc>
          <w:tcPr>
            <w:tcW w:w="714" w:type="dxa"/>
            <w:tcBorders>
              <w:bottom w:val="single" w:sz="8" w:space="0" w:color="000000"/>
            </w:tcBorders>
          </w:tcPr>
          <w:p>
            <w:pPr>
              <w:pStyle w:val="TableParagraph"/>
              <w:spacing w:before="194"/>
              <w:ind w:right="153"/>
              <w:jc w:val="right"/>
              <w:rPr>
                <w:rFonts w:ascii="Arial" w:hAnsi="Arial"/>
                <w:b/>
                <w:sz w:val="40"/>
              </w:rPr>
            </w:pPr>
            <w:r>
              <w:rPr>
                <w:rFonts w:ascii="Arial" w:hAnsi="Arial"/>
                <w:b/>
                <w:w w:val="119"/>
                <w:sz w:val="40"/>
              </w:rPr>
              <w:t></w:t>
            </w:r>
          </w:p>
        </w:tc>
        <w:tc>
          <w:tcPr>
            <w:tcW w:w="9366" w:type="dxa"/>
            <w:gridSpan w:val="2"/>
            <w:tcBorders>
              <w:bottom w:val="single" w:sz="8" w:space="0" w:color="000000"/>
            </w:tcBorders>
          </w:tcPr>
          <w:p>
            <w:pPr>
              <w:pStyle w:val="TableParagraph"/>
              <w:spacing w:before="193"/>
              <w:ind w:left="154"/>
              <w:rPr>
                <w:b/>
                <w:sz w:val="24"/>
              </w:rPr>
            </w:pPr>
            <w:r>
              <w:rPr>
                <w:b/>
                <w:w w:val="95"/>
                <w:sz w:val="24"/>
              </w:rPr>
              <w:t>如何领取保险金</w:t>
            </w:r>
          </w:p>
          <w:p>
            <w:pPr>
              <w:pStyle w:val="TableParagraph"/>
              <w:spacing w:before="134"/>
              <w:ind w:left="154"/>
              <w:rPr>
                <w:sz w:val="24"/>
              </w:rPr>
            </w:pPr>
            <w:r>
              <w:rPr>
                <w:sz w:val="24"/>
              </w:rPr>
              <w:t>这部分讲的是发生重大疾病或特定轻度重疾后受益人如何领取保险金。</w:t>
            </w:r>
          </w:p>
        </w:tc>
      </w:tr>
      <w:tr>
        <w:trPr>
          <w:trHeight w:val="1271" w:hRule="atLeast"/>
        </w:trPr>
        <w:tc>
          <w:tcPr>
            <w:tcW w:w="714" w:type="dxa"/>
            <w:tcBorders>
              <w:top w:val="single" w:sz="8" w:space="0" w:color="000000"/>
            </w:tcBorders>
          </w:tcPr>
          <w:p>
            <w:pPr>
              <w:pStyle w:val="TableParagraph"/>
              <w:rPr>
                <w:sz w:val="20"/>
              </w:rPr>
            </w:pPr>
          </w:p>
          <w:p>
            <w:pPr>
              <w:pStyle w:val="TableParagraph"/>
              <w:spacing w:before="5"/>
              <w:rPr>
                <w:sz w:val="14"/>
              </w:rPr>
            </w:pPr>
          </w:p>
          <w:p>
            <w:pPr>
              <w:pStyle w:val="TableParagraph"/>
              <w:ind w:right="174"/>
              <w:jc w:val="right"/>
              <w:rPr>
                <w:b/>
                <w:sz w:val="21"/>
              </w:rPr>
            </w:pPr>
            <w:r>
              <w:rPr>
                <w:b/>
                <w:sz w:val="21"/>
              </w:rPr>
              <w:t>4.1</w:t>
            </w:r>
          </w:p>
        </w:tc>
        <w:tc>
          <w:tcPr>
            <w:tcW w:w="2377" w:type="dxa"/>
            <w:tcBorders>
              <w:top w:val="single" w:sz="8" w:space="0" w:color="000000"/>
            </w:tcBorders>
          </w:tcPr>
          <w:p>
            <w:pPr>
              <w:pStyle w:val="TableParagraph"/>
              <w:rPr>
                <w:sz w:val="20"/>
              </w:rPr>
            </w:pPr>
          </w:p>
          <w:p>
            <w:pPr>
              <w:pStyle w:val="TableParagraph"/>
              <w:spacing w:before="5"/>
              <w:rPr>
                <w:sz w:val="14"/>
              </w:rPr>
            </w:pPr>
          </w:p>
          <w:p>
            <w:pPr>
              <w:pStyle w:val="TableParagraph"/>
              <w:ind w:left="154"/>
              <w:rPr>
                <w:b/>
                <w:sz w:val="21"/>
              </w:rPr>
            </w:pPr>
            <w:r>
              <w:rPr>
                <w:b/>
                <w:sz w:val="21"/>
              </w:rPr>
              <w:t>受益人</w:t>
            </w:r>
          </w:p>
        </w:tc>
        <w:tc>
          <w:tcPr>
            <w:tcW w:w="6989" w:type="dxa"/>
            <w:tcBorders>
              <w:top w:val="single" w:sz="8" w:space="0" w:color="000000"/>
            </w:tcBorders>
          </w:tcPr>
          <w:p>
            <w:pPr>
              <w:pStyle w:val="TableParagraph"/>
              <w:rPr>
                <w:sz w:val="20"/>
              </w:rPr>
            </w:pPr>
          </w:p>
          <w:p>
            <w:pPr>
              <w:pStyle w:val="TableParagraph"/>
              <w:spacing w:before="5"/>
              <w:rPr>
                <w:sz w:val="14"/>
              </w:rPr>
            </w:pPr>
          </w:p>
          <w:p>
            <w:pPr>
              <w:pStyle w:val="TableParagraph"/>
              <w:spacing w:line="273" w:lineRule="auto"/>
              <w:ind w:left="93" w:right="105"/>
              <w:rPr>
                <w:sz w:val="21"/>
              </w:rPr>
            </w:pPr>
            <w:r>
              <w:rPr>
                <w:sz w:val="21"/>
              </w:rPr>
              <w:t>除另有指定外，重大疾病保险金及特定轻度重疾保险金受益人为被保险人本人。</w:t>
            </w:r>
          </w:p>
        </w:tc>
      </w:tr>
      <w:tr>
        <w:trPr>
          <w:trHeight w:val="679" w:hRule="atLeast"/>
        </w:trPr>
        <w:tc>
          <w:tcPr>
            <w:tcW w:w="714" w:type="dxa"/>
          </w:tcPr>
          <w:p>
            <w:pPr>
              <w:pStyle w:val="TableParagraph"/>
              <w:spacing w:before="170"/>
              <w:ind w:right="174"/>
              <w:jc w:val="right"/>
              <w:rPr>
                <w:b/>
                <w:sz w:val="21"/>
              </w:rPr>
            </w:pPr>
            <w:r>
              <w:rPr>
                <w:b/>
                <w:sz w:val="21"/>
              </w:rPr>
              <w:t>4.2</w:t>
            </w:r>
          </w:p>
        </w:tc>
        <w:tc>
          <w:tcPr>
            <w:tcW w:w="2377" w:type="dxa"/>
          </w:tcPr>
          <w:p>
            <w:pPr>
              <w:pStyle w:val="TableParagraph"/>
              <w:spacing w:before="170"/>
              <w:ind w:left="154"/>
              <w:rPr>
                <w:b/>
                <w:sz w:val="21"/>
              </w:rPr>
            </w:pPr>
            <w:r>
              <w:rPr>
                <w:b/>
                <w:sz w:val="21"/>
              </w:rPr>
              <w:t>保险金申请</w:t>
            </w:r>
          </w:p>
        </w:tc>
        <w:tc>
          <w:tcPr>
            <w:tcW w:w="6989" w:type="dxa"/>
          </w:tcPr>
          <w:p>
            <w:pPr>
              <w:pStyle w:val="TableParagraph"/>
              <w:spacing w:before="170"/>
              <w:ind w:left="93"/>
              <w:rPr>
                <w:sz w:val="21"/>
              </w:rPr>
            </w:pPr>
            <w:r>
              <w:rPr>
                <w:sz w:val="21"/>
              </w:rPr>
              <w:t>在申请保险金时，请按照下列方式办理：</w:t>
            </w:r>
          </w:p>
        </w:tc>
      </w:tr>
      <w:tr>
        <w:trPr>
          <w:trHeight w:val="2868" w:hRule="atLeast"/>
        </w:trPr>
        <w:tc>
          <w:tcPr>
            <w:tcW w:w="714" w:type="dxa"/>
          </w:tcPr>
          <w:p>
            <w:pPr>
              <w:pStyle w:val="TableParagraph"/>
              <w:rPr>
                <w:rFonts w:ascii="Times New Roman"/>
                <w:sz w:val="20"/>
              </w:rPr>
            </w:pPr>
          </w:p>
        </w:tc>
        <w:tc>
          <w:tcPr>
            <w:tcW w:w="2377" w:type="dxa"/>
          </w:tcPr>
          <w:p>
            <w:pPr>
              <w:pStyle w:val="TableParagraph"/>
              <w:spacing w:line="232" w:lineRule="auto" w:before="165"/>
              <w:ind w:left="154" w:right="91"/>
              <w:jc w:val="both"/>
              <w:rPr>
                <w:rFonts w:ascii="等线" w:eastAsia="等线" w:hint="eastAsia"/>
                <w:b/>
                <w:sz w:val="24"/>
              </w:rPr>
            </w:pPr>
            <w:r>
              <w:rPr>
                <w:rFonts w:ascii="等线" w:eastAsia="等线" w:hint="eastAsia"/>
                <w:b/>
                <w:sz w:val="24"/>
              </w:rPr>
              <w:t>重大疾病保险金和特定轻度重疾保险金申请</w:t>
            </w:r>
          </w:p>
        </w:tc>
        <w:tc>
          <w:tcPr>
            <w:tcW w:w="6989" w:type="dxa"/>
          </w:tcPr>
          <w:p>
            <w:pPr>
              <w:pStyle w:val="TableParagraph"/>
              <w:spacing w:before="7"/>
              <w:rPr>
                <w:sz w:val="14"/>
              </w:rPr>
            </w:pPr>
          </w:p>
          <w:p>
            <w:pPr>
              <w:pStyle w:val="TableParagraph"/>
              <w:spacing w:before="1"/>
              <w:ind w:left="93"/>
              <w:rPr>
                <w:sz w:val="21"/>
              </w:rPr>
            </w:pPr>
            <w:r>
              <w:rPr>
                <w:sz w:val="21"/>
              </w:rPr>
              <w:t>由受益人填写保险金给付申请书，并提供下列证明和资料：</w:t>
            </w:r>
          </w:p>
          <w:p>
            <w:pPr>
              <w:pStyle w:val="TableParagraph"/>
              <w:spacing w:before="37"/>
              <w:ind w:left="93"/>
              <w:rPr>
                <w:sz w:val="21"/>
              </w:rPr>
            </w:pPr>
            <w:r>
              <w:rPr>
                <w:sz w:val="21"/>
              </w:rPr>
              <w:t>（1）保险合同；</w:t>
            </w:r>
          </w:p>
          <w:p>
            <w:pPr>
              <w:pStyle w:val="TableParagraph"/>
              <w:spacing w:before="37"/>
              <w:ind w:left="93"/>
              <w:rPr>
                <w:sz w:val="21"/>
              </w:rPr>
            </w:pPr>
            <w:r>
              <w:rPr>
                <w:sz w:val="21"/>
              </w:rPr>
              <w:t>（2）受益人的</w:t>
            </w:r>
            <w:r>
              <w:rPr>
                <w:rFonts w:ascii="黑体" w:eastAsia="黑体" w:hint="eastAsia"/>
                <w:b/>
                <w:sz w:val="21"/>
              </w:rPr>
              <w:t>有效身份证件 </w:t>
            </w:r>
            <w:hyperlink w:history="true" w:anchor="_bookmark14">
              <w:r>
                <w:rPr>
                  <w:rFonts w:ascii="黑体" w:eastAsia="黑体" w:hint="eastAsia"/>
                  <w:b/>
                  <w:position w:val="11"/>
                  <w:sz w:val="11"/>
                </w:rPr>
                <w:t>15</w:t>
              </w:r>
            </w:hyperlink>
            <w:r>
              <w:rPr>
                <w:sz w:val="21"/>
              </w:rPr>
              <w:t>；</w:t>
            </w:r>
          </w:p>
          <w:p>
            <w:pPr>
              <w:pStyle w:val="TableParagraph"/>
              <w:spacing w:line="273" w:lineRule="auto" w:before="37"/>
              <w:ind w:left="633" w:right="41" w:hanging="524"/>
              <w:rPr>
                <w:sz w:val="21"/>
              </w:rPr>
            </w:pPr>
            <w:r>
              <w:rPr>
                <w:sz w:val="21"/>
              </w:rPr>
              <w:t>（3）医院出具的附有病理显微镜检查、血液检验及其他科学方法检验报告的疾病诊断证明书；</w:t>
            </w:r>
          </w:p>
          <w:p>
            <w:pPr>
              <w:pStyle w:val="TableParagraph"/>
              <w:spacing w:before="7"/>
              <w:ind w:left="94"/>
              <w:rPr>
                <w:sz w:val="21"/>
              </w:rPr>
            </w:pPr>
            <w:r>
              <w:rPr>
                <w:sz w:val="21"/>
              </w:rPr>
              <w:t>（4）与确认保险事故的性质、原因等有关的其他证明和资料。</w:t>
            </w:r>
          </w:p>
          <w:p>
            <w:pPr>
              <w:pStyle w:val="TableParagraph"/>
              <w:spacing w:line="273" w:lineRule="auto" w:before="36"/>
              <w:ind w:left="94" w:right="105"/>
              <w:rPr>
                <w:sz w:val="21"/>
              </w:rPr>
            </w:pPr>
            <w:r>
              <w:rPr>
                <w:sz w:val="21"/>
              </w:rPr>
              <w:t>以上证明和资料不完整的，我们将一次性通知受益人补充提供有关证明和资料。</w:t>
            </w:r>
          </w:p>
        </w:tc>
      </w:tr>
      <w:tr>
        <w:trPr>
          <w:trHeight w:val="3549" w:hRule="atLeast"/>
        </w:trPr>
        <w:tc>
          <w:tcPr>
            <w:tcW w:w="714" w:type="dxa"/>
          </w:tcPr>
          <w:p>
            <w:pPr>
              <w:pStyle w:val="TableParagraph"/>
              <w:spacing w:before="154"/>
              <w:ind w:right="174"/>
              <w:jc w:val="right"/>
              <w:rPr>
                <w:b/>
                <w:sz w:val="21"/>
              </w:rPr>
            </w:pPr>
            <w:r>
              <w:rPr>
                <w:b/>
                <w:sz w:val="21"/>
              </w:rPr>
              <w:t>4.3</w:t>
            </w:r>
          </w:p>
        </w:tc>
        <w:tc>
          <w:tcPr>
            <w:tcW w:w="2377" w:type="dxa"/>
          </w:tcPr>
          <w:p>
            <w:pPr>
              <w:pStyle w:val="TableParagraph"/>
              <w:spacing w:before="154"/>
              <w:ind w:left="154"/>
              <w:rPr>
                <w:b/>
                <w:sz w:val="21"/>
              </w:rPr>
            </w:pPr>
            <w:r>
              <w:rPr>
                <w:b/>
                <w:sz w:val="21"/>
              </w:rPr>
              <w:t>保险金的给付</w:t>
            </w:r>
          </w:p>
        </w:tc>
        <w:tc>
          <w:tcPr>
            <w:tcW w:w="6989" w:type="dxa"/>
          </w:tcPr>
          <w:p>
            <w:pPr>
              <w:pStyle w:val="TableParagraph"/>
              <w:spacing w:before="154"/>
              <w:ind w:left="93"/>
              <w:rPr>
                <w:sz w:val="21"/>
              </w:rPr>
            </w:pPr>
            <w:r>
              <w:rPr>
                <w:sz w:val="21"/>
              </w:rPr>
              <w:t>我们在收到保险金给付申请书及上述有关证明和资料后，将在 5 日内作出</w:t>
            </w:r>
          </w:p>
          <w:p>
            <w:pPr>
              <w:pStyle w:val="TableParagraph"/>
              <w:spacing w:before="36"/>
              <w:ind w:left="93"/>
              <w:rPr>
                <w:sz w:val="21"/>
              </w:rPr>
            </w:pPr>
            <w:r>
              <w:rPr>
                <w:sz w:val="21"/>
              </w:rPr>
              <w:t>核定；情形复杂的，在 30 日内作出核定。</w:t>
            </w:r>
          </w:p>
          <w:p>
            <w:pPr>
              <w:pStyle w:val="TableParagraph"/>
              <w:spacing w:line="273" w:lineRule="auto" w:before="36"/>
              <w:ind w:left="94" w:right="105" w:hanging="1"/>
              <w:jc w:val="both"/>
              <w:rPr>
                <w:sz w:val="21"/>
              </w:rPr>
            </w:pPr>
            <w:r>
              <w:rPr>
                <w:spacing w:val="-8"/>
                <w:sz w:val="21"/>
              </w:rPr>
              <w:t>对属于保险责任的，我们在与受益人达成给付保险金的协议后 </w:t>
            </w:r>
            <w:r>
              <w:rPr>
                <w:sz w:val="21"/>
              </w:rPr>
              <w:t>10</w:t>
            </w:r>
            <w:r>
              <w:rPr>
                <w:spacing w:val="-18"/>
                <w:sz w:val="21"/>
              </w:rPr>
              <w:t> 日内，履</w:t>
            </w:r>
            <w:r>
              <w:rPr>
                <w:sz w:val="21"/>
              </w:rPr>
              <w:t>行给付保险金义务；若我们在收到保险金给付申请书及上述有关证明和资</w:t>
            </w:r>
            <w:r>
              <w:rPr>
                <w:spacing w:val="-9"/>
                <w:sz w:val="21"/>
              </w:rPr>
              <w:t>料后第 </w:t>
            </w:r>
            <w:r>
              <w:rPr>
                <w:sz w:val="21"/>
              </w:rPr>
              <w:t>30</w:t>
            </w:r>
            <w:r>
              <w:rPr>
                <w:spacing w:val="-8"/>
                <w:sz w:val="21"/>
              </w:rPr>
              <w:t> 日仍未作出核定，除支付保险金外，我们将从第 </w:t>
            </w:r>
            <w:r>
              <w:rPr>
                <w:sz w:val="21"/>
              </w:rPr>
              <w:t>31</w:t>
            </w:r>
            <w:r>
              <w:rPr>
                <w:spacing w:val="-8"/>
                <w:sz w:val="21"/>
              </w:rPr>
              <w:t> 日起按超过</w:t>
            </w:r>
            <w:r>
              <w:rPr>
                <w:sz w:val="21"/>
              </w:rPr>
              <w:t>天数赔偿受益人因此受到的利息损失。利息按照我们公示的利率按单利计算，且保证该利率不低于中国人民银行公布的同期金融机构人民币活期存款基准利率。若我们要求投保人、被保险人或者受益人补充提供有关证明</w:t>
            </w:r>
            <w:r>
              <w:rPr>
                <w:spacing w:val="-7"/>
                <w:sz w:val="21"/>
              </w:rPr>
              <w:t>和资料的，则上述的 </w:t>
            </w:r>
            <w:r>
              <w:rPr>
                <w:sz w:val="21"/>
              </w:rPr>
              <w:t>30</w:t>
            </w:r>
            <w:r>
              <w:rPr>
                <w:spacing w:val="-8"/>
                <w:sz w:val="21"/>
              </w:rPr>
              <w:t> 日不包括补充提供有关证明和资料的期间。</w:t>
            </w:r>
          </w:p>
          <w:p>
            <w:pPr>
              <w:pStyle w:val="TableParagraph"/>
              <w:spacing w:line="312" w:lineRule="exact" w:before="3"/>
              <w:ind w:left="93" w:right="46"/>
              <w:rPr>
                <w:sz w:val="21"/>
              </w:rPr>
            </w:pPr>
            <w:r>
              <w:rPr>
                <w:sz w:val="21"/>
              </w:rPr>
              <w:t>对不属于保险责任的，我们自作出核定之日起 3 日内向受益人发出拒绝给付保险金通知书并说明理由。</w:t>
            </w:r>
          </w:p>
        </w:tc>
      </w:tr>
    </w:tbl>
    <w:p>
      <w:pPr>
        <w:pStyle w:val="BodyText"/>
        <w:rPr>
          <w:sz w:val="20"/>
        </w:rPr>
      </w:pPr>
    </w:p>
    <w:p>
      <w:pPr>
        <w:pStyle w:val="BodyText"/>
        <w:rPr>
          <w:sz w:val="20"/>
        </w:rPr>
      </w:pPr>
    </w:p>
    <w:p>
      <w:pPr>
        <w:pStyle w:val="BodyText"/>
        <w:spacing w:before="11"/>
        <w:rPr>
          <w:sz w:val="14"/>
        </w:rPr>
      </w:pPr>
      <w:r>
        <w:rPr/>
        <w:pict>
          <v:line style="position:absolute;mso-position-horizontal-relative:page;mso-position-vertical-relative:paragraph;z-index:1432;mso-wrap-distance-left:0;mso-wrap-distance-right:0" from="51pt,11.946005pt" to="195pt,11.946005pt" stroked="true" strokeweight=".48pt" strokecolor="#000000">
            <v:stroke dashstyle="solid"/>
            <w10:wrap type="topAndBottom"/>
          </v:line>
        </w:pict>
      </w:r>
    </w:p>
    <w:p>
      <w:pPr>
        <w:spacing w:line="259" w:lineRule="auto" w:before="25"/>
        <w:ind w:left="399" w:right="131" w:hanging="180"/>
        <w:jc w:val="left"/>
        <w:rPr>
          <w:sz w:val="18"/>
        </w:rPr>
      </w:pPr>
      <w:bookmarkStart w:name="_bookmark14" w:id="15"/>
      <w:bookmarkEnd w:id="15"/>
      <w:r>
        <w:rPr/>
      </w:r>
      <w:r>
        <w:rPr>
          <w:rFonts w:ascii="Microsoft JhengHei" w:eastAsia="Microsoft JhengHei" w:hint="eastAsia"/>
          <w:b/>
          <w:position w:val="9"/>
          <w:sz w:val="9"/>
        </w:rPr>
        <w:t>15 </w:t>
      </w:r>
      <w:r>
        <w:rPr>
          <w:rFonts w:ascii="Microsoft JhengHei" w:eastAsia="Microsoft JhengHei" w:hint="eastAsia"/>
          <w:b/>
          <w:sz w:val="18"/>
        </w:rPr>
        <w:t>有效身份证件</w:t>
      </w:r>
      <w:r>
        <w:rPr>
          <w:sz w:val="18"/>
        </w:rPr>
        <w:t>指政府有权机关颁发的能够证明其合法真实身份的证件或文件等，如居民身份证、按规定可使用的有效护照、营业执照等。</w:t>
      </w:r>
    </w:p>
    <w:p>
      <w:pPr>
        <w:spacing w:after="0" w:line="259" w:lineRule="auto"/>
        <w:jc w:val="left"/>
        <w:rPr>
          <w:sz w:val="18"/>
        </w:rPr>
        <w:sectPr>
          <w:pgSz w:w="11910" w:h="16840"/>
          <w:pgMar w:top="1080" w:bottom="280" w:left="800" w:right="80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4"/>
        <w:gridCol w:w="2364"/>
        <w:gridCol w:w="7007"/>
      </w:tblGrid>
      <w:tr>
        <w:trPr>
          <w:trHeight w:val="937" w:hRule="atLeast"/>
        </w:trPr>
        <w:tc>
          <w:tcPr>
            <w:tcW w:w="714" w:type="dxa"/>
            <w:tcBorders>
              <w:bottom w:val="single" w:sz="8" w:space="0" w:color="000000"/>
            </w:tcBorders>
          </w:tcPr>
          <w:p>
            <w:pPr>
              <w:pStyle w:val="TableParagraph"/>
              <w:spacing w:line="415" w:lineRule="exact"/>
              <w:ind w:right="153"/>
              <w:jc w:val="right"/>
              <w:rPr>
                <w:rFonts w:ascii="Arial" w:hAnsi="Arial"/>
                <w:b/>
                <w:sz w:val="40"/>
              </w:rPr>
            </w:pPr>
            <w:r>
              <w:rPr>
                <w:rFonts w:ascii="Arial" w:hAnsi="Arial"/>
                <w:b/>
                <w:w w:val="119"/>
                <w:sz w:val="40"/>
              </w:rPr>
              <w:t></w:t>
            </w:r>
          </w:p>
        </w:tc>
        <w:tc>
          <w:tcPr>
            <w:tcW w:w="9371" w:type="dxa"/>
            <w:gridSpan w:val="2"/>
            <w:tcBorders>
              <w:bottom w:val="single" w:sz="8" w:space="0" w:color="000000"/>
            </w:tcBorders>
          </w:tcPr>
          <w:p>
            <w:pPr>
              <w:pStyle w:val="TableParagraph"/>
              <w:spacing w:line="268" w:lineRule="exact"/>
              <w:ind w:left="154"/>
              <w:rPr>
                <w:b/>
                <w:sz w:val="24"/>
              </w:rPr>
            </w:pPr>
            <w:r>
              <w:rPr>
                <w:b/>
                <w:w w:val="95"/>
                <w:sz w:val="24"/>
              </w:rPr>
              <w:t>如何豁免保险费</w:t>
            </w:r>
          </w:p>
          <w:p>
            <w:pPr>
              <w:pStyle w:val="TableParagraph"/>
              <w:spacing w:before="134"/>
              <w:ind w:left="154"/>
              <w:rPr>
                <w:sz w:val="24"/>
              </w:rPr>
            </w:pPr>
            <w:r>
              <w:rPr>
                <w:sz w:val="24"/>
              </w:rPr>
              <w:t>这部分讲的是发生特定轻度重疾后如何豁免保险费。</w:t>
            </w:r>
          </w:p>
        </w:tc>
      </w:tr>
      <w:tr>
        <w:trPr>
          <w:trHeight w:val="3619" w:hRule="atLeast"/>
        </w:trPr>
        <w:tc>
          <w:tcPr>
            <w:tcW w:w="714" w:type="dxa"/>
            <w:tcBorders>
              <w:top w:val="single" w:sz="8" w:space="0" w:color="000000"/>
            </w:tcBorders>
          </w:tcPr>
          <w:p>
            <w:pPr>
              <w:pStyle w:val="TableParagraph"/>
              <w:spacing w:before="1"/>
              <w:rPr>
                <w:sz w:val="24"/>
              </w:rPr>
            </w:pPr>
          </w:p>
          <w:p>
            <w:pPr>
              <w:pStyle w:val="TableParagraph"/>
              <w:ind w:left="107"/>
              <w:rPr>
                <w:b/>
                <w:sz w:val="21"/>
              </w:rPr>
            </w:pPr>
            <w:r>
              <w:rPr>
                <w:b/>
                <w:sz w:val="21"/>
              </w:rPr>
              <w:t>5.1</w:t>
            </w:r>
          </w:p>
        </w:tc>
        <w:tc>
          <w:tcPr>
            <w:tcW w:w="2364" w:type="dxa"/>
            <w:tcBorders>
              <w:top w:val="single" w:sz="8" w:space="0" w:color="000000"/>
            </w:tcBorders>
          </w:tcPr>
          <w:p>
            <w:pPr>
              <w:pStyle w:val="TableParagraph"/>
              <w:spacing w:before="1"/>
              <w:rPr>
                <w:sz w:val="24"/>
              </w:rPr>
            </w:pPr>
          </w:p>
          <w:p>
            <w:pPr>
              <w:pStyle w:val="TableParagraph"/>
              <w:ind w:left="154"/>
              <w:rPr>
                <w:b/>
                <w:sz w:val="21"/>
              </w:rPr>
            </w:pPr>
            <w:r>
              <w:rPr>
                <w:b/>
                <w:sz w:val="21"/>
              </w:rPr>
              <w:t>豁免保险费申请</w:t>
            </w:r>
          </w:p>
        </w:tc>
        <w:tc>
          <w:tcPr>
            <w:tcW w:w="7007" w:type="dxa"/>
            <w:tcBorders>
              <w:top w:val="single" w:sz="8" w:space="0" w:color="000000"/>
            </w:tcBorders>
          </w:tcPr>
          <w:p>
            <w:pPr>
              <w:pStyle w:val="TableParagraph"/>
              <w:spacing w:before="1"/>
              <w:rPr>
                <w:sz w:val="24"/>
              </w:rPr>
            </w:pPr>
          </w:p>
          <w:p>
            <w:pPr>
              <w:pStyle w:val="TableParagraph"/>
              <w:ind w:left="106"/>
              <w:rPr>
                <w:sz w:val="21"/>
              </w:rPr>
            </w:pPr>
            <w:r>
              <w:rPr>
                <w:sz w:val="21"/>
              </w:rPr>
              <w:t>在申请豁免保险费时，请按照下列方式办理：</w:t>
            </w:r>
          </w:p>
          <w:p>
            <w:pPr>
              <w:pStyle w:val="TableParagraph"/>
              <w:spacing w:line="273" w:lineRule="auto" w:before="36"/>
              <w:ind w:left="106" w:right="111"/>
              <w:rPr>
                <w:sz w:val="21"/>
              </w:rPr>
            </w:pPr>
            <w:r>
              <w:rPr>
                <w:sz w:val="21"/>
              </w:rPr>
              <w:t>由您、被保险人或主险合同受益人填写豁免保险费申请书，并提供下列证明和资料：</w:t>
            </w:r>
          </w:p>
          <w:p>
            <w:pPr>
              <w:pStyle w:val="TableParagraph"/>
              <w:spacing w:before="7"/>
              <w:ind w:left="106"/>
              <w:rPr>
                <w:sz w:val="21"/>
              </w:rPr>
            </w:pPr>
            <w:r>
              <w:rPr>
                <w:sz w:val="21"/>
              </w:rPr>
              <w:t>（1）保险合同；</w:t>
            </w:r>
          </w:p>
          <w:p>
            <w:pPr>
              <w:pStyle w:val="TableParagraph"/>
              <w:spacing w:before="37"/>
              <w:ind w:left="106"/>
              <w:rPr>
                <w:sz w:val="21"/>
              </w:rPr>
            </w:pPr>
            <w:r>
              <w:rPr>
                <w:sz w:val="21"/>
              </w:rPr>
              <w:t>（2）申请人的有效身份证件；</w:t>
            </w:r>
          </w:p>
          <w:p>
            <w:pPr>
              <w:pStyle w:val="TableParagraph"/>
              <w:spacing w:line="273" w:lineRule="auto" w:before="37"/>
              <w:ind w:left="611" w:right="58" w:hanging="505"/>
              <w:rPr>
                <w:sz w:val="21"/>
              </w:rPr>
            </w:pPr>
            <w:r>
              <w:rPr>
                <w:sz w:val="21"/>
              </w:rPr>
              <w:t>（3）医院出具的附有病理显微镜检查、血液检验及其他科学方法检验报告的疾病诊断证明书；</w:t>
            </w:r>
          </w:p>
          <w:p>
            <w:pPr>
              <w:pStyle w:val="TableParagraph"/>
              <w:spacing w:before="7"/>
              <w:ind w:left="107"/>
              <w:rPr>
                <w:sz w:val="21"/>
              </w:rPr>
            </w:pPr>
            <w:r>
              <w:rPr>
                <w:sz w:val="21"/>
              </w:rPr>
              <w:t>（4）与确认保险事故的性质、原因等有关的其他证明和资料。</w:t>
            </w:r>
          </w:p>
          <w:p>
            <w:pPr>
              <w:pStyle w:val="TableParagraph"/>
              <w:spacing w:line="273" w:lineRule="auto" w:before="36"/>
              <w:ind w:left="107" w:right="110"/>
              <w:rPr>
                <w:sz w:val="21"/>
              </w:rPr>
            </w:pPr>
            <w:r>
              <w:rPr>
                <w:sz w:val="21"/>
              </w:rPr>
              <w:t>以上证明和资料不完整的，我们将一次性通知申请人补充提供有关证明和资料。</w:t>
            </w:r>
          </w:p>
        </w:tc>
      </w:tr>
      <w:tr>
        <w:trPr>
          <w:trHeight w:val="3754" w:hRule="atLeast"/>
        </w:trPr>
        <w:tc>
          <w:tcPr>
            <w:tcW w:w="714" w:type="dxa"/>
          </w:tcPr>
          <w:p>
            <w:pPr>
              <w:pStyle w:val="TableParagraph"/>
              <w:spacing w:before="142"/>
              <w:ind w:left="107"/>
              <w:rPr>
                <w:b/>
                <w:sz w:val="21"/>
              </w:rPr>
            </w:pPr>
            <w:r>
              <w:rPr>
                <w:b/>
                <w:sz w:val="21"/>
              </w:rPr>
              <w:t>5.2</w:t>
            </w:r>
          </w:p>
        </w:tc>
        <w:tc>
          <w:tcPr>
            <w:tcW w:w="2364" w:type="dxa"/>
          </w:tcPr>
          <w:p>
            <w:pPr>
              <w:pStyle w:val="TableParagraph"/>
              <w:spacing w:before="142"/>
              <w:ind w:left="154"/>
              <w:rPr>
                <w:b/>
                <w:sz w:val="21"/>
              </w:rPr>
            </w:pPr>
            <w:r>
              <w:rPr>
                <w:b/>
                <w:sz w:val="21"/>
              </w:rPr>
              <w:t>保险费的豁免</w:t>
            </w:r>
          </w:p>
        </w:tc>
        <w:tc>
          <w:tcPr>
            <w:tcW w:w="7007" w:type="dxa"/>
          </w:tcPr>
          <w:p>
            <w:pPr>
              <w:pStyle w:val="TableParagraph"/>
              <w:spacing w:before="142"/>
              <w:ind w:left="106"/>
              <w:rPr>
                <w:sz w:val="21"/>
              </w:rPr>
            </w:pPr>
            <w:r>
              <w:rPr>
                <w:sz w:val="21"/>
              </w:rPr>
              <w:t>我们在收到豁免保险费申请书及上述有关证明和资料后，将在 5 日内作出</w:t>
            </w:r>
          </w:p>
          <w:p>
            <w:pPr>
              <w:pStyle w:val="TableParagraph"/>
              <w:spacing w:before="36"/>
              <w:ind w:left="106"/>
              <w:rPr>
                <w:sz w:val="21"/>
              </w:rPr>
            </w:pPr>
            <w:r>
              <w:rPr>
                <w:sz w:val="21"/>
              </w:rPr>
              <w:t>核定；情形复杂的，在 30 日内作出核定。</w:t>
            </w:r>
          </w:p>
          <w:p>
            <w:pPr>
              <w:pStyle w:val="TableParagraph"/>
              <w:spacing w:line="273" w:lineRule="auto" w:before="36"/>
              <w:ind w:left="106" w:right="2"/>
              <w:rPr>
                <w:sz w:val="21"/>
              </w:rPr>
            </w:pPr>
            <w:r>
              <w:rPr>
                <w:spacing w:val="-11"/>
                <w:sz w:val="21"/>
              </w:rPr>
              <w:t>对属于保险责任的，我们在与申请人达成有关豁免保险费的协议后</w:t>
            </w:r>
            <w:r>
              <w:rPr>
                <w:sz w:val="21"/>
              </w:rPr>
              <w:t>10</w:t>
            </w:r>
            <w:r>
              <w:rPr>
                <w:spacing w:val="-13"/>
                <w:sz w:val="21"/>
              </w:rPr>
              <w:t> 日内， 履行豁免保险费义务；若我们在收到豁免保险费申请书及上述有关证明和资料后第 </w:t>
            </w:r>
            <w:r>
              <w:rPr>
                <w:sz w:val="21"/>
              </w:rPr>
              <w:t>30</w:t>
            </w:r>
            <w:r>
              <w:rPr>
                <w:spacing w:val="-9"/>
                <w:sz w:val="21"/>
              </w:rPr>
              <w:t> 日仍未作出核定，除豁免保险费外，我们将从第 </w:t>
            </w:r>
            <w:r>
              <w:rPr>
                <w:sz w:val="21"/>
              </w:rPr>
              <w:t>31</w:t>
            </w:r>
            <w:r>
              <w:rPr>
                <w:spacing w:val="-9"/>
                <w:sz w:val="21"/>
              </w:rPr>
              <w:t> 日起按超</w:t>
            </w:r>
            <w:r>
              <w:rPr>
                <w:sz w:val="21"/>
              </w:rPr>
              <w:t>过天数赔偿申请人因此受到的利息损失。利息按照我们公示的利率按单利计算，且保证该利率不低于中国人民银行公布的同期金融机构人民币活期存款基准利率。若我们要求投保人、被保险人或者受益人补充提供有关证</w:t>
            </w:r>
            <w:r>
              <w:rPr>
                <w:spacing w:val="-7"/>
                <w:sz w:val="21"/>
              </w:rPr>
              <w:t>明和资料的，则上述的 </w:t>
            </w:r>
            <w:r>
              <w:rPr>
                <w:rFonts w:ascii="Times New Roman" w:eastAsia="Times New Roman"/>
                <w:sz w:val="21"/>
              </w:rPr>
              <w:t>30</w:t>
            </w:r>
            <w:r>
              <w:rPr>
                <w:rFonts w:ascii="Times New Roman" w:eastAsia="Times New Roman"/>
                <w:spacing w:val="11"/>
                <w:sz w:val="21"/>
              </w:rPr>
              <w:t> </w:t>
            </w:r>
            <w:r>
              <w:rPr>
                <w:spacing w:val="-3"/>
                <w:sz w:val="21"/>
              </w:rPr>
              <w:t>日不包括补充提供有关证明和资料的期间。</w:t>
            </w:r>
          </w:p>
          <w:p>
            <w:pPr>
              <w:pStyle w:val="TableParagraph"/>
              <w:spacing w:line="273" w:lineRule="auto"/>
              <w:ind w:left="106" w:right="51"/>
              <w:rPr>
                <w:sz w:val="21"/>
              </w:rPr>
            </w:pPr>
            <w:r>
              <w:rPr>
                <w:sz w:val="21"/>
              </w:rPr>
              <w:t>对不属于保险责任的，我们自作出核定之日起 3 日内向申请人发出拒绝豁免保险费通知书并说明理由。</w:t>
            </w:r>
          </w:p>
        </w:tc>
      </w:tr>
      <w:tr>
        <w:trPr>
          <w:trHeight w:val="1147" w:hRule="atLeast"/>
        </w:trPr>
        <w:tc>
          <w:tcPr>
            <w:tcW w:w="714" w:type="dxa"/>
            <w:tcBorders>
              <w:bottom w:val="single" w:sz="8" w:space="0" w:color="000000"/>
            </w:tcBorders>
          </w:tcPr>
          <w:p>
            <w:pPr>
              <w:pStyle w:val="TableParagraph"/>
              <w:spacing w:before="165"/>
              <w:ind w:right="153"/>
              <w:jc w:val="right"/>
              <w:rPr>
                <w:rFonts w:ascii="Arial" w:hAnsi="Arial"/>
                <w:b/>
                <w:sz w:val="40"/>
              </w:rPr>
            </w:pPr>
            <w:r>
              <w:rPr>
                <w:rFonts w:ascii="Arial" w:hAnsi="Arial"/>
                <w:b/>
                <w:w w:val="119"/>
                <w:sz w:val="40"/>
              </w:rPr>
              <w:t></w:t>
            </w:r>
          </w:p>
        </w:tc>
        <w:tc>
          <w:tcPr>
            <w:tcW w:w="9371" w:type="dxa"/>
            <w:gridSpan w:val="2"/>
            <w:tcBorders>
              <w:bottom w:val="single" w:sz="8" w:space="0" w:color="000000"/>
            </w:tcBorders>
          </w:tcPr>
          <w:p>
            <w:pPr>
              <w:pStyle w:val="TableParagraph"/>
              <w:spacing w:before="164"/>
              <w:ind w:left="154"/>
              <w:rPr>
                <w:b/>
                <w:sz w:val="24"/>
              </w:rPr>
            </w:pPr>
            <w:r>
              <w:rPr>
                <w:b/>
                <w:sz w:val="24"/>
              </w:rPr>
              <w:t>如何退保</w:t>
            </w:r>
          </w:p>
          <w:p>
            <w:pPr>
              <w:pStyle w:val="TableParagraph"/>
              <w:spacing w:before="134"/>
              <w:ind w:left="154" w:right="-15"/>
              <w:rPr>
                <w:sz w:val="24"/>
              </w:rPr>
            </w:pPr>
            <w:r>
              <w:rPr>
                <w:spacing w:val="-8"/>
                <w:sz w:val="24"/>
              </w:rPr>
              <w:t>这部分讲的是您可以随时申请退保，在犹豫期内退保没有损失，犹豫期后退保会有损失。</w:t>
            </w:r>
          </w:p>
        </w:tc>
      </w:tr>
      <w:tr>
        <w:trPr>
          <w:trHeight w:val="2758" w:hRule="atLeast"/>
        </w:trPr>
        <w:tc>
          <w:tcPr>
            <w:tcW w:w="714" w:type="dxa"/>
            <w:tcBorders>
              <w:top w:val="single" w:sz="8" w:space="0" w:color="000000"/>
            </w:tcBorders>
          </w:tcPr>
          <w:p>
            <w:pPr>
              <w:pStyle w:val="TableParagraph"/>
              <w:rPr>
                <w:sz w:val="20"/>
              </w:rPr>
            </w:pPr>
          </w:p>
          <w:p>
            <w:pPr>
              <w:pStyle w:val="TableParagraph"/>
              <w:spacing w:before="150"/>
              <w:ind w:right="174"/>
              <w:jc w:val="right"/>
              <w:rPr>
                <w:b/>
                <w:sz w:val="21"/>
              </w:rPr>
            </w:pPr>
            <w:r>
              <w:rPr>
                <w:b/>
                <w:sz w:val="21"/>
              </w:rPr>
              <w:t>6.1</w:t>
            </w:r>
          </w:p>
        </w:tc>
        <w:tc>
          <w:tcPr>
            <w:tcW w:w="2364" w:type="dxa"/>
            <w:tcBorders>
              <w:top w:val="single" w:sz="8" w:space="0" w:color="000000"/>
            </w:tcBorders>
          </w:tcPr>
          <w:p>
            <w:pPr>
              <w:pStyle w:val="TableParagraph"/>
              <w:rPr>
                <w:sz w:val="20"/>
              </w:rPr>
            </w:pPr>
          </w:p>
          <w:p>
            <w:pPr>
              <w:pStyle w:val="TableParagraph"/>
              <w:spacing w:before="150"/>
              <w:ind w:left="154"/>
              <w:rPr>
                <w:b/>
                <w:sz w:val="21"/>
              </w:rPr>
            </w:pPr>
            <w:r>
              <w:rPr>
                <w:b/>
                <w:sz w:val="21"/>
              </w:rPr>
              <w:t>犹豫期</w:t>
            </w:r>
          </w:p>
        </w:tc>
        <w:tc>
          <w:tcPr>
            <w:tcW w:w="7007" w:type="dxa"/>
            <w:tcBorders>
              <w:top w:val="single" w:sz="8" w:space="0" w:color="000000"/>
            </w:tcBorders>
          </w:tcPr>
          <w:p>
            <w:pPr>
              <w:pStyle w:val="TableParagraph"/>
              <w:rPr>
                <w:sz w:val="20"/>
              </w:rPr>
            </w:pPr>
          </w:p>
          <w:p>
            <w:pPr>
              <w:pStyle w:val="TableParagraph"/>
              <w:spacing w:line="273" w:lineRule="auto" w:before="150"/>
              <w:ind w:left="106" w:right="110"/>
              <w:rPr>
                <w:sz w:val="21"/>
              </w:rPr>
            </w:pPr>
            <w:r>
              <w:rPr>
                <w:spacing w:val="-8"/>
                <w:sz w:val="21"/>
              </w:rPr>
              <w:t>自您签收本附加险合同次日起，有 </w:t>
            </w:r>
            <w:r>
              <w:rPr>
                <w:sz w:val="21"/>
              </w:rPr>
              <w:t>20</w:t>
            </w:r>
            <w:r>
              <w:rPr>
                <w:spacing w:val="-9"/>
                <w:sz w:val="21"/>
              </w:rPr>
              <w:t> 日的犹豫期。在此期间请您认真审视</w:t>
            </w:r>
            <w:r>
              <w:rPr>
                <w:spacing w:val="-3"/>
                <w:sz w:val="21"/>
              </w:rPr>
              <w:t>本附加险合同，如果您认为本附加险合同与您的需求不相符，您可以在此期间提出解除本附加险合同，我们将无息退还您所支付的全部保险费。  解除本附加险合同时，您需要填写申请书，并提供您的保险合同及有效身</w:t>
            </w:r>
          </w:p>
          <w:p>
            <w:pPr>
              <w:pStyle w:val="TableParagraph"/>
              <w:spacing w:line="273" w:lineRule="auto" w:before="8"/>
              <w:ind w:left="106"/>
              <w:rPr>
                <w:sz w:val="21"/>
              </w:rPr>
            </w:pPr>
            <w:r>
              <w:rPr>
                <w:spacing w:val="-6"/>
                <w:sz w:val="21"/>
              </w:rPr>
              <w:t>份证件。自我们收到您解除合同的书面申请时起，本附加险合同即被解除， </w:t>
            </w:r>
            <w:r>
              <w:rPr>
                <w:spacing w:val="-4"/>
                <w:sz w:val="21"/>
              </w:rPr>
              <w:t>合同解除前发生的保险事故我们不承担保险责任。</w:t>
            </w:r>
          </w:p>
          <w:p>
            <w:pPr>
              <w:pStyle w:val="TableParagraph"/>
              <w:spacing w:before="8"/>
              <w:ind w:left="106"/>
              <w:rPr>
                <w:sz w:val="21"/>
              </w:rPr>
            </w:pPr>
            <w:r>
              <w:rPr>
                <w:spacing w:val="-6"/>
                <w:sz w:val="21"/>
              </w:rPr>
              <w:t>若您申请解除本附加险合同，主险合同必须与本附加险合同同时申请解除。</w:t>
            </w:r>
          </w:p>
        </w:tc>
      </w:tr>
      <w:tr>
        <w:trPr>
          <w:trHeight w:val="1962" w:hRule="atLeast"/>
        </w:trPr>
        <w:tc>
          <w:tcPr>
            <w:tcW w:w="714" w:type="dxa"/>
          </w:tcPr>
          <w:p>
            <w:pPr>
              <w:pStyle w:val="TableParagraph"/>
              <w:spacing w:before="120"/>
              <w:ind w:right="174"/>
              <w:jc w:val="right"/>
              <w:rPr>
                <w:b/>
                <w:sz w:val="21"/>
              </w:rPr>
            </w:pPr>
            <w:r>
              <w:rPr>
                <w:b/>
                <w:sz w:val="21"/>
              </w:rPr>
              <w:t>6.2</w:t>
            </w:r>
          </w:p>
        </w:tc>
        <w:tc>
          <w:tcPr>
            <w:tcW w:w="2364" w:type="dxa"/>
          </w:tcPr>
          <w:p>
            <w:pPr>
              <w:pStyle w:val="TableParagraph"/>
              <w:spacing w:line="273" w:lineRule="auto" w:before="120"/>
              <w:ind w:left="154" w:right="104"/>
              <w:rPr>
                <w:b/>
                <w:sz w:val="21"/>
              </w:rPr>
            </w:pPr>
            <w:r>
              <w:rPr>
                <w:b/>
                <w:sz w:val="21"/>
              </w:rPr>
              <w:t>您解除合同的手续及风险</w:t>
            </w:r>
          </w:p>
        </w:tc>
        <w:tc>
          <w:tcPr>
            <w:tcW w:w="7007" w:type="dxa"/>
          </w:tcPr>
          <w:p>
            <w:pPr>
              <w:pStyle w:val="TableParagraph"/>
              <w:spacing w:line="273" w:lineRule="auto" w:before="120"/>
              <w:ind w:left="106" w:right="110"/>
              <w:rPr>
                <w:sz w:val="21"/>
              </w:rPr>
            </w:pPr>
            <w:r>
              <w:rPr>
                <w:sz w:val="21"/>
              </w:rPr>
              <w:t>您在犹豫期后可以申请解除本附加险合同，请填写解除合同申请书并向我们提供下列资料：</w:t>
            </w:r>
          </w:p>
          <w:p>
            <w:pPr>
              <w:pStyle w:val="TableParagraph"/>
              <w:spacing w:before="7"/>
              <w:ind w:left="106"/>
              <w:rPr>
                <w:sz w:val="21"/>
              </w:rPr>
            </w:pPr>
            <w:r>
              <w:rPr>
                <w:sz w:val="21"/>
              </w:rPr>
              <w:t>（1）保险合同；</w:t>
            </w:r>
          </w:p>
          <w:p>
            <w:pPr>
              <w:pStyle w:val="TableParagraph"/>
              <w:spacing w:before="37"/>
              <w:ind w:left="106"/>
              <w:rPr>
                <w:sz w:val="21"/>
              </w:rPr>
            </w:pPr>
            <w:r>
              <w:rPr>
                <w:sz w:val="21"/>
              </w:rPr>
              <w:t>（2）您的有效身份证件。</w:t>
            </w:r>
          </w:p>
          <w:p>
            <w:pPr>
              <w:pStyle w:val="TableParagraph"/>
              <w:spacing w:line="310" w:lineRule="atLeast" w:before="2"/>
              <w:ind w:left="106" w:right="110"/>
              <w:rPr>
                <w:sz w:val="21"/>
              </w:rPr>
            </w:pPr>
            <w:r>
              <w:rPr>
                <w:sz w:val="21"/>
              </w:rPr>
              <w:t>自我们收到解除合同申请书时起，本附加险合同终止。我们自收到解除合同申请书之日起 30 日内向您退还本附加险合同的现金价值。</w:t>
            </w:r>
          </w:p>
        </w:tc>
      </w:tr>
    </w:tbl>
    <w:p>
      <w:pPr>
        <w:spacing w:after="0" w:line="310" w:lineRule="atLeast"/>
        <w:rPr>
          <w:sz w:val="21"/>
        </w:rPr>
        <w:sectPr>
          <w:pgSz w:w="11910" w:h="16840"/>
          <w:pgMar w:top="1120" w:bottom="280" w:left="800" w:right="800"/>
        </w:sectPr>
      </w:pPr>
    </w:p>
    <w:p>
      <w:pPr>
        <w:pStyle w:val="BodyText"/>
        <w:rPr>
          <w:sz w:val="42"/>
        </w:rPr>
      </w:pPr>
    </w:p>
    <w:p>
      <w:pPr>
        <w:pStyle w:val="BodyText"/>
        <w:spacing w:before="12"/>
        <w:rPr>
          <w:sz w:val="54"/>
        </w:rPr>
      </w:pPr>
    </w:p>
    <w:p>
      <w:pPr>
        <w:tabs>
          <w:tab w:pos="980" w:val="left" w:leader="none"/>
        </w:tabs>
        <w:spacing w:before="0"/>
        <w:ind w:left="313" w:right="0" w:firstLine="0"/>
        <w:jc w:val="left"/>
        <w:rPr>
          <w:b/>
          <w:sz w:val="24"/>
        </w:rPr>
      </w:pPr>
      <w:r>
        <w:rPr>
          <w:rFonts w:ascii="Arial" w:hAnsi="Arial" w:eastAsia="Arial"/>
          <w:b/>
          <w:w w:val="105"/>
          <w:position w:val="-9"/>
          <w:sz w:val="40"/>
        </w:rPr>
        <w:t></w:t>
        <w:tab/>
      </w:r>
      <w:r>
        <w:rPr>
          <w:b/>
          <w:sz w:val="24"/>
        </w:rPr>
        <w:t>其他权益</w:t>
      </w:r>
    </w:p>
    <w:p>
      <w:pPr>
        <w:pStyle w:val="BodyText"/>
        <w:spacing w:line="273" w:lineRule="auto" w:before="22"/>
        <w:ind w:left="313" w:right="78"/>
      </w:pPr>
      <w:r>
        <w:rPr/>
        <w:br w:type="column"/>
      </w:r>
      <w:r>
        <w:rPr/>
        <w:t>若您申请解除本附加险合同，主险合同必须与本附加险合同同时申请解除。您在犹豫期后解除合同会遭受一定损失。</w:t>
      </w:r>
    </w:p>
    <w:p>
      <w:pPr>
        <w:pStyle w:val="BodyText"/>
        <w:spacing w:before="8"/>
        <w:ind w:left="313"/>
      </w:pPr>
      <w:r>
        <w:rPr/>
        <w:t>解除合同后，您会失去原有的保障。</w:t>
      </w:r>
    </w:p>
    <w:p>
      <w:pPr>
        <w:spacing w:after="0"/>
        <w:sectPr>
          <w:pgSz w:w="11910" w:h="16840"/>
          <w:pgMar w:top="1080" w:bottom="280" w:left="800" w:right="800"/>
          <w:cols w:num="2" w:equalWidth="0">
            <w:col w:w="1949" w:space="1035"/>
            <w:col w:w="7326"/>
          </w:cols>
        </w:sectPr>
      </w:pPr>
    </w:p>
    <w:p>
      <w:pPr>
        <w:pStyle w:val="Heading2"/>
        <w:spacing w:line="298" w:lineRule="exact"/>
      </w:pPr>
      <w:r>
        <w:rPr/>
        <w:t>这部分讲的是您所拥有的其他相关权益。</w:t>
      </w:r>
    </w:p>
    <w:p>
      <w:pPr>
        <w:pStyle w:val="BodyText"/>
        <w:spacing w:before="3"/>
        <w:rPr>
          <w:sz w:val="13"/>
        </w:rPr>
      </w:pPr>
      <w:r>
        <w:rPr/>
        <w:pict>
          <v:group style="position:absolute;margin-left:45.599998pt;margin-top:10.673495pt;width:504pt;height:1pt;mso-position-horizontal-relative:page;mso-position-vertical-relative:paragraph;z-index:1456;mso-wrap-distance-left:0;mso-wrap-distance-right:0" coordorigin="912,213" coordsize="10080,20">
            <v:line style="position:absolute" from="912,223" to="1673,223" stroked="true" strokeweight=".959pt" strokecolor="#000000">
              <v:stroke dashstyle="solid"/>
            </v:line>
            <v:rect style="position:absolute;left:1672;top:213;width:20;height:20" filled="true" fillcolor="#000000" stroked="false">
              <v:fill type="solid"/>
            </v:rect>
            <v:line style="position:absolute" from="1692,223" to="3989,223" stroked="true" strokeweight=".959pt" strokecolor="#000000">
              <v:stroke dashstyle="solid"/>
            </v:line>
            <v:rect style="position:absolute;left:3988;top:213;width:20;height:20" filled="true" fillcolor="#000000" stroked="false">
              <v:fill type="solid"/>
            </v:rect>
            <v:line style="position:absolute" from="4008,223" to="10992,223" stroked="true" strokeweight=".959pt" strokecolor="#000000">
              <v:stroke dashstyle="solid"/>
            </v:line>
            <w10:wrap type="topAndBottom"/>
          </v:group>
        </w:pict>
      </w:r>
    </w:p>
    <w:p>
      <w:pPr>
        <w:pStyle w:val="BodyText"/>
        <w:spacing w:before="3"/>
        <w:rPr>
          <w:sz w:val="20"/>
        </w:rPr>
      </w:pPr>
    </w:p>
    <w:p>
      <w:pPr>
        <w:tabs>
          <w:tab w:pos="980" w:val="left" w:leader="none"/>
          <w:tab w:pos="3296" w:val="left" w:leader="none"/>
        </w:tabs>
        <w:spacing w:before="36"/>
        <w:ind w:left="332" w:right="0" w:firstLine="0"/>
        <w:jc w:val="left"/>
        <w:rPr>
          <w:sz w:val="21"/>
        </w:rPr>
      </w:pPr>
      <w:r>
        <w:rPr>
          <w:b/>
          <w:sz w:val="21"/>
        </w:rPr>
        <w:t>7.1</w:t>
        <w:tab/>
        <w:t>现金价值</w:t>
        <w:tab/>
      </w:r>
      <w:r>
        <w:rPr>
          <w:sz w:val="21"/>
        </w:rPr>
        <w:t>指保险单所具有的价值。通常体现为解除合同时，由本公司退还的那部分</w:t>
      </w:r>
    </w:p>
    <w:p>
      <w:pPr>
        <w:pStyle w:val="BodyText"/>
        <w:spacing w:before="36"/>
        <w:ind w:left="3296"/>
      </w:pPr>
      <w:r>
        <w:rPr/>
        <w:t>金额。</w:t>
      </w:r>
    </w:p>
    <w:p>
      <w:pPr>
        <w:pStyle w:val="BodyText"/>
        <w:spacing w:line="273" w:lineRule="auto" w:before="36"/>
        <w:ind w:left="3296" w:right="220"/>
      </w:pPr>
      <w:r>
        <w:rPr/>
        <w:t>本附加险合同保单年度末的现金价值会在保险单上载明。保单年度内的现金价值，您可以向我们咨询。</w:t>
      </w:r>
    </w:p>
    <w:p>
      <w:pPr>
        <w:pStyle w:val="BodyText"/>
        <w:rPr>
          <w:sz w:val="20"/>
        </w:rPr>
      </w:pPr>
    </w:p>
    <w:p>
      <w:pPr>
        <w:tabs>
          <w:tab w:pos="980" w:val="left" w:leader="none"/>
        </w:tabs>
        <w:spacing w:line="458" w:lineRule="exact" w:before="152"/>
        <w:ind w:left="313" w:right="0" w:firstLine="0"/>
        <w:jc w:val="left"/>
        <w:rPr>
          <w:b/>
          <w:sz w:val="24"/>
        </w:rPr>
      </w:pPr>
      <w:r>
        <w:rPr>
          <w:rFonts w:ascii="Arial" w:hAnsi="Arial" w:eastAsia="Arial"/>
          <w:b/>
          <w:position w:val="-9"/>
          <w:sz w:val="40"/>
        </w:rPr>
        <w:t></w:t>
        <w:tab/>
      </w:r>
      <w:r>
        <w:rPr>
          <w:b/>
          <w:w w:val="95"/>
          <w:sz w:val="24"/>
        </w:rPr>
        <w:t>重大疾病释义</w:t>
      </w:r>
    </w:p>
    <w:p>
      <w:pPr>
        <w:pStyle w:val="Heading2"/>
        <w:spacing w:line="242" w:lineRule="auto"/>
        <w:ind w:right="174"/>
      </w:pPr>
      <w:r>
        <w:rPr/>
        <w:pict>
          <v:group style="position:absolute;margin-left:45.599998pt;margin-top:34.536648pt;width:504pt;height:1pt;mso-position-horizontal-relative:page;mso-position-vertical-relative:paragraph;z-index:1480;mso-wrap-distance-left:0;mso-wrap-distance-right:0" coordorigin="912,691" coordsize="10080,20">
            <v:line style="position:absolute" from="912,700" to="1673,700" stroked="true" strokeweight=".959pt" strokecolor="#000000">
              <v:stroke dashstyle="solid"/>
            </v:line>
            <v:rect style="position:absolute;left:1672;top:690;width:20;height:20" filled="true" fillcolor="#000000" stroked="false">
              <v:fill type="solid"/>
            </v:rect>
            <v:line style="position:absolute" from="1692,700" to="3989,700" stroked="true" strokeweight=".959pt" strokecolor="#000000">
              <v:stroke dashstyle="solid"/>
            </v:line>
            <v:rect style="position:absolute;left:3988;top:690;width:20;height:20" filled="true" fillcolor="#000000" stroked="false">
              <v:fill type="solid"/>
            </v:rect>
            <v:line style="position:absolute" from="4008,700" to="10992,700" stroked="true" strokeweight=".959pt" strokecolor="#000000">
              <v:stroke dashstyle="solid"/>
            </v:line>
            <w10:wrap type="topAndBottom"/>
          </v:group>
        </w:pict>
      </w:r>
      <w:r>
        <w:rPr/>
        <w:t>这部分讲的是我们提供保障的 80 种重大疾病的定义，其中包含一些免责条款，请您特别留意。</w:t>
      </w:r>
    </w:p>
    <w:p>
      <w:pPr>
        <w:pStyle w:val="BodyText"/>
        <w:spacing w:before="4" w:after="1"/>
        <w:rPr>
          <w:sz w:val="20"/>
        </w:rPr>
      </w:pPr>
    </w:p>
    <w:tbl>
      <w:tblPr>
        <w:tblW w:w="0" w:type="auto"/>
        <w:jc w:val="left"/>
        <w:tblInd w:w="3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74"/>
        <w:gridCol w:w="2426"/>
        <w:gridCol w:w="6946"/>
      </w:tblGrid>
      <w:tr>
        <w:trPr>
          <w:trHeight w:val="414" w:hRule="atLeast"/>
        </w:trPr>
        <w:tc>
          <w:tcPr>
            <w:tcW w:w="374" w:type="dxa"/>
          </w:tcPr>
          <w:p>
            <w:pPr>
              <w:pStyle w:val="TableParagraph"/>
              <w:rPr>
                <w:rFonts w:ascii="Times New Roman"/>
                <w:sz w:val="20"/>
              </w:rPr>
            </w:pPr>
          </w:p>
        </w:tc>
        <w:tc>
          <w:tcPr>
            <w:tcW w:w="2426" w:type="dxa"/>
          </w:tcPr>
          <w:p>
            <w:pPr>
              <w:pStyle w:val="TableParagraph"/>
              <w:spacing w:line="211" w:lineRule="exact"/>
              <w:ind w:left="218"/>
              <w:rPr>
                <w:b/>
                <w:sz w:val="21"/>
              </w:rPr>
            </w:pPr>
            <w:r>
              <w:rPr>
                <w:b/>
                <w:sz w:val="21"/>
              </w:rPr>
              <w:t>第 1 类：</w:t>
            </w:r>
          </w:p>
        </w:tc>
        <w:tc>
          <w:tcPr>
            <w:tcW w:w="6946" w:type="dxa"/>
          </w:tcPr>
          <w:p>
            <w:pPr>
              <w:pStyle w:val="TableParagraph"/>
              <w:spacing w:line="233" w:lineRule="exact"/>
              <w:ind w:left="108"/>
              <w:rPr>
                <w:b/>
                <w:sz w:val="21"/>
              </w:rPr>
            </w:pPr>
            <w:r>
              <w:rPr>
                <w:b/>
                <w:sz w:val="21"/>
              </w:rPr>
              <w:t>与恶性肿瘤相关的疾病</w:t>
            </w:r>
          </w:p>
        </w:tc>
      </w:tr>
      <w:tr>
        <w:trPr>
          <w:trHeight w:val="472" w:hRule="atLeast"/>
        </w:trPr>
        <w:tc>
          <w:tcPr>
            <w:tcW w:w="374" w:type="dxa"/>
          </w:tcPr>
          <w:p>
            <w:pPr>
              <w:pStyle w:val="TableParagraph"/>
              <w:spacing w:before="138"/>
              <w:ind w:left="50"/>
              <w:rPr>
                <w:b/>
                <w:sz w:val="21"/>
              </w:rPr>
            </w:pPr>
            <w:r>
              <w:rPr>
                <w:b/>
                <w:w w:val="99"/>
                <w:sz w:val="21"/>
              </w:rPr>
              <w:t>1</w:t>
            </w:r>
          </w:p>
        </w:tc>
        <w:tc>
          <w:tcPr>
            <w:tcW w:w="2426" w:type="dxa"/>
          </w:tcPr>
          <w:p>
            <w:pPr>
              <w:pStyle w:val="TableParagraph"/>
              <w:spacing w:before="102"/>
              <w:ind w:left="218"/>
              <w:rPr>
                <w:rFonts w:ascii="等线" w:eastAsia="等线" w:hint="eastAsia"/>
                <w:b/>
                <w:sz w:val="24"/>
              </w:rPr>
            </w:pPr>
            <w:r>
              <w:rPr>
                <w:rFonts w:ascii="等线" w:eastAsia="等线" w:hint="eastAsia"/>
                <w:b/>
                <w:sz w:val="24"/>
              </w:rPr>
              <w:t>恶性肿瘤</w:t>
            </w:r>
          </w:p>
        </w:tc>
        <w:tc>
          <w:tcPr>
            <w:tcW w:w="6946" w:type="dxa"/>
          </w:tcPr>
          <w:p>
            <w:pPr>
              <w:pStyle w:val="TableParagraph"/>
              <w:spacing w:before="138"/>
              <w:ind w:left="108"/>
              <w:rPr>
                <w:sz w:val="21"/>
              </w:rPr>
            </w:pPr>
            <w:r>
              <w:rPr>
                <w:sz w:val="21"/>
              </w:rPr>
              <w:t>指恶性细胞不受控制的进行性增长和扩散，浸润和破坏周围正常组织，可</w:t>
            </w:r>
          </w:p>
        </w:tc>
      </w:tr>
      <w:tr>
        <w:trPr>
          <w:trHeight w:val="303" w:hRule="atLeast"/>
        </w:trPr>
        <w:tc>
          <w:tcPr>
            <w:tcW w:w="374" w:type="dxa"/>
          </w:tcPr>
          <w:p>
            <w:pPr>
              <w:pStyle w:val="TableParagraph"/>
              <w:rPr>
                <w:rFonts w:ascii="Times New Roman"/>
                <w:sz w:val="20"/>
              </w:rPr>
            </w:pPr>
          </w:p>
        </w:tc>
        <w:tc>
          <w:tcPr>
            <w:tcW w:w="2426" w:type="dxa"/>
          </w:tcPr>
          <w:p>
            <w:pPr>
              <w:pStyle w:val="TableParagraph"/>
              <w:rPr>
                <w:rFonts w:ascii="Times New Roman"/>
                <w:sz w:val="20"/>
              </w:rPr>
            </w:pPr>
          </w:p>
        </w:tc>
        <w:tc>
          <w:tcPr>
            <w:tcW w:w="6946" w:type="dxa"/>
          </w:tcPr>
          <w:p>
            <w:pPr>
              <w:pStyle w:val="TableParagraph"/>
              <w:spacing w:line="253" w:lineRule="exact"/>
              <w:ind w:left="108"/>
              <w:rPr>
                <w:sz w:val="21"/>
              </w:rPr>
            </w:pPr>
            <w:r>
              <w:rPr>
                <w:sz w:val="21"/>
              </w:rPr>
              <w:t>以经血管、淋巴管和体腔扩散转移到身体其它部位的疾病。经病理学检查</w:t>
            </w:r>
          </w:p>
        </w:tc>
      </w:tr>
      <w:tr>
        <w:trPr>
          <w:trHeight w:val="312" w:hRule="atLeast"/>
        </w:trPr>
        <w:tc>
          <w:tcPr>
            <w:tcW w:w="374" w:type="dxa"/>
          </w:tcPr>
          <w:p>
            <w:pPr>
              <w:pStyle w:val="TableParagraph"/>
              <w:rPr>
                <w:rFonts w:ascii="Times New Roman"/>
                <w:sz w:val="20"/>
              </w:rPr>
            </w:pPr>
          </w:p>
        </w:tc>
        <w:tc>
          <w:tcPr>
            <w:tcW w:w="2426" w:type="dxa"/>
          </w:tcPr>
          <w:p>
            <w:pPr>
              <w:pStyle w:val="TableParagraph"/>
              <w:rPr>
                <w:rFonts w:ascii="Times New Roman"/>
                <w:sz w:val="20"/>
              </w:rPr>
            </w:pPr>
          </w:p>
        </w:tc>
        <w:tc>
          <w:tcPr>
            <w:tcW w:w="6946" w:type="dxa"/>
          </w:tcPr>
          <w:p>
            <w:pPr>
              <w:pStyle w:val="TableParagraph"/>
              <w:spacing w:line="261" w:lineRule="exact"/>
              <w:ind w:left="108"/>
              <w:rPr>
                <w:sz w:val="21"/>
              </w:rPr>
            </w:pPr>
            <w:r>
              <w:rPr>
                <w:sz w:val="21"/>
              </w:rPr>
              <w:t>结果明确诊断，临床诊断属于世界卫生组织《疾病和有关健康问题的国际</w:t>
            </w:r>
          </w:p>
        </w:tc>
      </w:tr>
      <w:tr>
        <w:trPr>
          <w:trHeight w:val="312" w:hRule="atLeast"/>
        </w:trPr>
        <w:tc>
          <w:tcPr>
            <w:tcW w:w="374" w:type="dxa"/>
          </w:tcPr>
          <w:p>
            <w:pPr>
              <w:pStyle w:val="TableParagraph"/>
              <w:rPr>
                <w:rFonts w:ascii="Times New Roman"/>
                <w:sz w:val="20"/>
              </w:rPr>
            </w:pPr>
          </w:p>
        </w:tc>
        <w:tc>
          <w:tcPr>
            <w:tcW w:w="2426" w:type="dxa"/>
          </w:tcPr>
          <w:p>
            <w:pPr>
              <w:pStyle w:val="TableParagraph"/>
              <w:rPr>
                <w:rFonts w:ascii="Times New Roman"/>
                <w:sz w:val="20"/>
              </w:rPr>
            </w:pPr>
          </w:p>
        </w:tc>
        <w:tc>
          <w:tcPr>
            <w:tcW w:w="6946" w:type="dxa"/>
          </w:tcPr>
          <w:p>
            <w:pPr>
              <w:pStyle w:val="TableParagraph"/>
              <w:spacing w:line="261" w:lineRule="exact"/>
              <w:ind w:left="108"/>
              <w:rPr>
                <w:sz w:val="21"/>
              </w:rPr>
            </w:pPr>
            <w:r>
              <w:rPr>
                <w:sz w:val="21"/>
              </w:rPr>
              <w:t>统计分类》（ICD-10）的恶性肿瘤范畴。</w:t>
            </w:r>
            <w:r>
              <w:rPr>
                <w:sz w:val="21"/>
                <w:shd w:fill="DADADA" w:color="auto" w:val="clear"/>
              </w:rPr>
              <w:t>下列疾病不在保障范围内：</w:t>
            </w:r>
          </w:p>
        </w:tc>
      </w:tr>
      <w:tr>
        <w:trPr>
          <w:trHeight w:val="311" w:hRule="atLeast"/>
        </w:trPr>
        <w:tc>
          <w:tcPr>
            <w:tcW w:w="374" w:type="dxa"/>
          </w:tcPr>
          <w:p>
            <w:pPr>
              <w:pStyle w:val="TableParagraph"/>
              <w:rPr>
                <w:rFonts w:ascii="Times New Roman"/>
                <w:sz w:val="20"/>
              </w:rPr>
            </w:pPr>
          </w:p>
        </w:tc>
        <w:tc>
          <w:tcPr>
            <w:tcW w:w="2426" w:type="dxa"/>
          </w:tcPr>
          <w:p>
            <w:pPr>
              <w:pStyle w:val="TableParagraph"/>
              <w:rPr>
                <w:rFonts w:ascii="Times New Roman"/>
                <w:sz w:val="20"/>
              </w:rPr>
            </w:pPr>
          </w:p>
        </w:tc>
        <w:tc>
          <w:tcPr>
            <w:tcW w:w="6946" w:type="dxa"/>
          </w:tcPr>
          <w:p>
            <w:pPr>
              <w:pStyle w:val="TableParagraph"/>
              <w:spacing w:line="261" w:lineRule="exact"/>
              <w:ind w:left="108"/>
              <w:rPr>
                <w:sz w:val="21"/>
              </w:rPr>
            </w:pPr>
            <w:r>
              <w:rPr>
                <w:sz w:val="21"/>
                <w:shd w:fill="DADADA" w:color="auto" w:val="clear"/>
              </w:rPr>
              <w:t>（1）原位癌；</w:t>
            </w:r>
          </w:p>
        </w:tc>
      </w:tr>
      <w:tr>
        <w:trPr>
          <w:trHeight w:val="311" w:hRule="atLeast"/>
        </w:trPr>
        <w:tc>
          <w:tcPr>
            <w:tcW w:w="374" w:type="dxa"/>
          </w:tcPr>
          <w:p>
            <w:pPr>
              <w:pStyle w:val="TableParagraph"/>
              <w:rPr>
                <w:rFonts w:ascii="Times New Roman"/>
                <w:sz w:val="20"/>
              </w:rPr>
            </w:pPr>
          </w:p>
        </w:tc>
        <w:tc>
          <w:tcPr>
            <w:tcW w:w="2426" w:type="dxa"/>
          </w:tcPr>
          <w:p>
            <w:pPr>
              <w:pStyle w:val="TableParagraph"/>
              <w:rPr>
                <w:rFonts w:ascii="Times New Roman"/>
                <w:sz w:val="20"/>
              </w:rPr>
            </w:pPr>
          </w:p>
        </w:tc>
        <w:tc>
          <w:tcPr>
            <w:tcW w:w="6946" w:type="dxa"/>
          </w:tcPr>
          <w:p>
            <w:pPr>
              <w:pStyle w:val="TableParagraph"/>
              <w:spacing w:line="261" w:lineRule="exact"/>
              <w:ind w:left="108"/>
              <w:rPr>
                <w:sz w:val="21"/>
              </w:rPr>
            </w:pPr>
            <w:r>
              <w:rPr>
                <w:sz w:val="21"/>
                <w:shd w:fill="DADADA" w:color="auto" w:val="clear"/>
              </w:rPr>
              <w:t>（2）相当于 Binet 分期方案 A 期程度的慢性淋巴细胞白血病；</w:t>
            </w:r>
          </w:p>
        </w:tc>
      </w:tr>
      <w:tr>
        <w:trPr>
          <w:trHeight w:val="312" w:hRule="atLeast"/>
        </w:trPr>
        <w:tc>
          <w:tcPr>
            <w:tcW w:w="374" w:type="dxa"/>
          </w:tcPr>
          <w:p>
            <w:pPr>
              <w:pStyle w:val="TableParagraph"/>
              <w:rPr>
                <w:rFonts w:ascii="Times New Roman"/>
                <w:sz w:val="20"/>
              </w:rPr>
            </w:pPr>
          </w:p>
        </w:tc>
        <w:tc>
          <w:tcPr>
            <w:tcW w:w="2426" w:type="dxa"/>
          </w:tcPr>
          <w:p>
            <w:pPr>
              <w:pStyle w:val="TableParagraph"/>
              <w:rPr>
                <w:rFonts w:ascii="Times New Roman"/>
                <w:sz w:val="20"/>
              </w:rPr>
            </w:pPr>
          </w:p>
        </w:tc>
        <w:tc>
          <w:tcPr>
            <w:tcW w:w="6946" w:type="dxa"/>
          </w:tcPr>
          <w:p>
            <w:pPr>
              <w:pStyle w:val="TableParagraph"/>
              <w:spacing w:line="261" w:lineRule="exact"/>
              <w:ind w:left="108"/>
              <w:rPr>
                <w:sz w:val="21"/>
              </w:rPr>
            </w:pPr>
            <w:r>
              <w:rPr>
                <w:sz w:val="21"/>
                <w:shd w:fill="DADADA" w:color="auto" w:val="clear"/>
              </w:rPr>
              <w:t>（3）相当于 Ann Arbor 分期方案 I 期程度的何杰金氏病；</w:t>
            </w:r>
          </w:p>
        </w:tc>
      </w:tr>
      <w:tr>
        <w:trPr>
          <w:trHeight w:val="312" w:hRule="atLeast"/>
        </w:trPr>
        <w:tc>
          <w:tcPr>
            <w:tcW w:w="374" w:type="dxa"/>
          </w:tcPr>
          <w:p>
            <w:pPr>
              <w:pStyle w:val="TableParagraph"/>
              <w:rPr>
                <w:rFonts w:ascii="Times New Roman"/>
                <w:sz w:val="20"/>
              </w:rPr>
            </w:pPr>
          </w:p>
        </w:tc>
        <w:tc>
          <w:tcPr>
            <w:tcW w:w="2426" w:type="dxa"/>
          </w:tcPr>
          <w:p>
            <w:pPr>
              <w:pStyle w:val="TableParagraph"/>
              <w:rPr>
                <w:rFonts w:ascii="Times New Roman"/>
                <w:sz w:val="20"/>
              </w:rPr>
            </w:pPr>
          </w:p>
        </w:tc>
        <w:tc>
          <w:tcPr>
            <w:tcW w:w="6946" w:type="dxa"/>
          </w:tcPr>
          <w:p>
            <w:pPr>
              <w:pStyle w:val="TableParagraph"/>
              <w:spacing w:line="261" w:lineRule="exact"/>
              <w:ind w:left="108"/>
              <w:rPr>
                <w:sz w:val="21"/>
              </w:rPr>
            </w:pPr>
            <w:r>
              <w:rPr>
                <w:w w:val="100"/>
                <w:sz w:val="21"/>
                <w:shd w:fill="DADADA" w:color="auto" w:val="clear"/>
              </w:rPr>
              <w:t>（4</w:t>
            </w:r>
            <w:r>
              <w:rPr>
                <w:spacing w:val="-3"/>
                <w:w w:val="100"/>
                <w:sz w:val="21"/>
                <w:shd w:fill="DADADA" w:color="auto" w:val="clear"/>
              </w:rPr>
              <w:t>）</w:t>
            </w:r>
            <w:r>
              <w:rPr>
                <w:spacing w:val="-2"/>
                <w:w w:val="100"/>
                <w:sz w:val="21"/>
                <w:shd w:fill="DADADA" w:color="auto" w:val="clear"/>
              </w:rPr>
              <w:t>皮肤癌</w:t>
            </w:r>
            <w:r>
              <w:rPr>
                <w:spacing w:val="-3"/>
                <w:w w:val="100"/>
                <w:sz w:val="21"/>
              </w:rPr>
              <w:t>（不包括恶性黑色素瘤及已发生转移的皮肤癌</w:t>
            </w:r>
            <w:r>
              <w:rPr>
                <w:spacing w:val="-106"/>
                <w:w w:val="100"/>
                <w:sz w:val="21"/>
              </w:rPr>
              <w:t>）</w:t>
            </w:r>
            <w:r>
              <w:rPr>
                <w:w w:val="100"/>
                <w:sz w:val="21"/>
              </w:rPr>
              <w:t>；</w:t>
            </w:r>
          </w:p>
        </w:tc>
      </w:tr>
      <w:tr>
        <w:trPr>
          <w:trHeight w:val="312" w:hRule="atLeast"/>
        </w:trPr>
        <w:tc>
          <w:tcPr>
            <w:tcW w:w="374" w:type="dxa"/>
          </w:tcPr>
          <w:p>
            <w:pPr>
              <w:pStyle w:val="TableParagraph"/>
              <w:rPr>
                <w:rFonts w:ascii="Times New Roman"/>
                <w:sz w:val="20"/>
              </w:rPr>
            </w:pPr>
          </w:p>
        </w:tc>
        <w:tc>
          <w:tcPr>
            <w:tcW w:w="2426" w:type="dxa"/>
          </w:tcPr>
          <w:p>
            <w:pPr>
              <w:pStyle w:val="TableParagraph"/>
              <w:rPr>
                <w:rFonts w:ascii="Times New Roman"/>
                <w:sz w:val="20"/>
              </w:rPr>
            </w:pPr>
          </w:p>
        </w:tc>
        <w:tc>
          <w:tcPr>
            <w:tcW w:w="6946" w:type="dxa"/>
          </w:tcPr>
          <w:p>
            <w:pPr>
              <w:pStyle w:val="TableParagraph"/>
              <w:spacing w:line="261" w:lineRule="exact"/>
              <w:ind w:left="108"/>
              <w:rPr>
                <w:sz w:val="21"/>
              </w:rPr>
            </w:pPr>
            <w:r>
              <w:rPr>
                <w:position w:val="1"/>
                <w:sz w:val="21"/>
                <w:shd w:fill="DADADA" w:color="auto" w:val="clear"/>
              </w:rPr>
              <w:t>（5）TNM 分期为 T</w:t>
            </w:r>
            <w:r>
              <w:rPr>
                <w:sz w:val="11"/>
              </w:rPr>
              <w:t>1</w:t>
            </w:r>
            <w:r>
              <w:rPr>
                <w:position w:val="1"/>
                <w:sz w:val="21"/>
                <w:shd w:fill="DADADA" w:color="auto" w:val="clear"/>
              </w:rPr>
              <w:t>N</w:t>
            </w:r>
            <w:r>
              <w:rPr>
                <w:sz w:val="11"/>
              </w:rPr>
              <w:t>0</w:t>
            </w:r>
            <w:r>
              <w:rPr>
                <w:position w:val="1"/>
                <w:sz w:val="21"/>
                <w:shd w:fill="DADADA" w:color="auto" w:val="clear"/>
              </w:rPr>
              <w:t>M</w:t>
            </w:r>
            <w:r>
              <w:rPr>
                <w:sz w:val="11"/>
              </w:rPr>
              <w:t>0</w:t>
            </w:r>
            <w:r>
              <w:rPr>
                <w:position w:val="1"/>
                <w:sz w:val="11"/>
              </w:rPr>
              <w:t> </w:t>
            </w:r>
            <w:r>
              <w:rPr>
                <w:position w:val="1"/>
                <w:sz w:val="21"/>
                <w:shd w:fill="DADADA" w:color="auto" w:val="clear"/>
              </w:rPr>
              <w:t>期或更轻分期的前列腺癌；</w:t>
            </w:r>
          </w:p>
        </w:tc>
      </w:tr>
      <w:tr>
        <w:trPr>
          <w:trHeight w:val="261" w:hRule="atLeast"/>
        </w:trPr>
        <w:tc>
          <w:tcPr>
            <w:tcW w:w="374" w:type="dxa"/>
          </w:tcPr>
          <w:p>
            <w:pPr>
              <w:pStyle w:val="TableParagraph"/>
              <w:rPr>
                <w:rFonts w:ascii="Times New Roman"/>
                <w:sz w:val="18"/>
              </w:rPr>
            </w:pPr>
          </w:p>
        </w:tc>
        <w:tc>
          <w:tcPr>
            <w:tcW w:w="2426" w:type="dxa"/>
          </w:tcPr>
          <w:p>
            <w:pPr>
              <w:pStyle w:val="TableParagraph"/>
              <w:rPr>
                <w:rFonts w:ascii="Times New Roman"/>
                <w:sz w:val="18"/>
              </w:rPr>
            </w:pPr>
          </w:p>
        </w:tc>
        <w:tc>
          <w:tcPr>
            <w:tcW w:w="6946" w:type="dxa"/>
          </w:tcPr>
          <w:p>
            <w:pPr>
              <w:pStyle w:val="TableParagraph"/>
              <w:spacing w:line="242" w:lineRule="exact"/>
              <w:ind w:left="108"/>
              <w:rPr>
                <w:sz w:val="21"/>
              </w:rPr>
            </w:pPr>
            <w:r>
              <w:rPr>
                <w:sz w:val="21"/>
                <w:shd w:fill="DADADA" w:color="auto" w:val="clear"/>
              </w:rPr>
              <w:t>（6）感染艾滋病病毒或患艾滋病</w:t>
            </w:r>
            <w:r>
              <w:rPr>
                <w:sz w:val="21"/>
              </w:rPr>
              <w:t>（不包括经输血、因职业关系、器官移植</w:t>
            </w:r>
          </w:p>
        </w:tc>
      </w:tr>
      <w:tr>
        <w:trPr>
          <w:trHeight w:val="493" w:hRule="atLeast"/>
        </w:trPr>
        <w:tc>
          <w:tcPr>
            <w:tcW w:w="374" w:type="dxa"/>
          </w:tcPr>
          <w:p>
            <w:pPr>
              <w:pStyle w:val="TableParagraph"/>
              <w:rPr>
                <w:rFonts w:ascii="Times New Roman"/>
                <w:sz w:val="20"/>
              </w:rPr>
            </w:pPr>
          </w:p>
        </w:tc>
        <w:tc>
          <w:tcPr>
            <w:tcW w:w="2426" w:type="dxa"/>
          </w:tcPr>
          <w:p>
            <w:pPr>
              <w:pStyle w:val="TableParagraph"/>
              <w:rPr>
                <w:rFonts w:ascii="Times New Roman"/>
                <w:sz w:val="20"/>
              </w:rPr>
            </w:pPr>
          </w:p>
        </w:tc>
        <w:tc>
          <w:tcPr>
            <w:tcW w:w="6946" w:type="dxa"/>
          </w:tcPr>
          <w:p>
            <w:pPr>
              <w:pStyle w:val="TableParagraph"/>
              <w:spacing w:before="37"/>
              <w:ind w:left="633"/>
              <w:rPr>
                <w:sz w:val="21"/>
              </w:rPr>
            </w:pPr>
            <w:r>
              <w:rPr>
                <w:sz w:val="21"/>
              </w:rPr>
              <w:t>导致的艾滋病病毒感染或患艾滋病）</w:t>
            </w:r>
            <w:r>
              <w:rPr>
                <w:sz w:val="21"/>
                <w:shd w:fill="DADADA" w:color="auto" w:val="clear"/>
              </w:rPr>
              <w:t>期间所患恶性肿瘤</w:t>
            </w:r>
            <w:r>
              <w:rPr>
                <w:sz w:val="21"/>
              </w:rPr>
              <w:t>。</w:t>
            </w:r>
          </w:p>
        </w:tc>
      </w:tr>
      <w:tr>
        <w:trPr>
          <w:trHeight w:val="935" w:hRule="atLeast"/>
        </w:trPr>
        <w:tc>
          <w:tcPr>
            <w:tcW w:w="374" w:type="dxa"/>
          </w:tcPr>
          <w:p>
            <w:pPr>
              <w:pStyle w:val="TableParagraph"/>
              <w:spacing w:before="138"/>
              <w:ind w:left="50"/>
              <w:rPr>
                <w:b/>
                <w:sz w:val="21"/>
              </w:rPr>
            </w:pPr>
            <w:r>
              <w:rPr>
                <w:b/>
                <w:w w:val="99"/>
                <w:sz w:val="21"/>
              </w:rPr>
              <w:t>2</w:t>
            </w:r>
          </w:p>
        </w:tc>
        <w:tc>
          <w:tcPr>
            <w:tcW w:w="2426" w:type="dxa"/>
          </w:tcPr>
          <w:p>
            <w:pPr>
              <w:pStyle w:val="TableParagraph"/>
              <w:spacing w:line="235" w:lineRule="auto" w:before="109"/>
              <w:ind w:left="218" w:right="36"/>
              <w:rPr>
                <w:rFonts w:ascii="等线" w:eastAsia="等线" w:hint="eastAsia"/>
                <w:b/>
                <w:sz w:val="24"/>
              </w:rPr>
            </w:pPr>
            <w:r>
              <w:rPr>
                <w:rFonts w:ascii="等线" w:eastAsia="等线" w:hint="eastAsia"/>
                <w:b/>
                <w:sz w:val="24"/>
              </w:rPr>
              <w:t>侵蚀性葡萄胎（或称恶性葡萄胎）</w:t>
            </w:r>
          </w:p>
        </w:tc>
        <w:tc>
          <w:tcPr>
            <w:tcW w:w="6946" w:type="dxa"/>
          </w:tcPr>
          <w:p>
            <w:pPr>
              <w:pStyle w:val="TableParagraph"/>
              <w:spacing w:line="273" w:lineRule="auto" w:before="138"/>
              <w:ind w:left="108" w:right="48"/>
              <w:rPr>
                <w:sz w:val="21"/>
              </w:rPr>
            </w:pPr>
            <w:r>
              <w:rPr>
                <w:sz w:val="21"/>
              </w:rPr>
              <w:t>指异常增生的绒毛组织浸润性生长浸入子宫肌层或转移至其他器官或组织的葡萄胎，并已经进行化疗或手术治疗的。</w:t>
            </w:r>
          </w:p>
        </w:tc>
      </w:tr>
      <w:tr>
        <w:trPr>
          <w:trHeight w:val="607" w:hRule="atLeast"/>
        </w:trPr>
        <w:tc>
          <w:tcPr>
            <w:tcW w:w="374" w:type="dxa"/>
          </w:tcPr>
          <w:p>
            <w:pPr>
              <w:pStyle w:val="TableParagraph"/>
              <w:rPr>
                <w:rFonts w:ascii="Times New Roman"/>
                <w:sz w:val="20"/>
              </w:rPr>
            </w:pPr>
          </w:p>
        </w:tc>
        <w:tc>
          <w:tcPr>
            <w:tcW w:w="2426" w:type="dxa"/>
          </w:tcPr>
          <w:p>
            <w:pPr>
              <w:pStyle w:val="TableParagraph"/>
              <w:spacing w:before="122"/>
              <w:ind w:left="218"/>
              <w:rPr>
                <w:b/>
                <w:sz w:val="21"/>
              </w:rPr>
            </w:pPr>
            <w:r>
              <w:rPr>
                <w:b/>
                <w:sz w:val="21"/>
              </w:rPr>
              <w:t>第 2 类：</w:t>
            </w:r>
          </w:p>
        </w:tc>
        <w:tc>
          <w:tcPr>
            <w:tcW w:w="6946" w:type="dxa"/>
          </w:tcPr>
          <w:p>
            <w:pPr>
              <w:pStyle w:val="TableParagraph"/>
              <w:spacing w:before="122"/>
              <w:ind w:left="108"/>
              <w:rPr>
                <w:b/>
                <w:sz w:val="21"/>
              </w:rPr>
            </w:pPr>
            <w:r>
              <w:rPr>
                <w:b/>
                <w:sz w:val="21"/>
              </w:rPr>
              <w:t>与心脏或脑血管相关的疾病</w:t>
            </w:r>
          </w:p>
        </w:tc>
      </w:tr>
      <w:tr>
        <w:trPr>
          <w:trHeight w:val="501" w:hRule="atLeast"/>
        </w:trPr>
        <w:tc>
          <w:tcPr>
            <w:tcW w:w="374" w:type="dxa"/>
          </w:tcPr>
          <w:p>
            <w:pPr>
              <w:pStyle w:val="TableParagraph"/>
              <w:spacing w:before="167"/>
              <w:ind w:left="50"/>
              <w:rPr>
                <w:b/>
                <w:sz w:val="21"/>
              </w:rPr>
            </w:pPr>
            <w:r>
              <w:rPr>
                <w:b/>
                <w:w w:val="99"/>
                <w:sz w:val="21"/>
              </w:rPr>
              <w:t>3</w:t>
            </w:r>
          </w:p>
        </w:tc>
        <w:tc>
          <w:tcPr>
            <w:tcW w:w="2426" w:type="dxa"/>
          </w:tcPr>
          <w:p>
            <w:pPr>
              <w:pStyle w:val="TableParagraph"/>
              <w:spacing w:before="131"/>
              <w:ind w:left="218"/>
              <w:rPr>
                <w:rFonts w:ascii="等线" w:eastAsia="等线" w:hint="eastAsia"/>
                <w:b/>
                <w:sz w:val="24"/>
              </w:rPr>
            </w:pPr>
            <w:r>
              <w:rPr>
                <w:rFonts w:ascii="等线" w:eastAsia="等线" w:hint="eastAsia"/>
                <w:b/>
                <w:w w:val="105"/>
                <w:sz w:val="24"/>
              </w:rPr>
              <w:t>急性心ft梗塞</w:t>
            </w:r>
          </w:p>
        </w:tc>
        <w:tc>
          <w:tcPr>
            <w:tcW w:w="6946" w:type="dxa"/>
          </w:tcPr>
          <w:p>
            <w:pPr>
              <w:pStyle w:val="TableParagraph"/>
              <w:spacing w:before="167"/>
              <w:ind w:left="108"/>
              <w:rPr>
                <w:sz w:val="21"/>
              </w:rPr>
            </w:pPr>
            <w:r>
              <w:rPr>
                <w:sz w:val="21"/>
              </w:rPr>
              <w:t>指因冠状动脉阻塞导致的相应区域供血不足造成部分心肌坏死。须满足下</w:t>
            </w:r>
          </w:p>
        </w:tc>
      </w:tr>
      <w:tr>
        <w:trPr>
          <w:trHeight w:val="303" w:hRule="atLeast"/>
        </w:trPr>
        <w:tc>
          <w:tcPr>
            <w:tcW w:w="374" w:type="dxa"/>
          </w:tcPr>
          <w:p>
            <w:pPr>
              <w:pStyle w:val="TableParagraph"/>
              <w:rPr>
                <w:rFonts w:ascii="Times New Roman"/>
                <w:sz w:val="20"/>
              </w:rPr>
            </w:pPr>
          </w:p>
        </w:tc>
        <w:tc>
          <w:tcPr>
            <w:tcW w:w="2426" w:type="dxa"/>
          </w:tcPr>
          <w:p>
            <w:pPr>
              <w:pStyle w:val="TableParagraph"/>
              <w:rPr>
                <w:rFonts w:ascii="Times New Roman"/>
                <w:sz w:val="20"/>
              </w:rPr>
            </w:pPr>
          </w:p>
        </w:tc>
        <w:tc>
          <w:tcPr>
            <w:tcW w:w="6946" w:type="dxa"/>
          </w:tcPr>
          <w:p>
            <w:pPr>
              <w:pStyle w:val="TableParagraph"/>
              <w:spacing w:line="253" w:lineRule="exact"/>
              <w:ind w:left="108"/>
              <w:rPr>
                <w:sz w:val="21"/>
              </w:rPr>
            </w:pPr>
            <w:r>
              <w:rPr>
                <w:sz w:val="21"/>
              </w:rPr>
              <w:t>列至少三项条件：</w:t>
            </w:r>
          </w:p>
        </w:tc>
      </w:tr>
      <w:tr>
        <w:trPr>
          <w:trHeight w:val="311" w:hRule="atLeast"/>
        </w:trPr>
        <w:tc>
          <w:tcPr>
            <w:tcW w:w="374" w:type="dxa"/>
          </w:tcPr>
          <w:p>
            <w:pPr>
              <w:pStyle w:val="TableParagraph"/>
              <w:rPr>
                <w:rFonts w:ascii="Times New Roman"/>
                <w:sz w:val="20"/>
              </w:rPr>
            </w:pPr>
          </w:p>
        </w:tc>
        <w:tc>
          <w:tcPr>
            <w:tcW w:w="2426" w:type="dxa"/>
          </w:tcPr>
          <w:p>
            <w:pPr>
              <w:pStyle w:val="TableParagraph"/>
              <w:rPr>
                <w:rFonts w:ascii="Times New Roman"/>
                <w:sz w:val="20"/>
              </w:rPr>
            </w:pPr>
          </w:p>
        </w:tc>
        <w:tc>
          <w:tcPr>
            <w:tcW w:w="6946" w:type="dxa"/>
          </w:tcPr>
          <w:p>
            <w:pPr>
              <w:pStyle w:val="TableParagraph"/>
              <w:spacing w:line="261" w:lineRule="exact"/>
              <w:ind w:left="108"/>
              <w:rPr>
                <w:sz w:val="21"/>
              </w:rPr>
            </w:pPr>
            <w:r>
              <w:rPr>
                <w:sz w:val="21"/>
              </w:rPr>
              <w:t>（1）典型临床表现，例如急性胸痛等；</w:t>
            </w:r>
          </w:p>
        </w:tc>
      </w:tr>
      <w:tr>
        <w:trPr>
          <w:trHeight w:val="311" w:hRule="atLeast"/>
        </w:trPr>
        <w:tc>
          <w:tcPr>
            <w:tcW w:w="374" w:type="dxa"/>
          </w:tcPr>
          <w:p>
            <w:pPr>
              <w:pStyle w:val="TableParagraph"/>
              <w:rPr>
                <w:rFonts w:ascii="Times New Roman"/>
                <w:sz w:val="20"/>
              </w:rPr>
            </w:pPr>
          </w:p>
        </w:tc>
        <w:tc>
          <w:tcPr>
            <w:tcW w:w="2426" w:type="dxa"/>
          </w:tcPr>
          <w:p>
            <w:pPr>
              <w:pStyle w:val="TableParagraph"/>
              <w:rPr>
                <w:rFonts w:ascii="Times New Roman"/>
                <w:sz w:val="20"/>
              </w:rPr>
            </w:pPr>
          </w:p>
        </w:tc>
        <w:tc>
          <w:tcPr>
            <w:tcW w:w="6946" w:type="dxa"/>
          </w:tcPr>
          <w:p>
            <w:pPr>
              <w:pStyle w:val="TableParagraph"/>
              <w:spacing w:line="261" w:lineRule="exact"/>
              <w:ind w:left="108"/>
              <w:rPr>
                <w:sz w:val="21"/>
              </w:rPr>
            </w:pPr>
            <w:r>
              <w:rPr>
                <w:sz w:val="21"/>
              </w:rPr>
              <w:t>（2）新近的心电图改变提示急性心肌梗塞；</w:t>
            </w:r>
          </w:p>
        </w:tc>
      </w:tr>
      <w:tr>
        <w:trPr>
          <w:trHeight w:val="261" w:hRule="atLeast"/>
        </w:trPr>
        <w:tc>
          <w:tcPr>
            <w:tcW w:w="374" w:type="dxa"/>
          </w:tcPr>
          <w:p>
            <w:pPr>
              <w:pStyle w:val="TableParagraph"/>
              <w:rPr>
                <w:rFonts w:ascii="Times New Roman"/>
                <w:sz w:val="18"/>
              </w:rPr>
            </w:pPr>
          </w:p>
        </w:tc>
        <w:tc>
          <w:tcPr>
            <w:tcW w:w="2426" w:type="dxa"/>
          </w:tcPr>
          <w:p>
            <w:pPr>
              <w:pStyle w:val="TableParagraph"/>
              <w:rPr>
                <w:rFonts w:ascii="Times New Roman"/>
                <w:sz w:val="18"/>
              </w:rPr>
            </w:pPr>
          </w:p>
        </w:tc>
        <w:tc>
          <w:tcPr>
            <w:tcW w:w="6946" w:type="dxa"/>
          </w:tcPr>
          <w:p>
            <w:pPr>
              <w:pStyle w:val="TableParagraph"/>
              <w:spacing w:line="242" w:lineRule="exact"/>
              <w:ind w:left="108"/>
              <w:rPr>
                <w:sz w:val="21"/>
              </w:rPr>
            </w:pPr>
            <w:r>
              <w:rPr>
                <w:sz w:val="21"/>
              </w:rPr>
              <w:t>（3）心肌酶或肌钙蛋白有诊断意义的升高，或呈符合急性心肌梗塞的动态</w:t>
            </w:r>
          </w:p>
        </w:tc>
      </w:tr>
      <w:tr>
        <w:trPr>
          <w:trHeight w:val="311" w:hRule="atLeast"/>
        </w:trPr>
        <w:tc>
          <w:tcPr>
            <w:tcW w:w="374" w:type="dxa"/>
          </w:tcPr>
          <w:p>
            <w:pPr>
              <w:pStyle w:val="TableParagraph"/>
              <w:rPr>
                <w:rFonts w:ascii="Times New Roman"/>
                <w:sz w:val="20"/>
              </w:rPr>
            </w:pPr>
          </w:p>
        </w:tc>
        <w:tc>
          <w:tcPr>
            <w:tcW w:w="2426" w:type="dxa"/>
          </w:tcPr>
          <w:p>
            <w:pPr>
              <w:pStyle w:val="TableParagraph"/>
              <w:rPr>
                <w:rFonts w:ascii="Times New Roman"/>
                <w:sz w:val="20"/>
              </w:rPr>
            </w:pPr>
          </w:p>
        </w:tc>
        <w:tc>
          <w:tcPr>
            <w:tcW w:w="6946" w:type="dxa"/>
          </w:tcPr>
          <w:p>
            <w:pPr>
              <w:pStyle w:val="TableParagraph"/>
              <w:spacing w:line="255" w:lineRule="exact" w:before="37"/>
              <w:ind w:left="634"/>
              <w:rPr>
                <w:sz w:val="21"/>
              </w:rPr>
            </w:pPr>
            <w:r>
              <w:rPr>
                <w:sz w:val="21"/>
              </w:rPr>
              <w:t>性变化；</w:t>
            </w:r>
          </w:p>
        </w:tc>
      </w:tr>
    </w:tbl>
    <w:p>
      <w:pPr>
        <w:pStyle w:val="BodyText"/>
        <w:spacing w:before="37"/>
        <w:ind w:left="3297"/>
      </w:pPr>
      <w:r>
        <w:rPr/>
        <w:t>（4）发病 90 日后，经检查证实左心室功能降低，如左心室射血分数低于</w:t>
      </w:r>
    </w:p>
    <w:p>
      <w:pPr>
        <w:pStyle w:val="BodyText"/>
        <w:spacing w:before="37"/>
        <w:ind w:left="2532" w:right="4663"/>
        <w:jc w:val="center"/>
      </w:pPr>
      <w:r>
        <w:rPr/>
        <w:t>50%。</w:t>
      </w:r>
    </w:p>
    <w:p>
      <w:pPr>
        <w:spacing w:after="0"/>
        <w:jc w:val="center"/>
        <w:sectPr>
          <w:type w:val="continuous"/>
          <w:pgSz w:w="11910" w:h="16840"/>
          <w:pgMar w:top="400" w:bottom="280" w:left="800" w:right="800"/>
        </w:sectPr>
      </w:pPr>
    </w:p>
    <w:tbl>
      <w:tblPr>
        <w:tblW w:w="0" w:type="auto"/>
        <w:jc w:val="left"/>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24"/>
        <w:gridCol w:w="2441"/>
        <w:gridCol w:w="7086"/>
      </w:tblGrid>
      <w:tr>
        <w:trPr>
          <w:trHeight w:val="997" w:hRule="atLeast"/>
        </w:trPr>
        <w:tc>
          <w:tcPr>
            <w:tcW w:w="524" w:type="dxa"/>
          </w:tcPr>
          <w:p>
            <w:pPr>
              <w:pStyle w:val="TableParagraph"/>
              <w:spacing w:line="231" w:lineRule="exact"/>
              <w:ind w:left="200"/>
              <w:rPr>
                <w:b/>
                <w:sz w:val="21"/>
              </w:rPr>
            </w:pPr>
            <w:r>
              <w:rPr>
                <w:b/>
                <w:w w:val="99"/>
                <w:sz w:val="21"/>
              </w:rPr>
              <w:t>4</w:t>
            </w:r>
          </w:p>
        </w:tc>
        <w:tc>
          <w:tcPr>
            <w:tcW w:w="2441" w:type="dxa"/>
          </w:tcPr>
          <w:p>
            <w:pPr>
              <w:pStyle w:val="TableParagraph"/>
              <w:spacing w:line="244" w:lineRule="exact"/>
              <w:ind w:left="218"/>
              <w:rPr>
                <w:rFonts w:ascii="等线" w:eastAsia="等线" w:hint="eastAsia"/>
                <w:b/>
                <w:sz w:val="24"/>
              </w:rPr>
            </w:pPr>
            <w:r>
              <w:rPr>
                <w:rFonts w:ascii="等线" w:eastAsia="等线" w:hint="eastAsia"/>
                <w:b/>
                <w:sz w:val="24"/>
              </w:rPr>
              <w:t>严重原发性肺动脉</w:t>
            </w:r>
          </w:p>
          <w:p>
            <w:pPr>
              <w:pStyle w:val="TableParagraph"/>
              <w:spacing w:line="323" w:lineRule="exact"/>
              <w:ind w:left="218"/>
              <w:rPr>
                <w:rFonts w:ascii="等线" w:eastAsia="等线" w:hint="eastAsia"/>
                <w:b/>
                <w:sz w:val="24"/>
              </w:rPr>
            </w:pPr>
            <w:r>
              <w:rPr>
                <w:rFonts w:ascii="等线" w:eastAsia="等线" w:hint="eastAsia"/>
                <w:b/>
                <w:sz w:val="24"/>
              </w:rPr>
              <w:t>高压</w:t>
            </w:r>
          </w:p>
        </w:tc>
        <w:tc>
          <w:tcPr>
            <w:tcW w:w="7086" w:type="dxa"/>
          </w:tcPr>
          <w:p>
            <w:pPr>
              <w:pStyle w:val="TableParagraph"/>
              <w:spacing w:line="231" w:lineRule="exact"/>
              <w:ind w:left="93"/>
              <w:rPr>
                <w:sz w:val="21"/>
              </w:rPr>
            </w:pPr>
            <w:r>
              <w:rPr>
                <w:sz w:val="21"/>
              </w:rPr>
              <w:t>指不明原因的肺动脉压力持续性增高，进行性发展而导致的慢性疾病，已</w:t>
            </w:r>
          </w:p>
          <w:p>
            <w:pPr>
              <w:pStyle w:val="TableParagraph"/>
              <w:spacing w:line="273" w:lineRule="auto" w:before="37"/>
              <w:ind w:left="93" w:right="202"/>
              <w:rPr>
                <w:sz w:val="21"/>
              </w:rPr>
            </w:pPr>
            <w:r>
              <w:rPr>
                <w:sz w:val="21"/>
              </w:rPr>
              <w:t>经造成</w:t>
            </w:r>
            <w:r>
              <w:rPr>
                <w:rFonts w:ascii="黑体" w:eastAsia="黑体" w:hint="eastAsia"/>
                <w:b/>
                <w:sz w:val="21"/>
              </w:rPr>
              <w:t>永久不可逆 </w:t>
            </w:r>
            <w:hyperlink w:history="true" w:anchor="_bookmark15">
              <w:r>
                <w:rPr>
                  <w:rFonts w:ascii="黑体" w:eastAsia="黑体" w:hint="eastAsia"/>
                  <w:b/>
                  <w:position w:val="11"/>
                  <w:sz w:val="11"/>
                </w:rPr>
                <w:t>16</w:t>
              </w:r>
            </w:hyperlink>
            <w:r>
              <w:rPr>
                <w:sz w:val="21"/>
              </w:rPr>
              <w:t>性的体力活动能力受限，达到美国纽约心脏病学会</w:t>
            </w:r>
            <w:r>
              <w:rPr>
                <w:rFonts w:ascii="黑体" w:eastAsia="黑体" w:hint="eastAsia"/>
                <w:b/>
                <w:sz w:val="21"/>
              </w:rPr>
              <w:t>心功能状态分级 </w:t>
            </w:r>
            <w:hyperlink w:history="true" w:anchor="_bookmark16">
              <w:r>
                <w:rPr>
                  <w:rFonts w:ascii="黑体" w:eastAsia="黑体" w:hint="eastAsia"/>
                  <w:b/>
                  <w:position w:val="11"/>
                  <w:sz w:val="11"/>
                </w:rPr>
                <w:t>17</w:t>
              </w:r>
            </w:hyperlink>
            <w:r>
              <w:rPr>
                <w:sz w:val="21"/>
              </w:rPr>
              <w:t>IV 级，且静息状态下肺动脉平均压超过 30mmHg。</w:t>
            </w:r>
          </w:p>
        </w:tc>
      </w:tr>
      <w:tr>
        <w:trPr>
          <w:trHeight w:val="831" w:hRule="atLeast"/>
        </w:trPr>
        <w:tc>
          <w:tcPr>
            <w:tcW w:w="524" w:type="dxa"/>
          </w:tcPr>
          <w:p>
            <w:pPr>
              <w:pStyle w:val="TableParagraph"/>
              <w:spacing w:before="98"/>
              <w:ind w:left="200"/>
              <w:rPr>
                <w:b/>
                <w:sz w:val="21"/>
              </w:rPr>
            </w:pPr>
            <w:r>
              <w:rPr>
                <w:b/>
                <w:w w:val="99"/>
                <w:sz w:val="21"/>
              </w:rPr>
              <w:t>5</w:t>
            </w:r>
          </w:p>
        </w:tc>
        <w:tc>
          <w:tcPr>
            <w:tcW w:w="2441" w:type="dxa"/>
          </w:tcPr>
          <w:p>
            <w:pPr>
              <w:pStyle w:val="TableParagraph"/>
              <w:spacing w:before="62"/>
              <w:ind w:left="218"/>
              <w:rPr>
                <w:rFonts w:ascii="等线" w:eastAsia="等线" w:hint="eastAsia"/>
                <w:b/>
                <w:sz w:val="24"/>
              </w:rPr>
            </w:pPr>
            <w:r>
              <w:rPr>
                <w:rFonts w:ascii="等线" w:eastAsia="等线" w:hint="eastAsia"/>
                <w:b/>
                <w:sz w:val="24"/>
              </w:rPr>
              <w:t>心脏瓣膜手术</w:t>
            </w:r>
          </w:p>
        </w:tc>
        <w:tc>
          <w:tcPr>
            <w:tcW w:w="7086" w:type="dxa"/>
          </w:tcPr>
          <w:p>
            <w:pPr>
              <w:pStyle w:val="TableParagraph"/>
              <w:spacing w:line="273" w:lineRule="auto" w:before="98"/>
              <w:ind w:left="93" w:right="203"/>
              <w:rPr>
                <w:sz w:val="21"/>
              </w:rPr>
            </w:pPr>
            <w:r>
              <w:rPr>
                <w:sz w:val="21"/>
              </w:rPr>
              <w:t>指为治疗心脏瓣膜疾病，实际实施了开胸进行的心脏瓣膜置换或修复的手术。</w:t>
            </w:r>
          </w:p>
        </w:tc>
      </w:tr>
      <w:tr>
        <w:trPr>
          <w:trHeight w:val="2120" w:hRule="atLeast"/>
        </w:trPr>
        <w:tc>
          <w:tcPr>
            <w:tcW w:w="524" w:type="dxa"/>
          </w:tcPr>
          <w:p>
            <w:pPr>
              <w:pStyle w:val="TableParagraph"/>
              <w:spacing w:before="102"/>
              <w:ind w:left="200"/>
              <w:rPr>
                <w:b/>
                <w:sz w:val="21"/>
              </w:rPr>
            </w:pPr>
            <w:r>
              <w:rPr>
                <w:b/>
                <w:w w:val="99"/>
                <w:sz w:val="21"/>
              </w:rPr>
              <w:t>6</w:t>
            </w:r>
          </w:p>
        </w:tc>
        <w:tc>
          <w:tcPr>
            <w:tcW w:w="2441" w:type="dxa"/>
          </w:tcPr>
          <w:p>
            <w:pPr>
              <w:pStyle w:val="TableParagraph"/>
              <w:spacing w:line="235" w:lineRule="auto" w:before="73"/>
              <w:ind w:left="218" w:right="91"/>
              <w:rPr>
                <w:rFonts w:ascii="等线" w:eastAsia="等线" w:hint="eastAsia"/>
                <w:b/>
                <w:sz w:val="24"/>
              </w:rPr>
            </w:pPr>
            <w:r>
              <w:rPr>
                <w:rFonts w:ascii="等线" w:eastAsia="等线" w:hint="eastAsia"/>
                <w:b/>
                <w:sz w:val="24"/>
              </w:rPr>
              <w:t>严重的原发性心ft </w:t>
            </w:r>
            <w:r>
              <w:rPr>
                <w:rFonts w:ascii="等线" w:eastAsia="等线" w:hint="eastAsia"/>
                <w:b/>
                <w:w w:val="105"/>
                <w:sz w:val="24"/>
              </w:rPr>
              <w:t>病</w:t>
            </w:r>
          </w:p>
        </w:tc>
        <w:tc>
          <w:tcPr>
            <w:tcW w:w="7086" w:type="dxa"/>
          </w:tcPr>
          <w:p>
            <w:pPr>
              <w:pStyle w:val="TableParagraph"/>
              <w:spacing w:line="273" w:lineRule="auto" w:before="102"/>
              <w:ind w:left="93" w:right="201"/>
              <w:jc w:val="both"/>
              <w:rPr>
                <w:sz w:val="21"/>
              </w:rPr>
            </w:pPr>
            <w:r>
              <w:rPr>
                <w:sz w:val="21"/>
              </w:rPr>
              <w:t>指不明原因引起的一类心肌病变，包括原发性扩张型心肌病、原发性肥厚型心肌病及原发性限制型心肌病三种，病变必须已造成事实上心室功能障碍而出现明显的心功能衰竭（指按照美国纽约心脏病学会提出的心功能状</w:t>
            </w:r>
            <w:r>
              <w:rPr>
                <w:spacing w:val="-6"/>
                <w:sz w:val="21"/>
              </w:rPr>
              <w:t>态分级的标准判定，心功能状态已达Ⅳ级</w:t>
            </w:r>
            <w:r>
              <w:rPr>
                <w:spacing w:val="-64"/>
                <w:sz w:val="21"/>
              </w:rPr>
              <w:t>）</w:t>
            </w:r>
            <w:r>
              <w:rPr>
                <w:spacing w:val="-10"/>
                <w:sz w:val="21"/>
              </w:rPr>
              <w:t>，且有相关住院医疗记录显示Ⅳ </w:t>
            </w:r>
            <w:r>
              <w:rPr>
                <w:spacing w:val="-8"/>
                <w:sz w:val="21"/>
              </w:rPr>
              <w:t>级心功能衰竭状态已持续至少 </w:t>
            </w:r>
            <w:r>
              <w:rPr>
                <w:sz w:val="21"/>
              </w:rPr>
              <w:t>180</w:t>
            </w:r>
            <w:r>
              <w:rPr>
                <w:spacing w:val="-8"/>
                <w:sz w:val="21"/>
              </w:rPr>
              <w:t> 日。本病须经专科医生明确诊断。</w:t>
            </w:r>
          </w:p>
          <w:p>
            <w:pPr>
              <w:pStyle w:val="TableParagraph"/>
              <w:spacing w:before="7"/>
              <w:ind w:left="93"/>
              <w:jc w:val="both"/>
              <w:rPr>
                <w:sz w:val="21"/>
              </w:rPr>
            </w:pPr>
            <w:r>
              <w:rPr>
                <w:sz w:val="21"/>
                <w:shd w:fill="DADADA" w:color="auto" w:val="clear"/>
              </w:rPr>
              <w:t>继发于全身性疾病或其它器官系统疾病造成的心肌病变不在保障范围内。</w:t>
            </w:r>
          </w:p>
        </w:tc>
      </w:tr>
      <w:tr>
        <w:trPr>
          <w:trHeight w:val="2468" w:hRule="atLeast"/>
        </w:trPr>
        <w:tc>
          <w:tcPr>
            <w:tcW w:w="524" w:type="dxa"/>
          </w:tcPr>
          <w:p>
            <w:pPr>
              <w:pStyle w:val="TableParagraph"/>
              <w:spacing w:before="139"/>
              <w:ind w:left="200"/>
              <w:rPr>
                <w:b/>
                <w:sz w:val="21"/>
              </w:rPr>
            </w:pPr>
            <w:r>
              <w:rPr>
                <w:b/>
                <w:w w:val="99"/>
                <w:sz w:val="21"/>
              </w:rPr>
              <w:t>7</w:t>
            </w:r>
          </w:p>
        </w:tc>
        <w:tc>
          <w:tcPr>
            <w:tcW w:w="2441" w:type="dxa"/>
          </w:tcPr>
          <w:p>
            <w:pPr>
              <w:pStyle w:val="TableParagraph"/>
              <w:spacing w:before="103"/>
              <w:ind w:left="218"/>
              <w:rPr>
                <w:rFonts w:ascii="等线" w:eastAsia="等线" w:hint="eastAsia"/>
                <w:b/>
                <w:sz w:val="24"/>
              </w:rPr>
            </w:pPr>
            <w:r>
              <w:rPr>
                <w:rFonts w:ascii="等线" w:eastAsia="等线" w:hint="eastAsia"/>
                <w:b/>
                <w:sz w:val="24"/>
              </w:rPr>
              <w:t>脑中风后遗症</w:t>
            </w:r>
          </w:p>
        </w:tc>
        <w:tc>
          <w:tcPr>
            <w:tcW w:w="7086" w:type="dxa"/>
          </w:tcPr>
          <w:p>
            <w:pPr>
              <w:pStyle w:val="TableParagraph"/>
              <w:spacing w:line="273" w:lineRule="auto" w:before="139"/>
              <w:ind w:left="93" w:right="198"/>
              <w:jc w:val="both"/>
              <w:rPr>
                <w:sz w:val="21"/>
              </w:rPr>
            </w:pPr>
            <w:r>
              <w:rPr>
                <w:sz w:val="21"/>
              </w:rPr>
              <w:t>指因脑血管的突发病变引起脑血管出血、栓塞或梗塞，并导致神经系统永</w:t>
            </w:r>
            <w:r>
              <w:rPr>
                <w:spacing w:val="-3"/>
                <w:sz w:val="21"/>
              </w:rPr>
              <w:t>久性的功能障碍。神经系统永久性的功能障碍，指疾病确诊 </w:t>
            </w:r>
            <w:r>
              <w:rPr>
                <w:sz w:val="21"/>
              </w:rPr>
              <w:t>180</w:t>
            </w:r>
            <w:r>
              <w:rPr>
                <w:spacing w:val="-3"/>
                <w:sz w:val="21"/>
              </w:rPr>
              <w:t> 日后，仍遗留下列一种或一种以上障碍：</w:t>
            </w:r>
          </w:p>
          <w:p>
            <w:pPr>
              <w:pStyle w:val="TableParagraph"/>
              <w:spacing w:before="7"/>
              <w:ind w:left="93"/>
              <w:rPr>
                <w:sz w:val="21"/>
              </w:rPr>
            </w:pPr>
            <w:r>
              <w:rPr>
                <w:sz w:val="21"/>
              </w:rPr>
              <w:t>（1）一肢或一肢以上</w:t>
            </w:r>
            <w:r>
              <w:rPr>
                <w:rFonts w:ascii="黑体" w:eastAsia="黑体" w:hint="eastAsia"/>
                <w:b/>
                <w:sz w:val="21"/>
              </w:rPr>
              <w:t>肢体机能完全丧失 </w:t>
            </w:r>
            <w:hyperlink w:history="true" w:anchor="_bookmark17">
              <w:r>
                <w:rPr>
                  <w:rFonts w:ascii="黑体" w:eastAsia="黑体" w:hint="eastAsia"/>
                  <w:b/>
                  <w:position w:val="11"/>
                  <w:sz w:val="11"/>
                </w:rPr>
                <w:t>18</w:t>
              </w:r>
            </w:hyperlink>
            <w:r>
              <w:rPr>
                <w:sz w:val="21"/>
              </w:rPr>
              <w:t>；</w:t>
            </w:r>
          </w:p>
          <w:p>
            <w:pPr>
              <w:pStyle w:val="TableParagraph"/>
              <w:spacing w:before="37"/>
              <w:ind w:left="93"/>
              <w:rPr>
                <w:sz w:val="21"/>
              </w:rPr>
            </w:pPr>
            <w:r>
              <w:rPr>
                <w:sz w:val="21"/>
              </w:rPr>
              <w:t>（2）</w:t>
            </w:r>
            <w:r>
              <w:rPr>
                <w:rFonts w:ascii="黑体" w:eastAsia="黑体" w:hint="eastAsia"/>
                <w:b/>
                <w:sz w:val="21"/>
              </w:rPr>
              <w:t>语言能力或咀嚼吞咽能力完全丧失 </w:t>
            </w:r>
            <w:hyperlink w:history="true" w:anchor="_bookmark18">
              <w:r>
                <w:rPr>
                  <w:rFonts w:ascii="黑体" w:eastAsia="黑体" w:hint="eastAsia"/>
                  <w:b/>
                  <w:position w:val="11"/>
                  <w:sz w:val="11"/>
                </w:rPr>
                <w:t>19</w:t>
              </w:r>
            </w:hyperlink>
            <w:r>
              <w:rPr>
                <w:sz w:val="21"/>
              </w:rPr>
              <w:t>；</w:t>
            </w:r>
          </w:p>
          <w:p>
            <w:pPr>
              <w:pStyle w:val="TableParagraph"/>
              <w:spacing w:line="273" w:lineRule="auto" w:before="37"/>
              <w:ind w:left="618" w:right="136" w:hanging="526"/>
              <w:rPr>
                <w:sz w:val="21"/>
              </w:rPr>
            </w:pPr>
            <w:r>
              <w:rPr>
                <w:sz w:val="21"/>
              </w:rPr>
              <w:t>（3）自主生活能力完全丧失，无法独立完成</w:t>
            </w:r>
            <w:r>
              <w:rPr>
                <w:rFonts w:ascii="黑体" w:eastAsia="黑体" w:hint="eastAsia"/>
                <w:b/>
                <w:sz w:val="21"/>
              </w:rPr>
              <w:t>六项基本日常Th活活动 </w:t>
            </w:r>
            <w:hyperlink w:history="true" w:anchor="_bookmark19">
              <w:r>
                <w:rPr>
                  <w:rFonts w:ascii="黑体" w:eastAsia="黑体" w:hint="eastAsia"/>
                  <w:b/>
                  <w:position w:val="11"/>
                  <w:sz w:val="11"/>
                </w:rPr>
                <w:t>20</w:t>
              </w:r>
            </w:hyperlink>
            <w:r>
              <w:rPr>
                <w:sz w:val="21"/>
              </w:rPr>
              <w:t>中的三项或三项以上。</w:t>
            </w:r>
          </w:p>
        </w:tc>
      </w:tr>
      <w:tr>
        <w:trPr>
          <w:trHeight w:val="1531" w:hRule="atLeast"/>
        </w:trPr>
        <w:tc>
          <w:tcPr>
            <w:tcW w:w="524" w:type="dxa"/>
          </w:tcPr>
          <w:p>
            <w:pPr>
              <w:pStyle w:val="TableParagraph"/>
              <w:spacing w:before="138"/>
              <w:ind w:left="200"/>
              <w:rPr>
                <w:b/>
                <w:sz w:val="21"/>
              </w:rPr>
            </w:pPr>
            <w:r>
              <w:rPr>
                <w:b/>
                <w:w w:val="99"/>
                <w:sz w:val="21"/>
              </w:rPr>
              <w:t>8</w:t>
            </w:r>
          </w:p>
        </w:tc>
        <w:tc>
          <w:tcPr>
            <w:tcW w:w="2441" w:type="dxa"/>
          </w:tcPr>
          <w:p>
            <w:pPr>
              <w:pStyle w:val="TableParagraph"/>
              <w:spacing w:line="232" w:lineRule="auto" w:before="112"/>
              <w:ind w:left="218" w:right="91"/>
              <w:jc w:val="both"/>
              <w:rPr>
                <w:rFonts w:ascii="等线" w:eastAsia="等线" w:hint="eastAsia"/>
                <w:b/>
                <w:sz w:val="24"/>
              </w:rPr>
            </w:pPr>
            <w:r>
              <w:rPr>
                <w:rFonts w:ascii="等线" w:eastAsia="等线" w:hint="eastAsia"/>
                <w:b/>
                <w:spacing w:val="-9"/>
                <w:sz w:val="24"/>
              </w:rPr>
              <w:t>冠状动脉搭桥术</w:t>
            </w:r>
            <w:r>
              <w:rPr>
                <w:rFonts w:ascii="等线" w:eastAsia="等线" w:hint="eastAsia"/>
                <w:b/>
                <w:sz w:val="24"/>
              </w:rPr>
              <w:t>（或</w:t>
            </w:r>
            <w:r>
              <w:rPr>
                <w:rFonts w:ascii="等线" w:eastAsia="等线" w:hint="eastAsia"/>
                <w:b/>
                <w:spacing w:val="23"/>
                <w:sz w:val="24"/>
              </w:rPr>
              <w:t>称冠状动脉旁路移</w:t>
            </w:r>
            <w:r>
              <w:rPr>
                <w:rFonts w:ascii="等线" w:eastAsia="等线" w:hint="eastAsia"/>
                <w:b/>
                <w:sz w:val="24"/>
              </w:rPr>
              <w:t>植术）</w:t>
            </w:r>
          </w:p>
        </w:tc>
        <w:tc>
          <w:tcPr>
            <w:tcW w:w="7086" w:type="dxa"/>
          </w:tcPr>
          <w:p>
            <w:pPr>
              <w:pStyle w:val="TableParagraph"/>
              <w:spacing w:line="273" w:lineRule="auto" w:before="138"/>
              <w:ind w:left="93" w:right="203"/>
              <w:rPr>
                <w:sz w:val="21"/>
              </w:rPr>
            </w:pPr>
            <w:r>
              <w:rPr>
                <w:sz w:val="21"/>
              </w:rPr>
              <w:t>指为治疗严重的冠心病，实际实施了开胸进行的冠状动脉血管旁路移植的手术。</w:t>
            </w:r>
          </w:p>
          <w:p>
            <w:pPr>
              <w:pStyle w:val="TableParagraph"/>
              <w:spacing w:line="273" w:lineRule="auto" w:before="7"/>
              <w:ind w:left="93" w:right="203"/>
              <w:rPr>
                <w:sz w:val="21"/>
              </w:rPr>
            </w:pPr>
            <w:r>
              <w:rPr>
                <w:sz w:val="21"/>
                <w:shd w:fill="DADADA" w:color="auto" w:val="clear"/>
              </w:rPr>
              <w:t>冠状动脉支架植入术、心导管球囊扩张术、激光射频技术及其它非开胸的介入手术、腔镜手术不在保障范围内。</w:t>
            </w:r>
          </w:p>
        </w:tc>
      </w:tr>
      <w:tr>
        <w:trPr>
          <w:trHeight w:val="725" w:hRule="atLeast"/>
        </w:trPr>
        <w:tc>
          <w:tcPr>
            <w:tcW w:w="524" w:type="dxa"/>
          </w:tcPr>
          <w:p>
            <w:pPr>
              <w:pStyle w:val="TableParagraph"/>
              <w:spacing w:before="138"/>
              <w:ind w:left="200"/>
              <w:rPr>
                <w:b/>
                <w:sz w:val="21"/>
              </w:rPr>
            </w:pPr>
            <w:r>
              <w:rPr>
                <w:b/>
                <w:w w:val="99"/>
                <w:sz w:val="21"/>
              </w:rPr>
              <w:t>9</w:t>
            </w:r>
          </w:p>
        </w:tc>
        <w:tc>
          <w:tcPr>
            <w:tcW w:w="2441" w:type="dxa"/>
          </w:tcPr>
          <w:p>
            <w:pPr>
              <w:pStyle w:val="TableParagraph"/>
              <w:spacing w:before="102"/>
              <w:ind w:left="218"/>
              <w:rPr>
                <w:rFonts w:ascii="等线" w:eastAsia="等线" w:hint="eastAsia"/>
                <w:b/>
                <w:sz w:val="24"/>
              </w:rPr>
            </w:pPr>
            <w:r>
              <w:rPr>
                <w:rFonts w:ascii="等线" w:eastAsia="等线" w:hint="eastAsia"/>
                <w:b/>
                <w:sz w:val="24"/>
              </w:rPr>
              <w:t>主动脉手术</w:t>
            </w:r>
          </w:p>
        </w:tc>
        <w:tc>
          <w:tcPr>
            <w:tcW w:w="7086" w:type="dxa"/>
          </w:tcPr>
          <w:p>
            <w:pPr>
              <w:pStyle w:val="TableParagraph"/>
              <w:spacing w:line="310" w:lineRule="atLeast" w:before="103"/>
              <w:ind w:left="93" w:right="203"/>
              <w:rPr>
                <w:sz w:val="21"/>
              </w:rPr>
            </w:pPr>
            <w:r>
              <w:rPr>
                <w:sz w:val="21"/>
              </w:rPr>
              <w:t>指为治疗主动脉疾病，实际实施了开胸或开腹进行的切除、置换、修补病损主动脉血管的手术。</w:t>
            </w:r>
          </w:p>
        </w:tc>
      </w:tr>
    </w:tbl>
    <w:p>
      <w:pPr>
        <w:pStyle w:val="BodyText"/>
        <w:rPr>
          <w:sz w:val="20"/>
        </w:rPr>
      </w:pPr>
    </w:p>
    <w:p>
      <w:pPr>
        <w:pStyle w:val="BodyText"/>
        <w:spacing w:before="12"/>
        <w:rPr>
          <w:sz w:val="10"/>
        </w:rPr>
      </w:pPr>
      <w:r>
        <w:rPr/>
        <w:pict>
          <v:line style="position:absolute;mso-position-horizontal-relative:page;mso-position-vertical-relative:paragraph;z-index:1504;mso-wrap-distance-left:0;mso-wrap-distance-right:0" from="51pt,9.351942pt" to="195pt,9.351942pt" stroked="true" strokeweight=".48pt" strokecolor="#000000">
            <v:stroke dashstyle="solid"/>
            <w10:wrap type="topAndBottom"/>
          </v:line>
        </w:pict>
      </w:r>
    </w:p>
    <w:p>
      <w:pPr>
        <w:spacing w:line="296" w:lineRule="exact" w:before="25"/>
        <w:ind w:left="100" w:right="0" w:firstLine="0"/>
        <w:jc w:val="left"/>
        <w:rPr>
          <w:sz w:val="18"/>
        </w:rPr>
      </w:pPr>
      <w:bookmarkStart w:name="_bookmark15" w:id="16"/>
      <w:bookmarkEnd w:id="16"/>
      <w:r>
        <w:rPr/>
      </w:r>
      <w:r>
        <w:rPr>
          <w:rFonts w:ascii="Microsoft JhengHei" w:eastAsia="Microsoft JhengHei" w:hint="eastAsia"/>
          <w:b/>
          <w:position w:val="9"/>
          <w:sz w:val="9"/>
        </w:rPr>
        <w:t>16 </w:t>
      </w:r>
      <w:r>
        <w:rPr>
          <w:rFonts w:ascii="Microsoft JhengHei" w:eastAsia="Microsoft JhengHei" w:hint="eastAsia"/>
          <w:b/>
          <w:sz w:val="18"/>
        </w:rPr>
        <w:t>永久不可逆</w:t>
      </w:r>
      <w:r>
        <w:rPr>
          <w:sz w:val="18"/>
        </w:rPr>
        <w:t>指自疾病确诊或意外伤害发生之日起，经过积极治疗 180 日后，仍无法通过现有医疗手段恢复。</w:t>
      </w:r>
    </w:p>
    <w:p>
      <w:pPr>
        <w:spacing w:line="296" w:lineRule="exact" w:before="0"/>
        <w:ind w:left="100" w:right="0" w:firstLine="0"/>
        <w:jc w:val="left"/>
        <w:rPr>
          <w:sz w:val="18"/>
        </w:rPr>
      </w:pPr>
      <w:bookmarkStart w:name="_bookmark16" w:id="17"/>
      <w:bookmarkEnd w:id="17"/>
      <w:r>
        <w:rPr/>
      </w:r>
      <w:r>
        <w:rPr>
          <w:rFonts w:ascii="Microsoft JhengHei" w:eastAsia="Microsoft JhengHei" w:hint="eastAsia"/>
          <w:b/>
          <w:position w:val="9"/>
          <w:sz w:val="9"/>
        </w:rPr>
        <w:t>17 </w:t>
      </w:r>
      <w:r>
        <w:rPr>
          <w:rFonts w:ascii="Microsoft JhengHei" w:eastAsia="Microsoft JhengHei" w:hint="eastAsia"/>
          <w:b/>
          <w:sz w:val="18"/>
        </w:rPr>
        <w:t>心功能状态分级</w:t>
      </w:r>
      <w:r>
        <w:rPr>
          <w:sz w:val="18"/>
        </w:rPr>
        <w:t>指美国纽约心脏病学会心功能状态的分级标准：</w:t>
      </w:r>
    </w:p>
    <w:p>
      <w:pPr>
        <w:spacing w:before="24"/>
        <w:ind w:left="279" w:right="0" w:firstLine="0"/>
        <w:jc w:val="left"/>
        <w:rPr>
          <w:sz w:val="18"/>
        </w:rPr>
      </w:pPr>
      <w:r>
        <w:rPr>
          <w:sz w:val="18"/>
        </w:rPr>
        <w:t>Ⅰ级：体力活动不受限制，日常活动不引起乏力、心悸、呼吸困难或心绞痛等症状；</w:t>
      </w:r>
    </w:p>
    <w:p>
      <w:pPr>
        <w:spacing w:before="44"/>
        <w:ind w:left="279" w:right="0" w:firstLine="0"/>
        <w:jc w:val="left"/>
        <w:rPr>
          <w:sz w:val="18"/>
        </w:rPr>
      </w:pPr>
      <w:r>
        <w:rPr>
          <w:sz w:val="18"/>
        </w:rPr>
        <w:t>Ⅱ级：体力活动轻度受限，休息时无症状，日常活动即可引起乏力、心悸、呼吸困难或心绞痛等症状；</w:t>
      </w:r>
    </w:p>
    <w:p>
      <w:pPr>
        <w:spacing w:line="285" w:lineRule="auto" w:before="42"/>
        <w:ind w:left="279" w:right="3704" w:firstLine="0"/>
        <w:jc w:val="left"/>
        <w:rPr>
          <w:sz w:val="18"/>
        </w:rPr>
      </w:pPr>
      <w:r>
        <w:rPr>
          <w:sz w:val="18"/>
        </w:rPr>
        <w:t>Ⅲ级：体力活动明显受限，休息时无症状，轻于日常的活动即可引起上述症状； Ⅳ级：不能从事任何体力活动，休息时亦有症状，体力活动后加重。</w:t>
      </w:r>
    </w:p>
    <w:p>
      <w:pPr>
        <w:spacing w:line="267" w:lineRule="exact" w:before="0"/>
        <w:ind w:left="100" w:right="0" w:firstLine="0"/>
        <w:jc w:val="left"/>
        <w:rPr>
          <w:sz w:val="18"/>
        </w:rPr>
      </w:pPr>
      <w:bookmarkStart w:name="_bookmark17" w:id="18"/>
      <w:bookmarkEnd w:id="18"/>
      <w:r>
        <w:rPr/>
      </w:r>
      <w:r>
        <w:rPr>
          <w:rFonts w:ascii="Microsoft JhengHei" w:eastAsia="Microsoft JhengHei" w:hint="eastAsia"/>
          <w:b/>
          <w:position w:val="9"/>
          <w:sz w:val="9"/>
        </w:rPr>
        <w:t>18 </w:t>
      </w:r>
      <w:r>
        <w:rPr>
          <w:rFonts w:ascii="Microsoft JhengHei" w:eastAsia="Microsoft JhengHei" w:hint="eastAsia"/>
          <w:b/>
          <w:sz w:val="18"/>
        </w:rPr>
        <w:t>肢体机能完全丧失</w:t>
      </w:r>
      <w:r>
        <w:rPr>
          <w:sz w:val="18"/>
        </w:rPr>
        <w:t>指肢体的三大关节中的两大关节僵硬，或不能随意识活动。肢体是指包括肩关节的整个上肢或包括髋关节</w:t>
      </w:r>
    </w:p>
    <w:p>
      <w:pPr>
        <w:spacing w:line="230" w:lineRule="exact" w:before="22"/>
        <w:ind w:left="280" w:right="0" w:firstLine="0"/>
        <w:jc w:val="left"/>
        <w:rPr>
          <w:sz w:val="18"/>
        </w:rPr>
      </w:pPr>
      <w:r>
        <w:rPr>
          <w:sz w:val="18"/>
        </w:rPr>
        <w:t>的整个下肢。</w:t>
      </w:r>
    </w:p>
    <w:p>
      <w:pPr>
        <w:spacing w:line="280" w:lineRule="exact" w:before="36"/>
        <w:ind w:left="279" w:right="315" w:hanging="180"/>
        <w:jc w:val="left"/>
        <w:rPr>
          <w:sz w:val="18"/>
        </w:rPr>
      </w:pPr>
      <w:bookmarkStart w:name="_bookmark18" w:id="19"/>
      <w:bookmarkEnd w:id="19"/>
      <w:r>
        <w:rPr/>
      </w:r>
      <w:r>
        <w:rPr>
          <w:rFonts w:ascii="Microsoft JhengHei" w:eastAsia="Microsoft JhengHei" w:hint="eastAsia"/>
          <w:b/>
          <w:position w:val="9"/>
          <w:sz w:val="9"/>
        </w:rPr>
        <w:t>19 </w:t>
      </w:r>
      <w:r>
        <w:rPr>
          <w:rFonts w:ascii="Microsoft JhengHei" w:eastAsia="Microsoft JhengHei" w:hint="eastAsia"/>
          <w:b/>
          <w:sz w:val="18"/>
        </w:rPr>
        <w:t>语言能力或咀嚼吞咽能力完全丧失：</w:t>
      </w:r>
      <w:r>
        <w:rPr>
          <w:sz w:val="18"/>
        </w:rPr>
        <w:t>语言能力完全丧失，指无法发出四种语音（包括口唇音、齿舌音、口盖音和喉头音）中的任何三种、或声带全部切除，或因大脑语言中枢受伤害而患失语症。</w:t>
      </w:r>
    </w:p>
    <w:p>
      <w:pPr>
        <w:spacing w:line="285" w:lineRule="auto" w:before="11"/>
        <w:ind w:left="311" w:right="318" w:firstLine="0"/>
        <w:jc w:val="left"/>
        <w:rPr>
          <w:sz w:val="18"/>
        </w:rPr>
      </w:pPr>
      <w:r>
        <w:rPr>
          <w:spacing w:val="-4"/>
          <w:sz w:val="18"/>
        </w:rPr>
        <w:t>咀嚼吞咽能力完全丧失，指因牙齿以外的原因导致器质障碍或机能障碍，以致不能作咀嚼吞咽运动，除流质食物外不能摄取或吞咽的状态。</w:t>
      </w:r>
    </w:p>
    <w:p>
      <w:pPr>
        <w:spacing w:line="267" w:lineRule="exact" w:before="0"/>
        <w:ind w:left="100" w:right="0" w:firstLine="0"/>
        <w:jc w:val="left"/>
        <w:rPr>
          <w:sz w:val="18"/>
        </w:rPr>
      </w:pPr>
      <w:bookmarkStart w:name="_bookmark19" w:id="20"/>
      <w:bookmarkEnd w:id="20"/>
      <w:r>
        <w:rPr/>
      </w:r>
      <w:r>
        <w:rPr>
          <w:rFonts w:ascii="Microsoft JhengHei" w:eastAsia="Microsoft JhengHei" w:hint="eastAsia"/>
          <w:b/>
          <w:position w:val="9"/>
          <w:sz w:val="9"/>
        </w:rPr>
        <w:t>20 </w:t>
      </w:r>
      <w:r>
        <w:rPr>
          <w:rFonts w:ascii="Microsoft JhengHei" w:eastAsia="Microsoft JhengHei" w:hint="eastAsia"/>
          <w:b/>
          <w:sz w:val="18"/>
        </w:rPr>
        <w:t>六项基本日常生活活动：</w:t>
      </w:r>
      <w:r>
        <w:rPr>
          <w:sz w:val="18"/>
        </w:rPr>
        <w:t>六项基本日常生活活动是指：</w:t>
      </w:r>
    </w:p>
    <w:p>
      <w:pPr>
        <w:spacing w:before="23"/>
        <w:ind w:left="280" w:right="0" w:firstLine="0"/>
        <w:jc w:val="left"/>
        <w:rPr>
          <w:sz w:val="18"/>
        </w:rPr>
      </w:pPr>
      <w:r>
        <w:rPr>
          <w:sz w:val="18"/>
        </w:rPr>
        <w:t>（1）穿衣：自己能够穿衣及脱衣；</w:t>
      </w:r>
    </w:p>
    <w:p>
      <w:pPr>
        <w:spacing w:before="45"/>
        <w:ind w:left="279" w:right="0" w:firstLine="0"/>
        <w:jc w:val="left"/>
        <w:rPr>
          <w:sz w:val="18"/>
        </w:rPr>
      </w:pPr>
      <w:r>
        <w:rPr>
          <w:sz w:val="18"/>
        </w:rPr>
        <w:t>（2）移动：自己从一个房间到另一个房间；</w:t>
      </w:r>
    </w:p>
    <w:p>
      <w:pPr>
        <w:spacing w:before="45"/>
        <w:ind w:left="279" w:right="0" w:firstLine="0"/>
        <w:jc w:val="left"/>
        <w:rPr>
          <w:sz w:val="18"/>
        </w:rPr>
      </w:pPr>
      <w:r>
        <w:rPr>
          <w:sz w:val="18"/>
        </w:rPr>
        <w:t>（3）行动：自己上下床或上下轮椅；</w:t>
      </w:r>
    </w:p>
    <w:p>
      <w:pPr>
        <w:spacing w:before="43"/>
        <w:ind w:left="279" w:right="0" w:firstLine="0"/>
        <w:jc w:val="left"/>
        <w:rPr>
          <w:sz w:val="18"/>
        </w:rPr>
      </w:pPr>
      <w:r>
        <w:rPr>
          <w:sz w:val="18"/>
        </w:rPr>
        <w:t>（4）如厕：自己控制进行大小便；</w:t>
      </w:r>
    </w:p>
    <w:p>
      <w:pPr>
        <w:spacing w:before="45"/>
        <w:ind w:left="279" w:right="0" w:firstLine="0"/>
        <w:jc w:val="left"/>
        <w:rPr>
          <w:sz w:val="18"/>
        </w:rPr>
      </w:pPr>
      <w:r>
        <w:rPr>
          <w:sz w:val="18"/>
        </w:rPr>
        <w:t>（5）进食：自己从已准备好的碗或碟中取食物放入口中；</w:t>
      </w:r>
    </w:p>
    <w:p>
      <w:pPr>
        <w:spacing w:before="45"/>
        <w:ind w:left="279" w:right="0" w:firstLine="0"/>
        <w:jc w:val="left"/>
        <w:rPr>
          <w:sz w:val="18"/>
        </w:rPr>
      </w:pPr>
      <w:r>
        <w:rPr>
          <w:sz w:val="18"/>
        </w:rPr>
        <w:t>（6）洗澡：自己进行淋浴或盆浴。</w:t>
      </w:r>
    </w:p>
    <w:p>
      <w:pPr>
        <w:spacing w:after="0"/>
        <w:jc w:val="left"/>
        <w:rPr>
          <w:sz w:val="18"/>
        </w:rPr>
        <w:sectPr>
          <w:pgSz w:w="11910" w:h="16840"/>
          <w:pgMar w:top="1140" w:bottom="280" w:left="920" w:right="700"/>
        </w:sectPr>
      </w:pPr>
    </w:p>
    <w:p>
      <w:pPr>
        <w:pStyle w:val="BodyText"/>
        <w:spacing w:line="273" w:lineRule="auto" w:before="22"/>
        <w:ind w:left="3016" w:right="282"/>
      </w:pPr>
      <w:r>
        <w:rPr>
          <w:spacing w:val="-3"/>
        </w:rPr>
        <w:t>主动脉指胸主动脉和腹主动脉，</w:t>
      </w:r>
      <w:r>
        <w:rPr>
          <w:spacing w:val="-3"/>
          <w:shd w:fill="DADADA" w:color="auto" w:val="clear"/>
        </w:rPr>
        <w:t>不包括胸主动脉和腹主动脉的分支血管。</w:t>
      </w:r>
      <w:r>
        <w:rPr>
          <w:spacing w:val="-210"/>
          <w:shd w:fill="DADADA" w:color="auto" w:val="clear"/>
        </w:rPr>
        <w:t>动</w:t>
      </w:r>
      <w:r>
        <w:rPr>
          <w:spacing w:val="-3"/>
          <w:shd w:fill="DADADA" w:color="auto" w:val="clear"/>
        </w:rPr>
        <w:t>脉内血管成形术不在保障范围内。</w:t>
      </w:r>
    </w:p>
    <w:p>
      <w:pPr>
        <w:pStyle w:val="BodyText"/>
        <w:spacing w:before="1"/>
        <w:rPr>
          <w:sz w:val="18"/>
        </w:rPr>
      </w:pPr>
    </w:p>
    <w:p>
      <w:pPr>
        <w:spacing w:after="0"/>
        <w:rPr>
          <w:sz w:val="18"/>
        </w:rPr>
        <w:sectPr>
          <w:pgSz w:w="11910" w:h="16840"/>
          <w:pgMar w:top="1080" w:bottom="280" w:left="1080" w:right="800"/>
        </w:sectPr>
      </w:pPr>
    </w:p>
    <w:p>
      <w:pPr>
        <w:pStyle w:val="Heading1"/>
        <w:numPr>
          <w:ilvl w:val="0"/>
          <w:numId w:val="6"/>
        </w:numPr>
        <w:tabs>
          <w:tab w:pos="700" w:val="left" w:leader="none"/>
          <w:tab w:pos="701" w:val="left" w:leader="none"/>
        </w:tabs>
        <w:spacing w:line="232" w:lineRule="auto" w:before="30" w:after="0"/>
        <w:ind w:left="700" w:right="0" w:hanging="595"/>
        <w:jc w:val="left"/>
      </w:pPr>
      <w:r>
        <w:rPr>
          <w:spacing w:val="23"/>
          <w:position w:val="1"/>
        </w:rPr>
        <w:t>严重感染性心内膜</w:t>
      </w:r>
      <w:r>
        <w:rPr/>
        <w:t>炎</w:t>
      </w:r>
    </w:p>
    <w:p>
      <w:pPr>
        <w:pStyle w:val="BodyText"/>
        <w:spacing w:line="256" w:lineRule="auto" w:before="57"/>
        <w:ind w:left="105" w:right="220"/>
      </w:pPr>
      <w:r>
        <w:rPr/>
        <w:br w:type="column"/>
      </w:r>
      <w:r>
        <w:rPr/>
        <w:t>指因感染性微生物造成心脏内膜发炎，经由专科医生确诊，并符合下</w:t>
      </w:r>
      <w:r>
        <w:rPr>
          <w:rFonts w:ascii="Times New Roman" w:eastAsia="Times New Roman"/>
          <w:w w:val="110"/>
        </w:rPr>
        <w:t>列</w:t>
      </w:r>
      <w:r>
        <w:rPr>
          <w:spacing w:val="-63"/>
        </w:rPr>
        <w:t>所</w:t>
      </w:r>
      <w:r>
        <w:rPr>
          <w:spacing w:val="-1"/>
        </w:rPr>
        <w:t>有条件:</w:t>
      </w:r>
    </w:p>
    <w:p>
      <w:pPr>
        <w:pStyle w:val="BodyText"/>
        <w:spacing w:before="22"/>
        <w:ind w:left="105"/>
      </w:pPr>
      <w:r>
        <w:rPr/>
        <w:t>（1）以下方法之一血液培养测试结果为阳性，证实存在感染性微生物：</w:t>
      </w:r>
    </w:p>
    <w:p>
      <w:pPr>
        <w:pStyle w:val="BodyText"/>
        <w:tabs>
          <w:tab w:pos="633" w:val="left" w:leader="none"/>
        </w:tabs>
        <w:spacing w:before="36"/>
        <w:ind w:left="211"/>
      </w:pPr>
      <w:r>
        <w:rPr/>
        <w:t>①</w:t>
        <w:tab/>
      </w:r>
      <w:r>
        <w:rPr>
          <w:spacing w:val="-3"/>
        </w:rPr>
        <w:t>微生物：在赘生物或心脏内脓疡经培养或组织检查证实有微生物；</w:t>
      </w:r>
    </w:p>
    <w:p>
      <w:pPr>
        <w:pStyle w:val="BodyText"/>
        <w:tabs>
          <w:tab w:pos="633" w:val="left" w:leader="none"/>
        </w:tabs>
        <w:spacing w:before="36"/>
        <w:ind w:left="211"/>
      </w:pPr>
      <w:r>
        <w:rPr/>
        <w:t>②</w:t>
        <w:tab/>
      </w:r>
      <w:r>
        <w:rPr>
          <w:spacing w:val="-3"/>
        </w:rPr>
        <w:t>病</w:t>
      </w:r>
      <w:r>
        <w:rPr>
          <w:rFonts w:ascii="Times New Roman" w:hAnsi="Times New Roman" w:eastAsia="Times New Roman"/>
          <w:w w:val="110"/>
        </w:rPr>
        <w:t>理</w:t>
      </w:r>
      <w:r>
        <w:rPr>
          <w:spacing w:val="-3"/>
        </w:rPr>
        <w:t>性病灶：组织检查证实赘生物或心脏内脓疡有活动性心内膜炎；</w:t>
      </w:r>
    </w:p>
    <w:p>
      <w:pPr>
        <w:pStyle w:val="BodyText"/>
        <w:tabs>
          <w:tab w:pos="633" w:val="left" w:leader="none"/>
        </w:tabs>
        <w:spacing w:before="21"/>
        <w:ind w:left="211"/>
      </w:pPr>
      <w:r>
        <w:rPr/>
        <w:t>③</w:t>
        <w:tab/>
      </w:r>
      <w:r>
        <w:rPr>
          <w:spacing w:val="-3"/>
        </w:rPr>
        <w:t>分别两次血液培养证实有微生物，且与心内膜炎符合；</w:t>
      </w:r>
    </w:p>
    <w:p>
      <w:pPr>
        <w:pStyle w:val="BodyText"/>
        <w:spacing w:line="273" w:lineRule="auto" w:before="37"/>
        <w:ind w:left="631" w:right="219" w:hanging="526"/>
      </w:pPr>
      <w:r>
        <w:rPr>
          <w:spacing w:val="-8"/>
        </w:rPr>
        <w:t>（2）</w:t>
      </w:r>
      <w:r>
        <w:rPr>
          <w:spacing w:val="-5"/>
        </w:rPr>
        <w:t>出现明显的心功能衰竭</w:t>
      </w:r>
      <w:r>
        <w:rPr/>
        <w:t>（</w:t>
      </w:r>
      <w:r>
        <w:rPr>
          <w:spacing w:val="-3"/>
        </w:rPr>
        <w:t>指按照美国纽约心脏病学会提出的心功能状态分级的标准判定，心功能状态已达Ⅳ级</w:t>
      </w:r>
      <w:r>
        <w:rPr>
          <w:spacing w:val="-106"/>
        </w:rPr>
        <w:t>）</w:t>
      </w:r>
      <w:r>
        <w:rPr/>
        <w:t>。</w:t>
      </w:r>
    </w:p>
    <w:p>
      <w:pPr>
        <w:spacing w:after="0" w:line="273" w:lineRule="auto"/>
        <w:sectPr>
          <w:type w:val="continuous"/>
          <w:pgSz w:w="11910" w:h="16840"/>
          <w:pgMar w:top="400" w:bottom="280" w:left="1080" w:right="800"/>
          <w:cols w:num="2" w:equalWidth="0">
            <w:col w:w="2830" w:space="81"/>
            <w:col w:w="7119"/>
          </w:cols>
        </w:sectPr>
      </w:pPr>
    </w:p>
    <w:p>
      <w:pPr>
        <w:pStyle w:val="BodyText"/>
        <w:spacing w:before="12"/>
        <w:rPr>
          <w:sz w:val="17"/>
        </w:rPr>
      </w:pPr>
    </w:p>
    <w:p>
      <w:pPr>
        <w:pStyle w:val="ListParagraph"/>
        <w:numPr>
          <w:ilvl w:val="0"/>
          <w:numId w:val="6"/>
        </w:numPr>
        <w:tabs>
          <w:tab w:pos="700" w:val="left" w:leader="none"/>
          <w:tab w:pos="701" w:val="left" w:leader="none"/>
          <w:tab w:pos="3016" w:val="left" w:leader="none"/>
        </w:tabs>
        <w:spacing w:line="240" w:lineRule="auto" w:before="20" w:after="0"/>
        <w:ind w:left="700" w:right="0" w:hanging="595"/>
        <w:jc w:val="left"/>
        <w:rPr>
          <w:sz w:val="21"/>
        </w:rPr>
      </w:pPr>
      <w:r>
        <w:rPr>
          <w:rFonts w:ascii="等线" w:eastAsia="等线" w:hint="eastAsia"/>
          <w:b/>
          <w:position w:val="1"/>
          <w:sz w:val="24"/>
        </w:rPr>
        <w:t>严重肺源性心脏病</w:t>
        <w:tab/>
      </w:r>
      <w:r>
        <w:rPr>
          <w:sz w:val="21"/>
        </w:rPr>
        <w:t>指因慢性肺部疾病导致慢性心功能损害造成永久不可逆性的心功能衰竭。</w:t>
      </w:r>
    </w:p>
    <w:p>
      <w:pPr>
        <w:pStyle w:val="BodyText"/>
        <w:spacing w:line="273" w:lineRule="auto" w:before="20"/>
        <w:ind w:left="3016" w:right="220"/>
      </w:pPr>
      <w:r>
        <w:rPr/>
        <w:t>心功能衰竭程度至少达到美国纽约心脏病学会心功能状态分级Ⅳ级。永久不可逆性的体力活动能力受限，不能从事任何体力活动。</w:t>
      </w:r>
    </w:p>
    <w:p>
      <w:pPr>
        <w:pStyle w:val="BodyText"/>
        <w:spacing w:before="5"/>
        <w:rPr>
          <w:sz w:val="19"/>
        </w:rPr>
      </w:pPr>
    </w:p>
    <w:p>
      <w:pPr>
        <w:pStyle w:val="ListParagraph"/>
        <w:numPr>
          <w:ilvl w:val="0"/>
          <w:numId w:val="6"/>
        </w:numPr>
        <w:tabs>
          <w:tab w:pos="700" w:val="left" w:leader="none"/>
          <w:tab w:pos="701" w:val="left" w:leader="none"/>
          <w:tab w:pos="3016" w:val="left" w:leader="none"/>
        </w:tabs>
        <w:spacing w:line="240" w:lineRule="auto" w:before="0" w:after="0"/>
        <w:ind w:left="700" w:right="0" w:hanging="595"/>
        <w:jc w:val="left"/>
        <w:rPr>
          <w:sz w:val="21"/>
        </w:rPr>
      </w:pPr>
      <w:r>
        <w:rPr>
          <w:rFonts w:ascii="等线" w:eastAsia="等线" w:hint="eastAsia"/>
          <w:b/>
          <w:position w:val="1"/>
          <w:sz w:val="24"/>
        </w:rPr>
        <w:t>艾森门格综合征</w:t>
        <w:tab/>
      </w:r>
      <w:r>
        <w:rPr>
          <w:sz w:val="21"/>
        </w:rPr>
        <w:t>指因心脏病导致的严重肺动脉高血压及右向左分流。诊断必须由专科医生</w:t>
      </w:r>
    </w:p>
    <w:p>
      <w:pPr>
        <w:pStyle w:val="BodyText"/>
        <w:spacing w:before="20"/>
        <w:ind w:left="3016"/>
      </w:pPr>
      <w:r>
        <w:rPr/>
        <w:t>经超声心动图和心导管检查证实及需符合以下所有标准:</w:t>
      </w:r>
    </w:p>
    <w:p>
      <w:pPr>
        <w:pStyle w:val="BodyText"/>
        <w:spacing w:before="36"/>
        <w:ind w:left="3016"/>
      </w:pPr>
      <w:r>
        <w:rPr/>
        <w:t>（1）平均肺动脉压高于 40mmHg；</w:t>
      </w:r>
    </w:p>
    <w:p>
      <w:pPr>
        <w:pStyle w:val="BodyText"/>
        <w:spacing w:before="36"/>
        <w:ind w:left="3016"/>
      </w:pPr>
      <w:r>
        <w:rPr>
          <w:w w:val="100"/>
        </w:rPr>
        <w:t>（2</w:t>
      </w:r>
      <w:r>
        <w:rPr>
          <w:spacing w:val="-3"/>
          <w:w w:val="100"/>
        </w:rPr>
        <w:t>）肺血管阻力高于</w:t>
      </w:r>
      <w:r>
        <w:rPr>
          <w:spacing w:val="-53"/>
        </w:rPr>
        <w:t> </w:t>
      </w:r>
      <w:r>
        <w:rPr>
          <w:w w:val="100"/>
        </w:rPr>
        <w:t>3</w:t>
      </w:r>
      <w:r>
        <w:rPr>
          <w:spacing w:val="-3"/>
          <w:w w:val="100"/>
        </w:rPr>
        <w:t>mm</w:t>
      </w:r>
      <w:r>
        <w:rPr>
          <w:w w:val="100"/>
        </w:rPr>
        <w:t>/L/mi</w:t>
      </w:r>
      <w:r>
        <w:rPr>
          <w:spacing w:val="-3"/>
          <w:w w:val="100"/>
        </w:rPr>
        <w:t>n</w:t>
      </w:r>
      <w:r>
        <w:rPr>
          <w:w w:val="100"/>
        </w:rPr>
        <w:t>（W</w:t>
      </w:r>
      <w:r>
        <w:rPr>
          <w:spacing w:val="-3"/>
          <w:w w:val="100"/>
        </w:rPr>
        <w:t>o</w:t>
      </w:r>
      <w:r>
        <w:rPr>
          <w:w w:val="100"/>
        </w:rPr>
        <w:t>od</w:t>
      </w:r>
      <w:r>
        <w:rPr>
          <w:spacing w:val="-55"/>
        </w:rPr>
        <w:t> </w:t>
      </w:r>
      <w:r>
        <w:rPr>
          <w:w w:val="100"/>
        </w:rPr>
        <w:t>单位</w:t>
      </w:r>
      <w:r>
        <w:rPr>
          <w:spacing w:val="-109"/>
          <w:w w:val="100"/>
        </w:rPr>
        <w:t>）</w:t>
      </w:r>
      <w:r>
        <w:rPr>
          <w:w w:val="100"/>
        </w:rPr>
        <w:t>；</w:t>
      </w:r>
    </w:p>
    <w:p>
      <w:pPr>
        <w:pStyle w:val="BodyText"/>
        <w:spacing w:before="36"/>
        <w:ind w:left="3016"/>
      </w:pPr>
      <w:r>
        <w:rPr/>
        <w:t>（3）正常肺微血管楔压低于 15mmHg。</w:t>
      </w:r>
    </w:p>
    <w:p>
      <w:pPr>
        <w:pStyle w:val="BodyText"/>
        <w:spacing w:before="4"/>
        <w:rPr>
          <w:sz w:val="20"/>
        </w:rPr>
      </w:pPr>
    </w:p>
    <w:p>
      <w:pPr>
        <w:spacing w:after="0"/>
        <w:rPr>
          <w:sz w:val="20"/>
        </w:rPr>
        <w:sectPr>
          <w:type w:val="continuous"/>
          <w:pgSz w:w="11910" w:h="16840"/>
          <w:pgMar w:top="400" w:bottom="280" w:left="1080" w:right="800"/>
        </w:sectPr>
      </w:pPr>
    </w:p>
    <w:p>
      <w:pPr>
        <w:pStyle w:val="Heading1"/>
        <w:numPr>
          <w:ilvl w:val="0"/>
          <w:numId w:val="6"/>
        </w:numPr>
        <w:tabs>
          <w:tab w:pos="700" w:val="left" w:leader="none"/>
          <w:tab w:pos="701" w:val="left" w:leader="none"/>
        </w:tabs>
        <w:spacing w:line="232" w:lineRule="auto" w:before="30" w:after="0"/>
        <w:ind w:left="700" w:right="0" w:hanging="595"/>
        <w:jc w:val="left"/>
      </w:pPr>
      <w:r>
        <w:rPr>
          <w:spacing w:val="23"/>
          <w:position w:val="1"/>
        </w:rPr>
        <w:t>严重的Ⅲ度房室传</w:t>
      </w:r>
      <w:r>
        <w:rPr/>
        <w:t>导阻滞</w:t>
      </w:r>
    </w:p>
    <w:p>
      <w:pPr>
        <w:pStyle w:val="BodyText"/>
        <w:spacing w:line="273" w:lineRule="auto" w:before="56"/>
        <w:ind w:left="105" w:right="220"/>
      </w:pPr>
      <w:r>
        <w:rPr/>
        <w:br w:type="column"/>
      </w:r>
      <w:r>
        <w:rPr/>
        <w:t>指心房激动在房室交界区、房室束及其分支内发生阻滞，不能正常地传到心室的心脏传导性疾病须满足下列所有条件：</w:t>
      </w:r>
    </w:p>
    <w:p>
      <w:pPr>
        <w:pStyle w:val="BodyText"/>
        <w:spacing w:before="7"/>
        <w:ind w:left="105"/>
      </w:pPr>
      <w:r>
        <w:rPr/>
        <w:t>（1）心电图显示房室搏动彼此独立，心室率&lt;50 次/分钟；</w:t>
      </w:r>
    </w:p>
    <w:p>
      <w:pPr>
        <w:pStyle w:val="BodyText"/>
        <w:spacing w:before="37"/>
        <w:ind w:left="106"/>
      </w:pPr>
      <w:r>
        <w:rPr/>
        <w:t>（2）出现阿-斯综合征或心力衰竭的表现；</w:t>
      </w:r>
    </w:p>
    <w:p>
      <w:pPr>
        <w:pStyle w:val="BodyText"/>
        <w:spacing w:line="273" w:lineRule="auto" w:before="37"/>
        <w:ind w:left="631" w:right="163" w:hanging="526"/>
      </w:pPr>
      <w:r>
        <w:rPr/>
        <w:t>（3）必须持续性依赖心脏起搏器维持心脏正常功能，且已经放置心脏起搏器。</w:t>
      </w:r>
    </w:p>
    <w:p>
      <w:pPr>
        <w:spacing w:after="0" w:line="273" w:lineRule="auto"/>
        <w:sectPr>
          <w:type w:val="continuous"/>
          <w:pgSz w:w="11910" w:h="16840"/>
          <w:pgMar w:top="400" w:bottom="280" w:left="1080" w:right="800"/>
          <w:cols w:num="2" w:equalWidth="0">
            <w:col w:w="2830" w:space="81"/>
            <w:col w:w="7119"/>
          </w:cols>
        </w:sectPr>
      </w:pPr>
    </w:p>
    <w:p>
      <w:pPr>
        <w:pStyle w:val="BodyText"/>
        <w:spacing w:before="12"/>
        <w:rPr>
          <w:sz w:val="17"/>
        </w:rPr>
      </w:pPr>
    </w:p>
    <w:p>
      <w:pPr>
        <w:pStyle w:val="ListParagraph"/>
        <w:numPr>
          <w:ilvl w:val="0"/>
          <w:numId w:val="6"/>
        </w:numPr>
        <w:tabs>
          <w:tab w:pos="700" w:val="left" w:leader="none"/>
          <w:tab w:pos="701" w:val="left" w:leader="none"/>
          <w:tab w:pos="3016" w:val="left" w:leader="none"/>
        </w:tabs>
        <w:spacing w:line="240" w:lineRule="auto" w:before="20" w:after="0"/>
        <w:ind w:left="700" w:right="0" w:hanging="595"/>
        <w:jc w:val="left"/>
        <w:rPr>
          <w:sz w:val="21"/>
        </w:rPr>
      </w:pPr>
      <w:r>
        <w:rPr>
          <w:rFonts w:ascii="等线" w:eastAsia="等线" w:hint="eastAsia"/>
          <w:b/>
          <w:position w:val="1"/>
          <w:sz w:val="24"/>
        </w:rPr>
        <w:t>严重冠心病</w:t>
        <w:tab/>
      </w:r>
      <w:r>
        <w:rPr>
          <w:sz w:val="21"/>
        </w:rPr>
        <w:t>指经冠状动脉造影检查明确诊断为主要血管严重狭窄性病变，须满足下列</w:t>
      </w:r>
    </w:p>
    <w:p>
      <w:pPr>
        <w:pStyle w:val="BodyText"/>
        <w:spacing w:before="20"/>
        <w:ind w:left="3016"/>
      </w:pPr>
      <w:r>
        <w:rPr/>
        <w:t>至少一项条件：</w:t>
      </w:r>
    </w:p>
    <w:p>
      <w:pPr>
        <w:pStyle w:val="BodyText"/>
        <w:spacing w:line="273" w:lineRule="auto" w:before="36"/>
        <w:ind w:left="3542" w:right="164" w:hanging="526"/>
      </w:pPr>
      <w:r>
        <w:rPr/>
        <w:t>（1）左冠状动脉主干和右冠状动脉中，一支血管管腔堵塞 75%以上，另一支血管管腔堵塞 60%以上；</w:t>
      </w:r>
    </w:p>
    <w:p>
      <w:pPr>
        <w:pStyle w:val="BodyText"/>
        <w:spacing w:line="273" w:lineRule="auto" w:before="7"/>
        <w:ind w:left="3542" w:right="112" w:hanging="526"/>
      </w:pPr>
      <w:r>
        <w:rPr>
          <w:spacing w:val="-11"/>
        </w:rPr>
        <w:t>（2）</w:t>
      </w:r>
      <w:r>
        <w:rPr>
          <w:spacing w:val="-10"/>
        </w:rPr>
        <w:t>左前降支、左旋支和右冠状动脉中，至少一支血管管腔堵塞 </w:t>
      </w:r>
      <w:r>
        <w:rPr/>
        <w:t>75</w:t>
      </w:r>
      <w:r>
        <w:rPr>
          <w:spacing w:val="-2"/>
        </w:rPr>
        <w:t>%以上， </w:t>
      </w:r>
      <w:r>
        <w:rPr>
          <w:spacing w:val="-6"/>
        </w:rPr>
        <w:t>其他两支血管管腔堵塞 </w:t>
      </w:r>
      <w:r>
        <w:rPr>
          <w:spacing w:val="-3"/>
        </w:rPr>
        <w:t>60%以上。</w:t>
      </w:r>
    </w:p>
    <w:p>
      <w:pPr>
        <w:pStyle w:val="BodyText"/>
        <w:spacing w:line="273" w:lineRule="auto" w:before="7"/>
        <w:ind w:left="3016" w:right="220"/>
      </w:pPr>
      <w:r>
        <w:rPr>
          <w:shd w:fill="DADADA" w:color="auto" w:val="clear"/>
        </w:rPr>
        <w:t>左前降支的分支血管、左旋支的分支血管及右冠状动脉的分支血管的狭窄不作</w:t>
      </w:r>
      <w:r>
        <w:rPr>
          <w:spacing w:val="-212"/>
          <w:shd w:fill="DADADA" w:color="auto" w:val="clear"/>
        </w:rPr>
        <w:t>为</w:t>
      </w:r>
      <w:r>
        <w:rPr>
          <w:spacing w:val="-3"/>
          <w:shd w:fill="DADADA" w:color="auto" w:val="clear"/>
        </w:rPr>
        <w:t>本保障的衡量指标。</w:t>
      </w:r>
    </w:p>
    <w:p>
      <w:pPr>
        <w:pStyle w:val="BodyText"/>
        <w:spacing w:before="11"/>
        <w:rPr>
          <w:sz w:val="17"/>
        </w:rPr>
      </w:pPr>
    </w:p>
    <w:p>
      <w:pPr>
        <w:spacing w:after="0"/>
        <w:rPr>
          <w:sz w:val="17"/>
        </w:rPr>
        <w:sectPr>
          <w:type w:val="continuous"/>
          <w:pgSz w:w="11910" w:h="16840"/>
          <w:pgMar w:top="400" w:bottom="280" w:left="1080" w:right="800"/>
        </w:sectPr>
      </w:pPr>
    </w:p>
    <w:p>
      <w:pPr>
        <w:pStyle w:val="Heading1"/>
        <w:numPr>
          <w:ilvl w:val="0"/>
          <w:numId w:val="6"/>
        </w:numPr>
        <w:tabs>
          <w:tab w:pos="700" w:val="left" w:leader="none"/>
          <w:tab w:pos="701" w:val="left" w:leader="none"/>
        </w:tabs>
        <w:spacing w:line="235" w:lineRule="auto" w:before="27" w:after="0"/>
        <w:ind w:left="700" w:right="0" w:hanging="595"/>
        <w:jc w:val="left"/>
      </w:pPr>
      <w:r>
        <w:rPr>
          <w:spacing w:val="23"/>
          <w:position w:val="1"/>
        </w:rPr>
        <w:t>风湿热导致的心脏</w:t>
      </w:r>
      <w:r>
        <w:rPr/>
        <w:t>瓣膜疾病</w:t>
      </w:r>
    </w:p>
    <w:p>
      <w:pPr>
        <w:pStyle w:val="BodyText"/>
        <w:spacing w:line="273" w:lineRule="auto" w:before="57"/>
        <w:ind w:left="105" w:right="215"/>
        <w:jc w:val="both"/>
      </w:pPr>
      <w:r>
        <w:rPr/>
        <w:br w:type="column"/>
      </w:r>
      <w:r>
        <w:rPr>
          <w:spacing w:val="-4"/>
        </w:rPr>
        <w:t>指经由专科医生根据已修订的 </w:t>
      </w:r>
      <w:r>
        <w:rPr/>
        <w:t>Jones</w:t>
      </w:r>
      <w:r>
        <w:rPr>
          <w:spacing w:val="-3"/>
        </w:rPr>
        <w:t> 标准诊断证实罹患急性风湿热。且因</w:t>
      </w:r>
      <w:r>
        <w:rPr/>
        <w:t>风湿热所导致一个或以上最少轻度心脏瓣膜关闭不全（</w:t>
      </w:r>
      <w:r>
        <w:rPr>
          <w:spacing w:val="7"/>
        </w:rPr>
        <w:t>即返流部份达 </w:t>
      </w:r>
      <w:r>
        <w:rPr/>
        <w:t>20% </w:t>
      </w:r>
      <w:r>
        <w:rPr>
          <w:spacing w:val="-1"/>
        </w:rPr>
        <w:t>或以上</w:t>
      </w:r>
      <w:r>
        <w:rPr/>
        <w:t>）</w:t>
      </w:r>
      <w:r>
        <w:rPr>
          <w:spacing w:val="-3"/>
        </w:rPr>
        <w:t>或狭窄的心瓣损伤</w:t>
      </w:r>
      <w:r>
        <w:rPr/>
        <w:t>（</w:t>
      </w:r>
      <w:r>
        <w:rPr>
          <w:spacing w:val="-4"/>
        </w:rPr>
        <w:t>即心脏瓣面积为正常值的 </w:t>
      </w:r>
      <w:r>
        <w:rPr/>
        <w:t>30%</w:t>
      </w:r>
      <w:r>
        <w:rPr>
          <w:spacing w:val="-3"/>
        </w:rPr>
        <w:t>或以下</w:t>
      </w:r>
      <w:r>
        <w:rPr>
          <w:spacing w:val="-106"/>
        </w:rPr>
        <w:t>）</w:t>
      </w:r>
      <w:r>
        <w:rPr>
          <w:spacing w:val="-2"/>
        </w:rPr>
        <w:t>。有关</w:t>
      </w:r>
      <w:r>
        <w:rPr>
          <w:spacing w:val="-3"/>
        </w:rPr>
        <w:t>诊断须由专科医生根据心瓣功能的定量检查证实。</w:t>
      </w:r>
    </w:p>
    <w:p>
      <w:pPr>
        <w:spacing w:after="0" w:line="273" w:lineRule="auto"/>
        <w:jc w:val="both"/>
        <w:sectPr>
          <w:type w:val="continuous"/>
          <w:pgSz w:w="11910" w:h="16840"/>
          <w:pgMar w:top="400" w:bottom="280" w:left="1080" w:right="800"/>
          <w:cols w:num="2" w:equalWidth="0">
            <w:col w:w="2830" w:space="81"/>
            <w:col w:w="7119"/>
          </w:cols>
        </w:sectPr>
      </w:pPr>
    </w:p>
    <w:p>
      <w:pPr>
        <w:pStyle w:val="BodyText"/>
        <w:spacing w:before="8"/>
        <w:rPr>
          <w:sz w:val="19"/>
        </w:rPr>
      </w:pPr>
    </w:p>
    <w:p>
      <w:pPr>
        <w:pStyle w:val="Heading3"/>
        <w:tabs>
          <w:tab w:pos="3016" w:val="left" w:leader="none"/>
        </w:tabs>
        <w:spacing w:before="36"/>
        <w:ind w:left="700"/>
        <w:rPr>
          <w:rFonts w:ascii="宋体" w:eastAsia="宋体" w:hint="eastAsia"/>
        </w:rPr>
      </w:pPr>
      <w:r>
        <w:rPr>
          <w:rFonts w:ascii="宋体" w:eastAsia="宋体" w:hint="eastAsia"/>
        </w:rPr>
        <w:t>第</w:t>
      </w:r>
      <w:r>
        <w:rPr>
          <w:rFonts w:ascii="宋体" w:eastAsia="宋体" w:hint="eastAsia"/>
          <w:spacing w:val="-54"/>
        </w:rPr>
        <w:t> </w:t>
      </w:r>
      <w:r>
        <w:rPr>
          <w:rFonts w:ascii="宋体" w:eastAsia="宋体" w:hint="eastAsia"/>
        </w:rPr>
        <w:t>3</w:t>
      </w:r>
      <w:r>
        <w:rPr>
          <w:rFonts w:ascii="宋体" w:eastAsia="宋体" w:hint="eastAsia"/>
          <w:spacing w:val="-54"/>
        </w:rPr>
        <w:t> </w:t>
      </w:r>
      <w:r>
        <w:rPr>
          <w:rFonts w:ascii="宋体" w:eastAsia="宋体" w:hint="eastAsia"/>
        </w:rPr>
        <w:t>类：</w:t>
        <w:tab/>
        <w:t>与器官功能严重受</w:t>
      </w:r>
      <w:r>
        <w:rPr>
          <w:rFonts w:ascii="宋体" w:eastAsia="宋体" w:hint="eastAsia"/>
          <w:spacing w:val="-3"/>
        </w:rPr>
        <w:t>损</w:t>
      </w:r>
      <w:r>
        <w:rPr>
          <w:rFonts w:ascii="宋体" w:eastAsia="宋体" w:hint="eastAsia"/>
        </w:rPr>
        <w:t>相</w:t>
      </w:r>
      <w:r>
        <w:rPr>
          <w:rFonts w:ascii="宋体" w:eastAsia="宋体" w:hint="eastAsia"/>
          <w:spacing w:val="-3"/>
        </w:rPr>
        <w:t>关</w:t>
      </w:r>
      <w:r>
        <w:rPr>
          <w:rFonts w:ascii="宋体" w:eastAsia="宋体" w:hint="eastAsia"/>
        </w:rPr>
        <w:t>的疾病</w:t>
      </w:r>
    </w:p>
    <w:p>
      <w:pPr>
        <w:pStyle w:val="BodyText"/>
        <w:spacing w:before="12"/>
        <w:rPr>
          <w:b/>
          <w:sz w:val="17"/>
        </w:rPr>
      </w:pPr>
    </w:p>
    <w:p>
      <w:pPr>
        <w:spacing w:after="0"/>
        <w:rPr>
          <w:sz w:val="17"/>
        </w:rPr>
        <w:sectPr>
          <w:type w:val="continuous"/>
          <w:pgSz w:w="11910" w:h="16840"/>
          <w:pgMar w:top="400" w:bottom="280" w:left="1080" w:right="800"/>
        </w:sectPr>
      </w:pPr>
    </w:p>
    <w:p>
      <w:pPr>
        <w:pStyle w:val="ListParagraph"/>
        <w:numPr>
          <w:ilvl w:val="0"/>
          <w:numId w:val="6"/>
        </w:numPr>
        <w:tabs>
          <w:tab w:pos="700" w:val="left" w:leader="none"/>
          <w:tab w:pos="701" w:val="left" w:leader="none"/>
        </w:tabs>
        <w:spacing w:line="232" w:lineRule="auto" w:before="30" w:after="0"/>
        <w:ind w:left="700" w:right="0" w:hanging="595"/>
        <w:jc w:val="left"/>
        <w:rPr>
          <w:rFonts w:ascii="等线" w:eastAsia="等线" w:hint="eastAsia"/>
          <w:b/>
          <w:sz w:val="24"/>
        </w:rPr>
      </w:pPr>
      <w:r>
        <w:rPr>
          <w:rFonts w:ascii="等线" w:eastAsia="等线" w:hint="eastAsia"/>
          <w:b/>
          <w:spacing w:val="23"/>
          <w:position w:val="1"/>
          <w:sz w:val="24"/>
        </w:rPr>
        <w:t>重型再生障碍性贫</w:t>
      </w:r>
      <w:r>
        <w:rPr>
          <w:rFonts w:ascii="等线" w:eastAsia="等线" w:hint="eastAsia"/>
          <w:b/>
          <w:sz w:val="24"/>
        </w:rPr>
        <w:t>血</w:t>
      </w:r>
    </w:p>
    <w:p>
      <w:pPr>
        <w:pStyle w:val="BodyText"/>
        <w:spacing w:line="273" w:lineRule="auto" w:before="56"/>
        <w:ind w:left="105" w:right="220"/>
      </w:pPr>
      <w:r>
        <w:rPr/>
        <w:br w:type="column"/>
      </w:r>
      <w:r>
        <w:rPr/>
        <w:t>指因骨髓造血功能慢性持续性衰竭导致的贫血、中性粒细胞减少及血小板减少。须满足下列全部条件：</w:t>
      </w:r>
    </w:p>
    <w:p>
      <w:pPr>
        <w:spacing w:after="0" w:line="273" w:lineRule="auto"/>
        <w:sectPr>
          <w:type w:val="continuous"/>
          <w:pgSz w:w="11910" w:h="16840"/>
          <w:pgMar w:top="400" w:bottom="280" w:left="1080" w:right="800"/>
          <w:cols w:num="2" w:equalWidth="0">
            <w:col w:w="2830" w:space="81"/>
            <w:col w:w="7119"/>
          </w:cols>
        </w:sectPr>
      </w:pPr>
    </w:p>
    <w:p>
      <w:pPr>
        <w:pStyle w:val="BodyText"/>
        <w:spacing w:before="22"/>
        <w:ind w:left="3176"/>
      </w:pPr>
      <w:r>
        <w:rPr/>
        <w:t>（1）骨髓穿刺检查或骨髓活检结果支持诊断；</w:t>
      </w:r>
    </w:p>
    <w:p>
      <w:pPr>
        <w:pStyle w:val="BodyText"/>
        <w:spacing w:before="37"/>
        <w:ind w:left="3176"/>
      </w:pPr>
      <w:r>
        <w:rPr/>
        <w:t>（2）外周血象须具备以下三项条件：</w:t>
      </w:r>
    </w:p>
    <w:p>
      <w:pPr>
        <w:pStyle w:val="BodyText"/>
        <w:tabs>
          <w:tab w:pos="3704" w:val="left" w:leader="none"/>
        </w:tabs>
        <w:spacing w:before="37"/>
        <w:ind w:left="3282"/>
      </w:pPr>
      <w:r>
        <w:rPr/>
        <w:t>①</w:t>
        <w:tab/>
      </w:r>
      <w:r>
        <w:rPr>
          <w:spacing w:val="-3"/>
        </w:rPr>
        <w:t>中性粒细胞绝对值</w:t>
      </w:r>
      <w:r>
        <w:rPr>
          <w:spacing w:val="-1"/>
        </w:rPr>
        <w:t>≤0.5×10</w:t>
      </w:r>
      <w:r>
        <w:rPr>
          <w:spacing w:val="-1"/>
          <w:position w:val="11"/>
          <w:sz w:val="11"/>
        </w:rPr>
        <w:t>9</w:t>
      </w:r>
      <w:r>
        <w:rPr>
          <w:spacing w:val="-1"/>
        </w:rPr>
        <w:t>/L；</w:t>
      </w:r>
    </w:p>
    <w:p>
      <w:pPr>
        <w:pStyle w:val="BodyText"/>
        <w:tabs>
          <w:tab w:pos="3704" w:val="left" w:leader="none"/>
        </w:tabs>
        <w:spacing w:before="37"/>
        <w:ind w:left="3282"/>
      </w:pPr>
      <w:r>
        <w:rPr/>
        <w:t>②</w:t>
        <w:tab/>
      </w:r>
      <w:r>
        <w:rPr>
          <w:spacing w:val="-3"/>
        </w:rPr>
        <w:t>网织红细胞＜</w:t>
      </w:r>
      <w:r>
        <w:rPr>
          <w:spacing w:val="-1"/>
        </w:rPr>
        <w:t>1%；</w:t>
      </w:r>
    </w:p>
    <w:p>
      <w:pPr>
        <w:pStyle w:val="BodyText"/>
        <w:tabs>
          <w:tab w:pos="3705" w:val="left" w:leader="none"/>
        </w:tabs>
        <w:spacing w:before="37"/>
        <w:ind w:left="3282"/>
      </w:pPr>
      <w:r>
        <w:rPr/>
        <w:pict>
          <v:rect style="position:absolute;margin-left:204.839996pt;margin-top:169.39946pt;width:339.36pt;height:13.68pt;mso-position-horizontal-relative:page;mso-position-vertical-relative:paragraph;z-index:-67864" filled="true" fillcolor="#dadada" stroked="false">
            <v:fill type="solid"/>
            <w10:wrap type="none"/>
          </v:rect>
        </w:pict>
      </w:r>
      <w:r>
        <w:rPr/>
        <w:t>③</w:t>
        <w:tab/>
      </w:r>
      <w:r>
        <w:rPr>
          <w:spacing w:val="-3"/>
        </w:rPr>
        <w:t>血小板绝对值≤</w:t>
      </w:r>
      <w:r>
        <w:rPr>
          <w:spacing w:val="-1"/>
        </w:rPr>
        <w:t>20×10</w:t>
      </w:r>
      <w:r>
        <w:rPr>
          <w:spacing w:val="-1"/>
          <w:position w:val="11"/>
          <w:sz w:val="11"/>
        </w:rPr>
        <w:t>9</w:t>
      </w:r>
      <w:r>
        <w:rPr>
          <w:spacing w:val="-1"/>
        </w:rPr>
        <w:t>/L</w:t>
      </w:r>
      <w:r>
        <w:rPr/>
        <w:t>。</w:t>
      </w:r>
    </w:p>
    <w:p>
      <w:pPr>
        <w:pStyle w:val="BodyText"/>
        <w:spacing w:before="10" w:after="1"/>
        <w:rPr>
          <w:sz w:val="25"/>
        </w:rPr>
      </w:pPr>
    </w:p>
    <w:tbl>
      <w:tblPr>
        <w:tblW w:w="0" w:type="auto"/>
        <w:jc w:val="left"/>
        <w:tblInd w:w="2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53"/>
        <w:gridCol w:w="2508"/>
        <w:gridCol w:w="6948"/>
      </w:tblGrid>
      <w:tr>
        <w:trPr>
          <w:trHeight w:val="604" w:hRule="atLeast"/>
        </w:trPr>
        <w:tc>
          <w:tcPr>
            <w:tcW w:w="453" w:type="dxa"/>
          </w:tcPr>
          <w:p>
            <w:pPr>
              <w:pStyle w:val="TableParagraph"/>
              <w:spacing w:line="231" w:lineRule="exact"/>
              <w:ind w:left="50"/>
              <w:rPr>
                <w:b/>
                <w:sz w:val="21"/>
              </w:rPr>
            </w:pPr>
            <w:r>
              <w:rPr>
                <w:b/>
                <w:sz w:val="21"/>
              </w:rPr>
              <w:t>17</w:t>
            </w:r>
          </w:p>
        </w:tc>
        <w:tc>
          <w:tcPr>
            <w:tcW w:w="2508" w:type="dxa"/>
          </w:tcPr>
          <w:p>
            <w:pPr>
              <w:pStyle w:val="TableParagraph"/>
              <w:spacing w:line="242" w:lineRule="exact"/>
              <w:ind w:left="192"/>
              <w:rPr>
                <w:rFonts w:ascii="等线" w:eastAsia="等线" w:hint="eastAsia"/>
                <w:b/>
                <w:sz w:val="24"/>
              </w:rPr>
            </w:pPr>
            <w:r>
              <w:rPr>
                <w:rFonts w:ascii="等线" w:eastAsia="等线" w:hint="eastAsia"/>
                <w:b/>
                <w:sz w:val="24"/>
              </w:rPr>
              <w:t>重大器官移植术或</w:t>
            </w:r>
          </w:p>
          <w:p>
            <w:pPr>
              <w:pStyle w:val="TableParagraph"/>
              <w:spacing w:line="322" w:lineRule="exact"/>
              <w:ind w:left="192"/>
              <w:rPr>
                <w:rFonts w:ascii="等线" w:eastAsia="等线" w:hint="eastAsia"/>
                <w:b/>
                <w:sz w:val="24"/>
              </w:rPr>
            </w:pPr>
            <w:r>
              <w:rPr>
                <w:rFonts w:ascii="等线" w:eastAsia="等线" w:hint="eastAsia"/>
                <w:b/>
                <w:sz w:val="24"/>
              </w:rPr>
              <w:t>造血干细胞移植术</w:t>
            </w:r>
          </w:p>
        </w:tc>
        <w:tc>
          <w:tcPr>
            <w:tcW w:w="6948" w:type="dxa"/>
          </w:tcPr>
          <w:p>
            <w:pPr>
              <w:pStyle w:val="TableParagraph"/>
              <w:spacing w:line="231" w:lineRule="exact"/>
              <w:rPr>
                <w:sz w:val="21"/>
              </w:rPr>
            </w:pPr>
            <w:r>
              <w:rPr>
                <w:sz w:val="21"/>
              </w:rPr>
              <w:t>重大器官移植术，指因相应器官功能衰竭，已经实施了肾脏、肝脏、心脏</w:t>
            </w:r>
          </w:p>
          <w:p>
            <w:pPr>
              <w:pStyle w:val="TableParagraph"/>
              <w:spacing w:before="37"/>
              <w:rPr>
                <w:sz w:val="21"/>
              </w:rPr>
            </w:pPr>
            <w:r>
              <w:rPr>
                <w:sz w:val="21"/>
              </w:rPr>
              <w:t>或肺脏的异体移植手术。</w:t>
            </w:r>
          </w:p>
        </w:tc>
      </w:tr>
      <w:tr>
        <w:trPr>
          <w:trHeight w:val="300" w:hRule="atLeast"/>
        </w:trPr>
        <w:tc>
          <w:tcPr>
            <w:tcW w:w="453" w:type="dxa"/>
          </w:tcPr>
          <w:p>
            <w:pPr>
              <w:pStyle w:val="TableParagraph"/>
              <w:rPr>
                <w:rFonts w:ascii="Times New Roman"/>
                <w:sz w:val="20"/>
              </w:rPr>
            </w:pPr>
          </w:p>
        </w:tc>
        <w:tc>
          <w:tcPr>
            <w:tcW w:w="2508" w:type="dxa"/>
          </w:tcPr>
          <w:p>
            <w:pPr>
              <w:pStyle w:val="TableParagraph"/>
              <w:rPr>
                <w:rFonts w:ascii="Times New Roman"/>
                <w:sz w:val="20"/>
              </w:rPr>
            </w:pPr>
          </w:p>
        </w:tc>
        <w:tc>
          <w:tcPr>
            <w:tcW w:w="6948" w:type="dxa"/>
          </w:tcPr>
          <w:p>
            <w:pPr>
              <w:pStyle w:val="TableParagraph"/>
              <w:spacing w:line="250" w:lineRule="exact"/>
              <w:rPr>
                <w:sz w:val="21"/>
              </w:rPr>
            </w:pPr>
            <w:r>
              <w:rPr>
                <w:sz w:val="21"/>
              </w:rPr>
              <w:t>造血干细胞移植术，指因造血功能损害或造血系统恶性肿瘤，已经实施了</w:t>
            </w:r>
          </w:p>
        </w:tc>
      </w:tr>
      <w:tr>
        <w:trPr>
          <w:trHeight w:val="311" w:hRule="atLeast"/>
        </w:trPr>
        <w:tc>
          <w:tcPr>
            <w:tcW w:w="453" w:type="dxa"/>
          </w:tcPr>
          <w:p>
            <w:pPr>
              <w:pStyle w:val="TableParagraph"/>
              <w:rPr>
                <w:rFonts w:ascii="Times New Roman"/>
                <w:sz w:val="20"/>
              </w:rPr>
            </w:pPr>
          </w:p>
        </w:tc>
        <w:tc>
          <w:tcPr>
            <w:tcW w:w="2508" w:type="dxa"/>
          </w:tcPr>
          <w:p>
            <w:pPr>
              <w:pStyle w:val="TableParagraph"/>
              <w:rPr>
                <w:rFonts w:ascii="Times New Roman"/>
                <w:sz w:val="20"/>
              </w:rPr>
            </w:pPr>
          </w:p>
        </w:tc>
        <w:tc>
          <w:tcPr>
            <w:tcW w:w="6948" w:type="dxa"/>
          </w:tcPr>
          <w:p>
            <w:pPr>
              <w:pStyle w:val="TableParagraph"/>
              <w:spacing w:line="261" w:lineRule="exact"/>
              <w:rPr>
                <w:sz w:val="21"/>
              </w:rPr>
            </w:pPr>
            <w:r>
              <w:rPr>
                <w:sz w:val="21"/>
              </w:rPr>
              <w:t>造血干细胞（包括骨髓造血干细胞、外周血造血干细胞和脐血造血干细胞）</w:t>
            </w:r>
          </w:p>
        </w:tc>
      </w:tr>
      <w:tr>
        <w:trPr>
          <w:trHeight w:val="429" w:hRule="atLeast"/>
        </w:trPr>
        <w:tc>
          <w:tcPr>
            <w:tcW w:w="453" w:type="dxa"/>
          </w:tcPr>
          <w:p>
            <w:pPr>
              <w:pStyle w:val="TableParagraph"/>
              <w:rPr>
                <w:rFonts w:ascii="Times New Roman"/>
                <w:sz w:val="20"/>
              </w:rPr>
            </w:pPr>
          </w:p>
        </w:tc>
        <w:tc>
          <w:tcPr>
            <w:tcW w:w="2508" w:type="dxa"/>
          </w:tcPr>
          <w:p>
            <w:pPr>
              <w:pStyle w:val="TableParagraph"/>
              <w:rPr>
                <w:rFonts w:ascii="Times New Roman"/>
                <w:sz w:val="20"/>
              </w:rPr>
            </w:pPr>
          </w:p>
        </w:tc>
        <w:tc>
          <w:tcPr>
            <w:tcW w:w="6948" w:type="dxa"/>
          </w:tcPr>
          <w:p>
            <w:pPr>
              <w:pStyle w:val="TableParagraph"/>
              <w:spacing w:line="261" w:lineRule="exact"/>
              <w:rPr>
                <w:sz w:val="21"/>
              </w:rPr>
            </w:pPr>
            <w:r>
              <w:rPr>
                <w:sz w:val="21"/>
              </w:rPr>
              <w:t>的异体移植手术。</w:t>
            </w:r>
          </w:p>
        </w:tc>
      </w:tr>
      <w:tr>
        <w:trPr>
          <w:trHeight w:val="457" w:hRule="atLeast"/>
        </w:trPr>
        <w:tc>
          <w:tcPr>
            <w:tcW w:w="453" w:type="dxa"/>
          </w:tcPr>
          <w:p>
            <w:pPr>
              <w:pStyle w:val="TableParagraph"/>
              <w:spacing w:before="124"/>
              <w:ind w:left="50"/>
              <w:rPr>
                <w:b/>
                <w:sz w:val="21"/>
              </w:rPr>
            </w:pPr>
            <w:r>
              <w:rPr>
                <w:b/>
                <w:sz w:val="21"/>
              </w:rPr>
              <w:t>18</w:t>
            </w:r>
          </w:p>
        </w:tc>
        <w:tc>
          <w:tcPr>
            <w:tcW w:w="2508" w:type="dxa"/>
          </w:tcPr>
          <w:p>
            <w:pPr>
              <w:pStyle w:val="TableParagraph"/>
              <w:spacing w:before="88"/>
              <w:ind w:left="192"/>
              <w:rPr>
                <w:rFonts w:ascii="等线" w:eastAsia="等线" w:hint="eastAsia"/>
                <w:b/>
                <w:sz w:val="24"/>
              </w:rPr>
            </w:pPr>
            <w:r>
              <w:rPr>
                <w:rFonts w:ascii="等线" w:eastAsia="等线" w:hint="eastAsia"/>
                <w:b/>
                <w:sz w:val="24"/>
              </w:rPr>
              <w:t>双耳失聪</w:t>
            </w:r>
          </w:p>
        </w:tc>
        <w:tc>
          <w:tcPr>
            <w:tcW w:w="6948" w:type="dxa"/>
          </w:tcPr>
          <w:p>
            <w:pPr>
              <w:pStyle w:val="TableParagraph"/>
              <w:spacing w:before="124"/>
              <w:rPr>
                <w:sz w:val="21"/>
              </w:rPr>
            </w:pPr>
            <w:r>
              <w:rPr>
                <w:sz w:val="21"/>
              </w:rPr>
              <w:t>指因疾病或意外伤害导致双耳听力永久不可逆性丧失，在 500 赫兹、1000</w:t>
            </w:r>
          </w:p>
        </w:tc>
      </w:tr>
      <w:tr>
        <w:trPr>
          <w:trHeight w:val="303" w:hRule="atLeast"/>
        </w:trPr>
        <w:tc>
          <w:tcPr>
            <w:tcW w:w="453" w:type="dxa"/>
          </w:tcPr>
          <w:p>
            <w:pPr>
              <w:pStyle w:val="TableParagraph"/>
              <w:rPr>
                <w:rFonts w:ascii="Times New Roman"/>
                <w:sz w:val="20"/>
              </w:rPr>
            </w:pPr>
          </w:p>
        </w:tc>
        <w:tc>
          <w:tcPr>
            <w:tcW w:w="2508" w:type="dxa"/>
          </w:tcPr>
          <w:p>
            <w:pPr>
              <w:pStyle w:val="TableParagraph"/>
              <w:rPr>
                <w:rFonts w:ascii="Times New Roman"/>
                <w:sz w:val="20"/>
              </w:rPr>
            </w:pPr>
          </w:p>
        </w:tc>
        <w:tc>
          <w:tcPr>
            <w:tcW w:w="6948" w:type="dxa"/>
          </w:tcPr>
          <w:p>
            <w:pPr>
              <w:pStyle w:val="TableParagraph"/>
              <w:spacing w:line="253" w:lineRule="exact"/>
              <w:rPr>
                <w:sz w:val="21"/>
              </w:rPr>
            </w:pPr>
            <w:r>
              <w:rPr>
                <w:spacing w:val="-13"/>
                <w:sz w:val="21"/>
              </w:rPr>
              <w:t>赫兹和 </w:t>
            </w:r>
            <w:r>
              <w:rPr>
                <w:sz w:val="21"/>
              </w:rPr>
              <w:t>2000</w:t>
            </w:r>
            <w:r>
              <w:rPr>
                <w:spacing w:val="-13"/>
                <w:sz w:val="21"/>
              </w:rPr>
              <w:t> 赫兹语音频率下，平均听阈大于 </w:t>
            </w:r>
            <w:r>
              <w:rPr>
                <w:sz w:val="21"/>
              </w:rPr>
              <w:t>90</w:t>
            </w:r>
            <w:r>
              <w:rPr>
                <w:spacing w:val="-10"/>
                <w:sz w:val="21"/>
              </w:rPr>
              <w:t> 分贝，且经纯音听力测试、</w:t>
            </w:r>
          </w:p>
        </w:tc>
      </w:tr>
      <w:tr>
        <w:trPr>
          <w:trHeight w:val="330" w:hRule="atLeast"/>
        </w:trPr>
        <w:tc>
          <w:tcPr>
            <w:tcW w:w="453" w:type="dxa"/>
          </w:tcPr>
          <w:p>
            <w:pPr>
              <w:pStyle w:val="TableParagraph"/>
              <w:rPr>
                <w:rFonts w:ascii="Times New Roman"/>
                <w:sz w:val="20"/>
              </w:rPr>
            </w:pPr>
          </w:p>
        </w:tc>
        <w:tc>
          <w:tcPr>
            <w:tcW w:w="2508" w:type="dxa"/>
          </w:tcPr>
          <w:p>
            <w:pPr>
              <w:pStyle w:val="TableParagraph"/>
              <w:rPr>
                <w:rFonts w:ascii="Times New Roman"/>
                <w:sz w:val="20"/>
              </w:rPr>
            </w:pPr>
          </w:p>
        </w:tc>
        <w:tc>
          <w:tcPr>
            <w:tcW w:w="6948" w:type="dxa"/>
          </w:tcPr>
          <w:p>
            <w:pPr>
              <w:pStyle w:val="TableParagraph"/>
              <w:spacing w:line="261" w:lineRule="exact"/>
              <w:rPr>
                <w:sz w:val="21"/>
              </w:rPr>
            </w:pPr>
            <w:r>
              <w:rPr>
                <w:sz w:val="21"/>
              </w:rPr>
              <w:t>声导抗检测或听觉诱发电位检测等证实。</w:t>
            </w:r>
          </w:p>
        </w:tc>
      </w:tr>
      <w:tr>
        <w:trPr>
          <w:trHeight w:val="273" w:hRule="atLeast"/>
        </w:trPr>
        <w:tc>
          <w:tcPr>
            <w:tcW w:w="453" w:type="dxa"/>
          </w:tcPr>
          <w:p>
            <w:pPr>
              <w:pStyle w:val="TableParagraph"/>
              <w:rPr>
                <w:rFonts w:ascii="Times New Roman"/>
                <w:sz w:val="20"/>
              </w:rPr>
            </w:pPr>
          </w:p>
        </w:tc>
        <w:tc>
          <w:tcPr>
            <w:tcW w:w="2508" w:type="dxa"/>
          </w:tcPr>
          <w:p>
            <w:pPr>
              <w:pStyle w:val="TableParagraph"/>
              <w:rPr>
                <w:rFonts w:ascii="Times New Roman"/>
                <w:sz w:val="20"/>
              </w:rPr>
            </w:pPr>
          </w:p>
        </w:tc>
        <w:tc>
          <w:tcPr>
            <w:tcW w:w="6948" w:type="dxa"/>
            <w:shd w:val="clear" w:color="auto" w:fill="DADADA"/>
          </w:tcPr>
          <w:p>
            <w:pPr>
              <w:pStyle w:val="TableParagraph"/>
              <w:spacing w:line="243" w:lineRule="exact"/>
              <w:rPr>
                <w:sz w:val="21"/>
              </w:rPr>
            </w:pPr>
            <w:r>
              <w:rPr>
                <w:sz w:val="21"/>
              </w:rPr>
              <w:t>若被保险人在 0 至 3 </w:t>
            </w:r>
            <w:r>
              <w:rPr>
                <w:rFonts w:ascii="黑体" w:eastAsia="黑体" w:hint="eastAsia"/>
                <w:b/>
                <w:sz w:val="21"/>
              </w:rPr>
              <w:t>周岁 </w:t>
            </w:r>
            <w:hyperlink w:history="true" w:anchor="_bookmark20">
              <w:r>
                <w:rPr>
                  <w:rFonts w:ascii="黑体" w:eastAsia="黑体" w:hint="eastAsia"/>
                  <w:b/>
                  <w:position w:val="11"/>
                  <w:sz w:val="11"/>
                </w:rPr>
                <w:t>21</w:t>
              </w:r>
            </w:hyperlink>
            <w:r>
              <w:rPr>
                <w:sz w:val="21"/>
              </w:rPr>
              <w:t>保单周年日期间双耳失聪，在本附加险合同有</w:t>
            </w:r>
          </w:p>
        </w:tc>
      </w:tr>
      <w:tr>
        <w:trPr>
          <w:trHeight w:val="449" w:hRule="atLeast"/>
        </w:trPr>
        <w:tc>
          <w:tcPr>
            <w:tcW w:w="453" w:type="dxa"/>
          </w:tcPr>
          <w:p>
            <w:pPr>
              <w:pStyle w:val="TableParagraph"/>
              <w:rPr>
                <w:rFonts w:ascii="Times New Roman"/>
                <w:sz w:val="20"/>
              </w:rPr>
            </w:pPr>
          </w:p>
        </w:tc>
        <w:tc>
          <w:tcPr>
            <w:tcW w:w="2508" w:type="dxa"/>
          </w:tcPr>
          <w:p>
            <w:pPr>
              <w:pStyle w:val="TableParagraph"/>
              <w:rPr>
                <w:rFonts w:ascii="Times New Roman"/>
                <w:sz w:val="20"/>
              </w:rPr>
            </w:pPr>
          </w:p>
        </w:tc>
        <w:tc>
          <w:tcPr>
            <w:tcW w:w="6948" w:type="dxa"/>
          </w:tcPr>
          <w:p>
            <w:pPr>
              <w:pStyle w:val="TableParagraph"/>
              <w:spacing w:before="6"/>
              <w:rPr>
                <w:sz w:val="21"/>
              </w:rPr>
            </w:pPr>
            <w:r>
              <w:rPr>
                <w:sz w:val="21"/>
                <w:shd w:fill="DADADA" w:color="auto" w:val="clear"/>
              </w:rPr>
              <w:t>效期内我们对双耳失聪不承担保险责任。</w:t>
            </w:r>
          </w:p>
        </w:tc>
      </w:tr>
      <w:tr>
        <w:trPr>
          <w:trHeight w:val="773" w:hRule="atLeast"/>
        </w:trPr>
        <w:tc>
          <w:tcPr>
            <w:tcW w:w="453" w:type="dxa"/>
          </w:tcPr>
          <w:p>
            <w:pPr>
              <w:pStyle w:val="TableParagraph"/>
              <w:spacing w:before="124"/>
              <w:ind w:left="50"/>
              <w:rPr>
                <w:b/>
                <w:sz w:val="21"/>
              </w:rPr>
            </w:pPr>
            <w:r>
              <w:rPr>
                <w:b/>
                <w:sz w:val="21"/>
              </w:rPr>
              <w:t>19</w:t>
            </w:r>
          </w:p>
        </w:tc>
        <w:tc>
          <w:tcPr>
            <w:tcW w:w="2508" w:type="dxa"/>
          </w:tcPr>
          <w:p>
            <w:pPr>
              <w:pStyle w:val="TableParagraph"/>
              <w:spacing w:line="235" w:lineRule="auto" w:before="94"/>
              <w:ind w:left="192" w:right="186"/>
              <w:rPr>
                <w:rFonts w:ascii="等线" w:eastAsia="等线" w:hint="eastAsia"/>
                <w:b/>
                <w:sz w:val="24"/>
              </w:rPr>
            </w:pPr>
            <w:r>
              <w:rPr>
                <w:rFonts w:ascii="等线" w:eastAsia="等线" w:hint="eastAsia"/>
                <w:b/>
                <w:sz w:val="24"/>
              </w:rPr>
              <w:t>慢性肝功能衰竭失代偿期</w:t>
            </w:r>
          </w:p>
        </w:tc>
        <w:tc>
          <w:tcPr>
            <w:tcW w:w="6948" w:type="dxa"/>
          </w:tcPr>
          <w:p>
            <w:pPr>
              <w:pStyle w:val="TableParagraph"/>
              <w:spacing w:before="124"/>
              <w:rPr>
                <w:sz w:val="21"/>
              </w:rPr>
            </w:pPr>
            <w:r>
              <w:rPr>
                <w:sz w:val="21"/>
              </w:rPr>
              <w:t>指因慢性肝脏疾病导致肝功能衰竭。须满足下列全部条件：</w:t>
            </w:r>
          </w:p>
          <w:p>
            <w:pPr>
              <w:pStyle w:val="TableParagraph"/>
              <w:spacing w:before="37"/>
              <w:rPr>
                <w:sz w:val="21"/>
              </w:rPr>
            </w:pPr>
            <w:r>
              <w:rPr>
                <w:sz w:val="21"/>
              </w:rPr>
              <w:t>（1）持续性黄疸；</w:t>
            </w:r>
          </w:p>
        </w:tc>
      </w:tr>
      <w:tr>
        <w:trPr>
          <w:trHeight w:val="299" w:hRule="atLeast"/>
        </w:trPr>
        <w:tc>
          <w:tcPr>
            <w:tcW w:w="453" w:type="dxa"/>
          </w:tcPr>
          <w:p>
            <w:pPr>
              <w:pStyle w:val="TableParagraph"/>
              <w:rPr>
                <w:rFonts w:ascii="Times New Roman"/>
                <w:sz w:val="20"/>
              </w:rPr>
            </w:pPr>
          </w:p>
        </w:tc>
        <w:tc>
          <w:tcPr>
            <w:tcW w:w="2508" w:type="dxa"/>
          </w:tcPr>
          <w:p>
            <w:pPr>
              <w:pStyle w:val="TableParagraph"/>
              <w:rPr>
                <w:rFonts w:ascii="Times New Roman"/>
                <w:sz w:val="20"/>
              </w:rPr>
            </w:pPr>
          </w:p>
        </w:tc>
        <w:tc>
          <w:tcPr>
            <w:tcW w:w="6948" w:type="dxa"/>
          </w:tcPr>
          <w:p>
            <w:pPr>
              <w:pStyle w:val="TableParagraph"/>
              <w:spacing w:line="249" w:lineRule="exact"/>
              <w:rPr>
                <w:sz w:val="21"/>
              </w:rPr>
            </w:pPr>
            <w:r>
              <w:rPr>
                <w:sz w:val="21"/>
              </w:rPr>
              <w:t>（2）腹水；</w:t>
            </w:r>
          </w:p>
        </w:tc>
      </w:tr>
      <w:tr>
        <w:trPr>
          <w:trHeight w:val="311" w:hRule="atLeast"/>
        </w:trPr>
        <w:tc>
          <w:tcPr>
            <w:tcW w:w="453" w:type="dxa"/>
          </w:tcPr>
          <w:p>
            <w:pPr>
              <w:pStyle w:val="TableParagraph"/>
              <w:rPr>
                <w:rFonts w:ascii="Times New Roman"/>
                <w:sz w:val="20"/>
              </w:rPr>
            </w:pPr>
          </w:p>
        </w:tc>
        <w:tc>
          <w:tcPr>
            <w:tcW w:w="2508" w:type="dxa"/>
          </w:tcPr>
          <w:p>
            <w:pPr>
              <w:pStyle w:val="TableParagraph"/>
              <w:rPr>
                <w:rFonts w:ascii="Times New Roman"/>
                <w:sz w:val="20"/>
              </w:rPr>
            </w:pPr>
          </w:p>
        </w:tc>
        <w:tc>
          <w:tcPr>
            <w:tcW w:w="6948" w:type="dxa"/>
          </w:tcPr>
          <w:p>
            <w:pPr>
              <w:pStyle w:val="TableParagraph"/>
              <w:spacing w:line="261" w:lineRule="exact"/>
              <w:rPr>
                <w:sz w:val="21"/>
              </w:rPr>
            </w:pPr>
            <w:r>
              <w:rPr>
                <w:sz w:val="21"/>
              </w:rPr>
              <w:t>（3）肝性脑病；</w:t>
            </w:r>
          </w:p>
        </w:tc>
      </w:tr>
      <w:tr>
        <w:trPr>
          <w:trHeight w:val="312" w:hRule="atLeast"/>
        </w:trPr>
        <w:tc>
          <w:tcPr>
            <w:tcW w:w="453" w:type="dxa"/>
          </w:tcPr>
          <w:p>
            <w:pPr>
              <w:pStyle w:val="TableParagraph"/>
              <w:rPr>
                <w:rFonts w:ascii="Times New Roman"/>
                <w:sz w:val="20"/>
              </w:rPr>
            </w:pPr>
          </w:p>
        </w:tc>
        <w:tc>
          <w:tcPr>
            <w:tcW w:w="2508" w:type="dxa"/>
          </w:tcPr>
          <w:p>
            <w:pPr>
              <w:pStyle w:val="TableParagraph"/>
              <w:rPr>
                <w:rFonts w:ascii="Times New Roman"/>
                <w:sz w:val="20"/>
              </w:rPr>
            </w:pPr>
          </w:p>
        </w:tc>
        <w:tc>
          <w:tcPr>
            <w:tcW w:w="6948" w:type="dxa"/>
          </w:tcPr>
          <w:p>
            <w:pPr>
              <w:pStyle w:val="TableParagraph"/>
              <w:spacing w:line="261" w:lineRule="exact"/>
              <w:rPr>
                <w:sz w:val="21"/>
              </w:rPr>
            </w:pPr>
            <w:r>
              <w:rPr>
                <w:sz w:val="21"/>
              </w:rPr>
              <w:t>（4）充血性脾肿大伴脾功能亢进或食管胃底静脉曲张。</w:t>
            </w:r>
          </w:p>
        </w:tc>
      </w:tr>
      <w:tr>
        <w:trPr>
          <w:trHeight w:val="429" w:hRule="atLeast"/>
        </w:trPr>
        <w:tc>
          <w:tcPr>
            <w:tcW w:w="453" w:type="dxa"/>
          </w:tcPr>
          <w:p>
            <w:pPr>
              <w:pStyle w:val="TableParagraph"/>
              <w:rPr>
                <w:rFonts w:ascii="Times New Roman"/>
                <w:sz w:val="20"/>
              </w:rPr>
            </w:pPr>
          </w:p>
        </w:tc>
        <w:tc>
          <w:tcPr>
            <w:tcW w:w="2508" w:type="dxa"/>
          </w:tcPr>
          <w:p>
            <w:pPr>
              <w:pStyle w:val="TableParagraph"/>
              <w:rPr>
                <w:rFonts w:ascii="Times New Roman"/>
                <w:sz w:val="20"/>
              </w:rPr>
            </w:pPr>
          </w:p>
        </w:tc>
        <w:tc>
          <w:tcPr>
            <w:tcW w:w="6948" w:type="dxa"/>
          </w:tcPr>
          <w:p>
            <w:pPr>
              <w:pStyle w:val="TableParagraph"/>
              <w:spacing w:line="262" w:lineRule="exact"/>
              <w:rPr>
                <w:sz w:val="21"/>
              </w:rPr>
            </w:pPr>
            <w:r>
              <w:rPr>
                <w:sz w:val="21"/>
                <w:shd w:fill="DADADA" w:color="auto" w:val="clear"/>
              </w:rPr>
              <w:t>因酗酒或药物滥用导致的肝功能衰竭不在保障范围内。</w:t>
            </w:r>
          </w:p>
        </w:tc>
      </w:tr>
      <w:tr>
        <w:trPr>
          <w:trHeight w:val="457" w:hRule="atLeast"/>
        </w:trPr>
        <w:tc>
          <w:tcPr>
            <w:tcW w:w="453" w:type="dxa"/>
          </w:tcPr>
          <w:p>
            <w:pPr>
              <w:pStyle w:val="TableParagraph"/>
              <w:spacing w:before="124"/>
              <w:ind w:left="50"/>
              <w:rPr>
                <w:b/>
                <w:sz w:val="21"/>
              </w:rPr>
            </w:pPr>
            <w:r>
              <w:rPr>
                <w:b/>
                <w:sz w:val="21"/>
              </w:rPr>
              <w:t>20</w:t>
            </w:r>
          </w:p>
        </w:tc>
        <w:tc>
          <w:tcPr>
            <w:tcW w:w="2508" w:type="dxa"/>
          </w:tcPr>
          <w:p>
            <w:pPr>
              <w:pStyle w:val="TableParagraph"/>
              <w:spacing w:before="88"/>
              <w:ind w:left="192"/>
              <w:rPr>
                <w:rFonts w:ascii="等线" w:eastAsia="等线" w:hint="eastAsia"/>
                <w:b/>
                <w:sz w:val="24"/>
              </w:rPr>
            </w:pPr>
            <w:r>
              <w:rPr>
                <w:rFonts w:ascii="等线" w:eastAsia="等线" w:hint="eastAsia"/>
                <w:b/>
                <w:sz w:val="24"/>
              </w:rPr>
              <w:t>双目失明</w:t>
            </w:r>
          </w:p>
        </w:tc>
        <w:tc>
          <w:tcPr>
            <w:tcW w:w="6948" w:type="dxa"/>
          </w:tcPr>
          <w:p>
            <w:pPr>
              <w:pStyle w:val="TableParagraph"/>
              <w:spacing w:before="124"/>
              <w:rPr>
                <w:sz w:val="21"/>
              </w:rPr>
            </w:pPr>
            <w:r>
              <w:rPr>
                <w:sz w:val="21"/>
              </w:rPr>
              <w:t>指因疾病或意外伤害导致双眼视力永久不可逆性丧失，双眼中较好眼须满</w:t>
            </w:r>
          </w:p>
        </w:tc>
      </w:tr>
      <w:tr>
        <w:trPr>
          <w:trHeight w:val="303" w:hRule="atLeast"/>
        </w:trPr>
        <w:tc>
          <w:tcPr>
            <w:tcW w:w="453" w:type="dxa"/>
          </w:tcPr>
          <w:p>
            <w:pPr>
              <w:pStyle w:val="TableParagraph"/>
              <w:rPr>
                <w:rFonts w:ascii="Times New Roman"/>
                <w:sz w:val="20"/>
              </w:rPr>
            </w:pPr>
          </w:p>
        </w:tc>
        <w:tc>
          <w:tcPr>
            <w:tcW w:w="2508" w:type="dxa"/>
          </w:tcPr>
          <w:p>
            <w:pPr>
              <w:pStyle w:val="TableParagraph"/>
              <w:rPr>
                <w:rFonts w:ascii="Times New Roman"/>
                <w:sz w:val="20"/>
              </w:rPr>
            </w:pPr>
          </w:p>
        </w:tc>
        <w:tc>
          <w:tcPr>
            <w:tcW w:w="6948" w:type="dxa"/>
          </w:tcPr>
          <w:p>
            <w:pPr>
              <w:pStyle w:val="TableParagraph"/>
              <w:spacing w:line="253" w:lineRule="exact"/>
              <w:rPr>
                <w:sz w:val="21"/>
              </w:rPr>
            </w:pPr>
            <w:r>
              <w:rPr>
                <w:sz w:val="21"/>
              </w:rPr>
              <w:t>足下列至少一项条件：</w:t>
            </w:r>
          </w:p>
        </w:tc>
      </w:tr>
      <w:tr>
        <w:trPr>
          <w:trHeight w:val="311" w:hRule="atLeast"/>
        </w:trPr>
        <w:tc>
          <w:tcPr>
            <w:tcW w:w="453" w:type="dxa"/>
          </w:tcPr>
          <w:p>
            <w:pPr>
              <w:pStyle w:val="TableParagraph"/>
              <w:rPr>
                <w:rFonts w:ascii="Times New Roman"/>
                <w:sz w:val="20"/>
              </w:rPr>
            </w:pPr>
          </w:p>
        </w:tc>
        <w:tc>
          <w:tcPr>
            <w:tcW w:w="2508" w:type="dxa"/>
          </w:tcPr>
          <w:p>
            <w:pPr>
              <w:pStyle w:val="TableParagraph"/>
              <w:rPr>
                <w:rFonts w:ascii="Times New Roman"/>
                <w:sz w:val="20"/>
              </w:rPr>
            </w:pPr>
          </w:p>
        </w:tc>
        <w:tc>
          <w:tcPr>
            <w:tcW w:w="6948" w:type="dxa"/>
          </w:tcPr>
          <w:p>
            <w:pPr>
              <w:pStyle w:val="TableParagraph"/>
              <w:spacing w:line="261" w:lineRule="exact"/>
              <w:rPr>
                <w:sz w:val="21"/>
              </w:rPr>
            </w:pPr>
            <w:r>
              <w:rPr>
                <w:sz w:val="21"/>
              </w:rPr>
              <w:t>（1）眼球缺失或摘除；</w:t>
            </w:r>
          </w:p>
        </w:tc>
      </w:tr>
      <w:tr>
        <w:trPr>
          <w:trHeight w:val="261" w:hRule="atLeast"/>
        </w:trPr>
        <w:tc>
          <w:tcPr>
            <w:tcW w:w="453" w:type="dxa"/>
          </w:tcPr>
          <w:p>
            <w:pPr>
              <w:pStyle w:val="TableParagraph"/>
              <w:rPr>
                <w:rFonts w:ascii="Times New Roman"/>
                <w:sz w:val="18"/>
              </w:rPr>
            </w:pPr>
          </w:p>
        </w:tc>
        <w:tc>
          <w:tcPr>
            <w:tcW w:w="2508" w:type="dxa"/>
          </w:tcPr>
          <w:p>
            <w:pPr>
              <w:pStyle w:val="TableParagraph"/>
              <w:rPr>
                <w:rFonts w:ascii="Times New Roman"/>
                <w:sz w:val="18"/>
              </w:rPr>
            </w:pPr>
          </w:p>
        </w:tc>
        <w:tc>
          <w:tcPr>
            <w:tcW w:w="6948" w:type="dxa"/>
          </w:tcPr>
          <w:p>
            <w:pPr>
              <w:pStyle w:val="TableParagraph"/>
              <w:spacing w:line="242" w:lineRule="exact"/>
              <w:rPr>
                <w:sz w:val="21"/>
              </w:rPr>
            </w:pPr>
            <w:r>
              <w:rPr>
                <w:sz w:val="21"/>
              </w:rPr>
              <w:t>（2）矫正视力低于 0.02（采用国际标准视力表，如果使用其它视力表应进</w:t>
            </w:r>
          </w:p>
        </w:tc>
      </w:tr>
    </w:tbl>
    <w:p>
      <w:pPr>
        <w:pStyle w:val="BodyText"/>
        <w:spacing w:before="37"/>
        <w:ind w:left="3685" w:right="5556"/>
        <w:jc w:val="center"/>
      </w:pPr>
      <w:r>
        <w:rPr>
          <w:spacing w:val="-1"/>
          <w:w w:val="100"/>
        </w:rPr>
        <w:t>行换算</w:t>
      </w:r>
      <w:r>
        <w:rPr>
          <w:spacing w:val="-106"/>
          <w:w w:val="100"/>
        </w:rPr>
        <w:t>）</w:t>
      </w:r>
      <w:r>
        <w:rPr>
          <w:w w:val="100"/>
        </w:rPr>
        <w:t>；</w:t>
      </w:r>
    </w:p>
    <w:p>
      <w:pPr>
        <w:pStyle w:val="BodyText"/>
        <w:spacing w:before="37"/>
        <w:ind w:left="3177"/>
      </w:pPr>
      <w:r>
        <w:rPr/>
        <w:t>（3）视野半径小于 5 度。</w:t>
      </w:r>
    </w:p>
    <w:p>
      <w:pPr>
        <w:pStyle w:val="BodyText"/>
        <w:spacing w:before="2"/>
        <w:rPr>
          <w:sz w:val="18"/>
        </w:rPr>
      </w:pPr>
    </w:p>
    <w:p>
      <w:pPr>
        <w:spacing w:after="0"/>
        <w:rPr>
          <w:sz w:val="18"/>
        </w:rPr>
        <w:sectPr>
          <w:pgSz w:w="11910" w:h="16840"/>
          <w:pgMar w:top="1080" w:bottom="280" w:left="920" w:right="760"/>
        </w:sectPr>
      </w:pPr>
    </w:p>
    <w:p>
      <w:pPr>
        <w:pStyle w:val="Heading1"/>
        <w:tabs>
          <w:tab w:pos="860" w:val="left" w:leader="none"/>
        </w:tabs>
        <w:spacing w:line="232" w:lineRule="auto"/>
        <w:ind w:left="860" w:hanging="596"/>
      </w:pPr>
      <w:r>
        <w:rPr>
          <w:rFonts w:ascii="宋体" w:eastAsia="宋体" w:hint="eastAsia"/>
          <w:sz w:val="21"/>
        </w:rPr>
        <w:t>21</w:t>
        <w:tab/>
      </w:r>
      <w:r>
        <w:rPr>
          <w:spacing w:val="23"/>
          <w:position w:val="1"/>
        </w:rPr>
        <w:t>系统性红斑狼疮并 </w:t>
      </w:r>
      <w:r>
        <w:rPr/>
        <w:t>发肾功能损害</w:t>
      </w:r>
    </w:p>
    <w:p>
      <w:pPr>
        <w:pStyle w:val="BodyText"/>
        <w:spacing w:line="273" w:lineRule="auto" w:before="56"/>
        <w:ind w:left="147" w:right="260"/>
        <w:jc w:val="both"/>
      </w:pPr>
      <w:r>
        <w:rPr/>
        <w:br w:type="column"/>
      </w:r>
      <w:r>
        <w:rPr/>
        <w:t>指一种自身免疫性结缔组织病，于体内有大量致病性自身抗体和免疫复合物，造成组织损伤。系统性红斑狼疮的诊断必须经专科医生明确诊断，并须同时满足下列条件：</w:t>
      </w:r>
    </w:p>
    <w:p>
      <w:pPr>
        <w:pStyle w:val="BodyText"/>
        <w:spacing w:before="7"/>
        <w:ind w:left="147"/>
        <w:jc w:val="both"/>
      </w:pPr>
      <w:r>
        <w:rPr/>
        <w:t>（1）临床表现至少具备下列条件中的 4 个：</w:t>
      </w:r>
    </w:p>
    <w:p>
      <w:pPr>
        <w:pStyle w:val="BodyText"/>
        <w:tabs>
          <w:tab w:pos="675" w:val="left" w:leader="none"/>
        </w:tabs>
        <w:spacing w:before="37"/>
        <w:ind w:left="252"/>
      </w:pPr>
      <w:r>
        <w:rPr/>
        <w:t>①</w:t>
        <w:tab/>
      </w:r>
      <w:r>
        <w:rPr>
          <w:spacing w:val="-3"/>
        </w:rPr>
        <w:t>蝶形红斑或盘形红斑；</w:t>
      </w:r>
    </w:p>
    <w:p>
      <w:pPr>
        <w:pStyle w:val="BodyText"/>
        <w:tabs>
          <w:tab w:pos="675" w:val="left" w:leader="none"/>
        </w:tabs>
        <w:spacing w:before="37"/>
        <w:ind w:left="252"/>
      </w:pPr>
      <w:r>
        <w:rPr/>
        <w:t>②</w:t>
        <w:tab/>
      </w:r>
      <w:r>
        <w:rPr>
          <w:spacing w:val="-3"/>
        </w:rPr>
        <w:t>光敏感；</w:t>
      </w:r>
    </w:p>
    <w:p>
      <w:pPr>
        <w:pStyle w:val="BodyText"/>
        <w:tabs>
          <w:tab w:pos="675" w:val="left" w:leader="none"/>
        </w:tabs>
        <w:spacing w:before="37"/>
        <w:ind w:left="252"/>
      </w:pPr>
      <w:r>
        <w:rPr/>
        <w:t>③</w:t>
        <w:tab/>
      </w:r>
      <w:r>
        <w:rPr>
          <w:spacing w:val="-3"/>
        </w:rPr>
        <w:t>口鼻腔黏膜溃疡；</w:t>
      </w:r>
    </w:p>
    <w:p>
      <w:pPr>
        <w:pStyle w:val="BodyText"/>
        <w:tabs>
          <w:tab w:pos="675" w:val="left" w:leader="none"/>
        </w:tabs>
        <w:spacing w:before="37"/>
        <w:ind w:left="252"/>
      </w:pPr>
      <w:r>
        <w:rPr/>
        <w:t>④</w:t>
        <w:tab/>
      </w:r>
      <w:r>
        <w:rPr>
          <w:spacing w:val="-3"/>
        </w:rPr>
        <w:t>非畸形性关节炎或多关节痛；</w:t>
      </w:r>
    </w:p>
    <w:p>
      <w:pPr>
        <w:pStyle w:val="BodyText"/>
        <w:tabs>
          <w:tab w:pos="675" w:val="left" w:leader="none"/>
        </w:tabs>
        <w:spacing w:before="37"/>
        <w:ind w:left="252"/>
      </w:pPr>
      <w:r>
        <w:rPr/>
        <w:t>⑤</w:t>
        <w:tab/>
      </w:r>
      <w:r>
        <w:rPr>
          <w:spacing w:val="-3"/>
        </w:rPr>
        <w:t>胸膜炎或心包炎；</w:t>
      </w:r>
    </w:p>
    <w:p>
      <w:pPr>
        <w:pStyle w:val="BodyText"/>
        <w:tabs>
          <w:tab w:pos="675" w:val="left" w:leader="none"/>
        </w:tabs>
        <w:spacing w:before="37"/>
        <w:ind w:left="252"/>
      </w:pPr>
      <w:r>
        <w:rPr>
          <w:w w:val="100"/>
        </w:rPr>
        <w:t>⑥</w:t>
      </w:r>
      <w:r>
        <w:rPr/>
        <w:tab/>
      </w:r>
      <w:r>
        <w:rPr>
          <w:spacing w:val="-3"/>
          <w:w w:val="100"/>
        </w:rPr>
        <w:t>神经系统损伤（癫痫或精神症状</w:t>
      </w:r>
      <w:r>
        <w:rPr>
          <w:spacing w:val="-106"/>
          <w:w w:val="100"/>
        </w:rPr>
        <w:t>）</w:t>
      </w:r>
      <w:r>
        <w:rPr>
          <w:w w:val="100"/>
        </w:rPr>
        <w:t>；</w:t>
      </w:r>
    </w:p>
    <w:p>
      <w:pPr>
        <w:pStyle w:val="BodyText"/>
        <w:tabs>
          <w:tab w:pos="675" w:val="left" w:leader="none"/>
        </w:tabs>
        <w:spacing w:line="273" w:lineRule="auto" w:before="37"/>
        <w:ind w:left="672" w:right="255" w:hanging="420"/>
      </w:pPr>
      <w:r>
        <w:rPr/>
        <w:t>⑦</w:t>
        <w:tab/>
        <w:tab/>
      </w:r>
      <w:r>
        <w:rPr>
          <w:spacing w:val="-12"/>
        </w:rPr>
        <w:t>血象异常</w:t>
      </w:r>
      <w:r>
        <w:rPr>
          <w:spacing w:val="-3"/>
        </w:rPr>
        <w:t>（</w:t>
      </w:r>
      <w:r>
        <w:rPr>
          <w:spacing w:val="-11"/>
        </w:rPr>
        <w:t>白细胞小于 </w:t>
      </w:r>
      <w:r>
        <w:rPr/>
        <w:t>4000/μl</w:t>
      </w:r>
      <w:r>
        <w:rPr>
          <w:spacing w:val="-15"/>
        </w:rPr>
        <w:t> 或血小板小于 </w:t>
      </w:r>
      <w:r>
        <w:rPr/>
        <w:t>100000/μl</w:t>
      </w:r>
      <w:r>
        <w:rPr>
          <w:spacing w:val="-12"/>
        </w:rPr>
        <w:t> 或溶血性贫血</w:t>
      </w:r>
      <w:r>
        <w:rPr>
          <w:spacing w:val="-109"/>
        </w:rPr>
        <w:t>）</w:t>
      </w:r>
      <w:r>
        <w:rPr/>
        <w:t>。</w:t>
      </w:r>
    </w:p>
    <w:p>
      <w:pPr>
        <w:pStyle w:val="BodyText"/>
        <w:spacing w:before="7"/>
        <w:ind w:left="146"/>
        <w:jc w:val="both"/>
      </w:pPr>
      <w:r>
        <w:rPr/>
        <w:t>（2）检测结果至少具备下列条件中的 2 个：</w:t>
      </w:r>
    </w:p>
    <w:p>
      <w:pPr>
        <w:spacing w:after="0"/>
        <w:jc w:val="both"/>
        <w:sectPr>
          <w:type w:val="continuous"/>
          <w:pgSz w:w="11910" w:h="16840"/>
          <w:pgMar w:top="400" w:bottom="280" w:left="920" w:right="760"/>
          <w:cols w:num="2" w:equalWidth="0">
            <w:col w:w="2990" w:space="40"/>
            <w:col w:w="7200"/>
          </w:cols>
        </w:sectPr>
      </w:pPr>
    </w:p>
    <w:p>
      <w:pPr>
        <w:pStyle w:val="BodyText"/>
        <w:rPr>
          <w:sz w:val="20"/>
        </w:rPr>
      </w:pPr>
    </w:p>
    <w:p>
      <w:pPr>
        <w:pStyle w:val="BodyText"/>
        <w:spacing w:before="5"/>
        <w:rPr>
          <w:sz w:val="16"/>
        </w:rPr>
      </w:pPr>
    </w:p>
    <w:p>
      <w:pPr>
        <w:pStyle w:val="BodyText"/>
        <w:spacing w:line="20" w:lineRule="exact"/>
        <w:ind w:left="95"/>
        <w:rPr>
          <w:sz w:val="2"/>
        </w:rPr>
      </w:pPr>
      <w:r>
        <w:rPr>
          <w:rFonts w:ascii="Times New Roman"/>
          <w:spacing w:val="5"/>
          <w:sz w:val="2"/>
        </w:rPr>
        <w:t> </w:t>
      </w:r>
      <w:r>
        <w:rPr>
          <w:spacing w:val="5"/>
          <w:sz w:val="2"/>
        </w:rPr>
        <w:pict>
          <v:group style="width:144pt;height:.5pt;mso-position-horizontal-relative:char;mso-position-vertical-relative:line" coordorigin="0,0" coordsize="2880,10">
            <v:line style="position:absolute" from="0,5" to="2880,5" stroked="true" strokeweight=".48pt" strokecolor="#000000">
              <v:stroke dashstyle="solid"/>
            </v:line>
          </v:group>
        </w:pict>
      </w:r>
      <w:r>
        <w:rPr>
          <w:spacing w:val="5"/>
          <w:sz w:val="2"/>
        </w:rPr>
      </w:r>
    </w:p>
    <w:p>
      <w:pPr>
        <w:spacing w:before="44"/>
        <w:ind w:left="100" w:right="0" w:firstLine="0"/>
        <w:jc w:val="left"/>
        <w:rPr>
          <w:sz w:val="18"/>
        </w:rPr>
      </w:pPr>
      <w:bookmarkStart w:name="_bookmark20" w:id="21"/>
      <w:bookmarkEnd w:id="21"/>
      <w:r>
        <w:rPr/>
      </w:r>
      <w:r>
        <w:rPr>
          <w:rFonts w:ascii="Microsoft JhengHei" w:eastAsia="Microsoft JhengHei" w:hint="eastAsia"/>
          <w:b/>
          <w:position w:val="9"/>
          <w:sz w:val="9"/>
        </w:rPr>
        <w:t>21 </w:t>
      </w:r>
      <w:r>
        <w:rPr>
          <w:rFonts w:ascii="Microsoft JhengHei" w:eastAsia="Microsoft JhengHei" w:hint="eastAsia"/>
          <w:b/>
          <w:sz w:val="18"/>
        </w:rPr>
        <w:t>周岁</w:t>
      </w:r>
      <w:r>
        <w:rPr>
          <w:sz w:val="18"/>
        </w:rPr>
        <w:t>指按有效身份证件中记载的出生日期计算的年龄，自出生之日起为零周岁，每经过一年增加一岁，不足一年的不计。</w:t>
      </w:r>
    </w:p>
    <w:p>
      <w:pPr>
        <w:spacing w:after="0"/>
        <w:jc w:val="left"/>
        <w:rPr>
          <w:sz w:val="18"/>
        </w:rPr>
        <w:sectPr>
          <w:type w:val="continuous"/>
          <w:pgSz w:w="11910" w:h="16840"/>
          <w:pgMar w:top="400" w:bottom="280" w:left="920" w:right="760"/>
        </w:sectPr>
      </w:pPr>
    </w:p>
    <w:p>
      <w:pPr>
        <w:pStyle w:val="BodyText"/>
        <w:tabs>
          <w:tab w:pos="3542" w:val="left" w:leader="none"/>
        </w:tabs>
        <w:spacing w:before="22"/>
        <w:ind w:left="3122"/>
      </w:pPr>
      <w:r>
        <w:rPr/>
        <w:t>①</w:t>
        <w:tab/>
      </w:r>
      <w:r>
        <w:rPr>
          <w:spacing w:val="-25"/>
        </w:rPr>
        <w:t>抗 </w:t>
      </w:r>
      <w:r>
        <w:rPr/>
        <w:t>dsDNA</w:t>
      </w:r>
      <w:r>
        <w:rPr>
          <w:spacing w:val="-10"/>
        </w:rPr>
        <w:t> 抗体阳性；</w:t>
      </w:r>
    </w:p>
    <w:p>
      <w:pPr>
        <w:pStyle w:val="BodyText"/>
        <w:tabs>
          <w:tab w:pos="3542" w:val="left" w:leader="none"/>
        </w:tabs>
        <w:spacing w:before="37"/>
        <w:ind w:left="3122"/>
      </w:pPr>
      <w:r>
        <w:rPr/>
        <w:t>②</w:t>
        <w:tab/>
      </w:r>
      <w:r>
        <w:rPr>
          <w:spacing w:val="-25"/>
        </w:rPr>
        <w:t>抗 </w:t>
      </w:r>
      <w:r>
        <w:rPr/>
        <w:t>Sm</w:t>
      </w:r>
      <w:r>
        <w:rPr>
          <w:spacing w:val="-12"/>
        </w:rPr>
        <w:t> 抗体阳性；</w:t>
      </w:r>
    </w:p>
    <w:p>
      <w:pPr>
        <w:pStyle w:val="BodyText"/>
        <w:tabs>
          <w:tab w:pos="3545" w:val="left" w:leader="none"/>
        </w:tabs>
        <w:spacing w:before="37"/>
        <w:ind w:left="3122"/>
      </w:pPr>
      <w:r>
        <w:rPr/>
        <w:t>③</w:t>
        <w:tab/>
      </w:r>
      <w:r>
        <w:rPr>
          <w:spacing w:val="-3"/>
        </w:rPr>
        <w:t>抗核抗体阳性；</w:t>
      </w:r>
    </w:p>
    <w:p>
      <w:pPr>
        <w:pStyle w:val="BodyText"/>
        <w:tabs>
          <w:tab w:pos="3545" w:val="left" w:leader="none"/>
        </w:tabs>
        <w:spacing w:before="37"/>
        <w:ind w:left="3122"/>
      </w:pPr>
      <w:r>
        <w:rPr/>
        <w:t>④</w:t>
        <w:tab/>
      </w:r>
      <w:r>
        <w:rPr>
          <w:spacing w:val="-3"/>
        </w:rPr>
        <w:t>皮肤狼疮带试验</w:t>
      </w:r>
      <w:r>
        <w:rPr/>
        <w:t>（</w:t>
      </w:r>
      <w:r>
        <w:rPr>
          <w:spacing w:val="-3"/>
        </w:rPr>
        <w:t>非病损部位）或肾活检阳性；</w:t>
      </w:r>
    </w:p>
    <w:p>
      <w:pPr>
        <w:pStyle w:val="BodyText"/>
        <w:tabs>
          <w:tab w:pos="3545" w:val="left" w:leader="none"/>
        </w:tabs>
        <w:spacing w:before="37"/>
        <w:ind w:left="3122"/>
      </w:pPr>
      <w:r>
        <w:rPr/>
        <w:t>⑤</w:t>
        <w:tab/>
        <w:t>C3</w:t>
      </w:r>
      <w:r>
        <w:rPr>
          <w:spacing w:val="-10"/>
        </w:rPr>
        <w:t> 低于正常值。</w:t>
      </w:r>
    </w:p>
    <w:p>
      <w:pPr>
        <w:pStyle w:val="BodyText"/>
        <w:spacing w:before="37"/>
        <w:ind w:left="3017"/>
      </w:pPr>
      <w:r>
        <w:rPr>
          <w:w w:val="100"/>
        </w:rPr>
        <w:t>（3</w:t>
      </w:r>
      <w:r>
        <w:rPr>
          <w:spacing w:val="-3"/>
          <w:w w:val="100"/>
        </w:rPr>
        <w:t>）狼疮肾炎致使肾功能减退（</w:t>
      </w:r>
      <w:r>
        <w:rPr>
          <w:spacing w:val="-2"/>
          <w:w w:val="100"/>
        </w:rPr>
        <w:t>或损害</w:t>
      </w:r>
      <w:r>
        <w:rPr>
          <w:spacing w:val="-108"/>
          <w:w w:val="100"/>
        </w:rPr>
        <w:t>）</w:t>
      </w:r>
      <w:r>
        <w:rPr>
          <w:spacing w:val="-3"/>
          <w:w w:val="100"/>
        </w:rPr>
        <w:t>，且符合以下条件之一：</w:t>
      </w:r>
    </w:p>
    <w:p>
      <w:pPr>
        <w:pStyle w:val="BodyText"/>
        <w:tabs>
          <w:tab w:pos="3545" w:val="left" w:leader="none"/>
        </w:tabs>
        <w:spacing w:line="273" w:lineRule="auto" w:before="37"/>
        <w:ind w:left="3542" w:right="99" w:hanging="420"/>
      </w:pPr>
      <w:r>
        <w:rPr/>
        <w:t>①</w:t>
        <w:tab/>
        <w:tab/>
      </w:r>
      <w:r>
        <w:rPr>
          <w:spacing w:val="-3"/>
        </w:rPr>
        <w:t>系统性红斑狼疮造成肾脏功能损害，尿蛋白</w:t>
      </w:r>
      <w:r>
        <w:rPr/>
        <w:t>＞2g/24</w:t>
      </w:r>
      <w:r>
        <w:rPr>
          <w:spacing w:val="-4"/>
        </w:rPr>
        <w:t> 小时且持续性蛋</w:t>
      </w:r>
      <w:r>
        <w:rPr>
          <w:spacing w:val="-1"/>
        </w:rPr>
        <w:t>白尿＞+++；</w:t>
      </w:r>
    </w:p>
    <w:p>
      <w:pPr>
        <w:pStyle w:val="BodyText"/>
        <w:tabs>
          <w:tab w:pos="3545" w:val="left" w:leader="none"/>
        </w:tabs>
        <w:spacing w:line="273" w:lineRule="auto" w:before="8"/>
        <w:ind w:left="3017" w:right="1316" w:firstLine="105"/>
      </w:pPr>
      <w:r>
        <w:rPr/>
        <w:t>②</w:t>
        <w:tab/>
      </w:r>
      <w:r>
        <w:rPr>
          <w:spacing w:val="-11"/>
        </w:rPr>
        <w:t>符合下列 </w:t>
      </w:r>
      <w:r>
        <w:rPr/>
        <w:t>WHO</w:t>
      </w:r>
      <w:r>
        <w:rPr>
          <w:spacing w:val="-8"/>
        </w:rPr>
        <w:t> 诊断标准定义的Ⅲ型至Ⅴ型狼疮性肾炎。</w:t>
      </w:r>
      <w:r>
        <w:rPr>
          <w:spacing w:val="-3"/>
        </w:rPr>
        <w:t>世界卫生组织</w:t>
      </w:r>
      <w:r>
        <w:rPr>
          <w:spacing w:val="-1"/>
        </w:rPr>
        <w:t>（WHO）</w:t>
      </w:r>
      <w:r>
        <w:rPr>
          <w:spacing w:val="-3"/>
        </w:rPr>
        <w:t>狼疮性肾炎分型：</w:t>
      </w:r>
    </w:p>
    <w:p>
      <w:pPr>
        <w:pStyle w:val="BodyText"/>
        <w:tabs>
          <w:tab w:pos="5119" w:val="left" w:leader="none"/>
        </w:tabs>
        <w:spacing w:before="8"/>
        <w:ind w:left="3017"/>
      </w:pPr>
      <w:r>
        <w:rPr/>
        <w:t>Ⅰ型</w:t>
      </w:r>
      <w:r>
        <w:rPr>
          <w:spacing w:val="-3"/>
        </w:rPr>
        <w:t>（</w:t>
      </w:r>
      <w:r>
        <w:rPr/>
        <w:t>微</w:t>
      </w:r>
      <w:r>
        <w:rPr>
          <w:spacing w:val="-3"/>
        </w:rPr>
        <w:t>小</w:t>
      </w:r>
      <w:r>
        <w:rPr/>
        <w:t>病</w:t>
      </w:r>
      <w:r>
        <w:rPr>
          <w:spacing w:val="-3"/>
        </w:rPr>
        <w:t>变</w:t>
      </w:r>
      <w:r>
        <w:rPr/>
        <w:t>型）</w:t>
        <w:tab/>
      </w:r>
      <w:r>
        <w:rPr>
          <w:spacing w:val="-3"/>
        </w:rPr>
        <w:t>镜</w:t>
      </w:r>
      <w:r>
        <w:rPr/>
        <w:t>下阴</w:t>
      </w:r>
      <w:r>
        <w:rPr>
          <w:spacing w:val="-3"/>
        </w:rPr>
        <w:t>性</w:t>
      </w:r>
      <w:r>
        <w:rPr/>
        <w:t>，</w:t>
      </w:r>
      <w:r>
        <w:rPr>
          <w:spacing w:val="-3"/>
        </w:rPr>
        <w:t>尿</w:t>
      </w:r>
      <w:r>
        <w:rPr/>
        <w:t>液</w:t>
      </w:r>
      <w:r>
        <w:rPr>
          <w:spacing w:val="-3"/>
        </w:rPr>
        <w:t>正</w:t>
      </w:r>
      <w:r>
        <w:rPr/>
        <w:t>常；</w:t>
      </w:r>
    </w:p>
    <w:p>
      <w:pPr>
        <w:pStyle w:val="BodyText"/>
        <w:tabs>
          <w:tab w:pos="5119" w:val="left" w:leader="none"/>
        </w:tabs>
        <w:spacing w:before="37"/>
        <w:ind w:left="3017"/>
      </w:pPr>
      <w:r>
        <w:rPr/>
        <w:t>Ⅱ型</w:t>
      </w:r>
      <w:r>
        <w:rPr>
          <w:spacing w:val="-3"/>
        </w:rPr>
        <w:t>（</w:t>
      </w:r>
      <w:r>
        <w:rPr/>
        <w:t>系</w:t>
      </w:r>
      <w:r>
        <w:rPr>
          <w:spacing w:val="-3"/>
        </w:rPr>
        <w:t>膜</w:t>
      </w:r>
      <w:r>
        <w:rPr/>
        <w:t>病</w:t>
      </w:r>
      <w:r>
        <w:rPr>
          <w:spacing w:val="-3"/>
        </w:rPr>
        <w:t>变</w:t>
      </w:r>
      <w:r>
        <w:rPr/>
        <w:t>型）</w:t>
        <w:tab/>
      </w:r>
      <w:r>
        <w:rPr>
          <w:spacing w:val="-3"/>
        </w:rPr>
        <w:t>中</w:t>
      </w:r>
      <w:r>
        <w:rPr/>
        <w:t>度蛋</w:t>
      </w:r>
      <w:r>
        <w:rPr>
          <w:spacing w:val="-3"/>
        </w:rPr>
        <w:t>白</w:t>
      </w:r>
      <w:r>
        <w:rPr/>
        <w:t>尿</w:t>
      </w:r>
      <w:r>
        <w:rPr>
          <w:spacing w:val="-3"/>
        </w:rPr>
        <w:t>，</w:t>
      </w:r>
      <w:r>
        <w:rPr/>
        <w:t>偶</w:t>
      </w:r>
      <w:r>
        <w:rPr>
          <w:spacing w:val="-3"/>
        </w:rPr>
        <w:t>有</w:t>
      </w:r>
      <w:r>
        <w:rPr/>
        <w:t>尿</w:t>
      </w:r>
      <w:r>
        <w:rPr>
          <w:spacing w:val="-3"/>
        </w:rPr>
        <w:t>沉</w:t>
      </w:r>
      <w:r>
        <w:rPr/>
        <w:t>渣</w:t>
      </w:r>
      <w:r>
        <w:rPr>
          <w:spacing w:val="-3"/>
        </w:rPr>
        <w:t>改</w:t>
      </w:r>
      <w:r>
        <w:rPr/>
        <w:t>变；</w:t>
      </w:r>
    </w:p>
    <w:p>
      <w:pPr>
        <w:pStyle w:val="BodyText"/>
        <w:tabs>
          <w:tab w:pos="5750" w:val="left" w:leader="none"/>
        </w:tabs>
        <w:spacing w:before="37"/>
        <w:ind w:left="3017"/>
      </w:pPr>
      <w:r>
        <w:rPr/>
        <w:t>Ⅲ型</w:t>
      </w:r>
      <w:r>
        <w:rPr>
          <w:spacing w:val="-3"/>
        </w:rPr>
        <w:t>（</w:t>
      </w:r>
      <w:r>
        <w:rPr/>
        <w:t>局</w:t>
      </w:r>
      <w:r>
        <w:rPr>
          <w:spacing w:val="-3"/>
        </w:rPr>
        <w:t>灶</w:t>
      </w:r>
      <w:r>
        <w:rPr/>
        <w:t>及</w:t>
      </w:r>
      <w:r>
        <w:rPr>
          <w:spacing w:val="-3"/>
        </w:rPr>
        <w:t>节</w:t>
      </w:r>
      <w:r>
        <w:rPr/>
        <w:t>段</w:t>
      </w:r>
      <w:r>
        <w:rPr>
          <w:spacing w:val="-3"/>
        </w:rPr>
        <w:t>增</w:t>
      </w:r>
      <w:r>
        <w:rPr/>
        <w:t>生</w:t>
      </w:r>
      <w:r>
        <w:rPr>
          <w:spacing w:val="-3"/>
        </w:rPr>
        <w:t>型</w:t>
      </w:r>
      <w:r>
        <w:rPr/>
        <w:t>）</w:t>
        <w:tab/>
      </w:r>
      <w:r>
        <w:rPr>
          <w:spacing w:val="-3"/>
        </w:rPr>
        <w:t>蛋</w:t>
      </w:r>
      <w:r>
        <w:rPr/>
        <w:t>白</w:t>
      </w:r>
      <w:r>
        <w:rPr>
          <w:spacing w:val="-3"/>
        </w:rPr>
        <w:t>尿</w:t>
      </w:r>
      <w:r>
        <w:rPr/>
        <w:t>，</w:t>
      </w:r>
      <w:r>
        <w:rPr>
          <w:spacing w:val="-3"/>
        </w:rPr>
        <w:t>尿</w:t>
      </w:r>
      <w:r>
        <w:rPr/>
        <w:t>沉</w:t>
      </w:r>
      <w:r>
        <w:rPr>
          <w:spacing w:val="-3"/>
        </w:rPr>
        <w:t>渣</w:t>
      </w:r>
      <w:r>
        <w:rPr/>
        <w:t>改</w:t>
      </w:r>
      <w:r>
        <w:rPr>
          <w:spacing w:val="-3"/>
        </w:rPr>
        <w:t>变；</w:t>
      </w:r>
    </w:p>
    <w:p>
      <w:pPr>
        <w:pStyle w:val="BodyText"/>
        <w:tabs>
          <w:tab w:pos="5119" w:val="left" w:leader="none"/>
        </w:tabs>
        <w:spacing w:before="37"/>
        <w:ind w:left="3017"/>
      </w:pPr>
      <w:r>
        <w:rPr/>
        <w:t>Ⅳ型</w:t>
      </w:r>
      <w:r>
        <w:rPr>
          <w:spacing w:val="-3"/>
        </w:rPr>
        <w:t>（</w:t>
      </w:r>
      <w:r>
        <w:rPr/>
        <w:t>弥</w:t>
      </w:r>
      <w:r>
        <w:rPr>
          <w:spacing w:val="-3"/>
        </w:rPr>
        <w:t>漫</w:t>
      </w:r>
      <w:r>
        <w:rPr/>
        <w:t>增</w:t>
      </w:r>
      <w:r>
        <w:rPr>
          <w:spacing w:val="-3"/>
        </w:rPr>
        <w:t>生</w:t>
      </w:r>
      <w:r>
        <w:rPr/>
        <w:t>型）</w:t>
        <w:tab/>
      </w:r>
      <w:r>
        <w:rPr>
          <w:spacing w:val="-3"/>
        </w:rPr>
        <w:t>急</w:t>
      </w:r>
      <w:r>
        <w:rPr/>
        <w:t>性肾</w:t>
      </w:r>
      <w:r>
        <w:rPr>
          <w:spacing w:val="-3"/>
        </w:rPr>
        <w:t>炎</w:t>
      </w:r>
      <w:r>
        <w:rPr/>
        <w:t>伴</w:t>
      </w:r>
      <w:r>
        <w:rPr>
          <w:spacing w:val="-3"/>
        </w:rPr>
        <w:t>有</w:t>
      </w:r>
      <w:r>
        <w:rPr/>
        <w:t>尿</w:t>
      </w:r>
      <w:r>
        <w:rPr>
          <w:spacing w:val="-3"/>
        </w:rPr>
        <w:t>沉</w:t>
      </w:r>
      <w:r>
        <w:rPr/>
        <w:t>渣</w:t>
      </w:r>
      <w:r>
        <w:rPr>
          <w:spacing w:val="-3"/>
        </w:rPr>
        <w:t>改</w:t>
      </w:r>
      <w:r>
        <w:rPr/>
        <w:t>变</w:t>
      </w:r>
      <w:r>
        <w:rPr>
          <w:spacing w:val="-3"/>
        </w:rPr>
        <w:t>及/</w:t>
      </w:r>
      <w:r>
        <w:rPr/>
        <w:t>或肾</w:t>
      </w:r>
      <w:r>
        <w:rPr>
          <w:spacing w:val="-3"/>
        </w:rPr>
        <w:t>病</w:t>
      </w:r>
      <w:r>
        <w:rPr/>
        <w:t>综</w:t>
      </w:r>
      <w:r>
        <w:rPr>
          <w:spacing w:val="-3"/>
        </w:rPr>
        <w:t>合</w:t>
      </w:r>
      <w:r>
        <w:rPr/>
        <w:t>征；</w:t>
      </w:r>
    </w:p>
    <w:p>
      <w:pPr>
        <w:pStyle w:val="BodyText"/>
        <w:tabs>
          <w:tab w:pos="4488" w:val="left" w:leader="none"/>
        </w:tabs>
        <w:spacing w:before="37"/>
        <w:ind w:left="3017"/>
      </w:pPr>
      <w:r>
        <w:rPr/>
        <w:t>Ⅴ型</w:t>
      </w:r>
      <w:r>
        <w:rPr>
          <w:spacing w:val="-3"/>
        </w:rPr>
        <w:t>（</w:t>
      </w:r>
      <w:r>
        <w:rPr/>
        <w:t>膜</w:t>
      </w:r>
      <w:r>
        <w:rPr>
          <w:spacing w:val="-3"/>
        </w:rPr>
        <w:t>型</w:t>
      </w:r>
      <w:r>
        <w:rPr/>
        <w:t>）</w:t>
        <w:tab/>
        <w:t>肾</w:t>
      </w:r>
      <w:r>
        <w:rPr>
          <w:spacing w:val="-3"/>
        </w:rPr>
        <w:t>病</w:t>
      </w:r>
      <w:r>
        <w:rPr/>
        <w:t>综</w:t>
      </w:r>
      <w:r>
        <w:rPr>
          <w:spacing w:val="-3"/>
        </w:rPr>
        <w:t>合</w:t>
      </w:r>
      <w:r>
        <w:rPr/>
        <w:t>征或</w:t>
      </w:r>
      <w:r>
        <w:rPr>
          <w:spacing w:val="-3"/>
        </w:rPr>
        <w:t>重</w:t>
      </w:r>
      <w:r>
        <w:rPr/>
        <w:t>度</w:t>
      </w:r>
      <w:r>
        <w:rPr>
          <w:spacing w:val="-3"/>
        </w:rPr>
        <w:t>蛋</w:t>
      </w:r>
      <w:r>
        <w:rPr/>
        <w:t>白</w:t>
      </w:r>
      <w:r>
        <w:rPr>
          <w:spacing w:val="-3"/>
        </w:rPr>
        <w:t>尿</w:t>
      </w:r>
      <w:r>
        <w:rPr/>
        <w:t>。</w:t>
      </w:r>
    </w:p>
    <w:p>
      <w:pPr>
        <w:pStyle w:val="BodyText"/>
        <w:spacing w:before="7"/>
        <w:rPr>
          <w:sz w:val="17"/>
        </w:rPr>
      </w:pPr>
    </w:p>
    <w:p>
      <w:pPr>
        <w:pStyle w:val="ListParagraph"/>
        <w:numPr>
          <w:ilvl w:val="0"/>
          <w:numId w:val="7"/>
        </w:numPr>
        <w:tabs>
          <w:tab w:pos="700" w:val="left" w:leader="none"/>
          <w:tab w:pos="701" w:val="left" w:leader="none"/>
          <w:tab w:pos="3016" w:val="left" w:leader="none"/>
        </w:tabs>
        <w:spacing w:line="240" w:lineRule="auto" w:before="0" w:after="0"/>
        <w:ind w:left="700" w:right="0" w:hanging="595"/>
        <w:jc w:val="left"/>
        <w:rPr>
          <w:sz w:val="21"/>
        </w:rPr>
      </w:pPr>
      <w:r>
        <w:rPr>
          <w:rFonts w:ascii="等线" w:eastAsia="等线" w:hint="eastAsia"/>
          <w:b/>
          <w:position w:val="1"/>
          <w:sz w:val="24"/>
        </w:rPr>
        <w:t>语言能力丧失</w:t>
        <w:tab/>
      </w:r>
      <w:r>
        <w:rPr>
          <w:sz w:val="21"/>
        </w:rPr>
        <w:t>指因</w:t>
      </w:r>
      <w:r>
        <w:rPr>
          <w:spacing w:val="-3"/>
          <w:sz w:val="21"/>
        </w:rPr>
        <w:t>疾</w:t>
      </w:r>
      <w:r>
        <w:rPr>
          <w:sz w:val="21"/>
        </w:rPr>
        <w:t>病</w:t>
      </w:r>
      <w:r>
        <w:rPr>
          <w:spacing w:val="-3"/>
          <w:sz w:val="21"/>
        </w:rPr>
        <w:t>或</w:t>
      </w:r>
      <w:r>
        <w:rPr>
          <w:sz w:val="21"/>
        </w:rPr>
        <w:t>意</w:t>
      </w:r>
      <w:r>
        <w:rPr>
          <w:spacing w:val="-3"/>
          <w:sz w:val="21"/>
        </w:rPr>
        <w:t>外</w:t>
      </w:r>
      <w:r>
        <w:rPr>
          <w:sz w:val="21"/>
        </w:rPr>
        <w:t>伤</w:t>
      </w:r>
      <w:r>
        <w:rPr>
          <w:spacing w:val="-3"/>
          <w:sz w:val="21"/>
        </w:rPr>
        <w:t>害</w:t>
      </w:r>
      <w:r>
        <w:rPr>
          <w:sz w:val="21"/>
        </w:rPr>
        <w:t>导</w:t>
      </w:r>
      <w:r>
        <w:rPr>
          <w:spacing w:val="-3"/>
          <w:sz w:val="21"/>
        </w:rPr>
        <w:t>致</w:t>
      </w:r>
      <w:r>
        <w:rPr>
          <w:sz w:val="21"/>
        </w:rPr>
        <w:t>完全</w:t>
      </w:r>
      <w:r>
        <w:rPr>
          <w:spacing w:val="-3"/>
          <w:sz w:val="21"/>
        </w:rPr>
        <w:t>丧</w:t>
      </w:r>
      <w:r>
        <w:rPr>
          <w:sz w:val="21"/>
        </w:rPr>
        <w:t>失</w:t>
      </w:r>
      <w:r>
        <w:rPr>
          <w:spacing w:val="-3"/>
          <w:sz w:val="21"/>
        </w:rPr>
        <w:t>语</w:t>
      </w:r>
      <w:r>
        <w:rPr>
          <w:sz w:val="21"/>
        </w:rPr>
        <w:t>言</w:t>
      </w:r>
      <w:r>
        <w:rPr>
          <w:spacing w:val="-3"/>
          <w:sz w:val="21"/>
        </w:rPr>
        <w:t>能</w:t>
      </w:r>
      <w:r>
        <w:rPr>
          <w:sz w:val="21"/>
        </w:rPr>
        <w:t>力</w:t>
      </w:r>
      <w:r>
        <w:rPr>
          <w:spacing w:val="-109"/>
          <w:sz w:val="21"/>
        </w:rPr>
        <w:t>，</w:t>
      </w:r>
      <w:r>
        <w:rPr>
          <w:sz w:val="21"/>
        </w:rPr>
        <w:t>经</w:t>
      </w:r>
      <w:r>
        <w:rPr>
          <w:spacing w:val="-3"/>
          <w:sz w:val="21"/>
        </w:rPr>
        <w:t>过积</w:t>
      </w:r>
      <w:r>
        <w:rPr>
          <w:sz w:val="21"/>
        </w:rPr>
        <w:t>极治</w:t>
      </w:r>
      <w:r>
        <w:rPr>
          <w:spacing w:val="-3"/>
          <w:sz w:val="21"/>
        </w:rPr>
        <w:t>疗至</w:t>
      </w:r>
      <w:r>
        <w:rPr>
          <w:spacing w:val="31"/>
          <w:sz w:val="21"/>
        </w:rPr>
        <w:t>少</w:t>
      </w:r>
      <w:r>
        <w:rPr>
          <w:sz w:val="21"/>
        </w:rPr>
        <w:t>12</w:t>
      </w:r>
      <w:r>
        <w:rPr>
          <w:spacing w:val="-34"/>
          <w:sz w:val="21"/>
        </w:rPr>
        <w:t> </w:t>
      </w:r>
      <w:r>
        <w:rPr>
          <w:sz w:val="21"/>
        </w:rPr>
        <w:t>个</w:t>
      </w:r>
      <w:r>
        <w:rPr>
          <w:spacing w:val="-106"/>
          <w:sz w:val="21"/>
        </w:rPr>
        <w:t>月</w:t>
      </w:r>
      <w:r>
        <w:rPr>
          <w:spacing w:val="-3"/>
          <w:sz w:val="21"/>
        </w:rPr>
        <w:t>（</w:t>
      </w:r>
      <w:r>
        <w:rPr>
          <w:sz w:val="21"/>
        </w:rPr>
        <w:t>声</w:t>
      </w:r>
    </w:p>
    <w:p>
      <w:pPr>
        <w:pStyle w:val="BodyText"/>
        <w:spacing w:line="273" w:lineRule="auto" w:before="20"/>
        <w:ind w:left="3016" w:right="1108"/>
      </w:pPr>
      <w:r>
        <w:rPr>
          <w:spacing w:val="-3"/>
          <w:w w:val="100"/>
        </w:rPr>
        <w:t>带完全切除不受此时间限制</w:t>
      </w:r>
      <w:r>
        <w:rPr>
          <w:spacing w:val="-106"/>
          <w:w w:val="100"/>
        </w:rPr>
        <w:t>）</w:t>
      </w:r>
      <w:r>
        <w:rPr>
          <w:spacing w:val="-3"/>
          <w:w w:val="100"/>
        </w:rPr>
        <w:t>，仍无法通过现有医疗手段恢复。</w:t>
      </w:r>
      <w:r>
        <w:rPr>
          <w:spacing w:val="-3"/>
          <w:shd w:fill="DADADA" w:color="auto" w:val="clear"/>
        </w:rPr>
        <w:t>精神心理因素所致的语言能力丧失不在保障范围内。</w:t>
      </w:r>
    </w:p>
    <w:p>
      <w:pPr>
        <w:pStyle w:val="BodyText"/>
        <w:spacing w:line="273" w:lineRule="auto" w:before="7"/>
        <w:ind w:left="3016" w:right="99"/>
      </w:pPr>
      <w:r>
        <w:rPr>
          <w:spacing w:val="-6"/>
          <w:shd w:fill="DADADA" w:color="auto" w:val="clear"/>
        </w:rPr>
        <w:t>若被保险人在 </w:t>
      </w:r>
      <w:r>
        <w:rPr>
          <w:shd w:fill="DADADA" w:color="auto" w:val="clear"/>
        </w:rPr>
        <w:t>0</w:t>
      </w:r>
      <w:r>
        <w:rPr>
          <w:spacing w:val="-20"/>
          <w:shd w:fill="DADADA" w:color="auto" w:val="clear"/>
        </w:rPr>
        <w:t> 至 </w:t>
      </w:r>
      <w:r>
        <w:rPr>
          <w:shd w:fill="DADADA" w:color="auto" w:val="clear"/>
        </w:rPr>
        <w:t>3</w:t>
      </w:r>
      <w:r>
        <w:rPr>
          <w:spacing w:val="-7"/>
          <w:shd w:fill="DADADA" w:color="auto" w:val="clear"/>
        </w:rPr>
        <w:t> 周岁保单周年日期间语言能力丧失，在本附加险合同</w:t>
      </w:r>
      <w:r>
        <w:rPr>
          <w:spacing w:val="-3"/>
          <w:shd w:fill="DADADA" w:color="auto" w:val="clear"/>
        </w:rPr>
        <w:t>有效期内我们对语言能力丧失不承担保险责任。</w:t>
      </w:r>
    </w:p>
    <w:p>
      <w:pPr>
        <w:pStyle w:val="BodyText"/>
        <w:spacing w:before="9"/>
        <w:rPr>
          <w:sz w:val="13"/>
        </w:rPr>
      </w:pPr>
    </w:p>
    <w:p>
      <w:pPr>
        <w:spacing w:after="0"/>
        <w:rPr>
          <w:sz w:val="13"/>
        </w:rPr>
        <w:sectPr>
          <w:pgSz w:w="11910" w:h="16840"/>
          <w:pgMar w:top="1080" w:bottom="280" w:left="1080" w:right="920"/>
        </w:sectPr>
      </w:pPr>
    </w:p>
    <w:p>
      <w:pPr>
        <w:pStyle w:val="Heading1"/>
        <w:numPr>
          <w:ilvl w:val="0"/>
          <w:numId w:val="7"/>
        </w:numPr>
        <w:tabs>
          <w:tab w:pos="700" w:val="left" w:leader="none"/>
          <w:tab w:pos="701" w:val="left" w:leader="none"/>
        </w:tabs>
        <w:spacing w:line="232" w:lineRule="auto" w:before="30" w:after="0"/>
        <w:ind w:left="700" w:right="0" w:hanging="595"/>
        <w:jc w:val="left"/>
      </w:pPr>
      <w:r>
        <w:rPr>
          <w:spacing w:val="23"/>
          <w:position w:val="1"/>
        </w:rPr>
        <w:t>急性或亚急性重症</w:t>
      </w:r>
      <w:r>
        <w:rPr/>
        <w:t>肝炎</w:t>
      </w:r>
    </w:p>
    <w:p>
      <w:pPr>
        <w:pStyle w:val="BodyText"/>
        <w:spacing w:line="273" w:lineRule="auto" w:before="56"/>
        <w:ind w:left="105" w:right="100"/>
      </w:pPr>
      <w:r>
        <w:rPr/>
        <w:br w:type="column"/>
      </w:r>
      <w:r>
        <w:rPr/>
        <w:t>指因肝炎病毒感染引起肝脏组织弥漫性坏死，导致急性肝功能衰竭，且经血清学或病毒学检查证实，并须满足下列全部条件：</w:t>
      </w:r>
    </w:p>
    <w:p>
      <w:pPr>
        <w:pStyle w:val="BodyText"/>
        <w:spacing w:before="7"/>
        <w:ind w:left="105"/>
      </w:pPr>
      <w:r>
        <w:rPr/>
        <w:t>（1）重度黄疸或黄疸迅速加重；</w:t>
      </w:r>
    </w:p>
    <w:p>
      <w:pPr>
        <w:pStyle w:val="BodyText"/>
        <w:spacing w:before="37"/>
        <w:ind w:left="105"/>
      </w:pPr>
      <w:r>
        <w:rPr/>
        <w:t>（2）肝性脑病；</w:t>
      </w:r>
    </w:p>
    <w:p>
      <w:pPr>
        <w:pStyle w:val="BodyText"/>
        <w:spacing w:before="37"/>
        <w:ind w:left="105"/>
      </w:pPr>
      <w:r>
        <w:rPr/>
        <w:t>（3）B 超或其它影像学检查显示肝脏体积急速萎缩；</w:t>
      </w:r>
    </w:p>
    <w:p>
      <w:pPr>
        <w:pStyle w:val="BodyText"/>
        <w:spacing w:before="37"/>
        <w:ind w:left="105"/>
      </w:pPr>
      <w:r>
        <w:rPr/>
        <w:t>（4）肝功能指标进行性恶化。</w:t>
      </w:r>
    </w:p>
    <w:p>
      <w:pPr>
        <w:spacing w:after="0"/>
        <w:sectPr>
          <w:type w:val="continuous"/>
          <w:pgSz w:w="11910" w:h="16840"/>
          <w:pgMar w:top="400" w:bottom="280" w:left="1080" w:right="920"/>
          <w:cols w:num="2" w:equalWidth="0">
            <w:col w:w="2830" w:space="81"/>
            <w:col w:w="6999"/>
          </w:cols>
        </w:sectPr>
      </w:pPr>
    </w:p>
    <w:p>
      <w:pPr>
        <w:pStyle w:val="BodyText"/>
        <w:spacing w:before="10"/>
        <w:rPr>
          <w:sz w:val="15"/>
        </w:rPr>
      </w:pPr>
    </w:p>
    <w:p>
      <w:pPr>
        <w:pStyle w:val="ListParagraph"/>
        <w:numPr>
          <w:ilvl w:val="0"/>
          <w:numId w:val="7"/>
        </w:numPr>
        <w:tabs>
          <w:tab w:pos="700" w:val="left" w:leader="none"/>
          <w:tab w:pos="701" w:val="left" w:leader="none"/>
          <w:tab w:pos="3016" w:val="left" w:leader="none"/>
        </w:tabs>
        <w:spacing w:line="240" w:lineRule="auto" w:before="20" w:after="0"/>
        <w:ind w:left="700" w:right="0" w:hanging="595"/>
        <w:jc w:val="left"/>
        <w:rPr>
          <w:sz w:val="21"/>
        </w:rPr>
      </w:pPr>
      <w:r>
        <w:rPr>
          <w:rFonts w:ascii="等线" w:eastAsia="等线" w:hint="eastAsia"/>
          <w:b/>
          <w:position w:val="1"/>
          <w:sz w:val="24"/>
        </w:rPr>
        <w:t>严重溃疡性结肠炎</w:t>
        <w:tab/>
      </w:r>
      <w:r>
        <w:rPr>
          <w:sz w:val="21"/>
        </w:rPr>
        <w:t>指伴有致命性电解质紊乱的急性暴发性溃疡性结肠炎，病变累及全结肠，</w:t>
      </w:r>
    </w:p>
    <w:p>
      <w:pPr>
        <w:pStyle w:val="BodyText"/>
        <w:spacing w:line="273" w:lineRule="auto" w:before="20"/>
        <w:ind w:left="3016" w:right="100"/>
        <w:jc w:val="both"/>
      </w:pPr>
      <w:r>
        <w:rPr/>
        <w:t>表现为严重的血便和系统性症状体征，已经造成瘘管并伴有肠梗阻或肠穿孔，治疗通常采取全结肠切除和回肠造瘘术。溃疡性结肠炎必须根据组织病理学特点诊断，并且被保险人已经接受了结肠切除和回肠造瘘术。</w:t>
      </w:r>
    </w:p>
    <w:p>
      <w:pPr>
        <w:pStyle w:val="BodyText"/>
        <w:spacing w:before="9"/>
        <w:rPr>
          <w:sz w:val="15"/>
        </w:rPr>
      </w:pPr>
    </w:p>
    <w:p>
      <w:pPr>
        <w:spacing w:after="0"/>
        <w:rPr>
          <w:sz w:val="15"/>
        </w:rPr>
        <w:sectPr>
          <w:type w:val="continuous"/>
          <w:pgSz w:w="11910" w:h="16840"/>
          <w:pgMar w:top="400" w:bottom="280" w:left="1080" w:right="920"/>
        </w:sectPr>
      </w:pPr>
    </w:p>
    <w:p>
      <w:pPr>
        <w:pStyle w:val="Heading1"/>
        <w:numPr>
          <w:ilvl w:val="0"/>
          <w:numId w:val="7"/>
        </w:numPr>
        <w:tabs>
          <w:tab w:pos="701" w:val="left" w:leader="none"/>
        </w:tabs>
        <w:spacing w:line="232" w:lineRule="auto" w:before="30" w:after="0"/>
        <w:ind w:left="700" w:right="0" w:hanging="595"/>
        <w:jc w:val="both"/>
      </w:pPr>
      <w:r>
        <w:rPr>
          <w:spacing w:val="-13"/>
          <w:position w:val="1"/>
        </w:rPr>
        <w:t>终末期肾病</w:t>
      </w:r>
      <w:r>
        <w:rPr>
          <w:position w:val="1"/>
        </w:rPr>
        <w:t>（或称慢</w:t>
      </w:r>
      <w:r>
        <w:rPr>
          <w:spacing w:val="23"/>
        </w:rPr>
        <w:t>性肾功能衰竭尿毒</w:t>
      </w:r>
      <w:r>
        <w:rPr/>
        <w:t>症期）</w:t>
      </w:r>
    </w:p>
    <w:p>
      <w:pPr>
        <w:pStyle w:val="BodyText"/>
        <w:spacing w:before="56"/>
        <w:ind w:left="105"/>
      </w:pPr>
      <w:r>
        <w:rPr/>
        <w:br w:type="column"/>
      </w:r>
      <w:r>
        <w:rPr/>
        <w:t>指双肾功能慢性不可逆性衰竭，达到尿毒症期，经诊断后已经进行了至少</w:t>
      </w:r>
    </w:p>
    <w:p>
      <w:pPr>
        <w:pStyle w:val="BodyText"/>
        <w:spacing w:before="36"/>
        <w:ind w:left="105"/>
      </w:pPr>
      <w:r>
        <w:rPr/>
        <w:t>90 日的规律性透析治疗或实施了肾脏移植手术。</w:t>
      </w:r>
    </w:p>
    <w:p>
      <w:pPr>
        <w:spacing w:after="0"/>
        <w:sectPr>
          <w:type w:val="continuous"/>
          <w:pgSz w:w="11910" w:h="16840"/>
          <w:pgMar w:top="400" w:bottom="280" w:left="1080" w:right="920"/>
          <w:cols w:num="2" w:equalWidth="0">
            <w:col w:w="2830" w:space="81"/>
            <w:col w:w="6999"/>
          </w:cols>
        </w:sectPr>
      </w:pPr>
    </w:p>
    <w:p>
      <w:pPr>
        <w:pStyle w:val="BodyText"/>
        <w:spacing w:before="3"/>
        <w:rPr>
          <w:sz w:val="17"/>
        </w:rPr>
      </w:pPr>
    </w:p>
    <w:p>
      <w:pPr>
        <w:pStyle w:val="ListParagraph"/>
        <w:numPr>
          <w:ilvl w:val="0"/>
          <w:numId w:val="8"/>
        </w:numPr>
        <w:tabs>
          <w:tab w:pos="700" w:val="left" w:leader="none"/>
          <w:tab w:pos="701" w:val="left" w:leader="none"/>
          <w:tab w:pos="3016" w:val="left" w:leader="none"/>
        </w:tabs>
        <w:spacing w:line="240" w:lineRule="auto" w:before="20" w:after="0"/>
        <w:ind w:left="700" w:right="0" w:hanging="595"/>
        <w:jc w:val="left"/>
        <w:rPr>
          <w:sz w:val="21"/>
        </w:rPr>
      </w:pPr>
      <w:r>
        <w:rPr>
          <w:rFonts w:ascii="等线" w:eastAsia="等线" w:hint="eastAsia"/>
          <w:b/>
          <w:position w:val="1"/>
          <w:sz w:val="24"/>
        </w:rPr>
        <w:t>终末期肺病</w:t>
        <w:tab/>
      </w:r>
      <w:r>
        <w:rPr>
          <w:sz w:val="21"/>
        </w:rPr>
        <w:t>指经</w:t>
      </w:r>
      <w:r>
        <w:rPr>
          <w:spacing w:val="-3"/>
          <w:sz w:val="21"/>
        </w:rPr>
        <w:t>专</w:t>
      </w:r>
      <w:r>
        <w:rPr>
          <w:sz w:val="21"/>
        </w:rPr>
        <w:t>科</w:t>
      </w:r>
      <w:r>
        <w:rPr>
          <w:spacing w:val="-3"/>
          <w:sz w:val="21"/>
        </w:rPr>
        <w:t>医</w:t>
      </w:r>
      <w:r>
        <w:rPr>
          <w:sz w:val="21"/>
        </w:rPr>
        <w:t>生</w:t>
      </w:r>
      <w:r>
        <w:rPr>
          <w:spacing w:val="-3"/>
          <w:sz w:val="21"/>
        </w:rPr>
        <w:t>明</w:t>
      </w:r>
      <w:r>
        <w:rPr>
          <w:sz w:val="21"/>
        </w:rPr>
        <w:t>确</w:t>
      </w:r>
      <w:r>
        <w:rPr>
          <w:spacing w:val="-3"/>
          <w:sz w:val="21"/>
        </w:rPr>
        <w:t>诊</w:t>
      </w:r>
      <w:r>
        <w:rPr>
          <w:sz w:val="21"/>
        </w:rPr>
        <w:t>断</w:t>
      </w:r>
      <w:r>
        <w:rPr>
          <w:spacing w:val="-3"/>
          <w:sz w:val="21"/>
        </w:rPr>
        <w:t>，</w:t>
      </w:r>
      <w:r>
        <w:rPr>
          <w:sz w:val="21"/>
        </w:rPr>
        <w:t>且被</w:t>
      </w:r>
      <w:r>
        <w:rPr>
          <w:spacing w:val="-3"/>
          <w:sz w:val="21"/>
        </w:rPr>
        <w:t>保</w:t>
      </w:r>
      <w:r>
        <w:rPr>
          <w:sz w:val="21"/>
        </w:rPr>
        <w:t>险</w:t>
      </w:r>
      <w:r>
        <w:rPr>
          <w:spacing w:val="-3"/>
          <w:sz w:val="21"/>
        </w:rPr>
        <w:t>人</w:t>
      </w:r>
      <w:r>
        <w:rPr>
          <w:sz w:val="21"/>
        </w:rPr>
        <w:t>已</w:t>
      </w:r>
      <w:r>
        <w:rPr>
          <w:spacing w:val="-3"/>
          <w:sz w:val="21"/>
        </w:rPr>
        <w:t>出</w:t>
      </w:r>
      <w:r>
        <w:rPr>
          <w:sz w:val="21"/>
        </w:rPr>
        <w:t>现</w:t>
      </w:r>
      <w:r>
        <w:rPr>
          <w:spacing w:val="-3"/>
          <w:sz w:val="21"/>
        </w:rPr>
        <w:t>慢</w:t>
      </w:r>
      <w:r>
        <w:rPr>
          <w:sz w:val="21"/>
        </w:rPr>
        <w:t>性</w:t>
      </w:r>
      <w:r>
        <w:rPr>
          <w:spacing w:val="-3"/>
          <w:sz w:val="21"/>
        </w:rPr>
        <w:t>呼</w:t>
      </w:r>
      <w:r>
        <w:rPr>
          <w:sz w:val="21"/>
        </w:rPr>
        <w:t>吸功</w:t>
      </w:r>
      <w:r>
        <w:rPr>
          <w:spacing w:val="-3"/>
          <w:sz w:val="21"/>
        </w:rPr>
        <w:t>能</w:t>
      </w:r>
      <w:r>
        <w:rPr>
          <w:sz w:val="21"/>
        </w:rPr>
        <w:t>衰</w:t>
      </w:r>
      <w:r>
        <w:rPr>
          <w:spacing w:val="-3"/>
          <w:sz w:val="21"/>
        </w:rPr>
        <w:t>竭</w:t>
      </w:r>
      <w:r>
        <w:rPr>
          <w:sz w:val="21"/>
        </w:rPr>
        <w:t>，</w:t>
      </w:r>
      <w:r>
        <w:rPr>
          <w:spacing w:val="-3"/>
          <w:sz w:val="21"/>
        </w:rPr>
        <w:t>其</w:t>
      </w:r>
      <w:r>
        <w:rPr>
          <w:sz w:val="21"/>
        </w:rPr>
        <w:t>诊</w:t>
      </w:r>
      <w:r>
        <w:rPr>
          <w:spacing w:val="-3"/>
          <w:sz w:val="21"/>
        </w:rPr>
        <w:t>断</w:t>
      </w:r>
      <w:r>
        <w:rPr>
          <w:sz w:val="21"/>
        </w:rPr>
        <w:t>标</w:t>
      </w:r>
    </w:p>
    <w:p>
      <w:pPr>
        <w:pStyle w:val="BodyText"/>
        <w:spacing w:before="21"/>
        <w:ind w:left="3016"/>
      </w:pPr>
      <w:r>
        <w:rPr/>
        <w:t>准必须满足下列所有条件：</w:t>
      </w:r>
    </w:p>
    <w:p>
      <w:pPr>
        <w:pStyle w:val="BodyText"/>
        <w:spacing w:before="37"/>
        <w:ind w:left="3016"/>
      </w:pPr>
      <w:r>
        <w:rPr/>
        <w:t>（1）肺功能测试其 FEV1 持续低于 1 升；</w:t>
      </w:r>
    </w:p>
    <w:p>
      <w:pPr>
        <w:pStyle w:val="BodyText"/>
        <w:spacing w:before="37"/>
        <w:ind w:left="3017"/>
      </w:pPr>
      <w:r>
        <w:rPr/>
        <w:t>（2）动脉血气分析氧分压低于 55mmHg；</w:t>
      </w:r>
    </w:p>
    <w:p>
      <w:pPr>
        <w:pStyle w:val="BodyText"/>
        <w:spacing w:before="37"/>
        <w:ind w:left="3017"/>
      </w:pPr>
      <w:r>
        <w:rPr/>
        <w:t>（3）病人缺氧必须进行输氧治疗。</w:t>
      </w:r>
    </w:p>
    <w:p>
      <w:pPr>
        <w:pStyle w:val="BodyText"/>
        <w:spacing w:before="6"/>
        <w:rPr>
          <w:sz w:val="19"/>
        </w:rPr>
      </w:pPr>
    </w:p>
    <w:p>
      <w:pPr>
        <w:pStyle w:val="ListParagraph"/>
        <w:numPr>
          <w:ilvl w:val="0"/>
          <w:numId w:val="8"/>
        </w:numPr>
        <w:tabs>
          <w:tab w:pos="700" w:val="left" w:leader="none"/>
          <w:tab w:pos="701" w:val="left" w:leader="none"/>
          <w:tab w:pos="3016" w:val="left" w:leader="none"/>
        </w:tabs>
        <w:spacing w:line="240" w:lineRule="auto" w:before="0" w:after="0"/>
        <w:ind w:left="700" w:right="0" w:hanging="595"/>
        <w:jc w:val="left"/>
        <w:rPr>
          <w:sz w:val="21"/>
        </w:rPr>
      </w:pPr>
      <w:r>
        <w:rPr>
          <w:rFonts w:ascii="等线" w:eastAsia="等线" w:hint="eastAsia"/>
          <w:b/>
          <w:position w:val="1"/>
          <w:sz w:val="24"/>
        </w:rPr>
        <w:t>胰腺移植</w:t>
        <w:tab/>
      </w:r>
      <w:r>
        <w:rPr>
          <w:sz w:val="21"/>
        </w:rPr>
        <w:t>指因胰腺功能衰竭，已经实施了在全身麻醉下进行的胰腺的异体器官移植</w:t>
      </w:r>
    </w:p>
    <w:p>
      <w:pPr>
        <w:pStyle w:val="BodyText"/>
        <w:spacing w:before="20"/>
        <w:ind w:left="3016"/>
      </w:pPr>
      <w:r>
        <w:rPr/>
        <w:t>手术。</w:t>
      </w:r>
    </w:p>
    <w:p>
      <w:pPr>
        <w:pStyle w:val="BodyText"/>
        <w:spacing w:before="37"/>
        <w:ind w:left="3016"/>
      </w:pPr>
      <w:r>
        <w:rPr>
          <w:shd w:fill="DADADA" w:color="auto" w:val="clear"/>
        </w:rPr>
        <w:t>单纯胰岛移植、部分胰腺组织或细胞的移植不在保障范围内。</w:t>
      </w:r>
    </w:p>
    <w:p>
      <w:pPr>
        <w:spacing w:after="0"/>
        <w:sectPr>
          <w:type w:val="continuous"/>
          <w:pgSz w:w="11910" w:h="16840"/>
          <w:pgMar w:top="400" w:bottom="280" w:left="1080" w:right="920"/>
        </w:sectPr>
      </w:pPr>
    </w:p>
    <w:p>
      <w:pPr>
        <w:pStyle w:val="Heading1"/>
        <w:numPr>
          <w:ilvl w:val="0"/>
          <w:numId w:val="8"/>
        </w:numPr>
        <w:tabs>
          <w:tab w:pos="700" w:val="left" w:leader="none"/>
          <w:tab w:pos="701" w:val="left" w:leader="none"/>
        </w:tabs>
        <w:spacing w:line="235" w:lineRule="auto" w:before="12" w:after="0"/>
        <w:ind w:left="700" w:right="0" w:hanging="595"/>
        <w:jc w:val="left"/>
      </w:pPr>
      <w:r>
        <w:rPr>
          <w:spacing w:val="23"/>
          <w:position w:val="1"/>
        </w:rPr>
        <w:t>急性坏死性胰腺炎</w:t>
      </w:r>
      <w:r>
        <w:rPr/>
        <w:t>开腹手术</w:t>
      </w:r>
    </w:p>
    <w:p>
      <w:pPr>
        <w:pStyle w:val="BodyText"/>
        <w:spacing w:line="273" w:lineRule="auto" w:before="42"/>
        <w:ind w:left="105" w:right="140"/>
      </w:pPr>
      <w:r>
        <w:rPr/>
        <w:br w:type="column"/>
      </w:r>
      <w:r>
        <w:rPr/>
        <w:t>指由专科医生确诊为急性坏死性胰腺炎，并已经接受了开腹手术进行坏死组织清除、病灶切除或胰腺部分切除的治疗。</w:t>
      </w:r>
    </w:p>
    <w:p>
      <w:pPr>
        <w:pStyle w:val="BodyText"/>
        <w:spacing w:line="273" w:lineRule="auto" w:before="8"/>
        <w:ind w:left="105" w:right="140"/>
      </w:pPr>
      <w:r>
        <w:rPr>
          <w:shd w:fill="DADADA" w:color="auto" w:val="clear"/>
        </w:rPr>
        <w:t>因酗酒或饮酒过量所致的急性坏死性胰腺炎以及腹腔镜手术不在保障范围</w:t>
      </w:r>
      <w:r>
        <w:rPr>
          <w:spacing w:val="-212"/>
          <w:shd w:fill="DADADA" w:color="auto" w:val="clear"/>
        </w:rPr>
        <w:t>内</w:t>
      </w:r>
      <w:r>
        <w:rPr>
          <w:shd w:fill="DADADA" w:color="auto" w:val="clear"/>
        </w:rPr>
        <w:t>。</w:t>
      </w:r>
    </w:p>
    <w:p>
      <w:pPr>
        <w:spacing w:after="0" w:line="273" w:lineRule="auto"/>
        <w:sectPr>
          <w:pgSz w:w="11910" w:h="16840"/>
          <w:pgMar w:top="1060" w:bottom="280" w:left="1080" w:right="880"/>
          <w:cols w:num="2" w:equalWidth="0">
            <w:col w:w="2830" w:space="81"/>
            <w:col w:w="7039"/>
          </w:cols>
        </w:sectPr>
      </w:pPr>
    </w:p>
    <w:p>
      <w:pPr>
        <w:pStyle w:val="BodyText"/>
        <w:spacing w:before="12"/>
        <w:rPr>
          <w:sz w:val="15"/>
        </w:rPr>
      </w:pPr>
    </w:p>
    <w:p>
      <w:pPr>
        <w:pStyle w:val="ListParagraph"/>
        <w:numPr>
          <w:ilvl w:val="0"/>
          <w:numId w:val="8"/>
        </w:numPr>
        <w:tabs>
          <w:tab w:pos="700" w:val="left" w:leader="none"/>
          <w:tab w:pos="701" w:val="left" w:leader="none"/>
          <w:tab w:pos="3016" w:val="left" w:leader="none"/>
        </w:tabs>
        <w:spacing w:line="240" w:lineRule="auto" w:before="20" w:after="0"/>
        <w:ind w:left="700" w:right="0" w:hanging="595"/>
        <w:jc w:val="left"/>
        <w:rPr>
          <w:sz w:val="21"/>
        </w:rPr>
      </w:pPr>
      <w:r>
        <w:rPr>
          <w:rFonts w:ascii="等线" w:eastAsia="等线" w:hint="eastAsia"/>
          <w:b/>
          <w:position w:val="1"/>
          <w:sz w:val="24"/>
        </w:rPr>
        <w:t>严重肾髓质囊性病</w:t>
        <w:tab/>
      </w:r>
      <w:r>
        <w:rPr>
          <w:sz w:val="21"/>
        </w:rPr>
        <w:t>指经</w:t>
      </w:r>
      <w:r>
        <w:rPr>
          <w:spacing w:val="-3"/>
          <w:sz w:val="21"/>
        </w:rPr>
        <w:t>专</w:t>
      </w:r>
      <w:r>
        <w:rPr>
          <w:sz w:val="21"/>
        </w:rPr>
        <w:t>科</w:t>
      </w:r>
      <w:r>
        <w:rPr>
          <w:spacing w:val="-3"/>
          <w:sz w:val="21"/>
        </w:rPr>
        <w:t>医</w:t>
      </w:r>
      <w:r>
        <w:rPr>
          <w:sz w:val="21"/>
        </w:rPr>
        <w:t>生</w:t>
      </w:r>
      <w:r>
        <w:rPr>
          <w:spacing w:val="-3"/>
          <w:sz w:val="21"/>
        </w:rPr>
        <w:t>明</w:t>
      </w:r>
      <w:r>
        <w:rPr>
          <w:sz w:val="21"/>
        </w:rPr>
        <w:t>确</w:t>
      </w:r>
      <w:r>
        <w:rPr>
          <w:spacing w:val="-3"/>
          <w:sz w:val="21"/>
        </w:rPr>
        <w:t>诊</w:t>
      </w:r>
      <w:r>
        <w:rPr>
          <w:sz w:val="21"/>
        </w:rPr>
        <w:t>断</w:t>
      </w:r>
      <w:r>
        <w:rPr>
          <w:spacing w:val="-3"/>
          <w:sz w:val="21"/>
        </w:rPr>
        <w:t>为</w:t>
      </w:r>
      <w:r>
        <w:rPr>
          <w:sz w:val="21"/>
        </w:rPr>
        <w:t>肾髓</w:t>
      </w:r>
      <w:r>
        <w:rPr>
          <w:spacing w:val="-3"/>
          <w:sz w:val="21"/>
        </w:rPr>
        <w:t>质</w:t>
      </w:r>
      <w:r>
        <w:rPr>
          <w:sz w:val="21"/>
        </w:rPr>
        <w:t>囊</w:t>
      </w:r>
      <w:r>
        <w:rPr>
          <w:spacing w:val="-3"/>
          <w:sz w:val="21"/>
        </w:rPr>
        <w:t>性</w:t>
      </w:r>
      <w:r>
        <w:rPr>
          <w:sz w:val="21"/>
        </w:rPr>
        <w:t>病</w:t>
      </w:r>
      <w:r>
        <w:rPr>
          <w:spacing w:val="-3"/>
          <w:sz w:val="21"/>
        </w:rPr>
        <w:t>，</w:t>
      </w:r>
      <w:r>
        <w:rPr>
          <w:sz w:val="21"/>
        </w:rPr>
        <w:t>且</w:t>
      </w:r>
      <w:r>
        <w:rPr>
          <w:spacing w:val="-3"/>
          <w:sz w:val="21"/>
        </w:rPr>
        <w:t>须</w:t>
      </w:r>
      <w:r>
        <w:rPr>
          <w:sz w:val="21"/>
        </w:rPr>
        <w:t>同</w:t>
      </w:r>
      <w:r>
        <w:rPr>
          <w:spacing w:val="-3"/>
          <w:sz w:val="21"/>
        </w:rPr>
        <w:t>时</w:t>
      </w:r>
      <w:r>
        <w:rPr>
          <w:sz w:val="21"/>
        </w:rPr>
        <w:t>满足</w:t>
      </w:r>
      <w:r>
        <w:rPr>
          <w:spacing w:val="-3"/>
          <w:sz w:val="21"/>
        </w:rPr>
        <w:t>下</w:t>
      </w:r>
      <w:r>
        <w:rPr>
          <w:sz w:val="21"/>
        </w:rPr>
        <w:t>列</w:t>
      </w:r>
      <w:r>
        <w:rPr>
          <w:spacing w:val="-3"/>
          <w:sz w:val="21"/>
        </w:rPr>
        <w:t>条</w:t>
      </w:r>
      <w:r>
        <w:rPr>
          <w:sz w:val="21"/>
        </w:rPr>
        <w:t>件：</w:t>
      </w:r>
    </w:p>
    <w:p>
      <w:pPr>
        <w:pStyle w:val="BodyText"/>
        <w:spacing w:before="21"/>
        <w:ind w:left="3016"/>
      </w:pPr>
      <w:r>
        <w:rPr/>
        <w:t>（1）肾髓质有囊肿、肾小管萎缩及间质纤维化等病理改变；</w:t>
      </w:r>
    </w:p>
    <w:p>
      <w:pPr>
        <w:pStyle w:val="BodyText"/>
        <w:spacing w:before="37"/>
        <w:ind w:left="3016"/>
      </w:pPr>
      <w:r>
        <w:rPr/>
        <w:t>（2）贫血、多尿及肾功能衰竭等临床表现；</w:t>
      </w:r>
    </w:p>
    <w:p>
      <w:pPr>
        <w:pStyle w:val="BodyText"/>
        <w:spacing w:before="37"/>
        <w:ind w:left="3016"/>
      </w:pPr>
      <w:r>
        <w:rPr/>
        <w:t>（3）诊断须由肾组织活检确定。</w:t>
      </w:r>
    </w:p>
    <w:p>
      <w:pPr>
        <w:pStyle w:val="BodyText"/>
        <w:spacing w:before="13"/>
        <w:rPr>
          <w:sz w:val="17"/>
        </w:rPr>
      </w:pPr>
    </w:p>
    <w:p>
      <w:pPr>
        <w:spacing w:after="0"/>
        <w:rPr>
          <w:sz w:val="17"/>
        </w:rPr>
        <w:sectPr>
          <w:type w:val="continuous"/>
          <w:pgSz w:w="11910" w:h="16840"/>
          <w:pgMar w:top="400" w:bottom="280" w:left="1080" w:right="880"/>
        </w:sectPr>
      </w:pPr>
    </w:p>
    <w:p>
      <w:pPr>
        <w:pStyle w:val="Heading1"/>
        <w:numPr>
          <w:ilvl w:val="0"/>
          <w:numId w:val="8"/>
        </w:numPr>
        <w:tabs>
          <w:tab w:pos="700" w:val="left" w:leader="none"/>
          <w:tab w:pos="701" w:val="left" w:leader="none"/>
        </w:tabs>
        <w:spacing w:line="322" w:lineRule="exact" w:before="20" w:after="0"/>
        <w:ind w:left="700" w:right="0" w:hanging="595"/>
        <w:jc w:val="left"/>
      </w:pPr>
      <w:r>
        <w:rPr>
          <w:spacing w:val="23"/>
          <w:position w:val="1"/>
        </w:rPr>
        <w:t>严重肝豆状核变性</w:t>
      </w:r>
    </w:p>
    <w:p>
      <w:pPr>
        <w:spacing w:line="322" w:lineRule="exact" w:before="0"/>
        <w:ind w:left="700" w:right="0" w:firstLine="0"/>
        <w:jc w:val="left"/>
        <w:rPr>
          <w:rFonts w:ascii="等线" w:eastAsia="等线" w:hint="eastAsia"/>
          <w:b/>
          <w:sz w:val="24"/>
        </w:rPr>
      </w:pPr>
      <w:r>
        <w:rPr>
          <w:rFonts w:ascii="等线" w:eastAsia="等线" w:hint="eastAsia"/>
          <w:b/>
          <w:sz w:val="24"/>
        </w:rPr>
        <w:t>（Wilson 病）</w:t>
      </w:r>
    </w:p>
    <w:p>
      <w:pPr>
        <w:pStyle w:val="BodyText"/>
        <w:spacing w:line="273" w:lineRule="auto" w:before="56"/>
        <w:ind w:left="105" w:right="140"/>
      </w:pPr>
      <w:r>
        <w:rPr/>
        <w:br w:type="column"/>
      </w:r>
      <w:r>
        <w:rPr/>
        <w:t>指由于铜代谢障碍所引起的一种疾病，其特点为肝硬化与双侧脑基底神经节变性同时存在，且须经专科医生明确诊断，并同时必须具备下列情况：</w:t>
      </w:r>
    </w:p>
    <w:p>
      <w:pPr>
        <w:pStyle w:val="BodyText"/>
        <w:spacing w:line="273" w:lineRule="auto" w:before="7"/>
        <w:ind w:left="631" w:right="100" w:hanging="526"/>
      </w:pPr>
      <w:r>
        <w:rPr/>
        <w:t>（1）临床表现包括：进行性加剧的肢体震颤，肌强直，吞咽及发音困难， 精神异常；</w:t>
      </w:r>
    </w:p>
    <w:p>
      <w:pPr>
        <w:pStyle w:val="BodyText"/>
        <w:spacing w:before="7"/>
        <w:ind w:left="105"/>
      </w:pPr>
      <w:r>
        <w:rPr/>
        <w:t>（2）</w:t>
      </w:r>
      <w:r>
        <w:rPr>
          <w:spacing w:val="-3"/>
        </w:rPr>
        <w:t>角膜色素环</w:t>
      </w:r>
      <w:r>
        <w:rPr/>
        <w:t>（K-F</w:t>
      </w:r>
      <w:r>
        <w:rPr>
          <w:spacing w:val="-25"/>
        </w:rPr>
        <w:t> 环</w:t>
      </w:r>
      <w:r>
        <w:rPr>
          <w:spacing w:val="-106"/>
        </w:rPr>
        <w:t>）；</w:t>
      </w:r>
    </w:p>
    <w:p>
      <w:pPr>
        <w:pStyle w:val="BodyText"/>
        <w:spacing w:before="36"/>
        <w:ind w:left="105"/>
      </w:pPr>
      <w:r>
        <w:rPr/>
        <w:t>（3）血清铜和血清铜蓝蛋白降低，尿铜增加；</w:t>
      </w:r>
    </w:p>
    <w:p>
      <w:pPr>
        <w:pStyle w:val="BodyText"/>
        <w:spacing w:before="36"/>
        <w:ind w:left="105"/>
      </w:pPr>
      <w:r>
        <w:rPr/>
        <w:t>（4）食管静脉曲张；</w:t>
      </w:r>
    </w:p>
    <w:p>
      <w:pPr>
        <w:pStyle w:val="BodyText"/>
        <w:spacing w:before="36"/>
        <w:ind w:left="105"/>
      </w:pPr>
      <w:r>
        <w:rPr/>
        <w:t>（5）腹水。</w:t>
      </w:r>
    </w:p>
    <w:p>
      <w:pPr>
        <w:spacing w:after="0"/>
        <w:sectPr>
          <w:type w:val="continuous"/>
          <w:pgSz w:w="11910" w:h="16840"/>
          <w:pgMar w:top="400" w:bottom="280" w:left="1080" w:right="880"/>
          <w:cols w:num="2" w:equalWidth="0">
            <w:col w:w="2830" w:space="81"/>
            <w:col w:w="7039"/>
          </w:cols>
        </w:sectPr>
      </w:pPr>
    </w:p>
    <w:p>
      <w:pPr>
        <w:pStyle w:val="BodyText"/>
        <w:spacing w:before="12"/>
        <w:rPr>
          <w:sz w:val="17"/>
        </w:rPr>
      </w:pPr>
    </w:p>
    <w:p>
      <w:pPr>
        <w:spacing w:after="0"/>
        <w:rPr>
          <w:sz w:val="17"/>
        </w:rPr>
        <w:sectPr>
          <w:type w:val="continuous"/>
          <w:pgSz w:w="11910" w:h="16840"/>
          <w:pgMar w:top="400" w:bottom="280" w:left="1080" w:right="880"/>
        </w:sectPr>
      </w:pPr>
    </w:p>
    <w:p>
      <w:pPr>
        <w:pStyle w:val="Heading1"/>
        <w:numPr>
          <w:ilvl w:val="0"/>
          <w:numId w:val="8"/>
        </w:numPr>
        <w:tabs>
          <w:tab w:pos="700" w:val="left" w:leader="none"/>
          <w:tab w:pos="701" w:val="left" w:leader="none"/>
        </w:tabs>
        <w:spacing w:line="235" w:lineRule="auto" w:before="27" w:after="0"/>
        <w:ind w:left="700" w:right="0" w:hanging="595"/>
        <w:jc w:val="left"/>
      </w:pPr>
      <w:r>
        <w:rPr>
          <w:spacing w:val="23"/>
          <w:position w:val="1"/>
        </w:rPr>
        <w:t>严重自身免疫性肝</w:t>
      </w:r>
      <w:r>
        <w:rPr/>
        <w:t>炎</w:t>
      </w:r>
    </w:p>
    <w:p>
      <w:pPr>
        <w:pStyle w:val="BodyText"/>
        <w:spacing w:line="273" w:lineRule="auto" w:before="56"/>
        <w:ind w:left="105" w:right="140"/>
        <w:jc w:val="both"/>
      </w:pPr>
      <w:r>
        <w:rPr/>
        <w:br w:type="column"/>
      </w:r>
      <w:r>
        <w:rPr/>
        <w:t>指一种原因不明的慢性肝脏的坏死性炎性疾病，机体免疫机制被破坏，产生针对肝脏自身抗原的抗体导致自身免疫反应，从而破坏肝细胞造成肝脏炎症坏死，进而发展为肝硬化。必须满足所有以下条件：</w:t>
      </w:r>
    </w:p>
    <w:p>
      <w:pPr>
        <w:pStyle w:val="BodyText"/>
        <w:spacing w:before="7"/>
        <w:ind w:left="105"/>
      </w:pPr>
      <w:r>
        <w:rPr/>
        <w:t>（1）高γ球蛋白血症；</w:t>
      </w:r>
    </w:p>
    <w:p>
      <w:pPr>
        <w:pStyle w:val="BodyText"/>
        <w:spacing w:line="273" w:lineRule="auto" w:before="37"/>
        <w:ind w:left="631" w:right="140" w:hanging="526"/>
      </w:pPr>
      <w:r>
        <w:rPr/>
        <w:t>（2）</w:t>
      </w:r>
      <w:r>
        <w:rPr>
          <w:spacing w:val="-4"/>
        </w:rPr>
        <w:t>血液中存在高水平的自身免疫抗体，如 </w:t>
      </w:r>
      <w:r>
        <w:rPr/>
        <w:t>ANA（</w:t>
      </w:r>
      <w:r>
        <w:rPr>
          <w:spacing w:val="-1"/>
        </w:rPr>
        <w:t>抗核抗体</w:t>
      </w:r>
      <w:r>
        <w:rPr>
          <w:spacing w:val="-109"/>
        </w:rPr>
        <w:t>）</w:t>
      </w:r>
      <w:r>
        <w:rPr/>
        <w:t>、SMA（</w:t>
      </w:r>
      <w:r>
        <w:rPr>
          <w:spacing w:val="-3"/>
        </w:rPr>
        <w:t>抗平</w:t>
      </w:r>
      <w:r>
        <w:rPr>
          <w:spacing w:val="-1"/>
        </w:rPr>
        <w:t>滑肌抗体</w:t>
      </w:r>
      <w:r>
        <w:rPr>
          <w:spacing w:val="-108"/>
        </w:rPr>
        <w:t>）</w:t>
      </w:r>
      <w:r>
        <w:rPr>
          <w:spacing w:val="-17"/>
        </w:rPr>
        <w:t>、抗 </w:t>
      </w:r>
      <w:r>
        <w:rPr/>
        <w:t>LKM1</w:t>
      </w:r>
      <w:r>
        <w:rPr>
          <w:spacing w:val="-10"/>
        </w:rPr>
        <w:t> 抗体或抗-</w:t>
      </w:r>
      <w:r>
        <w:rPr/>
        <w:t>SLA/LP</w:t>
      </w:r>
      <w:r>
        <w:rPr>
          <w:spacing w:val="-14"/>
        </w:rPr>
        <w:t> 抗体；</w:t>
      </w:r>
    </w:p>
    <w:p>
      <w:pPr>
        <w:pStyle w:val="BodyText"/>
        <w:spacing w:before="7"/>
        <w:ind w:left="106"/>
        <w:jc w:val="both"/>
      </w:pPr>
      <w:r>
        <w:rPr/>
        <w:t>（3）肝脏活检证实免疫性肝炎；</w:t>
      </w:r>
    </w:p>
    <w:p>
      <w:pPr>
        <w:pStyle w:val="BodyText"/>
        <w:spacing w:before="36"/>
        <w:ind w:left="106"/>
        <w:jc w:val="both"/>
      </w:pPr>
      <w:r>
        <w:rPr/>
        <w:t>（4）临床已经出现腹水、食道静脉曲张和脾肿大等肝硬化表现。</w:t>
      </w:r>
    </w:p>
    <w:p>
      <w:pPr>
        <w:spacing w:after="0"/>
        <w:jc w:val="both"/>
        <w:sectPr>
          <w:type w:val="continuous"/>
          <w:pgSz w:w="11910" w:h="16840"/>
          <w:pgMar w:top="400" w:bottom="280" w:left="1080" w:right="880"/>
          <w:cols w:num="2" w:equalWidth="0">
            <w:col w:w="2830" w:space="81"/>
            <w:col w:w="7039"/>
          </w:cols>
        </w:sectPr>
      </w:pPr>
    </w:p>
    <w:p>
      <w:pPr>
        <w:pStyle w:val="BodyText"/>
        <w:spacing w:before="12"/>
        <w:rPr>
          <w:sz w:val="17"/>
        </w:rPr>
      </w:pPr>
    </w:p>
    <w:p>
      <w:pPr>
        <w:spacing w:after="0"/>
        <w:rPr>
          <w:sz w:val="17"/>
        </w:rPr>
        <w:sectPr>
          <w:type w:val="continuous"/>
          <w:pgSz w:w="11910" w:h="16840"/>
          <w:pgMar w:top="400" w:bottom="280" w:left="1080" w:right="880"/>
        </w:sectPr>
      </w:pPr>
    </w:p>
    <w:p>
      <w:pPr>
        <w:pStyle w:val="Heading1"/>
        <w:numPr>
          <w:ilvl w:val="0"/>
          <w:numId w:val="8"/>
        </w:numPr>
        <w:tabs>
          <w:tab w:pos="700" w:val="left" w:leader="none"/>
          <w:tab w:pos="701" w:val="left" w:leader="none"/>
        </w:tabs>
        <w:spacing w:line="235" w:lineRule="auto" w:before="27" w:after="0"/>
        <w:ind w:left="700" w:right="0" w:hanging="595"/>
        <w:jc w:val="left"/>
      </w:pPr>
      <w:r>
        <w:rPr>
          <w:spacing w:val="23"/>
          <w:position w:val="1"/>
        </w:rPr>
        <w:t>严重弥漫性系统性</w:t>
      </w:r>
      <w:r>
        <w:rPr/>
        <w:t>硬皮病</w:t>
      </w:r>
    </w:p>
    <w:p>
      <w:pPr>
        <w:pStyle w:val="BodyText"/>
        <w:spacing w:line="273" w:lineRule="auto" w:before="57"/>
        <w:ind w:left="105" w:right="132"/>
        <w:jc w:val="both"/>
      </w:pPr>
      <w:r>
        <w:rPr/>
        <w:br w:type="column"/>
      </w:r>
      <w:r>
        <w:rPr/>
        <w:t>指一种系统性胶原血管病引起进行性的皮肤/血管和内脏器官的弥漫性纤维化。本病症须经专科医生明确诊断，并由活检和血清学证据支持并且疾病已经影响到心脏、肺或肾脏等内脏器官并且达到下列标准之一：</w:t>
      </w:r>
    </w:p>
    <w:p>
      <w:pPr>
        <w:pStyle w:val="BodyText"/>
        <w:spacing w:before="7"/>
        <w:ind w:left="105"/>
      </w:pPr>
      <w:r>
        <w:rPr/>
        <w:t>（1）肺纤维化，已经出现肺动脉高压、肺心病；</w:t>
      </w:r>
    </w:p>
    <w:p>
      <w:pPr>
        <w:pStyle w:val="BodyText"/>
        <w:spacing w:line="273" w:lineRule="auto" w:before="36"/>
        <w:ind w:left="631" w:right="139" w:hanging="526"/>
      </w:pPr>
      <w:r>
        <w:rPr>
          <w:spacing w:val="-8"/>
        </w:rPr>
        <w:t>（2）</w:t>
      </w:r>
      <w:r>
        <w:rPr>
          <w:spacing w:val="-6"/>
        </w:rPr>
        <w:t>心脏功能损害，心脏功能衰竭程度达到纽约心脏病学会的心功能分级</w:t>
      </w:r>
      <w:r>
        <w:rPr>
          <w:spacing w:val="-9"/>
        </w:rPr>
        <w:t>标准之心功能 </w:t>
      </w:r>
      <w:r>
        <w:rPr/>
        <w:t>IV</w:t>
      </w:r>
      <w:r>
        <w:rPr>
          <w:spacing w:val="-19"/>
        </w:rPr>
        <w:t> 级；</w:t>
      </w:r>
    </w:p>
    <w:p>
      <w:pPr>
        <w:pStyle w:val="BodyText"/>
        <w:spacing w:line="273" w:lineRule="auto" w:before="7"/>
        <w:ind w:left="105" w:right="2832"/>
      </w:pPr>
      <w:r>
        <w:rPr/>
        <w:t>（3）肾脏功能损害，已经出现肾功能衰竭。</w:t>
      </w:r>
      <w:r>
        <w:rPr>
          <w:shd w:fill="DADADA" w:color="auto" w:val="clear"/>
        </w:rPr>
        <w:t>下列疾病不在保障范围内：</w:t>
      </w:r>
    </w:p>
    <w:p>
      <w:pPr>
        <w:pStyle w:val="BodyText"/>
        <w:spacing w:before="7"/>
        <w:ind w:left="105"/>
        <w:jc w:val="both"/>
      </w:pPr>
      <w:r>
        <w:rPr>
          <w:shd w:fill="DADADA" w:color="auto" w:val="clear"/>
        </w:rPr>
        <w:t>（1）局限硬皮病；</w:t>
      </w:r>
    </w:p>
    <w:p>
      <w:pPr>
        <w:pStyle w:val="BodyText"/>
        <w:spacing w:before="36"/>
        <w:ind w:left="105"/>
        <w:jc w:val="both"/>
      </w:pPr>
      <w:r>
        <w:rPr>
          <w:shd w:fill="DADADA" w:color="auto" w:val="clear"/>
        </w:rPr>
        <w:t>（2）嗜酸细胞筋膜炎；</w:t>
      </w:r>
    </w:p>
    <w:p>
      <w:pPr>
        <w:pStyle w:val="BodyText"/>
        <w:spacing w:before="36"/>
        <w:ind w:left="105"/>
        <w:jc w:val="both"/>
      </w:pPr>
      <w:r>
        <w:rPr>
          <w:shd w:fill="DADADA" w:color="auto" w:val="clear"/>
        </w:rPr>
        <w:t>（3）CREST 综合征。</w:t>
      </w:r>
    </w:p>
    <w:p>
      <w:pPr>
        <w:spacing w:after="0"/>
        <w:jc w:val="both"/>
        <w:sectPr>
          <w:type w:val="continuous"/>
          <w:pgSz w:w="11910" w:h="16840"/>
          <w:pgMar w:top="400" w:bottom="280" w:left="1080" w:right="880"/>
          <w:cols w:num="2" w:equalWidth="0">
            <w:col w:w="2830" w:space="81"/>
            <w:col w:w="7039"/>
          </w:cols>
        </w:sectPr>
      </w:pPr>
    </w:p>
    <w:p>
      <w:pPr>
        <w:pStyle w:val="BodyText"/>
        <w:spacing w:before="1"/>
        <w:rPr>
          <w:sz w:val="18"/>
        </w:rPr>
      </w:pPr>
    </w:p>
    <w:p>
      <w:pPr>
        <w:pStyle w:val="ListParagraph"/>
        <w:numPr>
          <w:ilvl w:val="0"/>
          <w:numId w:val="8"/>
        </w:numPr>
        <w:tabs>
          <w:tab w:pos="700" w:val="left" w:leader="none"/>
          <w:tab w:pos="701" w:val="left" w:leader="none"/>
          <w:tab w:pos="3016" w:val="left" w:leader="none"/>
        </w:tabs>
        <w:spacing w:line="240" w:lineRule="auto" w:before="20" w:after="0"/>
        <w:ind w:left="700" w:right="0" w:hanging="595"/>
        <w:jc w:val="left"/>
        <w:rPr>
          <w:sz w:val="21"/>
        </w:rPr>
      </w:pPr>
      <w:r>
        <w:rPr>
          <w:rFonts w:ascii="等线" w:eastAsia="等线" w:hint="eastAsia"/>
          <w:b/>
          <w:position w:val="1"/>
          <w:sz w:val="24"/>
        </w:rPr>
        <w:t>肺淋巴管ft瘤病</w:t>
        <w:tab/>
      </w:r>
      <w:r>
        <w:rPr>
          <w:sz w:val="21"/>
        </w:rPr>
        <w:t>是一种弥漫性肺部疾病，主要病理改变为肺间质、支气管、血管和淋巴管</w:t>
      </w:r>
    </w:p>
    <w:p>
      <w:pPr>
        <w:pStyle w:val="BodyText"/>
        <w:spacing w:before="20"/>
        <w:ind w:left="3016"/>
      </w:pPr>
      <w:r>
        <w:rPr/>
        <w:t>内出现未成熟的平滑肌异常增生，并须同时满足下列全部条件：</w:t>
      </w:r>
    </w:p>
    <w:p>
      <w:pPr>
        <w:pStyle w:val="BodyText"/>
        <w:spacing w:before="37"/>
        <w:ind w:left="3016"/>
      </w:pPr>
      <w:r>
        <w:rPr/>
        <w:t>（1）经组织病理学诊断；</w:t>
      </w:r>
    </w:p>
    <w:p>
      <w:pPr>
        <w:pStyle w:val="BodyText"/>
        <w:spacing w:before="37"/>
        <w:ind w:left="3016"/>
      </w:pPr>
      <w:r>
        <w:rPr/>
        <w:t>（2）CT 显示双肺弥漫性囊性改变；</w:t>
      </w:r>
    </w:p>
    <w:p>
      <w:pPr>
        <w:pStyle w:val="BodyText"/>
        <w:spacing w:before="37"/>
        <w:ind w:left="3017"/>
      </w:pPr>
      <w:r>
        <w:rPr/>
        <w:t>（3）血气提示低氧血症。</w:t>
      </w:r>
    </w:p>
    <w:p>
      <w:pPr>
        <w:pStyle w:val="BodyText"/>
        <w:spacing w:before="7"/>
        <w:rPr>
          <w:sz w:val="19"/>
        </w:rPr>
      </w:pPr>
    </w:p>
    <w:p>
      <w:pPr>
        <w:pStyle w:val="ListParagraph"/>
        <w:numPr>
          <w:ilvl w:val="0"/>
          <w:numId w:val="8"/>
        </w:numPr>
        <w:tabs>
          <w:tab w:pos="700" w:val="left" w:leader="none"/>
          <w:tab w:pos="701" w:val="left" w:leader="none"/>
          <w:tab w:pos="3016" w:val="left" w:leader="none"/>
        </w:tabs>
        <w:spacing w:line="240" w:lineRule="auto" w:before="0" w:after="0"/>
        <w:ind w:left="700" w:right="0" w:hanging="595"/>
        <w:jc w:val="left"/>
        <w:rPr>
          <w:sz w:val="21"/>
        </w:rPr>
      </w:pPr>
      <w:r>
        <w:rPr>
          <w:rFonts w:ascii="等线" w:eastAsia="等线" w:hint="eastAsia"/>
          <w:b/>
          <w:position w:val="1"/>
          <w:sz w:val="24"/>
        </w:rPr>
        <w:t>肺泡蛋白质沉积症</w:t>
        <w:tab/>
      </w:r>
      <w:r>
        <w:rPr>
          <w:sz w:val="21"/>
        </w:rPr>
        <w:t>指肺</w:t>
      </w:r>
      <w:r>
        <w:rPr>
          <w:spacing w:val="-3"/>
          <w:sz w:val="21"/>
        </w:rPr>
        <w:t>泡</w:t>
      </w:r>
      <w:r>
        <w:rPr>
          <w:sz w:val="21"/>
        </w:rPr>
        <w:t>和</w:t>
      </w:r>
      <w:r>
        <w:rPr>
          <w:spacing w:val="-3"/>
          <w:sz w:val="21"/>
        </w:rPr>
        <w:t>细</w:t>
      </w:r>
      <w:r>
        <w:rPr>
          <w:sz w:val="21"/>
        </w:rPr>
        <w:t>支</w:t>
      </w:r>
      <w:r>
        <w:rPr>
          <w:spacing w:val="-3"/>
          <w:sz w:val="21"/>
        </w:rPr>
        <w:t>气</w:t>
      </w:r>
      <w:r>
        <w:rPr>
          <w:sz w:val="21"/>
        </w:rPr>
        <w:t>管</w:t>
      </w:r>
      <w:r>
        <w:rPr>
          <w:spacing w:val="-3"/>
          <w:sz w:val="21"/>
        </w:rPr>
        <w:t>腔</w:t>
      </w:r>
      <w:r>
        <w:rPr>
          <w:sz w:val="21"/>
        </w:rPr>
        <w:t>内</w:t>
      </w:r>
      <w:r>
        <w:rPr>
          <w:spacing w:val="-3"/>
          <w:sz w:val="21"/>
        </w:rPr>
        <w:t>充</w:t>
      </w:r>
      <w:r>
        <w:rPr>
          <w:sz w:val="21"/>
        </w:rPr>
        <w:t>满不</w:t>
      </w:r>
      <w:r>
        <w:rPr>
          <w:spacing w:val="-3"/>
          <w:sz w:val="21"/>
        </w:rPr>
        <w:t>可</w:t>
      </w:r>
      <w:r>
        <w:rPr>
          <w:sz w:val="21"/>
        </w:rPr>
        <w:t>溶</w:t>
      </w:r>
      <w:r>
        <w:rPr>
          <w:spacing w:val="-3"/>
          <w:sz w:val="21"/>
        </w:rPr>
        <w:t>性</w:t>
      </w:r>
      <w:r>
        <w:rPr>
          <w:sz w:val="21"/>
        </w:rPr>
        <w:t>富</w:t>
      </w:r>
      <w:r>
        <w:rPr>
          <w:spacing w:val="-3"/>
          <w:sz w:val="21"/>
        </w:rPr>
        <w:t>磷</w:t>
      </w:r>
      <w:r>
        <w:rPr>
          <w:sz w:val="21"/>
        </w:rPr>
        <w:t>脂</w:t>
      </w:r>
      <w:r>
        <w:rPr>
          <w:spacing w:val="-3"/>
          <w:sz w:val="21"/>
        </w:rPr>
        <w:t>蛋</w:t>
      </w:r>
      <w:r>
        <w:rPr>
          <w:sz w:val="21"/>
        </w:rPr>
        <w:t>白</w:t>
      </w:r>
      <w:r>
        <w:rPr>
          <w:spacing w:val="-3"/>
          <w:sz w:val="21"/>
        </w:rPr>
        <w:t>的</w:t>
      </w:r>
      <w:r>
        <w:rPr>
          <w:sz w:val="21"/>
        </w:rPr>
        <w:t>疾病</w:t>
      </w:r>
      <w:r>
        <w:rPr>
          <w:spacing w:val="-3"/>
          <w:sz w:val="21"/>
        </w:rPr>
        <w:t>，胸</w:t>
      </w:r>
      <w:r>
        <w:rPr>
          <w:sz w:val="21"/>
        </w:rPr>
        <w:t>部 X</w:t>
      </w:r>
      <w:r>
        <w:rPr>
          <w:spacing w:val="-3"/>
          <w:sz w:val="21"/>
        </w:rPr>
        <w:t> </w:t>
      </w:r>
      <w:r>
        <w:rPr>
          <w:sz w:val="21"/>
        </w:rPr>
        <w:t>线</w:t>
      </w:r>
      <w:r>
        <w:rPr>
          <w:spacing w:val="-3"/>
          <w:sz w:val="21"/>
        </w:rPr>
        <w:t>呈</w:t>
      </w:r>
      <w:r>
        <w:rPr>
          <w:sz w:val="21"/>
        </w:rPr>
        <w:t>双肺</w:t>
      </w:r>
    </w:p>
    <w:p>
      <w:pPr>
        <w:spacing w:after="0" w:line="240" w:lineRule="auto"/>
        <w:jc w:val="left"/>
        <w:rPr>
          <w:sz w:val="21"/>
        </w:rPr>
        <w:sectPr>
          <w:type w:val="continuous"/>
          <w:pgSz w:w="11910" w:h="16840"/>
          <w:pgMar w:top="400" w:bottom="280" w:left="1080" w:right="880"/>
        </w:sectPr>
      </w:pPr>
    </w:p>
    <w:p>
      <w:pPr>
        <w:pStyle w:val="BodyText"/>
        <w:spacing w:line="273" w:lineRule="auto" w:before="22"/>
        <w:ind w:left="3076" w:right="258"/>
        <w:jc w:val="both"/>
      </w:pPr>
      <w:r>
        <w:rPr>
          <w:spacing w:val="-6"/>
        </w:rPr>
        <w:t>弥漫性肺部磨玻璃影，病理学检查肺泡内充满有过碘酸雪夫</w:t>
      </w:r>
      <w:r>
        <w:rPr>
          <w:spacing w:val="-4"/>
        </w:rPr>
        <w:t>（PAS）</w:t>
      </w:r>
      <w:r>
        <w:rPr>
          <w:spacing w:val="-2"/>
        </w:rPr>
        <w:t>染色阳</w:t>
      </w:r>
      <w:r>
        <w:rPr>
          <w:spacing w:val="-3"/>
        </w:rPr>
        <w:t>性的蛋白样物质，并且接受了肺灌洗治疗。</w:t>
      </w:r>
    </w:p>
    <w:p>
      <w:pPr>
        <w:pStyle w:val="BodyText"/>
        <w:spacing w:before="5"/>
        <w:rPr>
          <w:sz w:val="17"/>
        </w:rPr>
      </w:pPr>
    </w:p>
    <w:p>
      <w:pPr>
        <w:pStyle w:val="ListParagraph"/>
        <w:numPr>
          <w:ilvl w:val="0"/>
          <w:numId w:val="8"/>
        </w:numPr>
        <w:tabs>
          <w:tab w:pos="760" w:val="left" w:leader="none"/>
          <w:tab w:pos="761" w:val="left" w:leader="none"/>
          <w:tab w:pos="3076" w:val="left" w:leader="none"/>
        </w:tabs>
        <w:spacing w:line="240" w:lineRule="auto" w:before="1" w:after="0"/>
        <w:ind w:left="760" w:right="0" w:hanging="595"/>
        <w:jc w:val="left"/>
        <w:rPr>
          <w:sz w:val="21"/>
        </w:rPr>
      </w:pPr>
      <w:r>
        <w:rPr>
          <w:rFonts w:ascii="等线" w:eastAsia="等线" w:hint="eastAsia"/>
          <w:b/>
          <w:position w:val="1"/>
          <w:sz w:val="24"/>
        </w:rPr>
        <w:t>慢性复发性胰腺炎</w:t>
        <w:tab/>
      </w:r>
      <w:r>
        <w:rPr>
          <w:sz w:val="21"/>
        </w:rPr>
        <w:t>有腹痛等典型症状的胰腺炎反复发作，导致胰腺进行性破坏、胰腺功能紊</w:t>
      </w:r>
    </w:p>
    <w:p>
      <w:pPr>
        <w:pStyle w:val="BodyText"/>
        <w:spacing w:line="273" w:lineRule="auto" w:before="21"/>
        <w:ind w:left="3076" w:right="258"/>
        <w:jc w:val="both"/>
      </w:pPr>
      <w:r>
        <w:rPr>
          <w:spacing w:val="-3"/>
        </w:rPr>
        <w:t>乱致糖尿病、营养不良。</w:t>
      </w:r>
      <w:r>
        <w:rPr/>
        <w:t>CT</w:t>
      </w:r>
      <w:r>
        <w:rPr>
          <w:spacing w:val="-4"/>
        </w:rPr>
        <w:t> 检查证实胰腺存在广泛钙化，且必须接受酶替代以及胰岛素替代治疗 </w:t>
      </w:r>
      <w:r>
        <w:rPr/>
        <w:t>6</w:t>
      </w:r>
      <w:r>
        <w:rPr>
          <w:spacing w:val="-3"/>
        </w:rPr>
        <w:t> 个月以上、手术或介入治疗。此病症须经专科医生明确诊断。</w:t>
      </w:r>
    </w:p>
    <w:p>
      <w:pPr>
        <w:pStyle w:val="BodyText"/>
        <w:spacing w:before="8"/>
        <w:ind w:left="3076"/>
        <w:jc w:val="both"/>
      </w:pPr>
      <w:r>
        <w:rPr>
          <w:shd w:fill="DADADA" w:color="auto" w:val="clear"/>
        </w:rPr>
        <w:t>因酗酒或饮酒过量所致的慢性复发性胰腺炎不在保障范围内。</w:t>
      </w:r>
    </w:p>
    <w:p>
      <w:pPr>
        <w:pStyle w:val="BodyText"/>
        <w:spacing w:before="12"/>
        <w:rPr>
          <w:sz w:val="17"/>
        </w:rPr>
      </w:pPr>
    </w:p>
    <w:p>
      <w:pPr>
        <w:spacing w:after="0"/>
        <w:rPr>
          <w:sz w:val="17"/>
        </w:rPr>
        <w:sectPr>
          <w:pgSz w:w="11910" w:h="16840"/>
          <w:pgMar w:top="1080" w:bottom="280" w:left="1020" w:right="760"/>
        </w:sectPr>
      </w:pPr>
    </w:p>
    <w:p>
      <w:pPr>
        <w:pStyle w:val="Heading1"/>
        <w:numPr>
          <w:ilvl w:val="0"/>
          <w:numId w:val="8"/>
        </w:numPr>
        <w:tabs>
          <w:tab w:pos="760" w:val="left" w:leader="none"/>
          <w:tab w:pos="761" w:val="left" w:leader="none"/>
        </w:tabs>
        <w:spacing w:line="232" w:lineRule="auto" w:before="31" w:after="0"/>
        <w:ind w:left="760" w:right="0" w:hanging="595"/>
        <w:jc w:val="left"/>
      </w:pPr>
      <w:r>
        <w:rPr>
          <w:spacing w:val="23"/>
          <w:position w:val="1"/>
        </w:rPr>
        <w:t>特发性慢性肾上腺</w:t>
      </w:r>
      <w:r>
        <w:rPr/>
        <w:t>皮质功能减退</w:t>
      </w:r>
    </w:p>
    <w:p>
      <w:pPr>
        <w:pStyle w:val="BodyText"/>
        <w:spacing w:line="273" w:lineRule="auto" w:before="57"/>
        <w:ind w:left="147" w:right="260"/>
      </w:pPr>
      <w:r>
        <w:rPr/>
        <w:br w:type="column"/>
      </w:r>
      <w:r>
        <w:rPr/>
        <w:t>指原发性自身免疫性肾上腺炎，导致肾上腺萎缩和慢性肾上腺皮质功能减退。必须满足所有以下条件：</w:t>
      </w:r>
    </w:p>
    <w:p>
      <w:pPr>
        <w:pStyle w:val="BodyText"/>
        <w:spacing w:before="7"/>
        <w:ind w:left="147"/>
      </w:pPr>
      <w:r>
        <w:rPr/>
        <w:t>（1）明确诊断，符合所有以下诊断标准：</w:t>
      </w:r>
    </w:p>
    <w:p>
      <w:pPr>
        <w:pStyle w:val="BodyText"/>
        <w:spacing w:before="36"/>
        <w:ind w:left="252"/>
      </w:pPr>
      <w:r>
        <w:rPr/>
        <w:t>① 血浆促肾上腺皮质激素（ACTH）水平测定大于 100pg/ml；</w:t>
      </w:r>
    </w:p>
    <w:p>
      <w:pPr>
        <w:pStyle w:val="BodyText"/>
        <w:spacing w:line="273" w:lineRule="auto" w:before="36"/>
        <w:ind w:left="555" w:right="257" w:hanging="303"/>
        <w:jc w:val="both"/>
      </w:pPr>
      <w:r>
        <w:rPr>
          <w:spacing w:val="-7"/>
        </w:rPr>
        <w:t>② 血浆和尿游离皮质醇及尿 </w:t>
      </w:r>
      <w:r>
        <w:rPr/>
        <w:t>17</w:t>
      </w:r>
      <w:r>
        <w:rPr>
          <w:spacing w:val="-15"/>
        </w:rPr>
        <w:t> 羟皮质类固醇、</w:t>
      </w:r>
      <w:r>
        <w:rPr/>
        <w:t>17</w:t>
      </w:r>
      <w:r>
        <w:rPr>
          <w:spacing w:val="-12"/>
        </w:rPr>
        <w:t> 酮皮质类固醇测定、血浆肾素活性、血管紧张素Ⅱ和醛固酮测定，显示为原发性肾上腺皮质</w:t>
      </w:r>
      <w:r>
        <w:rPr>
          <w:spacing w:val="-6"/>
        </w:rPr>
        <w:t>功能减退症；</w:t>
      </w:r>
    </w:p>
    <w:p>
      <w:pPr>
        <w:pStyle w:val="BodyText"/>
        <w:spacing w:line="273" w:lineRule="auto" w:before="7"/>
        <w:ind w:left="555" w:right="255" w:hanging="296"/>
        <w:jc w:val="both"/>
      </w:pPr>
      <w:r>
        <w:rPr/>
        <w:t>③ 促肾上腺皮质激素（ACTH）刺激试验显示为原发性肾上腺皮质功能减退症。</w:t>
      </w:r>
    </w:p>
    <w:p>
      <w:pPr>
        <w:spacing w:after="0" w:line="273" w:lineRule="auto"/>
        <w:jc w:val="both"/>
        <w:sectPr>
          <w:type w:val="continuous"/>
          <w:pgSz w:w="11910" w:h="16840"/>
          <w:pgMar w:top="400" w:bottom="280" w:left="1020" w:right="760"/>
          <w:cols w:num="2" w:equalWidth="0">
            <w:col w:w="2890" w:space="40"/>
            <w:col w:w="7200"/>
          </w:cols>
        </w:sectPr>
      </w:pPr>
    </w:p>
    <w:p>
      <w:pPr>
        <w:pStyle w:val="BodyText"/>
        <w:spacing w:before="5"/>
        <w:rPr>
          <w:sz w:val="5"/>
        </w:r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53"/>
        <w:gridCol w:w="2414"/>
        <w:gridCol w:w="7036"/>
      </w:tblGrid>
      <w:tr>
        <w:trPr>
          <w:trHeight w:val="261" w:hRule="atLeast"/>
        </w:trPr>
        <w:tc>
          <w:tcPr>
            <w:tcW w:w="2867" w:type="dxa"/>
            <w:gridSpan w:val="2"/>
            <w:vMerge w:val="restart"/>
          </w:tcPr>
          <w:p>
            <w:pPr>
              <w:pStyle w:val="TableParagraph"/>
              <w:rPr>
                <w:rFonts w:ascii="Times New Roman"/>
                <w:sz w:val="20"/>
              </w:rPr>
            </w:pPr>
          </w:p>
        </w:tc>
        <w:tc>
          <w:tcPr>
            <w:tcW w:w="7036" w:type="dxa"/>
          </w:tcPr>
          <w:p>
            <w:pPr>
              <w:pStyle w:val="TableParagraph"/>
              <w:spacing w:line="211" w:lineRule="exact"/>
              <w:ind w:left="94"/>
              <w:rPr>
                <w:sz w:val="21"/>
              </w:rPr>
            </w:pPr>
            <w:r>
              <w:rPr>
                <w:sz w:val="21"/>
              </w:rPr>
              <w:t>（2）已经采用皮质类固醇替代治疗 180 天以上。</w:t>
            </w:r>
          </w:p>
        </w:tc>
      </w:tr>
      <w:tr>
        <w:trPr>
          <w:trHeight w:val="312" w:hRule="atLeast"/>
        </w:trPr>
        <w:tc>
          <w:tcPr>
            <w:tcW w:w="2867" w:type="dxa"/>
            <w:gridSpan w:val="2"/>
            <w:vMerge/>
            <w:tcBorders>
              <w:top w:val="nil"/>
            </w:tcBorders>
          </w:tcPr>
          <w:p>
            <w:pPr>
              <w:rPr>
                <w:sz w:val="2"/>
                <w:szCs w:val="2"/>
              </w:rPr>
            </w:pPr>
          </w:p>
        </w:tc>
        <w:tc>
          <w:tcPr>
            <w:tcW w:w="7036" w:type="dxa"/>
          </w:tcPr>
          <w:p>
            <w:pPr>
              <w:pStyle w:val="TableParagraph"/>
              <w:spacing w:line="262" w:lineRule="exact"/>
              <w:ind w:left="94"/>
              <w:rPr>
                <w:sz w:val="21"/>
              </w:rPr>
            </w:pPr>
            <w:r>
              <w:rPr>
                <w:sz w:val="21"/>
                <w:shd w:fill="DADADA" w:color="auto" w:val="clear"/>
              </w:rPr>
              <w:t>本保障仅包括由自身免疫功能紊乱所导致的慢性肾上腺功能不全，其他成</w:t>
            </w:r>
          </w:p>
        </w:tc>
      </w:tr>
      <w:tr>
        <w:trPr>
          <w:trHeight w:val="311" w:hRule="atLeast"/>
        </w:trPr>
        <w:tc>
          <w:tcPr>
            <w:tcW w:w="2867" w:type="dxa"/>
            <w:gridSpan w:val="2"/>
            <w:vMerge/>
            <w:tcBorders>
              <w:top w:val="nil"/>
            </w:tcBorders>
          </w:tcPr>
          <w:p>
            <w:pPr>
              <w:rPr>
                <w:sz w:val="2"/>
                <w:szCs w:val="2"/>
              </w:rPr>
            </w:pPr>
          </w:p>
        </w:tc>
        <w:tc>
          <w:tcPr>
            <w:tcW w:w="7036" w:type="dxa"/>
          </w:tcPr>
          <w:p>
            <w:pPr>
              <w:pStyle w:val="TableParagraph"/>
              <w:spacing w:line="261" w:lineRule="exact"/>
              <w:ind w:left="94"/>
              <w:rPr>
                <w:sz w:val="21"/>
              </w:rPr>
            </w:pPr>
            <w:r>
              <w:rPr>
                <w:sz w:val="21"/>
                <w:shd w:fill="DADADA" w:color="auto" w:val="clear"/>
              </w:rPr>
              <w:t>因（包括但不限于：肾上腺结核、HIV 感染或艾滋病、感染、肿瘤）所致的</w:t>
            </w:r>
          </w:p>
        </w:tc>
      </w:tr>
      <w:tr>
        <w:trPr>
          <w:trHeight w:val="312" w:hRule="atLeast"/>
        </w:trPr>
        <w:tc>
          <w:tcPr>
            <w:tcW w:w="2867" w:type="dxa"/>
            <w:gridSpan w:val="2"/>
            <w:vMerge/>
            <w:tcBorders>
              <w:top w:val="nil"/>
            </w:tcBorders>
          </w:tcPr>
          <w:p>
            <w:pPr>
              <w:rPr>
                <w:sz w:val="2"/>
                <w:szCs w:val="2"/>
              </w:rPr>
            </w:pPr>
          </w:p>
        </w:tc>
        <w:tc>
          <w:tcPr>
            <w:tcW w:w="7036" w:type="dxa"/>
          </w:tcPr>
          <w:p>
            <w:pPr>
              <w:pStyle w:val="TableParagraph"/>
              <w:spacing w:line="261" w:lineRule="exact"/>
              <w:ind w:left="94"/>
              <w:rPr>
                <w:sz w:val="21"/>
              </w:rPr>
            </w:pPr>
            <w:r>
              <w:rPr>
                <w:sz w:val="21"/>
                <w:shd w:fill="DADADA" w:color="auto" w:val="clear"/>
              </w:rPr>
              <w:t>原发性肾上腺皮质功能减退和继发性肾上腺皮质功能减退均不在保障范围</w:t>
            </w:r>
          </w:p>
        </w:tc>
      </w:tr>
      <w:tr>
        <w:trPr>
          <w:trHeight w:val="429" w:hRule="atLeast"/>
        </w:trPr>
        <w:tc>
          <w:tcPr>
            <w:tcW w:w="2867" w:type="dxa"/>
            <w:gridSpan w:val="2"/>
            <w:vMerge/>
            <w:tcBorders>
              <w:top w:val="nil"/>
            </w:tcBorders>
          </w:tcPr>
          <w:p>
            <w:pPr>
              <w:rPr>
                <w:sz w:val="2"/>
                <w:szCs w:val="2"/>
              </w:rPr>
            </w:pPr>
          </w:p>
        </w:tc>
        <w:tc>
          <w:tcPr>
            <w:tcW w:w="7036" w:type="dxa"/>
          </w:tcPr>
          <w:p>
            <w:pPr>
              <w:pStyle w:val="TableParagraph"/>
              <w:spacing w:line="261" w:lineRule="exact"/>
              <w:ind w:left="94"/>
              <w:rPr>
                <w:sz w:val="21"/>
              </w:rPr>
            </w:pPr>
            <w:r>
              <w:rPr>
                <w:sz w:val="21"/>
                <w:shd w:fill="DADADA" w:color="auto" w:val="clear"/>
              </w:rPr>
              <w:t>内。</w:t>
            </w:r>
          </w:p>
        </w:tc>
      </w:tr>
      <w:tr>
        <w:trPr>
          <w:trHeight w:val="773" w:hRule="atLeast"/>
        </w:trPr>
        <w:tc>
          <w:tcPr>
            <w:tcW w:w="453" w:type="dxa"/>
          </w:tcPr>
          <w:p>
            <w:pPr>
              <w:pStyle w:val="TableParagraph"/>
              <w:spacing w:before="124"/>
              <w:ind w:left="50"/>
              <w:rPr>
                <w:b/>
                <w:sz w:val="21"/>
              </w:rPr>
            </w:pPr>
            <w:r>
              <w:rPr>
                <w:b/>
                <w:sz w:val="21"/>
              </w:rPr>
              <w:t>37</w:t>
            </w:r>
          </w:p>
        </w:tc>
        <w:tc>
          <w:tcPr>
            <w:tcW w:w="2414" w:type="dxa"/>
          </w:tcPr>
          <w:p>
            <w:pPr>
              <w:pStyle w:val="TableParagraph"/>
              <w:spacing w:line="235" w:lineRule="auto" w:before="94"/>
              <w:ind w:left="192" w:right="92"/>
              <w:rPr>
                <w:rFonts w:ascii="等线" w:eastAsia="等线" w:hint="eastAsia"/>
                <w:b/>
                <w:sz w:val="24"/>
              </w:rPr>
            </w:pPr>
            <w:r>
              <w:rPr>
                <w:rFonts w:ascii="等线" w:eastAsia="等线" w:hint="eastAsia"/>
                <w:b/>
                <w:sz w:val="24"/>
              </w:rPr>
              <w:t>严重小肠疾病并发症</w:t>
            </w:r>
          </w:p>
        </w:tc>
        <w:tc>
          <w:tcPr>
            <w:tcW w:w="7036" w:type="dxa"/>
          </w:tcPr>
          <w:p>
            <w:pPr>
              <w:pStyle w:val="TableParagraph"/>
              <w:spacing w:before="124"/>
              <w:ind w:left="94"/>
              <w:rPr>
                <w:sz w:val="21"/>
              </w:rPr>
            </w:pPr>
            <w:r>
              <w:rPr>
                <w:sz w:val="21"/>
              </w:rPr>
              <w:t>指严重肠道疾病或外伤导致小肠损害并发症，满足以下所有条件：</w:t>
            </w:r>
          </w:p>
          <w:p>
            <w:pPr>
              <w:pStyle w:val="TableParagraph"/>
              <w:spacing w:before="37"/>
              <w:ind w:left="94"/>
              <w:rPr>
                <w:sz w:val="21"/>
              </w:rPr>
            </w:pPr>
            <w:r>
              <w:rPr>
                <w:sz w:val="21"/>
              </w:rPr>
              <w:t>（1）切除部分或全部小肠；</w:t>
            </w:r>
          </w:p>
        </w:tc>
      </w:tr>
      <w:tr>
        <w:trPr>
          <w:trHeight w:val="416" w:hRule="atLeast"/>
        </w:trPr>
        <w:tc>
          <w:tcPr>
            <w:tcW w:w="453" w:type="dxa"/>
          </w:tcPr>
          <w:p>
            <w:pPr>
              <w:pStyle w:val="TableParagraph"/>
              <w:rPr>
                <w:rFonts w:ascii="Times New Roman"/>
                <w:sz w:val="20"/>
              </w:rPr>
            </w:pPr>
          </w:p>
        </w:tc>
        <w:tc>
          <w:tcPr>
            <w:tcW w:w="2414" w:type="dxa"/>
          </w:tcPr>
          <w:p>
            <w:pPr>
              <w:pStyle w:val="TableParagraph"/>
              <w:rPr>
                <w:rFonts w:ascii="Times New Roman"/>
                <w:sz w:val="20"/>
              </w:rPr>
            </w:pPr>
          </w:p>
        </w:tc>
        <w:tc>
          <w:tcPr>
            <w:tcW w:w="7036" w:type="dxa"/>
          </w:tcPr>
          <w:p>
            <w:pPr>
              <w:pStyle w:val="TableParagraph"/>
              <w:spacing w:line="249" w:lineRule="exact"/>
              <w:ind w:left="94"/>
              <w:rPr>
                <w:sz w:val="21"/>
              </w:rPr>
            </w:pPr>
            <w:r>
              <w:rPr>
                <w:sz w:val="21"/>
              </w:rPr>
              <w:t>（2）完全肠外营养支持三个月以上。</w:t>
            </w:r>
          </w:p>
        </w:tc>
      </w:tr>
      <w:tr>
        <w:trPr>
          <w:trHeight w:val="773" w:hRule="atLeast"/>
        </w:trPr>
        <w:tc>
          <w:tcPr>
            <w:tcW w:w="453" w:type="dxa"/>
          </w:tcPr>
          <w:p>
            <w:pPr>
              <w:pStyle w:val="TableParagraph"/>
              <w:spacing w:before="124"/>
              <w:ind w:left="50"/>
              <w:rPr>
                <w:b/>
                <w:sz w:val="21"/>
              </w:rPr>
            </w:pPr>
            <w:r>
              <w:rPr>
                <w:b/>
                <w:sz w:val="21"/>
              </w:rPr>
              <w:t>38</w:t>
            </w:r>
          </w:p>
        </w:tc>
        <w:tc>
          <w:tcPr>
            <w:tcW w:w="2414" w:type="dxa"/>
          </w:tcPr>
          <w:p>
            <w:pPr>
              <w:pStyle w:val="TableParagraph"/>
              <w:spacing w:line="235" w:lineRule="auto" w:before="94"/>
              <w:ind w:left="192" w:right="92"/>
              <w:rPr>
                <w:rFonts w:ascii="等线" w:eastAsia="等线" w:hint="eastAsia"/>
                <w:b/>
                <w:sz w:val="24"/>
              </w:rPr>
            </w:pPr>
            <w:r>
              <w:rPr>
                <w:rFonts w:ascii="等线" w:eastAsia="等线" w:hint="eastAsia"/>
                <w:b/>
                <w:sz w:val="24"/>
              </w:rPr>
              <w:t>严重的骨髓增生异常综合征</w:t>
            </w:r>
          </w:p>
        </w:tc>
        <w:tc>
          <w:tcPr>
            <w:tcW w:w="7036" w:type="dxa"/>
          </w:tcPr>
          <w:p>
            <w:pPr>
              <w:pStyle w:val="TableParagraph"/>
              <w:spacing w:before="124"/>
              <w:ind w:left="94"/>
              <w:rPr>
                <w:sz w:val="21"/>
              </w:rPr>
            </w:pPr>
            <w:r>
              <w:rPr>
                <w:sz w:val="21"/>
              </w:rPr>
              <w:t>指起源于造血干细胞的一组骨髓克隆增生异常的疾病，符合世界卫生组织</w:t>
            </w:r>
          </w:p>
          <w:p>
            <w:pPr>
              <w:pStyle w:val="TableParagraph"/>
              <w:spacing w:before="37"/>
              <w:ind w:left="94"/>
              <w:rPr>
                <w:sz w:val="21"/>
              </w:rPr>
            </w:pPr>
            <w:r>
              <w:rPr>
                <w:spacing w:val="1"/>
                <w:w w:val="100"/>
                <w:sz w:val="21"/>
              </w:rPr>
              <w:t>（</w:t>
            </w:r>
            <w:r>
              <w:rPr>
                <w:w w:val="100"/>
                <w:sz w:val="21"/>
              </w:rPr>
              <w:t>WHO</w:t>
            </w:r>
            <w:r>
              <w:rPr>
                <w:spacing w:val="1"/>
                <w:w w:val="100"/>
                <w:sz w:val="21"/>
              </w:rPr>
              <w:t>）</w:t>
            </w:r>
            <w:r>
              <w:rPr>
                <w:spacing w:val="-1"/>
                <w:w w:val="100"/>
                <w:sz w:val="21"/>
              </w:rPr>
              <w:t>分型方案中的、难治性贫血伴原始细胞增多-</w:t>
            </w:r>
            <w:r>
              <w:rPr>
                <w:spacing w:val="1"/>
                <w:w w:val="100"/>
                <w:sz w:val="21"/>
              </w:rPr>
              <w:t>1（</w:t>
            </w:r>
            <w:r>
              <w:rPr>
                <w:w w:val="100"/>
                <w:sz w:val="21"/>
              </w:rPr>
              <w:t>R</w:t>
            </w:r>
            <w:r>
              <w:rPr>
                <w:spacing w:val="-3"/>
                <w:w w:val="100"/>
                <w:sz w:val="21"/>
              </w:rPr>
              <w:t>A</w:t>
            </w:r>
            <w:r>
              <w:rPr>
                <w:w w:val="100"/>
                <w:sz w:val="21"/>
              </w:rPr>
              <w:t>EB-1</w:t>
            </w:r>
            <w:r>
              <w:rPr>
                <w:spacing w:val="-104"/>
                <w:w w:val="100"/>
                <w:sz w:val="21"/>
              </w:rPr>
              <w:t>）</w:t>
            </w:r>
            <w:r>
              <w:rPr>
                <w:w w:val="100"/>
                <w:sz w:val="21"/>
              </w:rPr>
              <w:t>、难治性</w:t>
            </w:r>
          </w:p>
        </w:tc>
      </w:tr>
      <w:tr>
        <w:trPr>
          <w:trHeight w:val="299" w:hRule="atLeast"/>
        </w:trPr>
        <w:tc>
          <w:tcPr>
            <w:tcW w:w="453" w:type="dxa"/>
          </w:tcPr>
          <w:p>
            <w:pPr>
              <w:pStyle w:val="TableParagraph"/>
              <w:rPr>
                <w:rFonts w:ascii="Times New Roman"/>
                <w:sz w:val="20"/>
              </w:rPr>
            </w:pPr>
          </w:p>
        </w:tc>
        <w:tc>
          <w:tcPr>
            <w:tcW w:w="2414" w:type="dxa"/>
          </w:tcPr>
          <w:p>
            <w:pPr>
              <w:pStyle w:val="TableParagraph"/>
              <w:rPr>
                <w:rFonts w:ascii="Times New Roman"/>
                <w:sz w:val="20"/>
              </w:rPr>
            </w:pPr>
          </w:p>
        </w:tc>
        <w:tc>
          <w:tcPr>
            <w:tcW w:w="7036" w:type="dxa"/>
          </w:tcPr>
          <w:p>
            <w:pPr>
              <w:pStyle w:val="TableParagraph"/>
              <w:spacing w:line="249" w:lineRule="exact"/>
              <w:ind w:left="94"/>
              <w:rPr>
                <w:sz w:val="21"/>
              </w:rPr>
            </w:pPr>
            <w:r>
              <w:rPr>
                <w:spacing w:val="-3"/>
                <w:w w:val="100"/>
                <w:sz w:val="21"/>
              </w:rPr>
              <w:t>贫血伴原始细胞增多-</w:t>
            </w:r>
            <w:r>
              <w:rPr>
                <w:spacing w:val="-10"/>
                <w:w w:val="100"/>
                <w:sz w:val="21"/>
              </w:rPr>
              <w:t>2</w:t>
            </w:r>
            <w:r>
              <w:rPr>
                <w:spacing w:val="-3"/>
                <w:w w:val="100"/>
                <w:sz w:val="21"/>
              </w:rPr>
              <w:t>（R</w:t>
            </w:r>
            <w:r>
              <w:rPr>
                <w:w w:val="100"/>
                <w:sz w:val="21"/>
              </w:rPr>
              <w:t>AEB-2</w:t>
            </w:r>
            <w:r>
              <w:rPr>
                <w:spacing w:val="-108"/>
                <w:w w:val="100"/>
                <w:sz w:val="21"/>
              </w:rPr>
              <w:t>）</w:t>
            </w:r>
            <w:r>
              <w:rPr>
                <w:spacing w:val="-10"/>
                <w:w w:val="100"/>
                <w:sz w:val="21"/>
              </w:rPr>
              <w:t>、</w:t>
            </w:r>
            <w:r>
              <w:rPr>
                <w:w w:val="100"/>
                <w:sz w:val="21"/>
              </w:rPr>
              <w:t>M</w:t>
            </w:r>
            <w:r>
              <w:rPr>
                <w:spacing w:val="-3"/>
                <w:w w:val="100"/>
                <w:sz w:val="21"/>
              </w:rPr>
              <w:t>D</w:t>
            </w:r>
            <w:r>
              <w:rPr>
                <w:w w:val="100"/>
                <w:sz w:val="21"/>
              </w:rPr>
              <w:t>S-</w:t>
            </w:r>
            <w:r>
              <w:rPr>
                <w:spacing w:val="-6"/>
                <w:w w:val="100"/>
                <w:sz w:val="21"/>
              </w:rPr>
              <w:t>未分类</w:t>
            </w:r>
            <w:r>
              <w:rPr>
                <w:w w:val="100"/>
                <w:sz w:val="21"/>
              </w:rPr>
              <w:t>（M</w:t>
            </w:r>
            <w:r>
              <w:rPr>
                <w:spacing w:val="-3"/>
                <w:w w:val="100"/>
                <w:sz w:val="21"/>
              </w:rPr>
              <w:t>DS</w:t>
            </w:r>
            <w:r>
              <w:rPr>
                <w:w w:val="100"/>
                <w:sz w:val="21"/>
              </w:rPr>
              <w:t>-U</w:t>
            </w:r>
            <w:r>
              <w:rPr>
                <w:spacing w:val="-106"/>
                <w:w w:val="100"/>
                <w:sz w:val="21"/>
              </w:rPr>
              <w:t>）</w:t>
            </w:r>
            <w:r>
              <w:rPr>
                <w:spacing w:val="-10"/>
                <w:w w:val="100"/>
                <w:sz w:val="21"/>
              </w:rPr>
              <w:t>、</w:t>
            </w:r>
            <w:r>
              <w:rPr>
                <w:spacing w:val="-3"/>
                <w:w w:val="100"/>
                <w:sz w:val="21"/>
              </w:rPr>
              <w:t>M</w:t>
            </w:r>
            <w:r>
              <w:rPr>
                <w:w w:val="100"/>
                <w:sz w:val="21"/>
              </w:rPr>
              <w:t>DS</w:t>
            </w:r>
            <w:r>
              <w:rPr>
                <w:spacing w:val="-55"/>
                <w:sz w:val="21"/>
              </w:rPr>
              <w:t> </w:t>
            </w:r>
            <w:r>
              <w:rPr>
                <w:spacing w:val="-2"/>
                <w:w w:val="100"/>
                <w:sz w:val="21"/>
              </w:rPr>
              <w:t>伴单纯</w:t>
            </w:r>
            <w:r>
              <w:rPr>
                <w:spacing w:val="-53"/>
                <w:sz w:val="21"/>
              </w:rPr>
              <w:t> </w:t>
            </w:r>
            <w:r>
              <w:rPr>
                <w:w w:val="100"/>
                <w:sz w:val="21"/>
              </w:rPr>
              <w:t>5q</w:t>
            </w:r>
            <w:r>
              <w:rPr>
                <w:spacing w:val="-2"/>
                <w:w w:val="100"/>
                <w:sz w:val="21"/>
              </w:rPr>
              <w:t>-，</w:t>
            </w:r>
          </w:p>
        </w:tc>
      </w:tr>
      <w:tr>
        <w:trPr>
          <w:trHeight w:val="311" w:hRule="atLeast"/>
        </w:trPr>
        <w:tc>
          <w:tcPr>
            <w:tcW w:w="453" w:type="dxa"/>
          </w:tcPr>
          <w:p>
            <w:pPr>
              <w:pStyle w:val="TableParagraph"/>
              <w:rPr>
                <w:rFonts w:ascii="Times New Roman"/>
                <w:sz w:val="20"/>
              </w:rPr>
            </w:pPr>
          </w:p>
        </w:tc>
        <w:tc>
          <w:tcPr>
            <w:tcW w:w="2414" w:type="dxa"/>
          </w:tcPr>
          <w:p>
            <w:pPr>
              <w:pStyle w:val="TableParagraph"/>
              <w:rPr>
                <w:rFonts w:ascii="Times New Roman"/>
                <w:sz w:val="20"/>
              </w:rPr>
            </w:pPr>
          </w:p>
        </w:tc>
        <w:tc>
          <w:tcPr>
            <w:tcW w:w="7036" w:type="dxa"/>
          </w:tcPr>
          <w:p>
            <w:pPr>
              <w:pStyle w:val="TableParagraph"/>
              <w:spacing w:line="261" w:lineRule="exact"/>
              <w:ind w:left="94"/>
              <w:rPr>
                <w:sz w:val="21"/>
              </w:rPr>
            </w:pPr>
            <w:r>
              <w:rPr>
                <w:sz w:val="21"/>
              </w:rPr>
              <w:t>且需满足下列所有条件：</w:t>
            </w:r>
          </w:p>
        </w:tc>
      </w:tr>
      <w:tr>
        <w:trPr>
          <w:trHeight w:val="311" w:hRule="atLeast"/>
        </w:trPr>
        <w:tc>
          <w:tcPr>
            <w:tcW w:w="453" w:type="dxa"/>
          </w:tcPr>
          <w:p>
            <w:pPr>
              <w:pStyle w:val="TableParagraph"/>
              <w:rPr>
                <w:rFonts w:ascii="Times New Roman"/>
                <w:sz w:val="20"/>
              </w:rPr>
            </w:pPr>
          </w:p>
        </w:tc>
        <w:tc>
          <w:tcPr>
            <w:tcW w:w="2414" w:type="dxa"/>
          </w:tcPr>
          <w:p>
            <w:pPr>
              <w:pStyle w:val="TableParagraph"/>
              <w:rPr>
                <w:rFonts w:ascii="Times New Roman"/>
                <w:sz w:val="20"/>
              </w:rPr>
            </w:pPr>
          </w:p>
        </w:tc>
        <w:tc>
          <w:tcPr>
            <w:tcW w:w="7036" w:type="dxa"/>
          </w:tcPr>
          <w:p>
            <w:pPr>
              <w:pStyle w:val="TableParagraph"/>
              <w:spacing w:line="261" w:lineRule="exact"/>
              <w:ind w:left="94"/>
              <w:rPr>
                <w:sz w:val="21"/>
              </w:rPr>
            </w:pPr>
            <w:r>
              <w:rPr>
                <w:sz w:val="21"/>
              </w:rPr>
              <w:t>（1）骨髓穿刺或骨髓活检结果支持诊断；</w:t>
            </w:r>
          </w:p>
        </w:tc>
      </w:tr>
      <w:tr>
        <w:trPr>
          <w:trHeight w:val="311" w:hRule="atLeast"/>
        </w:trPr>
        <w:tc>
          <w:tcPr>
            <w:tcW w:w="453" w:type="dxa"/>
          </w:tcPr>
          <w:p>
            <w:pPr>
              <w:pStyle w:val="TableParagraph"/>
              <w:rPr>
                <w:rFonts w:ascii="Times New Roman"/>
                <w:sz w:val="20"/>
              </w:rPr>
            </w:pPr>
          </w:p>
        </w:tc>
        <w:tc>
          <w:tcPr>
            <w:tcW w:w="2414" w:type="dxa"/>
          </w:tcPr>
          <w:p>
            <w:pPr>
              <w:pStyle w:val="TableParagraph"/>
              <w:rPr>
                <w:rFonts w:ascii="Times New Roman"/>
                <w:sz w:val="20"/>
              </w:rPr>
            </w:pPr>
          </w:p>
        </w:tc>
        <w:tc>
          <w:tcPr>
            <w:tcW w:w="7036" w:type="dxa"/>
          </w:tcPr>
          <w:p>
            <w:pPr>
              <w:pStyle w:val="TableParagraph"/>
              <w:spacing w:line="261" w:lineRule="exact"/>
              <w:ind w:left="94"/>
              <w:rPr>
                <w:sz w:val="21"/>
              </w:rPr>
            </w:pPr>
            <w:r>
              <w:rPr>
                <w:sz w:val="21"/>
              </w:rPr>
              <w:t>（2）已持续接受一个月以上的化疗或已接受骨髓移植治疗。</w:t>
            </w:r>
          </w:p>
        </w:tc>
      </w:tr>
      <w:tr>
        <w:trPr>
          <w:trHeight w:val="430" w:hRule="atLeast"/>
        </w:trPr>
        <w:tc>
          <w:tcPr>
            <w:tcW w:w="453" w:type="dxa"/>
          </w:tcPr>
          <w:p>
            <w:pPr>
              <w:pStyle w:val="TableParagraph"/>
              <w:rPr>
                <w:rFonts w:ascii="Times New Roman"/>
                <w:sz w:val="20"/>
              </w:rPr>
            </w:pPr>
          </w:p>
        </w:tc>
        <w:tc>
          <w:tcPr>
            <w:tcW w:w="2414" w:type="dxa"/>
          </w:tcPr>
          <w:p>
            <w:pPr>
              <w:pStyle w:val="TableParagraph"/>
              <w:rPr>
                <w:rFonts w:ascii="Times New Roman"/>
                <w:sz w:val="20"/>
              </w:rPr>
            </w:pPr>
          </w:p>
        </w:tc>
        <w:tc>
          <w:tcPr>
            <w:tcW w:w="7036" w:type="dxa"/>
          </w:tcPr>
          <w:p>
            <w:pPr>
              <w:pStyle w:val="TableParagraph"/>
              <w:spacing w:line="261" w:lineRule="exact"/>
              <w:ind w:left="94"/>
              <w:rPr>
                <w:sz w:val="21"/>
              </w:rPr>
            </w:pPr>
            <w:r>
              <w:rPr>
                <w:sz w:val="21"/>
              </w:rPr>
              <w:t>此病症须经专科医生明确诊断。</w:t>
            </w:r>
          </w:p>
        </w:tc>
      </w:tr>
      <w:tr>
        <w:trPr>
          <w:trHeight w:val="459" w:hRule="atLeast"/>
        </w:trPr>
        <w:tc>
          <w:tcPr>
            <w:tcW w:w="453" w:type="dxa"/>
          </w:tcPr>
          <w:p>
            <w:pPr>
              <w:pStyle w:val="TableParagraph"/>
              <w:spacing w:before="125"/>
              <w:ind w:left="50"/>
              <w:rPr>
                <w:b/>
                <w:sz w:val="21"/>
              </w:rPr>
            </w:pPr>
            <w:r>
              <w:rPr>
                <w:b/>
                <w:sz w:val="21"/>
              </w:rPr>
              <w:t>39</w:t>
            </w:r>
          </w:p>
        </w:tc>
        <w:tc>
          <w:tcPr>
            <w:tcW w:w="2414" w:type="dxa"/>
          </w:tcPr>
          <w:p>
            <w:pPr>
              <w:pStyle w:val="TableParagraph"/>
              <w:spacing w:before="89"/>
              <w:ind w:left="192"/>
              <w:rPr>
                <w:rFonts w:ascii="等线" w:eastAsia="等线" w:hint="eastAsia"/>
                <w:b/>
                <w:sz w:val="24"/>
              </w:rPr>
            </w:pPr>
            <w:r>
              <w:rPr>
                <w:rFonts w:ascii="等线" w:eastAsia="等线" w:hint="eastAsia"/>
                <w:b/>
                <w:sz w:val="24"/>
              </w:rPr>
              <w:t>严重克隆病</w:t>
            </w:r>
          </w:p>
        </w:tc>
        <w:tc>
          <w:tcPr>
            <w:tcW w:w="7036" w:type="dxa"/>
          </w:tcPr>
          <w:p>
            <w:pPr>
              <w:pStyle w:val="TableParagraph"/>
              <w:spacing w:before="125"/>
              <w:ind w:left="94"/>
              <w:rPr>
                <w:sz w:val="21"/>
              </w:rPr>
            </w:pPr>
            <w:r>
              <w:rPr>
                <w:sz w:val="21"/>
              </w:rPr>
              <w:t>指一种慢性肉芽肿性肠炎，具有特征性的克隆病病理组织学变化。诊断必</w:t>
            </w:r>
          </w:p>
        </w:tc>
      </w:tr>
      <w:tr>
        <w:trPr>
          <w:trHeight w:val="303" w:hRule="atLeast"/>
        </w:trPr>
        <w:tc>
          <w:tcPr>
            <w:tcW w:w="453" w:type="dxa"/>
          </w:tcPr>
          <w:p>
            <w:pPr>
              <w:pStyle w:val="TableParagraph"/>
              <w:rPr>
                <w:rFonts w:ascii="Times New Roman"/>
                <w:sz w:val="20"/>
              </w:rPr>
            </w:pPr>
          </w:p>
        </w:tc>
        <w:tc>
          <w:tcPr>
            <w:tcW w:w="2414" w:type="dxa"/>
          </w:tcPr>
          <w:p>
            <w:pPr>
              <w:pStyle w:val="TableParagraph"/>
              <w:rPr>
                <w:rFonts w:ascii="Times New Roman"/>
                <w:sz w:val="20"/>
              </w:rPr>
            </w:pPr>
          </w:p>
        </w:tc>
        <w:tc>
          <w:tcPr>
            <w:tcW w:w="7036" w:type="dxa"/>
          </w:tcPr>
          <w:p>
            <w:pPr>
              <w:pStyle w:val="TableParagraph"/>
              <w:spacing w:line="253" w:lineRule="exact"/>
              <w:ind w:left="94"/>
              <w:rPr>
                <w:sz w:val="21"/>
              </w:rPr>
            </w:pPr>
            <w:r>
              <w:rPr>
                <w:sz w:val="21"/>
              </w:rPr>
              <w:t>须由病理检查结果证实。被保险人所患的克隆病必须已经造成瘘管形成并</w:t>
            </w:r>
          </w:p>
        </w:tc>
      </w:tr>
      <w:tr>
        <w:trPr>
          <w:trHeight w:val="429" w:hRule="atLeast"/>
        </w:trPr>
        <w:tc>
          <w:tcPr>
            <w:tcW w:w="453" w:type="dxa"/>
          </w:tcPr>
          <w:p>
            <w:pPr>
              <w:pStyle w:val="TableParagraph"/>
              <w:rPr>
                <w:rFonts w:ascii="Times New Roman"/>
                <w:sz w:val="20"/>
              </w:rPr>
            </w:pPr>
          </w:p>
        </w:tc>
        <w:tc>
          <w:tcPr>
            <w:tcW w:w="2414" w:type="dxa"/>
          </w:tcPr>
          <w:p>
            <w:pPr>
              <w:pStyle w:val="TableParagraph"/>
              <w:rPr>
                <w:rFonts w:ascii="Times New Roman"/>
                <w:sz w:val="20"/>
              </w:rPr>
            </w:pPr>
          </w:p>
        </w:tc>
        <w:tc>
          <w:tcPr>
            <w:tcW w:w="7036" w:type="dxa"/>
          </w:tcPr>
          <w:p>
            <w:pPr>
              <w:pStyle w:val="TableParagraph"/>
              <w:spacing w:line="261" w:lineRule="exact"/>
              <w:ind w:left="94"/>
              <w:rPr>
                <w:sz w:val="21"/>
              </w:rPr>
            </w:pPr>
            <w:r>
              <w:rPr>
                <w:sz w:val="21"/>
              </w:rPr>
              <w:t>伴有肠梗阻或肠穿孔。</w:t>
            </w:r>
          </w:p>
        </w:tc>
      </w:tr>
      <w:tr>
        <w:trPr>
          <w:trHeight w:val="457" w:hRule="atLeast"/>
        </w:trPr>
        <w:tc>
          <w:tcPr>
            <w:tcW w:w="453" w:type="dxa"/>
          </w:tcPr>
          <w:p>
            <w:pPr>
              <w:pStyle w:val="TableParagraph"/>
              <w:spacing w:before="124"/>
              <w:ind w:left="50"/>
              <w:rPr>
                <w:b/>
                <w:sz w:val="21"/>
              </w:rPr>
            </w:pPr>
            <w:r>
              <w:rPr>
                <w:b/>
                <w:sz w:val="21"/>
              </w:rPr>
              <w:t>40</w:t>
            </w:r>
          </w:p>
        </w:tc>
        <w:tc>
          <w:tcPr>
            <w:tcW w:w="2414" w:type="dxa"/>
          </w:tcPr>
          <w:p>
            <w:pPr>
              <w:pStyle w:val="TableParagraph"/>
              <w:spacing w:before="88"/>
              <w:ind w:left="192"/>
              <w:rPr>
                <w:rFonts w:ascii="等线" w:eastAsia="等线" w:hint="eastAsia"/>
                <w:b/>
                <w:sz w:val="24"/>
              </w:rPr>
            </w:pPr>
            <w:r>
              <w:rPr>
                <w:rFonts w:ascii="等线" w:eastAsia="等线" w:hint="eastAsia"/>
                <w:b/>
                <w:sz w:val="24"/>
              </w:rPr>
              <w:t>骨髓纤维化</w:t>
            </w:r>
          </w:p>
        </w:tc>
        <w:tc>
          <w:tcPr>
            <w:tcW w:w="7036" w:type="dxa"/>
          </w:tcPr>
          <w:p>
            <w:pPr>
              <w:pStyle w:val="TableParagraph"/>
              <w:spacing w:before="124"/>
              <w:ind w:left="94"/>
              <w:rPr>
                <w:sz w:val="21"/>
              </w:rPr>
            </w:pPr>
            <w:r>
              <w:rPr>
                <w:sz w:val="21"/>
              </w:rPr>
              <w:t>指一种因纤维组织取代正常骨髓从而导致贫血、白血球及血小板含量过低</w:t>
            </w:r>
          </w:p>
        </w:tc>
      </w:tr>
      <w:tr>
        <w:trPr>
          <w:trHeight w:val="303" w:hRule="atLeast"/>
        </w:trPr>
        <w:tc>
          <w:tcPr>
            <w:tcW w:w="453" w:type="dxa"/>
          </w:tcPr>
          <w:p>
            <w:pPr>
              <w:pStyle w:val="TableParagraph"/>
              <w:rPr>
                <w:rFonts w:ascii="Times New Roman"/>
                <w:sz w:val="20"/>
              </w:rPr>
            </w:pPr>
          </w:p>
        </w:tc>
        <w:tc>
          <w:tcPr>
            <w:tcW w:w="2414" w:type="dxa"/>
          </w:tcPr>
          <w:p>
            <w:pPr>
              <w:pStyle w:val="TableParagraph"/>
              <w:rPr>
                <w:rFonts w:ascii="Times New Roman"/>
                <w:sz w:val="20"/>
              </w:rPr>
            </w:pPr>
          </w:p>
        </w:tc>
        <w:tc>
          <w:tcPr>
            <w:tcW w:w="7036" w:type="dxa"/>
          </w:tcPr>
          <w:p>
            <w:pPr>
              <w:pStyle w:val="TableParagraph"/>
              <w:spacing w:line="253" w:lineRule="exact"/>
              <w:ind w:left="94"/>
              <w:rPr>
                <w:sz w:val="21"/>
              </w:rPr>
            </w:pPr>
            <w:r>
              <w:rPr>
                <w:sz w:val="21"/>
              </w:rPr>
              <w:t>及脾脏肿大的疾病。病况必须恶化至永久性及严重程度导致被保险人需最</w:t>
            </w:r>
          </w:p>
        </w:tc>
      </w:tr>
      <w:tr>
        <w:trPr>
          <w:trHeight w:val="311" w:hRule="atLeast"/>
        </w:trPr>
        <w:tc>
          <w:tcPr>
            <w:tcW w:w="453" w:type="dxa"/>
          </w:tcPr>
          <w:p>
            <w:pPr>
              <w:pStyle w:val="TableParagraph"/>
              <w:rPr>
                <w:rFonts w:ascii="Times New Roman"/>
                <w:sz w:val="20"/>
              </w:rPr>
            </w:pPr>
          </w:p>
        </w:tc>
        <w:tc>
          <w:tcPr>
            <w:tcW w:w="2414" w:type="dxa"/>
          </w:tcPr>
          <w:p>
            <w:pPr>
              <w:pStyle w:val="TableParagraph"/>
              <w:rPr>
                <w:rFonts w:ascii="Times New Roman"/>
                <w:sz w:val="20"/>
              </w:rPr>
            </w:pPr>
          </w:p>
        </w:tc>
        <w:tc>
          <w:tcPr>
            <w:tcW w:w="7036" w:type="dxa"/>
          </w:tcPr>
          <w:p>
            <w:pPr>
              <w:pStyle w:val="TableParagraph"/>
              <w:spacing w:line="261" w:lineRule="exact"/>
              <w:ind w:left="94"/>
              <w:rPr>
                <w:sz w:val="21"/>
              </w:rPr>
            </w:pPr>
            <w:r>
              <w:rPr>
                <w:sz w:val="21"/>
              </w:rPr>
              <w:t>少每月进行输血。</w:t>
            </w:r>
          </w:p>
        </w:tc>
      </w:tr>
      <w:tr>
        <w:trPr>
          <w:trHeight w:val="429" w:hRule="atLeast"/>
        </w:trPr>
        <w:tc>
          <w:tcPr>
            <w:tcW w:w="453" w:type="dxa"/>
          </w:tcPr>
          <w:p>
            <w:pPr>
              <w:pStyle w:val="TableParagraph"/>
              <w:rPr>
                <w:rFonts w:ascii="Times New Roman"/>
                <w:sz w:val="20"/>
              </w:rPr>
            </w:pPr>
          </w:p>
        </w:tc>
        <w:tc>
          <w:tcPr>
            <w:tcW w:w="2414" w:type="dxa"/>
          </w:tcPr>
          <w:p>
            <w:pPr>
              <w:pStyle w:val="TableParagraph"/>
              <w:rPr>
                <w:rFonts w:ascii="Times New Roman"/>
                <w:sz w:val="20"/>
              </w:rPr>
            </w:pPr>
          </w:p>
        </w:tc>
        <w:tc>
          <w:tcPr>
            <w:tcW w:w="7036" w:type="dxa"/>
          </w:tcPr>
          <w:p>
            <w:pPr>
              <w:pStyle w:val="TableParagraph"/>
              <w:spacing w:line="261" w:lineRule="exact"/>
              <w:ind w:left="94"/>
              <w:rPr>
                <w:sz w:val="21"/>
              </w:rPr>
            </w:pPr>
            <w:r>
              <w:rPr>
                <w:sz w:val="21"/>
              </w:rPr>
              <w:t>此病症须经专科医生明确诊断，并需提供骨髓穿刺检查诊断报告。</w:t>
            </w:r>
          </w:p>
        </w:tc>
      </w:tr>
      <w:tr>
        <w:trPr>
          <w:trHeight w:val="457" w:hRule="atLeast"/>
        </w:trPr>
        <w:tc>
          <w:tcPr>
            <w:tcW w:w="453" w:type="dxa"/>
          </w:tcPr>
          <w:p>
            <w:pPr>
              <w:pStyle w:val="TableParagraph"/>
              <w:spacing w:before="124"/>
              <w:ind w:left="50"/>
              <w:rPr>
                <w:b/>
                <w:sz w:val="21"/>
              </w:rPr>
            </w:pPr>
            <w:r>
              <w:rPr>
                <w:b/>
                <w:sz w:val="21"/>
              </w:rPr>
              <w:t>41</w:t>
            </w:r>
          </w:p>
        </w:tc>
        <w:tc>
          <w:tcPr>
            <w:tcW w:w="2414" w:type="dxa"/>
          </w:tcPr>
          <w:p>
            <w:pPr>
              <w:pStyle w:val="TableParagraph"/>
              <w:spacing w:before="88"/>
              <w:ind w:left="192"/>
              <w:rPr>
                <w:rFonts w:ascii="等线" w:eastAsia="等线" w:hint="eastAsia"/>
                <w:b/>
                <w:sz w:val="24"/>
              </w:rPr>
            </w:pPr>
            <w:r>
              <w:rPr>
                <w:rFonts w:ascii="等线" w:eastAsia="等线" w:hint="eastAsia"/>
                <w:b/>
                <w:sz w:val="24"/>
              </w:rPr>
              <w:t>严重哮喘</w:t>
            </w:r>
          </w:p>
        </w:tc>
        <w:tc>
          <w:tcPr>
            <w:tcW w:w="7036" w:type="dxa"/>
          </w:tcPr>
          <w:p>
            <w:pPr>
              <w:pStyle w:val="TableParagraph"/>
              <w:spacing w:before="124"/>
              <w:ind w:left="94"/>
              <w:rPr>
                <w:sz w:val="21"/>
              </w:rPr>
            </w:pPr>
            <w:r>
              <w:rPr>
                <w:sz w:val="21"/>
              </w:rPr>
              <w:t>指经专科医生明确诊断为严重哮喘，并且满足下列标准中的三项或三项以</w:t>
            </w:r>
          </w:p>
        </w:tc>
      </w:tr>
      <w:tr>
        <w:trPr>
          <w:trHeight w:val="252" w:hRule="atLeast"/>
        </w:trPr>
        <w:tc>
          <w:tcPr>
            <w:tcW w:w="453" w:type="dxa"/>
          </w:tcPr>
          <w:p>
            <w:pPr>
              <w:pStyle w:val="TableParagraph"/>
              <w:rPr>
                <w:rFonts w:ascii="Times New Roman"/>
                <w:sz w:val="18"/>
              </w:rPr>
            </w:pPr>
          </w:p>
        </w:tc>
        <w:tc>
          <w:tcPr>
            <w:tcW w:w="2414" w:type="dxa"/>
          </w:tcPr>
          <w:p>
            <w:pPr>
              <w:pStyle w:val="TableParagraph"/>
              <w:rPr>
                <w:rFonts w:ascii="Times New Roman"/>
                <w:sz w:val="18"/>
              </w:rPr>
            </w:pPr>
          </w:p>
        </w:tc>
        <w:tc>
          <w:tcPr>
            <w:tcW w:w="7036" w:type="dxa"/>
          </w:tcPr>
          <w:p>
            <w:pPr>
              <w:pStyle w:val="TableParagraph"/>
              <w:spacing w:line="233" w:lineRule="exact"/>
              <w:ind w:left="94"/>
              <w:rPr>
                <w:sz w:val="21"/>
              </w:rPr>
            </w:pPr>
            <w:r>
              <w:rPr>
                <w:sz w:val="21"/>
              </w:rPr>
              <w:t>上：</w:t>
            </w:r>
          </w:p>
        </w:tc>
      </w:tr>
    </w:tbl>
    <w:p>
      <w:pPr>
        <w:spacing w:after="0" w:line="233" w:lineRule="exact"/>
        <w:rPr>
          <w:sz w:val="21"/>
        </w:rPr>
        <w:sectPr>
          <w:type w:val="continuous"/>
          <w:pgSz w:w="11910" w:h="16840"/>
          <w:pgMar w:top="400" w:bottom="280" w:left="1020" w:right="760"/>
        </w:sectPr>
      </w:pPr>
    </w:p>
    <w:tbl>
      <w:tblPr>
        <w:tblW w:w="0" w:type="auto"/>
        <w:jc w:val="left"/>
        <w:tblInd w:w="1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3"/>
        <w:gridCol w:w="2414"/>
        <w:gridCol w:w="7085"/>
      </w:tblGrid>
      <w:tr>
        <w:trPr>
          <w:trHeight w:val="1627" w:hRule="atLeast"/>
        </w:trPr>
        <w:tc>
          <w:tcPr>
            <w:tcW w:w="603" w:type="dxa"/>
          </w:tcPr>
          <w:p>
            <w:pPr>
              <w:pStyle w:val="TableParagraph"/>
              <w:rPr>
                <w:rFonts w:ascii="Times New Roman"/>
                <w:sz w:val="20"/>
              </w:rPr>
            </w:pPr>
          </w:p>
        </w:tc>
        <w:tc>
          <w:tcPr>
            <w:tcW w:w="2414" w:type="dxa"/>
          </w:tcPr>
          <w:p>
            <w:pPr>
              <w:pStyle w:val="TableParagraph"/>
              <w:rPr>
                <w:rFonts w:ascii="Times New Roman"/>
                <w:sz w:val="20"/>
              </w:rPr>
            </w:pPr>
          </w:p>
        </w:tc>
        <w:tc>
          <w:tcPr>
            <w:tcW w:w="7085" w:type="dxa"/>
          </w:tcPr>
          <w:p>
            <w:pPr>
              <w:pStyle w:val="TableParagraph"/>
              <w:spacing w:line="211" w:lineRule="exact"/>
              <w:ind w:left="94"/>
              <w:rPr>
                <w:sz w:val="21"/>
              </w:rPr>
            </w:pPr>
            <w:r>
              <w:rPr>
                <w:sz w:val="21"/>
              </w:rPr>
              <w:t>（1）过去两年中有哮喘持续状态病史；</w:t>
            </w:r>
          </w:p>
          <w:p>
            <w:pPr>
              <w:pStyle w:val="TableParagraph"/>
              <w:spacing w:line="273" w:lineRule="auto" w:before="37"/>
              <w:ind w:left="619" w:right="146" w:hanging="526"/>
              <w:rPr>
                <w:sz w:val="21"/>
              </w:rPr>
            </w:pPr>
            <w:r>
              <w:rPr>
                <w:sz w:val="21"/>
              </w:rPr>
              <w:t>（2）身体活动耐受能力显著下降，轻微体力活动即有呼吸困难，且持续六个月以上；</w:t>
            </w:r>
          </w:p>
          <w:p>
            <w:pPr>
              <w:pStyle w:val="TableParagraph"/>
              <w:spacing w:before="7"/>
              <w:ind w:left="94"/>
              <w:rPr>
                <w:sz w:val="21"/>
              </w:rPr>
            </w:pPr>
            <w:r>
              <w:rPr>
                <w:sz w:val="21"/>
              </w:rPr>
              <w:t>（3）慢性肺部过度膨涨充气导致的由影像学检查证实的胸廓畸形；</w:t>
            </w:r>
          </w:p>
          <w:p>
            <w:pPr>
              <w:pStyle w:val="TableParagraph"/>
              <w:spacing w:before="36"/>
              <w:ind w:left="94"/>
              <w:rPr>
                <w:sz w:val="21"/>
              </w:rPr>
            </w:pPr>
            <w:r>
              <w:rPr>
                <w:sz w:val="21"/>
              </w:rPr>
              <w:t>（4）每日口服皮质类固醇激素，至少持续六个月以上。</w:t>
            </w:r>
          </w:p>
        </w:tc>
      </w:tr>
      <w:tr>
        <w:trPr>
          <w:trHeight w:val="879" w:hRule="atLeast"/>
        </w:trPr>
        <w:tc>
          <w:tcPr>
            <w:tcW w:w="603" w:type="dxa"/>
          </w:tcPr>
          <w:p>
            <w:pPr>
              <w:pStyle w:val="TableParagraph"/>
              <w:spacing w:before="125"/>
              <w:ind w:left="179" w:right="171"/>
              <w:jc w:val="center"/>
              <w:rPr>
                <w:b/>
                <w:sz w:val="21"/>
              </w:rPr>
            </w:pPr>
            <w:r>
              <w:rPr>
                <w:b/>
                <w:sz w:val="21"/>
              </w:rPr>
              <w:t>42</w:t>
            </w:r>
          </w:p>
        </w:tc>
        <w:tc>
          <w:tcPr>
            <w:tcW w:w="2414" w:type="dxa"/>
          </w:tcPr>
          <w:p>
            <w:pPr>
              <w:pStyle w:val="TableParagraph"/>
              <w:spacing w:before="89"/>
              <w:ind w:left="192"/>
              <w:rPr>
                <w:rFonts w:ascii="等线" w:eastAsia="等线" w:hint="eastAsia"/>
                <w:b/>
                <w:sz w:val="24"/>
              </w:rPr>
            </w:pPr>
            <w:r>
              <w:rPr>
                <w:rFonts w:ascii="等线" w:eastAsia="等线" w:hint="eastAsia"/>
                <w:b/>
                <w:sz w:val="24"/>
              </w:rPr>
              <w:t>小肠移植</w:t>
            </w:r>
          </w:p>
        </w:tc>
        <w:tc>
          <w:tcPr>
            <w:tcW w:w="7085" w:type="dxa"/>
          </w:tcPr>
          <w:p>
            <w:pPr>
              <w:pStyle w:val="TableParagraph"/>
              <w:spacing w:line="273" w:lineRule="auto" w:before="125"/>
              <w:ind w:left="94" w:right="201"/>
              <w:rPr>
                <w:sz w:val="21"/>
              </w:rPr>
            </w:pPr>
            <w:r>
              <w:rPr>
                <w:sz w:val="21"/>
              </w:rPr>
              <w:t>指因肠道疾病或外伤，已经实施了在全身麻醉下进行的小肠的异体器官移植手术。此手术必须由专科医生认为是医学上必需的情况下进行。</w:t>
            </w:r>
          </w:p>
        </w:tc>
      </w:tr>
      <w:tr>
        <w:trPr>
          <w:trHeight w:val="1200" w:hRule="atLeast"/>
        </w:trPr>
        <w:tc>
          <w:tcPr>
            <w:tcW w:w="603" w:type="dxa"/>
          </w:tcPr>
          <w:p>
            <w:pPr>
              <w:pStyle w:val="TableParagraph"/>
              <w:spacing w:before="124"/>
              <w:ind w:left="179" w:right="171"/>
              <w:jc w:val="center"/>
              <w:rPr>
                <w:b/>
                <w:sz w:val="21"/>
              </w:rPr>
            </w:pPr>
            <w:r>
              <w:rPr>
                <w:b/>
                <w:sz w:val="21"/>
              </w:rPr>
              <w:t>43</w:t>
            </w:r>
          </w:p>
        </w:tc>
        <w:tc>
          <w:tcPr>
            <w:tcW w:w="2414" w:type="dxa"/>
          </w:tcPr>
          <w:p>
            <w:pPr>
              <w:pStyle w:val="TableParagraph"/>
              <w:spacing w:before="88"/>
              <w:ind w:left="192"/>
              <w:rPr>
                <w:rFonts w:ascii="等线" w:eastAsia="等线" w:hint="eastAsia"/>
                <w:b/>
                <w:sz w:val="24"/>
              </w:rPr>
            </w:pPr>
            <w:r>
              <w:rPr>
                <w:rFonts w:ascii="等线" w:eastAsia="等线" w:hint="eastAsia"/>
                <w:b/>
                <w:sz w:val="24"/>
              </w:rPr>
              <w:t>胆道重建手术</w:t>
            </w:r>
          </w:p>
        </w:tc>
        <w:tc>
          <w:tcPr>
            <w:tcW w:w="7085" w:type="dxa"/>
          </w:tcPr>
          <w:p>
            <w:pPr>
              <w:pStyle w:val="TableParagraph"/>
              <w:spacing w:line="273" w:lineRule="auto" w:before="124"/>
              <w:ind w:left="94" w:right="201"/>
              <w:rPr>
                <w:sz w:val="21"/>
              </w:rPr>
            </w:pPr>
            <w:r>
              <w:rPr>
                <w:sz w:val="21"/>
              </w:rPr>
              <w:t>指因疾病或胆道创伤导致接受涉及胆总管小肠吻合术的胆道重建手术。手术必须在专科医生认为是医疗所需的情况下进</w:t>
            </w:r>
            <w:r>
              <w:rPr>
                <w:rFonts w:ascii="Times New Roman" w:eastAsia="Times New Roman"/>
                <w:w w:val="110"/>
                <w:sz w:val="21"/>
              </w:rPr>
              <w:t>行</w:t>
            </w:r>
            <w:r>
              <w:rPr>
                <w:sz w:val="21"/>
              </w:rPr>
              <w:t>。</w:t>
            </w:r>
          </w:p>
          <w:p>
            <w:pPr>
              <w:pStyle w:val="TableParagraph"/>
              <w:spacing w:line="279" w:lineRule="exact"/>
              <w:ind w:left="94"/>
              <w:rPr>
                <w:sz w:val="21"/>
              </w:rPr>
            </w:pPr>
            <w:r>
              <w:rPr>
                <w:sz w:val="21"/>
                <w:shd w:fill="DADADA" w:color="auto" w:val="clear"/>
              </w:rPr>
              <w:t>胆道闭锁并</w:t>
            </w:r>
            <w:r>
              <w:rPr>
                <w:rFonts w:ascii="Times New Roman" w:eastAsia="Times New Roman"/>
                <w:w w:val="110"/>
                <w:sz w:val="21"/>
                <w:shd w:fill="DADADA" w:color="auto" w:val="clear"/>
              </w:rPr>
              <w:t>不</w:t>
            </w:r>
            <w:r>
              <w:rPr>
                <w:sz w:val="21"/>
                <w:shd w:fill="DADADA" w:color="auto" w:val="clear"/>
              </w:rPr>
              <w:t>在保障范围内。</w:t>
            </w:r>
          </w:p>
        </w:tc>
      </w:tr>
      <w:tr>
        <w:trPr>
          <w:trHeight w:val="599" w:hRule="atLeast"/>
        </w:trPr>
        <w:tc>
          <w:tcPr>
            <w:tcW w:w="603" w:type="dxa"/>
          </w:tcPr>
          <w:p>
            <w:pPr>
              <w:pStyle w:val="TableParagraph"/>
              <w:rPr>
                <w:rFonts w:ascii="Times New Roman"/>
                <w:sz w:val="20"/>
              </w:rPr>
            </w:pPr>
          </w:p>
        </w:tc>
        <w:tc>
          <w:tcPr>
            <w:tcW w:w="2414" w:type="dxa"/>
          </w:tcPr>
          <w:p>
            <w:pPr>
              <w:pStyle w:val="TableParagraph"/>
              <w:spacing w:before="113"/>
              <w:ind w:left="192"/>
              <w:rPr>
                <w:b/>
                <w:sz w:val="21"/>
              </w:rPr>
            </w:pPr>
            <w:r>
              <w:rPr>
                <w:b/>
                <w:sz w:val="21"/>
              </w:rPr>
              <w:t>第 4 类：</w:t>
            </w:r>
          </w:p>
        </w:tc>
        <w:tc>
          <w:tcPr>
            <w:tcW w:w="7085" w:type="dxa"/>
          </w:tcPr>
          <w:p>
            <w:pPr>
              <w:pStyle w:val="TableParagraph"/>
              <w:spacing w:before="113"/>
              <w:ind w:left="94"/>
              <w:rPr>
                <w:b/>
                <w:sz w:val="21"/>
              </w:rPr>
            </w:pPr>
            <w:r>
              <w:rPr>
                <w:b/>
                <w:sz w:val="21"/>
              </w:rPr>
              <w:t>与神经系统相关的疾病</w:t>
            </w:r>
          </w:p>
        </w:tc>
      </w:tr>
      <w:tr>
        <w:trPr>
          <w:trHeight w:val="2524" w:hRule="atLeast"/>
        </w:trPr>
        <w:tc>
          <w:tcPr>
            <w:tcW w:w="603" w:type="dxa"/>
          </w:tcPr>
          <w:p>
            <w:pPr>
              <w:pStyle w:val="TableParagraph"/>
              <w:spacing w:before="167"/>
              <w:ind w:left="179" w:right="171"/>
              <w:jc w:val="center"/>
              <w:rPr>
                <w:b/>
                <w:sz w:val="21"/>
              </w:rPr>
            </w:pPr>
            <w:r>
              <w:rPr>
                <w:b/>
                <w:sz w:val="21"/>
              </w:rPr>
              <w:t>44</w:t>
            </w:r>
          </w:p>
        </w:tc>
        <w:tc>
          <w:tcPr>
            <w:tcW w:w="2414" w:type="dxa"/>
          </w:tcPr>
          <w:p>
            <w:pPr>
              <w:pStyle w:val="TableParagraph"/>
              <w:spacing w:before="131"/>
              <w:ind w:left="192"/>
              <w:rPr>
                <w:rFonts w:ascii="等线" w:eastAsia="等线" w:hint="eastAsia"/>
                <w:b/>
                <w:sz w:val="24"/>
              </w:rPr>
            </w:pPr>
            <w:r>
              <w:rPr>
                <w:rFonts w:ascii="等线" w:eastAsia="等线" w:hint="eastAsia"/>
                <w:b/>
                <w:sz w:val="24"/>
              </w:rPr>
              <w:t>良性脑肿瘤</w:t>
            </w:r>
          </w:p>
        </w:tc>
        <w:tc>
          <w:tcPr>
            <w:tcW w:w="7085" w:type="dxa"/>
          </w:tcPr>
          <w:p>
            <w:pPr>
              <w:pStyle w:val="TableParagraph"/>
              <w:spacing w:line="273" w:lineRule="auto" w:before="167"/>
              <w:ind w:left="93" w:right="196"/>
              <w:jc w:val="both"/>
              <w:rPr>
                <w:sz w:val="21"/>
              </w:rPr>
            </w:pPr>
            <w:r>
              <w:rPr>
                <w:sz w:val="21"/>
              </w:rPr>
              <w:t>指脑的良性肿瘤，已经引起颅内压增高，临床表现为视神经乳头水肿、精</w:t>
            </w:r>
            <w:r>
              <w:rPr>
                <w:spacing w:val="-3"/>
                <w:w w:val="100"/>
                <w:sz w:val="21"/>
              </w:rPr>
              <w:t>神症状、癫痫及运动感觉障碍等，并危及生命。须由头颅断层扫描</w:t>
            </w:r>
            <w:r>
              <w:rPr>
                <w:w w:val="100"/>
                <w:sz w:val="21"/>
              </w:rPr>
              <w:t>（C</w:t>
            </w:r>
            <w:r>
              <w:rPr>
                <w:spacing w:val="-3"/>
                <w:w w:val="100"/>
                <w:sz w:val="21"/>
              </w:rPr>
              <w:t>T</w:t>
            </w:r>
            <w:r>
              <w:rPr>
                <w:spacing w:val="-106"/>
                <w:w w:val="100"/>
                <w:sz w:val="21"/>
              </w:rPr>
              <w:t>）、</w:t>
            </w:r>
            <w:r>
              <w:rPr>
                <w:sz w:val="21"/>
              </w:rPr>
              <w:t>核磁共振检查（MRI）或正电子发射断层扫描（PET）等影像学检查证实， </w:t>
            </w:r>
            <w:r>
              <w:rPr>
                <w:spacing w:val="-3"/>
                <w:sz w:val="21"/>
              </w:rPr>
              <w:t>并须满足下列至少一项条件：</w:t>
            </w:r>
          </w:p>
          <w:p>
            <w:pPr>
              <w:pStyle w:val="TableParagraph"/>
              <w:spacing w:before="7"/>
              <w:ind w:left="93"/>
              <w:jc w:val="both"/>
              <w:rPr>
                <w:sz w:val="21"/>
              </w:rPr>
            </w:pPr>
            <w:r>
              <w:rPr>
                <w:sz w:val="21"/>
              </w:rPr>
              <w:t>（1）实际实施了开颅进行的脑肿瘤完全切除或部分切除的手术；</w:t>
            </w:r>
          </w:p>
          <w:p>
            <w:pPr>
              <w:pStyle w:val="TableParagraph"/>
              <w:spacing w:before="36"/>
              <w:ind w:left="93"/>
              <w:jc w:val="both"/>
              <w:rPr>
                <w:sz w:val="21"/>
              </w:rPr>
            </w:pPr>
            <w:r>
              <w:rPr>
                <w:sz w:val="21"/>
              </w:rPr>
              <w:t>（2）实际实施了对脑肿瘤进行的放射治疗。</w:t>
            </w:r>
          </w:p>
          <w:p>
            <w:pPr>
              <w:pStyle w:val="TableParagraph"/>
              <w:spacing w:before="37"/>
              <w:ind w:left="94"/>
              <w:jc w:val="both"/>
              <w:rPr>
                <w:sz w:val="21"/>
              </w:rPr>
            </w:pPr>
            <w:r>
              <w:rPr>
                <w:sz w:val="21"/>
                <w:shd w:fill="DADADA" w:color="auto" w:val="clear"/>
              </w:rPr>
              <w:t>脑垂体瘤、脑囊肿、脑血管性疾病不在保障范围内。</w:t>
            </w:r>
          </w:p>
        </w:tc>
      </w:tr>
      <w:tr>
        <w:trPr>
          <w:trHeight w:val="2211" w:hRule="atLeast"/>
        </w:trPr>
        <w:tc>
          <w:tcPr>
            <w:tcW w:w="603" w:type="dxa"/>
          </w:tcPr>
          <w:p>
            <w:pPr>
              <w:pStyle w:val="TableParagraph"/>
              <w:spacing w:before="167"/>
              <w:ind w:left="179" w:right="171"/>
              <w:jc w:val="center"/>
              <w:rPr>
                <w:b/>
                <w:sz w:val="21"/>
              </w:rPr>
            </w:pPr>
            <w:r>
              <w:rPr>
                <w:b/>
                <w:sz w:val="21"/>
              </w:rPr>
              <w:t>45</w:t>
            </w:r>
          </w:p>
        </w:tc>
        <w:tc>
          <w:tcPr>
            <w:tcW w:w="2414" w:type="dxa"/>
          </w:tcPr>
          <w:p>
            <w:pPr>
              <w:pStyle w:val="TableParagraph"/>
              <w:spacing w:line="232" w:lineRule="auto" w:before="141"/>
              <w:ind w:left="192" w:right="92"/>
              <w:rPr>
                <w:rFonts w:ascii="等线" w:eastAsia="等线" w:hint="eastAsia"/>
                <w:b/>
                <w:sz w:val="24"/>
              </w:rPr>
            </w:pPr>
            <w:r>
              <w:rPr>
                <w:rFonts w:ascii="等线" w:eastAsia="等线" w:hint="eastAsia"/>
                <w:b/>
                <w:sz w:val="24"/>
              </w:rPr>
              <w:t>脑炎后遗症或脑膜炎后遗症</w:t>
            </w:r>
          </w:p>
        </w:tc>
        <w:tc>
          <w:tcPr>
            <w:tcW w:w="7085" w:type="dxa"/>
          </w:tcPr>
          <w:p>
            <w:pPr>
              <w:pStyle w:val="TableParagraph"/>
              <w:spacing w:line="273" w:lineRule="auto" w:before="167"/>
              <w:ind w:left="94" w:right="201"/>
              <w:rPr>
                <w:sz w:val="21"/>
              </w:rPr>
            </w:pPr>
            <w:r>
              <w:rPr>
                <w:sz w:val="21"/>
              </w:rPr>
              <w:t>指因患脑炎或脑膜炎导致的神经系统永久性的功能障碍。神经系统永久性的功能障碍，指疾病确诊 180 日后，仍遗留下列一种或一种以上障碍：</w:t>
            </w:r>
          </w:p>
          <w:p>
            <w:pPr>
              <w:pStyle w:val="TableParagraph"/>
              <w:spacing w:before="7"/>
              <w:ind w:left="94"/>
              <w:rPr>
                <w:sz w:val="21"/>
              </w:rPr>
            </w:pPr>
            <w:r>
              <w:rPr>
                <w:sz w:val="21"/>
              </w:rPr>
              <w:t>（1）一肢或一肢以上肢体机能完全丧失；</w:t>
            </w:r>
          </w:p>
          <w:p>
            <w:pPr>
              <w:pStyle w:val="TableParagraph"/>
              <w:spacing w:before="36"/>
              <w:ind w:left="94"/>
              <w:rPr>
                <w:sz w:val="21"/>
              </w:rPr>
            </w:pPr>
            <w:r>
              <w:rPr>
                <w:sz w:val="21"/>
              </w:rPr>
              <w:t>（2）语言能力或咀嚼吞咽能力完全丧失；</w:t>
            </w:r>
          </w:p>
          <w:p>
            <w:pPr>
              <w:pStyle w:val="TableParagraph"/>
              <w:spacing w:line="273" w:lineRule="auto" w:before="36"/>
              <w:ind w:left="620" w:right="148" w:hanging="526"/>
              <w:rPr>
                <w:sz w:val="21"/>
              </w:rPr>
            </w:pPr>
            <w:r>
              <w:rPr>
                <w:sz w:val="21"/>
              </w:rPr>
              <w:t>（3）自主生活能力完全丧失，无法独立完成六项基本日常生活活动中的三项或三项以上。</w:t>
            </w:r>
          </w:p>
        </w:tc>
      </w:tr>
      <w:tr>
        <w:trPr>
          <w:trHeight w:val="1587" w:hRule="atLeast"/>
        </w:trPr>
        <w:tc>
          <w:tcPr>
            <w:tcW w:w="603" w:type="dxa"/>
          </w:tcPr>
          <w:p>
            <w:pPr>
              <w:pStyle w:val="TableParagraph"/>
              <w:spacing w:before="166"/>
              <w:ind w:left="179" w:right="171"/>
              <w:jc w:val="center"/>
              <w:rPr>
                <w:b/>
                <w:sz w:val="21"/>
              </w:rPr>
            </w:pPr>
            <w:r>
              <w:rPr>
                <w:b/>
                <w:sz w:val="21"/>
              </w:rPr>
              <w:t>46</w:t>
            </w:r>
          </w:p>
        </w:tc>
        <w:tc>
          <w:tcPr>
            <w:tcW w:w="2414" w:type="dxa"/>
          </w:tcPr>
          <w:p>
            <w:pPr>
              <w:pStyle w:val="TableParagraph"/>
              <w:spacing w:before="130"/>
              <w:ind w:left="192"/>
              <w:rPr>
                <w:rFonts w:ascii="等线" w:eastAsia="等线" w:hint="eastAsia"/>
                <w:b/>
                <w:sz w:val="24"/>
              </w:rPr>
            </w:pPr>
            <w:r>
              <w:rPr>
                <w:rFonts w:ascii="等线" w:eastAsia="等线" w:hint="eastAsia"/>
                <w:b/>
                <w:sz w:val="24"/>
              </w:rPr>
              <w:t>深度昏迷</w:t>
            </w:r>
          </w:p>
        </w:tc>
        <w:tc>
          <w:tcPr>
            <w:tcW w:w="7085" w:type="dxa"/>
          </w:tcPr>
          <w:p>
            <w:pPr>
              <w:pStyle w:val="TableParagraph"/>
              <w:spacing w:line="273" w:lineRule="auto" w:before="166"/>
              <w:ind w:left="94" w:right="199"/>
              <w:jc w:val="both"/>
              <w:rPr>
                <w:sz w:val="21"/>
              </w:rPr>
            </w:pPr>
            <w:r>
              <w:rPr>
                <w:sz w:val="21"/>
              </w:rPr>
              <w:t>指因疾病或意外伤害导致意识丧失，对外界刺激和体内需求均无反应，昏</w:t>
            </w:r>
            <w:r>
              <w:rPr>
                <w:spacing w:val="-3"/>
                <w:sz w:val="21"/>
              </w:rPr>
              <w:t>迷程度按照格拉斯哥昏迷分级</w:t>
            </w:r>
            <w:r>
              <w:rPr>
                <w:sz w:val="21"/>
              </w:rPr>
              <w:t>（Glasgow coma scale）</w:t>
            </w:r>
            <w:r>
              <w:rPr>
                <w:spacing w:val="-11"/>
                <w:sz w:val="21"/>
              </w:rPr>
              <w:t>结果为 </w:t>
            </w:r>
            <w:r>
              <w:rPr>
                <w:sz w:val="21"/>
              </w:rPr>
              <w:t>5</w:t>
            </w:r>
            <w:r>
              <w:rPr>
                <w:spacing w:val="-18"/>
                <w:sz w:val="21"/>
              </w:rPr>
              <w:t> 分或 </w:t>
            </w:r>
            <w:r>
              <w:rPr>
                <w:sz w:val="21"/>
              </w:rPr>
              <w:t>5</w:t>
            </w:r>
            <w:r>
              <w:rPr>
                <w:spacing w:val="-18"/>
                <w:sz w:val="21"/>
              </w:rPr>
              <w:t> 分</w:t>
            </w:r>
            <w:r>
              <w:rPr>
                <w:spacing w:val="-9"/>
                <w:sz w:val="21"/>
              </w:rPr>
              <w:t>以下，且已经持续使用呼吸机及其它生命维持系统 </w:t>
            </w:r>
            <w:r>
              <w:rPr>
                <w:sz w:val="21"/>
              </w:rPr>
              <w:t>96</w:t>
            </w:r>
            <w:r>
              <w:rPr>
                <w:spacing w:val="-9"/>
                <w:sz w:val="21"/>
              </w:rPr>
              <w:t> 小时以上。</w:t>
            </w:r>
          </w:p>
          <w:p>
            <w:pPr>
              <w:pStyle w:val="TableParagraph"/>
              <w:spacing w:before="8"/>
              <w:ind w:left="94"/>
              <w:jc w:val="both"/>
              <w:rPr>
                <w:sz w:val="21"/>
              </w:rPr>
            </w:pPr>
            <w:r>
              <w:rPr>
                <w:sz w:val="21"/>
                <w:shd w:fill="DADADA" w:color="auto" w:val="clear"/>
              </w:rPr>
              <w:t>因酗酒或药物滥用导致的深度昏迷不在保障范围内。</w:t>
            </w:r>
          </w:p>
        </w:tc>
      </w:tr>
      <w:tr>
        <w:trPr>
          <w:trHeight w:val="2212" w:hRule="atLeast"/>
        </w:trPr>
        <w:tc>
          <w:tcPr>
            <w:tcW w:w="603" w:type="dxa"/>
          </w:tcPr>
          <w:p>
            <w:pPr>
              <w:pStyle w:val="TableParagraph"/>
              <w:spacing w:before="167"/>
              <w:ind w:left="179" w:right="171"/>
              <w:jc w:val="center"/>
              <w:rPr>
                <w:b/>
                <w:sz w:val="21"/>
              </w:rPr>
            </w:pPr>
            <w:r>
              <w:rPr>
                <w:b/>
                <w:sz w:val="21"/>
              </w:rPr>
              <w:t>47</w:t>
            </w:r>
          </w:p>
        </w:tc>
        <w:tc>
          <w:tcPr>
            <w:tcW w:w="2414" w:type="dxa"/>
          </w:tcPr>
          <w:p>
            <w:pPr>
              <w:pStyle w:val="TableParagraph"/>
              <w:spacing w:before="131"/>
              <w:ind w:left="192"/>
              <w:rPr>
                <w:rFonts w:ascii="等线" w:eastAsia="等线" w:hint="eastAsia"/>
                <w:b/>
                <w:sz w:val="24"/>
              </w:rPr>
            </w:pPr>
            <w:r>
              <w:rPr>
                <w:rFonts w:ascii="等线" w:eastAsia="等线" w:hint="eastAsia"/>
                <w:b/>
                <w:sz w:val="24"/>
              </w:rPr>
              <w:t>严重阿尔茨海默病</w:t>
            </w:r>
          </w:p>
        </w:tc>
        <w:tc>
          <w:tcPr>
            <w:tcW w:w="7085" w:type="dxa"/>
          </w:tcPr>
          <w:p>
            <w:pPr>
              <w:pStyle w:val="TableParagraph"/>
              <w:spacing w:line="273" w:lineRule="auto" w:before="167"/>
              <w:ind w:left="93" w:right="199"/>
              <w:jc w:val="both"/>
              <w:rPr>
                <w:sz w:val="21"/>
              </w:rPr>
            </w:pPr>
            <w:r>
              <w:rPr>
                <w:sz w:val="21"/>
              </w:rPr>
              <w:t>指因大脑进行性、不可逆性改变导致智能严重衰退或丧失，临床表现为明显的认知能力障碍、行为异常和社交能力减退，其日常生活必须持续受到</w:t>
            </w:r>
            <w:r>
              <w:rPr>
                <w:w w:val="100"/>
                <w:sz w:val="21"/>
              </w:rPr>
              <w:t>他人监护。须由头颅断层扫描</w:t>
            </w:r>
            <w:r>
              <w:rPr>
                <w:spacing w:val="1"/>
                <w:w w:val="100"/>
                <w:sz w:val="21"/>
              </w:rPr>
              <w:t>（</w:t>
            </w:r>
            <w:r>
              <w:rPr>
                <w:w w:val="100"/>
                <w:sz w:val="21"/>
              </w:rPr>
              <w:t>CT</w:t>
            </w:r>
            <w:r>
              <w:rPr>
                <w:spacing w:val="-104"/>
                <w:w w:val="100"/>
                <w:sz w:val="21"/>
              </w:rPr>
              <w:t>）</w:t>
            </w:r>
            <w:r>
              <w:rPr>
                <w:w w:val="100"/>
                <w:sz w:val="21"/>
              </w:rPr>
              <w:t>、核磁共振检查</w:t>
            </w:r>
            <w:r>
              <w:rPr>
                <w:spacing w:val="1"/>
                <w:w w:val="100"/>
                <w:sz w:val="21"/>
              </w:rPr>
              <w:t>（</w:t>
            </w:r>
            <w:r>
              <w:rPr>
                <w:w w:val="100"/>
                <w:sz w:val="21"/>
              </w:rPr>
              <w:t>MRI）或正电子发射</w:t>
            </w:r>
            <w:r>
              <w:rPr>
                <w:spacing w:val="-4"/>
                <w:sz w:val="21"/>
              </w:rPr>
              <w:t>断层扫描（PET）</w:t>
            </w:r>
            <w:r>
              <w:rPr>
                <w:spacing w:val="-5"/>
                <w:sz w:val="21"/>
              </w:rPr>
              <w:t>等影像学检查证实，且自主生活能力完全丧失，无法独立</w:t>
            </w:r>
            <w:r>
              <w:rPr>
                <w:spacing w:val="-3"/>
                <w:sz w:val="21"/>
              </w:rPr>
              <w:t>完成六项基本日常生活活动中的三项或三项以上。</w:t>
            </w:r>
          </w:p>
          <w:p>
            <w:pPr>
              <w:pStyle w:val="TableParagraph"/>
              <w:spacing w:before="8"/>
              <w:ind w:left="94"/>
              <w:jc w:val="both"/>
              <w:rPr>
                <w:sz w:val="21"/>
              </w:rPr>
            </w:pPr>
            <w:r>
              <w:rPr>
                <w:sz w:val="21"/>
                <w:shd w:fill="DADADA" w:color="auto" w:val="clear"/>
              </w:rPr>
              <w:t>神经官能症和精神疾病不在保障范围内。</w:t>
            </w:r>
          </w:p>
        </w:tc>
      </w:tr>
      <w:tr>
        <w:trPr>
          <w:trHeight w:val="1065" w:hRule="atLeast"/>
        </w:trPr>
        <w:tc>
          <w:tcPr>
            <w:tcW w:w="603" w:type="dxa"/>
          </w:tcPr>
          <w:p>
            <w:pPr>
              <w:pStyle w:val="TableParagraph"/>
              <w:spacing w:before="167"/>
              <w:ind w:left="179" w:right="171"/>
              <w:jc w:val="center"/>
              <w:rPr>
                <w:b/>
                <w:sz w:val="21"/>
              </w:rPr>
            </w:pPr>
            <w:r>
              <w:rPr>
                <w:b/>
                <w:sz w:val="21"/>
              </w:rPr>
              <w:t>48</w:t>
            </w:r>
          </w:p>
        </w:tc>
        <w:tc>
          <w:tcPr>
            <w:tcW w:w="2414" w:type="dxa"/>
          </w:tcPr>
          <w:p>
            <w:pPr>
              <w:pStyle w:val="TableParagraph"/>
              <w:spacing w:before="131"/>
              <w:ind w:left="192"/>
              <w:rPr>
                <w:rFonts w:ascii="等线" w:eastAsia="等线" w:hint="eastAsia"/>
                <w:b/>
                <w:sz w:val="24"/>
              </w:rPr>
            </w:pPr>
            <w:r>
              <w:rPr>
                <w:rFonts w:ascii="等线" w:eastAsia="等线" w:hint="eastAsia"/>
                <w:b/>
                <w:sz w:val="24"/>
              </w:rPr>
              <w:t>瘫痪</w:t>
            </w:r>
          </w:p>
        </w:tc>
        <w:tc>
          <w:tcPr>
            <w:tcW w:w="7085" w:type="dxa"/>
          </w:tcPr>
          <w:p>
            <w:pPr>
              <w:pStyle w:val="TableParagraph"/>
              <w:spacing w:line="310" w:lineRule="atLeast" w:before="132"/>
              <w:ind w:left="94" w:right="196"/>
              <w:jc w:val="both"/>
              <w:rPr>
                <w:sz w:val="21"/>
              </w:rPr>
            </w:pPr>
            <w:r>
              <w:rPr>
                <w:sz w:val="21"/>
              </w:rPr>
              <w:t>指因疾病或意外伤害导致两肢或两肢以上肢体机能永久完全丧失。肢体机</w:t>
            </w:r>
            <w:r>
              <w:rPr>
                <w:spacing w:val="-5"/>
                <w:sz w:val="21"/>
              </w:rPr>
              <w:t>能永久完全丧失，指疾病确诊 </w:t>
            </w:r>
            <w:r>
              <w:rPr>
                <w:sz w:val="21"/>
              </w:rPr>
              <w:t>180</w:t>
            </w:r>
            <w:r>
              <w:rPr>
                <w:spacing w:val="-9"/>
                <w:sz w:val="21"/>
              </w:rPr>
              <w:t> 日后或意外伤害发生 </w:t>
            </w:r>
            <w:r>
              <w:rPr>
                <w:sz w:val="21"/>
              </w:rPr>
              <w:t>180</w:t>
            </w:r>
            <w:r>
              <w:rPr>
                <w:spacing w:val="-7"/>
                <w:sz w:val="21"/>
              </w:rPr>
              <w:t> 日后，每肢三</w:t>
            </w:r>
            <w:r>
              <w:rPr>
                <w:spacing w:val="-5"/>
                <w:sz w:val="21"/>
              </w:rPr>
              <w:t>大关节中的两大关节仍然完全僵硬，或不能随意识活动。</w:t>
            </w:r>
          </w:p>
        </w:tc>
      </w:tr>
    </w:tbl>
    <w:p>
      <w:pPr>
        <w:spacing w:after="0" w:line="310" w:lineRule="atLeast"/>
        <w:jc w:val="both"/>
        <w:rPr>
          <w:sz w:val="21"/>
        </w:rPr>
        <w:sectPr>
          <w:pgSz w:w="11910" w:h="16840"/>
          <w:pgMar w:top="1160" w:bottom="280" w:left="880" w:right="700"/>
        </w:sectPr>
      </w:pPr>
    </w:p>
    <w:tbl>
      <w:tblPr>
        <w:tblW w:w="0" w:type="auto"/>
        <w:jc w:val="left"/>
        <w:tblInd w:w="1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3"/>
        <w:gridCol w:w="2414"/>
        <w:gridCol w:w="7191"/>
      </w:tblGrid>
      <w:tr>
        <w:trPr>
          <w:trHeight w:val="2583" w:hRule="atLeast"/>
        </w:trPr>
        <w:tc>
          <w:tcPr>
            <w:tcW w:w="603" w:type="dxa"/>
          </w:tcPr>
          <w:p>
            <w:pPr>
              <w:pStyle w:val="TableParagraph"/>
              <w:spacing w:line="231" w:lineRule="exact"/>
              <w:ind w:left="179" w:right="171"/>
              <w:jc w:val="center"/>
              <w:rPr>
                <w:b/>
                <w:sz w:val="21"/>
              </w:rPr>
            </w:pPr>
            <w:r>
              <w:rPr>
                <w:b/>
                <w:sz w:val="21"/>
              </w:rPr>
              <w:t>49</w:t>
            </w:r>
          </w:p>
        </w:tc>
        <w:tc>
          <w:tcPr>
            <w:tcW w:w="2414" w:type="dxa"/>
          </w:tcPr>
          <w:p>
            <w:pPr>
              <w:pStyle w:val="TableParagraph"/>
              <w:spacing w:line="248" w:lineRule="exact"/>
              <w:ind w:left="192"/>
              <w:rPr>
                <w:rFonts w:ascii="等线" w:eastAsia="等线" w:hint="eastAsia"/>
                <w:b/>
                <w:sz w:val="24"/>
              </w:rPr>
            </w:pPr>
            <w:r>
              <w:rPr>
                <w:rFonts w:ascii="等线" w:eastAsia="等线" w:hint="eastAsia"/>
                <w:b/>
                <w:sz w:val="24"/>
              </w:rPr>
              <w:t>严重的多发性硬化</w:t>
            </w:r>
          </w:p>
        </w:tc>
        <w:tc>
          <w:tcPr>
            <w:tcW w:w="7191" w:type="dxa"/>
          </w:tcPr>
          <w:p>
            <w:pPr>
              <w:pStyle w:val="TableParagraph"/>
              <w:spacing w:line="231" w:lineRule="exact"/>
              <w:ind w:left="94"/>
              <w:rPr>
                <w:sz w:val="21"/>
              </w:rPr>
            </w:pPr>
            <w:r>
              <w:rPr>
                <w:sz w:val="21"/>
              </w:rPr>
              <w:t>指因中枢神经系统脱髓鞘而导致的不可逆的身体部位的功能障碍，需由神</w:t>
            </w:r>
          </w:p>
          <w:p>
            <w:pPr>
              <w:pStyle w:val="TableParagraph"/>
              <w:spacing w:line="273" w:lineRule="auto" w:before="37"/>
              <w:ind w:left="94" w:right="197"/>
              <w:rPr>
                <w:sz w:val="21"/>
              </w:rPr>
            </w:pPr>
            <w:r>
              <w:rPr>
                <w:spacing w:val="-14"/>
                <w:w w:val="100"/>
                <w:sz w:val="21"/>
              </w:rPr>
              <w:t>经科专科医生提供明确诊断，并有头颅断层扫描</w:t>
            </w:r>
            <w:r>
              <w:rPr>
                <w:w w:val="100"/>
                <w:sz w:val="21"/>
              </w:rPr>
              <w:t>（C</w:t>
            </w:r>
            <w:r>
              <w:rPr>
                <w:spacing w:val="-3"/>
                <w:w w:val="100"/>
                <w:sz w:val="21"/>
              </w:rPr>
              <w:t>T</w:t>
            </w:r>
            <w:r>
              <w:rPr>
                <w:spacing w:val="-89"/>
                <w:w w:val="100"/>
                <w:sz w:val="21"/>
              </w:rPr>
              <w:t>）</w:t>
            </w:r>
            <w:r>
              <w:rPr>
                <w:spacing w:val="-16"/>
                <w:w w:val="100"/>
                <w:sz w:val="21"/>
              </w:rPr>
              <w:t>或核磁共振检查</w:t>
            </w:r>
            <w:r>
              <w:rPr>
                <w:spacing w:val="-1"/>
                <w:w w:val="100"/>
                <w:sz w:val="21"/>
              </w:rPr>
              <w:t>（</w:t>
            </w:r>
            <w:r>
              <w:rPr>
                <w:w w:val="100"/>
                <w:sz w:val="21"/>
              </w:rPr>
              <w:t>M</w:t>
            </w:r>
            <w:r>
              <w:rPr>
                <w:spacing w:val="-3"/>
                <w:w w:val="100"/>
                <w:sz w:val="21"/>
              </w:rPr>
              <w:t>R</w:t>
            </w:r>
            <w:r>
              <w:rPr>
                <w:w w:val="100"/>
                <w:sz w:val="21"/>
              </w:rPr>
              <w:t>I）</w:t>
            </w:r>
            <w:r>
              <w:rPr>
                <w:sz w:val="21"/>
              </w:rPr>
              <w:t>结果诊断报告。不可逆的身体部位功能障碍指诊断为功能障碍后需已经持</w:t>
            </w:r>
            <w:r>
              <w:rPr>
                <w:spacing w:val="-25"/>
                <w:sz w:val="21"/>
              </w:rPr>
              <w:t>续 </w:t>
            </w:r>
            <w:r>
              <w:rPr>
                <w:sz w:val="21"/>
              </w:rPr>
              <w:t>180</w:t>
            </w:r>
            <w:r>
              <w:rPr>
                <w:spacing w:val="-12"/>
                <w:sz w:val="21"/>
              </w:rPr>
              <w:t> 日以上。</w:t>
            </w:r>
          </w:p>
          <w:p>
            <w:pPr>
              <w:pStyle w:val="TableParagraph"/>
              <w:spacing w:before="7"/>
              <w:ind w:left="94"/>
              <w:rPr>
                <w:sz w:val="21"/>
              </w:rPr>
            </w:pPr>
            <w:r>
              <w:rPr>
                <w:sz w:val="21"/>
              </w:rPr>
              <w:t>由神经科专科医生提供的明确诊断必须同时包含下列内容：</w:t>
            </w:r>
          </w:p>
          <w:p>
            <w:pPr>
              <w:pStyle w:val="TableParagraph"/>
              <w:spacing w:before="36"/>
              <w:ind w:left="94"/>
              <w:rPr>
                <w:sz w:val="21"/>
              </w:rPr>
            </w:pPr>
            <w:r>
              <w:rPr>
                <w:sz w:val="21"/>
              </w:rPr>
              <w:t>（1）明确出现因视神经、脑干和脊髓损伤而导致的临床表现；</w:t>
            </w:r>
          </w:p>
          <w:p>
            <w:pPr>
              <w:pStyle w:val="TableParagraph"/>
              <w:spacing w:before="36"/>
              <w:ind w:left="94"/>
              <w:rPr>
                <w:sz w:val="21"/>
              </w:rPr>
            </w:pPr>
            <w:r>
              <w:rPr>
                <w:sz w:val="21"/>
              </w:rPr>
              <w:t>（2）神经系统散在的多部位病变；</w:t>
            </w:r>
          </w:p>
          <w:p>
            <w:pPr>
              <w:pStyle w:val="TableParagraph"/>
              <w:spacing w:before="36"/>
              <w:ind w:left="94"/>
              <w:rPr>
                <w:sz w:val="21"/>
              </w:rPr>
            </w:pPr>
            <w:r>
              <w:rPr>
                <w:sz w:val="21"/>
              </w:rPr>
              <w:t>（3）有明确的上述症状及神经损伤反复恶化、减轻的病史纪录。</w:t>
            </w:r>
          </w:p>
        </w:tc>
      </w:tr>
      <w:tr>
        <w:trPr>
          <w:trHeight w:val="2127" w:hRule="atLeast"/>
        </w:trPr>
        <w:tc>
          <w:tcPr>
            <w:tcW w:w="603" w:type="dxa"/>
          </w:tcPr>
          <w:p>
            <w:pPr>
              <w:pStyle w:val="TableParagraph"/>
              <w:spacing w:before="125"/>
              <w:ind w:left="179" w:right="171"/>
              <w:jc w:val="center"/>
              <w:rPr>
                <w:b/>
                <w:sz w:val="21"/>
              </w:rPr>
            </w:pPr>
            <w:r>
              <w:rPr>
                <w:b/>
                <w:sz w:val="21"/>
              </w:rPr>
              <w:t>50</w:t>
            </w:r>
          </w:p>
        </w:tc>
        <w:tc>
          <w:tcPr>
            <w:tcW w:w="2414" w:type="dxa"/>
          </w:tcPr>
          <w:p>
            <w:pPr>
              <w:pStyle w:val="TableParagraph"/>
              <w:spacing w:before="89"/>
              <w:ind w:left="192"/>
              <w:rPr>
                <w:rFonts w:ascii="等线" w:eastAsia="等线" w:hint="eastAsia"/>
                <w:b/>
                <w:sz w:val="24"/>
              </w:rPr>
            </w:pPr>
            <w:r>
              <w:rPr>
                <w:rFonts w:ascii="等线" w:eastAsia="等线" w:hint="eastAsia"/>
                <w:b/>
                <w:sz w:val="24"/>
              </w:rPr>
              <w:t>严重帕金森病</w:t>
            </w:r>
          </w:p>
        </w:tc>
        <w:tc>
          <w:tcPr>
            <w:tcW w:w="7191" w:type="dxa"/>
          </w:tcPr>
          <w:p>
            <w:pPr>
              <w:pStyle w:val="TableParagraph"/>
              <w:spacing w:line="273" w:lineRule="auto" w:before="125"/>
              <w:ind w:left="94" w:right="307"/>
              <w:rPr>
                <w:sz w:val="21"/>
              </w:rPr>
            </w:pPr>
            <w:r>
              <w:rPr>
                <w:sz w:val="21"/>
              </w:rPr>
              <w:t>是一种中枢神经系统的退行性疾病，临床表现为震颤麻痹、共济失调等。须满足下列全部条件：</w:t>
            </w:r>
          </w:p>
          <w:p>
            <w:pPr>
              <w:pStyle w:val="TableParagraph"/>
              <w:spacing w:before="7"/>
              <w:ind w:left="94"/>
              <w:rPr>
                <w:sz w:val="21"/>
              </w:rPr>
            </w:pPr>
            <w:r>
              <w:rPr>
                <w:sz w:val="21"/>
              </w:rPr>
              <w:t>（1）药物治疗无法控制病情；</w:t>
            </w:r>
          </w:p>
          <w:p>
            <w:pPr>
              <w:pStyle w:val="TableParagraph"/>
              <w:spacing w:line="273" w:lineRule="auto" w:before="36"/>
              <w:ind w:left="576" w:right="255" w:hanging="483"/>
              <w:rPr>
                <w:sz w:val="21"/>
              </w:rPr>
            </w:pPr>
            <w:r>
              <w:rPr>
                <w:sz w:val="21"/>
              </w:rPr>
              <w:t>（2）自主生活能力完全丧失，无法独立完成六项基本日常生活活动中的三项或三项以上。</w:t>
            </w:r>
          </w:p>
          <w:p>
            <w:pPr>
              <w:pStyle w:val="TableParagraph"/>
              <w:spacing w:before="7"/>
              <w:ind w:left="94"/>
              <w:rPr>
                <w:sz w:val="21"/>
              </w:rPr>
            </w:pPr>
            <w:r>
              <w:rPr>
                <w:sz w:val="21"/>
                <w:shd w:fill="DADADA" w:color="auto" w:val="clear"/>
              </w:rPr>
              <w:t>继发性帕金森综合征不在保障范围内。</w:t>
            </w:r>
          </w:p>
        </w:tc>
      </w:tr>
      <w:tr>
        <w:trPr>
          <w:trHeight w:val="1502" w:hRule="atLeast"/>
        </w:trPr>
        <w:tc>
          <w:tcPr>
            <w:tcW w:w="603" w:type="dxa"/>
          </w:tcPr>
          <w:p>
            <w:pPr>
              <w:pStyle w:val="TableParagraph"/>
              <w:spacing w:before="124"/>
              <w:ind w:left="179" w:right="171"/>
              <w:jc w:val="center"/>
              <w:rPr>
                <w:b/>
                <w:sz w:val="21"/>
              </w:rPr>
            </w:pPr>
            <w:r>
              <w:rPr>
                <w:b/>
                <w:sz w:val="21"/>
              </w:rPr>
              <w:t>51</w:t>
            </w:r>
          </w:p>
        </w:tc>
        <w:tc>
          <w:tcPr>
            <w:tcW w:w="2414" w:type="dxa"/>
          </w:tcPr>
          <w:p>
            <w:pPr>
              <w:pStyle w:val="TableParagraph"/>
              <w:spacing w:before="88"/>
              <w:ind w:left="192"/>
              <w:rPr>
                <w:rFonts w:ascii="等线" w:eastAsia="等线" w:hint="eastAsia"/>
                <w:b/>
                <w:sz w:val="24"/>
              </w:rPr>
            </w:pPr>
            <w:r>
              <w:rPr>
                <w:rFonts w:ascii="等线" w:eastAsia="等线" w:hint="eastAsia"/>
                <w:b/>
                <w:sz w:val="24"/>
              </w:rPr>
              <w:t>严重运动神经元病</w:t>
            </w:r>
          </w:p>
        </w:tc>
        <w:tc>
          <w:tcPr>
            <w:tcW w:w="7191" w:type="dxa"/>
          </w:tcPr>
          <w:p>
            <w:pPr>
              <w:pStyle w:val="TableParagraph"/>
              <w:spacing w:line="273" w:lineRule="auto" w:before="124"/>
              <w:ind w:left="94" w:right="307"/>
              <w:jc w:val="both"/>
              <w:rPr>
                <w:sz w:val="21"/>
              </w:rPr>
            </w:pPr>
            <w:r>
              <w:rPr>
                <w:sz w:val="21"/>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tc>
      </w:tr>
      <w:tr>
        <w:trPr>
          <w:trHeight w:val="2799" w:hRule="atLeast"/>
        </w:trPr>
        <w:tc>
          <w:tcPr>
            <w:tcW w:w="603" w:type="dxa"/>
          </w:tcPr>
          <w:p>
            <w:pPr>
              <w:pStyle w:val="TableParagraph"/>
              <w:spacing w:before="124"/>
              <w:ind w:left="179" w:right="171"/>
              <w:jc w:val="center"/>
              <w:rPr>
                <w:b/>
                <w:sz w:val="21"/>
              </w:rPr>
            </w:pPr>
            <w:r>
              <w:rPr>
                <w:b/>
                <w:sz w:val="21"/>
              </w:rPr>
              <w:t>52</w:t>
            </w:r>
          </w:p>
        </w:tc>
        <w:tc>
          <w:tcPr>
            <w:tcW w:w="2414" w:type="dxa"/>
          </w:tcPr>
          <w:p>
            <w:pPr>
              <w:pStyle w:val="TableParagraph"/>
              <w:spacing w:before="88"/>
              <w:ind w:left="192"/>
              <w:rPr>
                <w:rFonts w:ascii="等线" w:eastAsia="等线" w:hint="eastAsia"/>
                <w:b/>
                <w:sz w:val="24"/>
              </w:rPr>
            </w:pPr>
            <w:r>
              <w:rPr>
                <w:rFonts w:ascii="等线" w:eastAsia="等线" w:hint="eastAsia"/>
                <w:b/>
                <w:sz w:val="24"/>
              </w:rPr>
              <w:t>严重脑损伤</w:t>
            </w:r>
          </w:p>
        </w:tc>
        <w:tc>
          <w:tcPr>
            <w:tcW w:w="7191" w:type="dxa"/>
          </w:tcPr>
          <w:p>
            <w:pPr>
              <w:pStyle w:val="TableParagraph"/>
              <w:spacing w:line="273" w:lineRule="auto" w:before="124"/>
              <w:ind w:left="93" w:right="305"/>
              <w:jc w:val="both"/>
              <w:rPr>
                <w:sz w:val="21"/>
              </w:rPr>
            </w:pPr>
            <w:r>
              <w:rPr>
                <w:sz w:val="21"/>
              </w:rPr>
              <w:t>指因头部遭受机械性外力，引起脑重要部位损伤，导致神经系统永久性的</w:t>
            </w:r>
            <w:r>
              <w:rPr>
                <w:w w:val="100"/>
                <w:sz w:val="21"/>
              </w:rPr>
              <w:t>功能障碍。须由头颅断层扫描</w:t>
            </w:r>
            <w:r>
              <w:rPr>
                <w:spacing w:val="1"/>
                <w:w w:val="100"/>
                <w:sz w:val="21"/>
              </w:rPr>
              <w:t>（</w:t>
            </w:r>
            <w:r>
              <w:rPr>
                <w:w w:val="100"/>
                <w:sz w:val="21"/>
              </w:rPr>
              <w:t>CT</w:t>
            </w:r>
            <w:r>
              <w:rPr>
                <w:spacing w:val="-104"/>
                <w:w w:val="100"/>
                <w:sz w:val="21"/>
              </w:rPr>
              <w:t>）</w:t>
            </w:r>
            <w:r>
              <w:rPr>
                <w:w w:val="100"/>
                <w:sz w:val="21"/>
              </w:rPr>
              <w:t>、核磁共振检查</w:t>
            </w:r>
            <w:r>
              <w:rPr>
                <w:spacing w:val="1"/>
                <w:w w:val="100"/>
                <w:sz w:val="21"/>
              </w:rPr>
              <w:t>（</w:t>
            </w:r>
            <w:r>
              <w:rPr>
                <w:w w:val="100"/>
                <w:sz w:val="21"/>
              </w:rPr>
              <w:t>MRI）或正电子发射</w:t>
            </w:r>
            <w:r>
              <w:rPr>
                <w:spacing w:val="-4"/>
                <w:sz w:val="21"/>
              </w:rPr>
              <w:t>断层扫描（PET）</w:t>
            </w:r>
            <w:r>
              <w:rPr>
                <w:spacing w:val="-5"/>
                <w:sz w:val="21"/>
              </w:rPr>
              <w:t>等影像学检查证实。神经系统永久性的功能障碍，指脑损</w:t>
            </w:r>
            <w:r>
              <w:rPr>
                <w:spacing w:val="-23"/>
                <w:sz w:val="21"/>
              </w:rPr>
              <w:t>伤 </w:t>
            </w:r>
            <w:r>
              <w:rPr>
                <w:sz w:val="21"/>
              </w:rPr>
              <w:t>180</w:t>
            </w:r>
            <w:r>
              <w:rPr>
                <w:spacing w:val="-8"/>
                <w:sz w:val="21"/>
              </w:rPr>
              <w:t> 日后，仍遗留下列一种或一种以上障碍：</w:t>
            </w:r>
          </w:p>
          <w:p>
            <w:pPr>
              <w:pStyle w:val="TableParagraph"/>
              <w:spacing w:before="7"/>
              <w:ind w:left="94"/>
              <w:rPr>
                <w:sz w:val="21"/>
              </w:rPr>
            </w:pPr>
            <w:r>
              <w:rPr>
                <w:sz w:val="21"/>
              </w:rPr>
              <w:t>（1）一肢或一肢以上肢体机能完全丧失；</w:t>
            </w:r>
          </w:p>
          <w:p>
            <w:pPr>
              <w:pStyle w:val="TableParagraph"/>
              <w:spacing w:before="36"/>
              <w:ind w:left="94"/>
              <w:rPr>
                <w:sz w:val="21"/>
              </w:rPr>
            </w:pPr>
            <w:r>
              <w:rPr>
                <w:sz w:val="21"/>
              </w:rPr>
              <w:t>（2）语言能力或咀嚼吞咽能力完全丧失；</w:t>
            </w:r>
          </w:p>
          <w:p>
            <w:pPr>
              <w:pStyle w:val="TableParagraph"/>
              <w:spacing w:line="273" w:lineRule="auto" w:before="36"/>
              <w:ind w:left="576" w:right="255" w:hanging="483"/>
              <w:rPr>
                <w:sz w:val="21"/>
              </w:rPr>
            </w:pPr>
            <w:r>
              <w:rPr>
                <w:sz w:val="21"/>
              </w:rPr>
              <w:t>（3）自主生活能力完全丧失，无法独立完成六项基本日常生活活动中的三项或三项以上。</w:t>
            </w:r>
          </w:p>
        </w:tc>
      </w:tr>
      <w:tr>
        <w:trPr>
          <w:trHeight w:val="2489" w:hRule="atLeast"/>
        </w:trPr>
        <w:tc>
          <w:tcPr>
            <w:tcW w:w="603" w:type="dxa"/>
          </w:tcPr>
          <w:p>
            <w:pPr>
              <w:pStyle w:val="TableParagraph"/>
              <w:spacing w:before="173"/>
              <w:ind w:left="179" w:right="171"/>
              <w:jc w:val="center"/>
              <w:rPr>
                <w:b/>
                <w:sz w:val="21"/>
              </w:rPr>
            </w:pPr>
            <w:r>
              <w:rPr>
                <w:b/>
                <w:sz w:val="21"/>
              </w:rPr>
              <w:t>53</w:t>
            </w:r>
          </w:p>
        </w:tc>
        <w:tc>
          <w:tcPr>
            <w:tcW w:w="2414" w:type="dxa"/>
          </w:tcPr>
          <w:p>
            <w:pPr>
              <w:pStyle w:val="TableParagraph"/>
              <w:spacing w:line="235" w:lineRule="auto" w:before="144"/>
              <w:ind w:left="192" w:right="92"/>
              <w:rPr>
                <w:rFonts w:ascii="等线" w:eastAsia="等线" w:hint="eastAsia"/>
                <w:b/>
                <w:sz w:val="24"/>
              </w:rPr>
            </w:pPr>
            <w:r>
              <w:rPr>
                <w:rFonts w:ascii="等线" w:eastAsia="等线" w:hint="eastAsia"/>
                <w:b/>
                <w:sz w:val="24"/>
              </w:rPr>
              <w:t>非阿尔茨海默病所致严重痴呆</w:t>
            </w:r>
          </w:p>
        </w:tc>
        <w:tc>
          <w:tcPr>
            <w:tcW w:w="7191" w:type="dxa"/>
          </w:tcPr>
          <w:p>
            <w:pPr>
              <w:pStyle w:val="TableParagraph"/>
              <w:spacing w:line="273" w:lineRule="auto" w:before="173"/>
              <w:ind w:left="94" w:right="307"/>
              <w:jc w:val="both"/>
              <w:rPr>
                <w:sz w:val="21"/>
              </w:rPr>
            </w:pPr>
            <w:r>
              <w:rPr>
                <w:sz w:val="21"/>
              </w:rPr>
              <w:t>指因阿尔茨海默病以外的脑的器质性疾病造成脑功能衰竭导致永久不可逆性的严重痴呆，临床表现为明显的认知能力障碍、行为异常和社交能力减退。被保险人自主生活能力完全丧失，无法独立完成六项基本日常生活活动中的三项或三项以上，日常生活必须持续受到他人监护。导致痴呆的疾病必须经专科医生明确诊断，并且由完整的临床、实验室和影像学检查结果证实。</w:t>
            </w:r>
          </w:p>
          <w:p>
            <w:pPr>
              <w:pStyle w:val="TableParagraph"/>
              <w:spacing w:before="8"/>
              <w:ind w:left="94"/>
              <w:jc w:val="both"/>
              <w:rPr>
                <w:sz w:val="21"/>
              </w:rPr>
            </w:pPr>
            <w:r>
              <w:rPr>
                <w:sz w:val="21"/>
                <w:shd w:fill="DADADA" w:color="auto" w:val="clear"/>
              </w:rPr>
              <w:t>神经官能症、精神疾病及酒精中毒所致脑损害不在保障范围内。</w:t>
            </w:r>
          </w:p>
        </w:tc>
      </w:tr>
      <w:tr>
        <w:trPr>
          <w:trHeight w:val="1503" w:hRule="atLeast"/>
        </w:trPr>
        <w:tc>
          <w:tcPr>
            <w:tcW w:w="603" w:type="dxa"/>
          </w:tcPr>
          <w:p>
            <w:pPr>
              <w:pStyle w:val="TableParagraph"/>
              <w:spacing w:before="125"/>
              <w:ind w:left="179" w:right="171"/>
              <w:jc w:val="center"/>
              <w:rPr>
                <w:b/>
                <w:sz w:val="21"/>
              </w:rPr>
            </w:pPr>
            <w:r>
              <w:rPr>
                <w:b/>
                <w:sz w:val="21"/>
              </w:rPr>
              <w:t>54</w:t>
            </w:r>
          </w:p>
        </w:tc>
        <w:tc>
          <w:tcPr>
            <w:tcW w:w="2414" w:type="dxa"/>
          </w:tcPr>
          <w:p>
            <w:pPr>
              <w:pStyle w:val="TableParagraph"/>
              <w:spacing w:before="89"/>
              <w:ind w:left="192"/>
              <w:rPr>
                <w:rFonts w:ascii="等线" w:eastAsia="等线" w:hint="eastAsia"/>
                <w:b/>
                <w:sz w:val="24"/>
              </w:rPr>
            </w:pPr>
            <w:r>
              <w:rPr>
                <w:rFonts w:ascii="等线" w:eastAsia="等线" w:hint="eastAsia"/>
                <w:b/>
                <w:sz w:val="24"/>
              </w:rPr>
              <w:t>植物人状态</w:t>
            </w:r>
          </w:p>
        </w:tc>
        <w:tc>
          <w:tcPr>
            <w:tcW w:w="7191" w:type="dxa"/>
          </w:tcPr>
          <w:p>
            <w:pPr>
              <w:pStyle w:val="TableParagraph"/>
              <w:spacing w:line="273" w:lineRule="auto" w:before="125"/>
              <w:ind w:left="94" w:right="307"/>
              <w:jc w:val="both"/>
              <w:rPr>
                <w:sz w:val="21"/>
              </w:rPr>
            </w:pPr>
            <w:r>
              <w:rPr>
                <w:sz w:val="21"/>
              </w:rPr>
              <w:t>指经专科医师确诊，由于意外事故或疾病所致大脑皮质全面坏死，意识完全丧失，但脑干及脑干以下中枢神经功能仍保持完好，且此情况持续一个月或以上。</w:t>
            </w:r>
          </w:p>
          <w:p>
            <w:pPr>
              <w:pStyle w:val="TableParagraph"/>
              <w:spacing w:before="8"/>
              <w:ind w:left="94"/>
              <w:jc w:val="both"/>
              <w:rPr>
                <w:sz w:val="21"/>
              </w:rPr>
            </w:pPr>
            <w:r>
              <w:rPr>
                <w:sz w:val="21"/>
                <w:shd w:fill="DADADA" w:color="auto" w:val="clear"/>
              </w:rPr>
              <w:t>由于酗酒或滥用药物所致的植物人状态不在保障范围内。</w:t>
            </w:r>
          </w:p>
        </w:tc>
      </w:tr>
      <w:tr>
        <w:trPr>
          <w:trHeight w:val="1334" w:hRule="atLeast"/>
        </w:trPr>
        <w:tc>
          <w:tcPr>
            <w:tcW w:w="603" w:type="dxa"/>
          </w:tcPr>
          <w:p>
            <w:pPr>
              <w:pStyle w:val="TableParagraph"/>
              <w:spacing w:before="124"/>
              <w:ind w:left="179" w:right="171"/>
              <w:jc w:val="center"/>
              <w:rPr>
                <w:b/>
                <w:sz w:val="21"/>
              </w:rPr>
            </w:pPr>
            <w:r>
              <w:rPr>
                <w:b/>
                <w:sz w:val="21"/>
              </w:rPr>
              <w:t>55</w:t>
            </w:r>
          </w:p>
        </w:tc>
        <w:tc>
          <w:tcPr>
            <w:tcW w:w="2414" w:type="dxa"/>
          </w:tcPr>
          <w:p>
            <w:pPr>
              <w:pStyle w:val="TableParagraph"/>
              <w:spacing w:before="88"/>
              <w:ind w:left="192"/>
              <w:rPr>
                <w:rFonts w:ascii="等线" w:eastAsia="等线" w:hint="eastAsia"/>
                <w:b/>
                <w:sz w:val="24"/>
              </w:rPr>
            </w:pPr>
            <w:r>
              <w:rPr>
                <w:rFonts w:ascii="等线" w:eastAsia="等线" w:hint="eastAsia"/>
                <w:b/>
                <w:sz w:val="24"/>
              </w:rPr>
              <w:t>进行性核上性麻痹</w:t>
            </w:r>
          </w:p>
        </w:tc>
        <w:tc>
          <w:tcPr>
            <w:tcW w:w="7191" w:type="dxa"/>
          </w:tcPr>
          <w:p>
            <w:pPr>
              <w:pStyle w:val="TableParagraph"/>
              <w:spacing w:line="273" w:lineRule="auto" w:before="124"/>
              <w:ind w:left="94" w:right="307"/>
              <w:rPr>
                <w:sz w:val="21"/>
              </w:rPr>
            </w:pPr>
            <w:r>
              <w:rPr>
                <w:sz w:val="21"/>
              </w:rPr>
              <w:t>指一种隐袭起病、逐渐加重的神经系统变性疾病。此病症须由专科医生明确，并满足以下全部临床特征：</w:t>
            </w:r>
          </w:p>
          <w:p>
            <w:pPr>
              <w:pStyle w:val="TableParagraph"/>
              <w:spacing w:before="8"/>
              <w:ind w:left="94"/>
              <w:rPr>
                <w:sz w:val="21"/>
              </w:rPr>
            </w:pPr>
            <w:r>
              <w:rPr>
                <w:sz w:val="21"/>
              </w:rPr>
              <w:t>（1）步态共济失调；</w:t>
            </w:r>
          </w:p>
          <w:p>
            <w:pPr>
              <w:pStyle w:val="TableParagraph"/>
              <w:spacing w:line="255" w:lineRule="exact" w:before="37"/>
              <w:ind w:left="94"/>
              <w:rPr>
                <w:sz w:val="21"/>
              </w:rPr>
            </w:pPr>
            <w:r>
              <w:rPr>
                <w:sz w:val="21"/>
              </w:rPr>
              <w:t>（2）对称性眼球垂直运动障碍；</w:t>
            </w:r>
          </w:p>
        </w:tc>
      </w:tr>
    </w:tbl>
    <w:p>
      <w:pPr>
        <w:spacing w:after="0" w:line="255" w:lineRule="exact"/>
        <w:rPr>
          <w:sz w:val="21"/>
        </w:rPr>
        <w:sectPr>
          <w:pgSz w:w="11910" w:h="16840"/>
          <w:pgMar w:top="1140" w:bottom="280" w:left="880" w:right="600"/>
        </w:sectPr>
      </w:pPr>
    </w:p>
    <w:tbl>
      <w:tblPr>
        <w:tblW w:w="0" w:type="auto"/>
        <w:jc w:val="left"/>
        <w:tblInd w:w="1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3"/>
        <w:gridCol w:w="2414"/>
        <w:gridCol w:w="7083"/>
      </w:tblGrid>
      <w:tr>
        <w:trPr>
          <w:trHeight w:val="379" w:hRule="atLeast"/>
        </w:trPr>
        <w:tc>
          <w:tcPr>
            <w:tcW w:w="603" w:type="dxa"/>
          </w:tcPr>
          <w:p>
            <w:pPr>
              <w:pStyle w:val="TableParagraph"/>
              <w:rPr>
                <w:rFonts w:ascii="Times New Roman"/>
                <w:sz w:val="20"/>
              </w:rPr>
            </w:pPr>
          </w:p>
        </w:tc>
        <w:tc>
          <w:tcPr>
            <w:tcW w:w="2414" w:type="dxa"/>
          </w:tcPr>
          <w:p>
            <w:pPr>
              <w:pStyle w:val="TableParagraph"/>
              <w:rPr>
                <w:rFonts w:ascii="Times New Roman"/>
                <w:sz w:val="20"/>
              </w:rPr>
            </w:pPr>
          </w:p>
        </w:tc>
        <w:tc>
          <w:tcPr>
            <w:tcW w:w="7083" w:type="dxa"/>
          </w:tcPr>
          <w:p>
            <w:pPr>
              <w:pStyle w:val="TableParagraph"/>
              <w:spacing w:line="211" w:lineRule="exact"/>
              <w:ind w:left="94"/>
              <w:rPr>
                <w:sz w:val="21"/>
              </w:rPr>
            </w:pPr>
            <w:r>
              <w:rPr>
                <w:spacing w:val="-1"/>
                <w:sz w:val="21"/>
              </w:rPr>
              <w:t>（3）</w:t>
            </w:r>
            <w:r>
              <w:rPr>
                <w:spacing w:val="-3"/>
                <w:sz w:val="21"/>
              </w:rPr>
              <w:t>假性球麻痹（构音障碍和吞咽困难</w:t>
            </w:r>
            <w:r>
              <w:rPr>
                <w:spacing w:val="-108"/>
                <w:sz w:val="21"/>
              </w:rPr>
              <w:t>）</w:t>
            </w:r>
            <w:r>
              <w:rPr>
                <w:sz w:val="21"/>
              </w:rPr>
              <w:t>。</w:t>
            </w:r>
          </w:p>
        </w:tc>
      </w:tr>
      <w:tr>
        <w:trPr>
          <w:trHeight w:val="1191" w:hRule="atLeast"/>
        </w:trPr>
        <w:tc>
          <w:tcPr>
            <w:tcW w:w="603" w:type="dxa"/>
          </w:tcPr>
          <w:p>
            <w:pPr>
              <w:pStyle w:val="TableParagraph"/>
              <w:spacing w:before="125"/>
              <w:ind w:left="179" w:right="171"/>
              <w:jc w:val="center"/>
              <w:rPr>
                <w:b/>
                <w:sz w:val="21"/>
              </w:rPr>
            </w:pPr>
            <w:r>
              <w:rPr>
                <w:b/>
                <w:sz w:val="21"/>
              </w:rPr>
              <w:t>56</w:t>
            </w:r>
          </w:p>
        </w:tc>
        <w:tc>
          <w:tcPr>
            <w:tcW w:w="2414" w:type="dxa"/>
          </w:tcPr>
          <w:p>
            <w:pPr>
              <w:pStyle w:val="TableParagraph"/>
              <w:spacing w:before="89"/>
              <w:ind w:left="192"/>
              <w:rPr>
                <w:rFonts w:ascii="等线" w:eastAsia="等线" w:hint="eastAsia"/>
                <w:b/>
                <w:sz w:val="24"/>
              </w:rPr>
            </w:pPr>
            <w:r>
              <w:rPr>
                <w:rFonts w:ascii="等线" w:eastAsia="等线" w:hint="eastAsia"/>
                <w:b/>
                <w:sz w:val="24"/>
              </w:rPr>
              <w:t>开颅手术</w:t>
            </w:r>
          </w:p>
        </w:tc>
        <w:tc>
          <w:tcPr>
            <w:tcW w:w="7083" w:type="dxa"/>
          </w:tcPr>
          <w:p>
            <w:pPr>
              <w:pStyle w:val="TableParagraph"/>
              <w:spacing w:line="273" w:lineRule="auto" w:before="125"/>
              <w:ind w:left="94" w:right="199"/>
              <w:rPr>
                <w:sz w:val="21"/>
              </w:rPr>
            </w:pPr>
            <w:r>
              <w:rPr>
                <w:sz w:val="21"/>
              </w:rPr>
              <w:t>被保险人因疾病或意外已实施全麻下的开颅手术（不包括颅骨钻孔手术和</w:t>
            </w:r>
            <w:r>
              <w:rPr>
                <w:spacing w:val="-3"/>
                <w:sz w:val="21"/>
              </w:rPr>
              <w:t>经鼻蝶窦入颅手术</w:t>
            </w:r>
            <w:r>
              <w:rPr>
                <w:spacing w:val="-109"/>
                <w:sz w:val="21"/>
              </w:rPr>
              <w:t>）</w:t>
            </w:r>
            <w:r>
              <w:rPr>
                <w:sz w:val="21"/>
              </w:rPr>
              <w:t>。</w:t>
            </w:r>
          </w:p>
          <w:p>
            <w:pPr>
              <w:pStyle w:val="TableParagraph"/>
              <w:spacing w:before="7"/>
              <w:ind w:left="94"/>
              <w:rPr>
                <w:sz w:val="21"/>
              </w:rPr>
            </w:pPr>
            <w:r>
              <w:rPr>
                <w:sz w:val="21"/>
              </w:rPr>
              <w:t>理赔时必须提供由专科医生出具的诊断书及手术证明。</w:t>
            </w:r>
          </w:p>
        </w:tc>
      </w:tr>
      <w:tr>
        <w:trPr>
          <w:trHeight w:val="2437" w:hRule="atLeast"/>
        </w:trPr>
        <w:tc>
          <w:tcPr>
            <w:tcW w:w="603" w:type="dxa"/>
          </w:tcPr>
          <w:p>
            <w:pPr>
              <w:pStyle w:val="TableParagraph"/>
              <w:spacing w:before="124"/>
              <w:ind w:left="179" w:right="171"/>
              <w:jc w:val="center"/>
              <w:rPr>
                <w:b/>
                <w:sz w:val="21"/>
              </w:rPr>
            </w:pPr>
            <w:r>
              <w:rPr>
                <w:b/>
                <w:sz w:val="21"/>
              </w:rPr>
              <w:t>57</w:t>
            </w:r>
          </w:p>
        </w:tc>
        <w:tc>
          <w:tcPr>
            <w:tcW w:w="2414" w:type="dxa"/>
          </w:tcPr>
          <w:p>
            <w:pPr>
              <w:pStyle w:val="TableParagraph"/>
              <w:spacing w:line="232" w:lineRule="auto" w:before="98"/>
              <w:ind w:left="192" w:right="92"/>
              <w:rPr>
                <w:rFonts w:ascii="等线" w:eastAsia="等线" w:hint="eastAsia"/>
                <w:b/>
                <w:sz w:val="24"/>
              </w:rPr>
            </w:pPr>
            <w:r>
              <w:rPr>
                <w:rFonts w:ascii="等线" w:eastAsia="等线" w:hint="eastAsia"/>
                <w:b/>
                <w:sz w:val="24"/>
              </w:rPr>
              <w:t>亚急性硬化性全脑炎</w:t>
            </w:r>
          </w:p>
        </w:tc>
        <w:tc>
          <w:tcPr>
            <w:tcW w:w="7083" w:type="dxa"/>
          </w:tcPr>
          <w:p>
            <w:pPr>
              <w:pStyle w:val="TableParagraph"/>
              <w:spacing w:line="273" w:lineRule="auto" w:before="124"/>
              <w:ind w:left="94" w:right="199"/>
              <w:jc w:val="both"/>
              <w:rPr>
                <w:sz w:val="21"/>
              </w:rPr>
            </w:pPr>
            <w:r>
              <w:rPr>
                <w:sz w:val="21"/>
              </w:rPr>
              <w:t>是麻疹或麻疹样病毒所致的一种中枢神经系统慢性感染。中枢神经系统呈现灰质和白质破坏为特征的慢性和急性混合存在的炎症。必须满足以下所有条件：</w:t>
            </w:r>
          </w:p>
          <w:p>
            <w:pPr>
              <w:pStyle w:val="TableParagraph"/>
              <w:spacing w:line="273" w:lineRule="auto" w:before="8"/>
              <w:ind w:left="619" w:right="199" w:hanging="526"/>
              <w:rPr>
                <w:sz w:val="21"/>
              </w:rPr>
            </w:pPr>
            <w:r>
              <w:rPr>
                <w:spacing w:val="-11"/>
                <w:sz w:val="21"/>
              </w:rPr>
              <w:t>（1）</w:t>
            </w:r>
            <w:r>
              <w:rPr>
                <w:spacing w:val="-8"/>
                <w:sz w:val="21"/>
              </w:rPr>
              <w:t>脑电图存在周期性复合波、脑脊液 </w:t>
            </w:r>
            <w:r>
              <w:rPr>
                <w:sz w:val="21"/>
              </w:rPr>
              <w:t>r</w:t>
            </w:r>
            <w:r>
              <w:rPr>
                <w:spacing w:val="-7"/>
                <w:sz w:val="21"/>
              </w:rPr>
              <w:t>-球蛋白升高、脑脊液和血清中麻</w:t>
            </w:r>
            <w:r>
              <w:rPr>
                <w:spacing w:val="-3"/>
                <w:sz w:val="21"/>
              </w:rPr>
              <w:t>疹抗体滴定度升高；</w:t>
            </w:r>
          </w:p>
          <w:p>
            <w:pPr>
              <w:pStyle w:val="TableParagraph"/>
              <w:spacing w:line="273" w:lineRule="auto" w:before="8"/>
              <w:ind w:left="620" w:right="157" w:hanging="526"/>
              <w:rPr>
                <w:sz w:val="21"/>
              </w:rPr>
            </w:pPr>
            <w:r>
              <w:rPr>
                <w:sz w:val="21"/>
              </w:rPr>
              <w:t>（2）被保险人出现运动障碍，自主生活能力完全丧失，无法独立完成六项基本日常生活活动中的三项或三项以上。</w:t>
            </w:r>
          </w:p>
        </w:tc>
      </w:tr>
      <w:tr>
        <w:trPr>
          <w:trHeight w:val="1191" w:hRule="atLeast"/>
        </w:trPr>
        <w:tc>
          <w:tcPr>
            <w:tcW w:w="603" w:type="dxa"/>
          </w:tcPr>
          <w:p>
            <w:pPr>
              <w:pStyle w:val="TableParagraph"/>
              <w:spacing w:before="103"/>
              <w:ind w:left="179" w:right="171"/>
              <w:jc w:val="center"/>
              <w:rPr>
                <w:b/>
                <w:sz w:val="21"/>
              </w:rPr>
            </w:pPr>
            <w:r>
              <w:rPr>
                <w:b/>
                <w:sz w:val="21"/>
              </w:rPr>
              <w:t>58</w:t>
            </w:r>
          </w:p>
        </w:tc>
        <w:tc>
          <w:tcPr>
            <w:tcW w:w="2414" w:type="dxa"/>
          </w:tcPr>
          <w:p>
            <w:pPr>
              <w:pStyle w:val="TableParagraph"/>
              <w:spacing w:before="89"/>
              <w:ind w:left="192"/>
              <w:rPr>
                <w:rFonts w:ascii="等线" w:eastAsia="等线" w:hint="eastAsia"/>
                <w:b/>
                <w:sz w:val="24"/>
              </w:rPr>
            </w:pPr>
            <w:r>
              <w:rPr>
                <w:rFonts w:ascii="等线" w:eastAsia="等线" w:hint="eastAsia"/>
                <w:b/>
                <w:sz w:val="24"/>
              </w:rPr>
              <w:t>克雅氏病</w:t>
            </w:r>
          </w:p>
        </w:tc>
        <w:tc>
          <w:tcPr>
            <w:tcW w:w="7083" w:type="dxa"/>
          </w:tcPr>
          <w:p>
            <w:pPr>
              <w:pStyle w:val="TableParagraph"/>
              <w:spacing w:line="273" w:lineRule="auto" w:before="124"/>
              <w:ind w:left="94" w:right="199"/>
              <w:jc w:val="both"/>
              <w:rPr>
                <w:sz w:val="21"/>
              </w:rPr>
            </w:pPr>
            <w:r>
              <w:rPr>
                <w:sz w:val="21"/>
              </w:rPr>
              <w:t>指一种不可治愈的脑部感染，导致急剧而渐进性的智力功能与活动衰退。须由专科医生根据临床测试、脑电图和影像结果作出诊断，并发现被保险人出现神经系统异常及严重的渐进性痴呆。</w:t>
            </w:r>
          </w:p>
        </w:tc>
      </w:tr>
      <w:tr>
        <w:trPr>
          <w:trHeight w:val="3375" w:hRule="atLeast"/>
        </w:trPr>
        <w:tc>
          <w:tcPr>
            <w:tcW w:w="603" w:type="dxa"/>
          </w:tcPr>
          <w:p>
            <w:pPr>
              <w:pStyle w:val="TableParagraph"/>
              <w:spacing w:before="124"/>
              <w:ind w:left="179" w:right="171"/>
              <w:jc w:val="center"/>
              <w:rPr>
                <w:b/>
                <w:sz w:val="21"/>
              </w:rPr>
            </w:pPr>
            <w:r>
              <w:rPr>
                <w:b/>
                <w:sz w:val="21"/>
              </w:rPr>
              <w:t>59</w:t>
            </w:r>
          </w:p>
        </w:tc>
        <w:tc>
          <w:tcPr>
            <w:tcW w:w="2414" w:type="dxa"/>
          </w:tcPr>
          <w:p>
            <w:pPr>
              <w:pStyle w:val="TableParagraph"/>
              <w:spacing w:before="88"/>
              <w:ind w:left="192"/>
              <w:rPr>
                <w:rFonts w:ascii="等线" w:eastAsia="等线" w:hint="eastAsia"/>
                <w:b/>
                <w:sz w:val="24"/>
              </w:rPr>
            </w:pPr>
            <w:r>
              <w:rPr>
                <w:rFonts w:ascii="等线" w:eastAsia="等线" w:hint="eastAsia"/>
                <w:b/>
                <w:sz w:val="24"/>
              </w:rPr>
              <w:t>丧失一眼及一肢</w:t>
            </w:r>
          </w:p>
        </w:tc>
        <w:tc>
          <w:tcPr>
            <w:tcW w:w="7083" w:type="dxa"/>
          </w:tcPr>
          <w:p>
            <w:pPr>
              <w:pStyle w:val="TableParagraph"/>
              <w:spacing w:before="124"/>
              <w:ind w:left="94"/>
              <w:rPr>
                <w:sz w:val="21"/>
              </w:rPr>
            </w:pPr>
            <w:r>
              <w:rPr>
                <w:sz w:val="21"/>
              </w:rPr>
              <w:t>指因疾病或意外伤害导致单眼视力丧失及单肢肢体机能完全丧失。</w:t>
            </w:r>
          </w:p>
          <w:p>
            <w:pPr>
              <w:pStyle w:val="TableParagraph"/>
              <w:spacing w:line="273" w:lineRule="auto" w:before="37"/>
              <w:ind w:left="94" w:right="199"/>
              <w:rPr>
                <w:sz w:val="21"/>
              </w:rPr>
            </w:pPr>
            <w:r>
              <w:rPr>
                <w:sz w:val="21"/>
              </w:rPr>
              <w:t>单眼视力丧失指单眼视力永久不可逆性丧失，患眼须满足下列至少一项条件：</w:t>
            </w:r>
          </w:p>
          <w:p>
            <w:pPr>
              <w:pStyle w:val="TableParagraph"/>
              <w:spacing w:before="7"/>
              <w:ind w:left="94"/>
              <w:rPr>
                <w:sz w:val="21"/>
              </w:rPr>
            </w:pPr>
            <w:r>
              <w:rPr>
                <w:sz w:val="21"/>
              </w:rPr>
              <w:t>（1）眼球缺失或摘除；</w:t>
            </w:r>
          </w:p>
          <w:p>
            <w:pPr>
              <w:pStyle w:val="TableParagraph"/>
              <w:spacing w:line="273" w:lineRule="auto" w:before="36"/>
              <w:ind w:left="619" w:right="198" w:hanging="526"/>
              <w:rPr>
                <w:sz w:val="21"/>
              </w:rPr>
            </w:pPr>
            <w:r>
              <w:rPr>
                <w:spacing w:val="-11"/>
                <w:sz w:val="21"/>
              </w:rPr>
              <w:t>（2）</w:t>
            </w:r>
            <w:r>
              <w:rPr>
                <w:spacing w:val="-6"/>
                <w:sz w:val="21"/>
              </w:rPr>
              <w:t>矫正视力低于 </w:t>
            </w:r>
            <w:r>
              <w:rPr>
                <w:spacing w:val="-8"/>
                <w:sz w:val="21"/>
              </w:rPr>
              <w:t>0.02（</w:t>
            </w:r>
            <w:r>
              <w:rPr>
                <w:spacing w:val="-6"/>
                <w:sz w:val="21"/>
              </w:rPr>
              <w:t>采用国际标准视力表，如果使用其它视力表应进</w:t>
            </w:r>
            <w:r>
              <w:rPr>
                <w:spacing w:val="-1"/>
                <w:w w:val="100"/>
                <w:sz w:val="21"/>
              </w:rPr>
              <w:t>行换算</w:t>
            </w:r>
            <w:r>
              <w:rPr>
                <w:spacing w:val="-106"/>
                <w:w w:val="100"/>
                <w:sz w:val="21"/>
              </w:rPr>
              <w:t>）</w:t>
            </w:r>
            <w:r>
              <w:rPr>
                <w:w w:val="100"/>
                <w:sz w:val="21"/>
              </w:rPr>
              <w:t>；</w:t>
            </w:r>
          </w:p>
          <w:p>
            <w:pPr>
              <w:pStyle w:val="TableParagraph"/>
              <w:spacing w:before="7"/>
              <w:ind w:left="94"/>
              <w:rPr>
                <w:sz w:val="21"/>
              </w:rPr>
            </w:pPr>
            <w:r>
              <w:rPr>
                <w:sz w:val="21"/>
              </w:rPr>
              <w:t>（3）视野半径小于 5 度。</w:t>
            </w:r>
          </w:p>
          <w:p>
            <w:pPr>
              <w:pStyle w:val="TableParagraph"/>
              <w:spacing w:before="37"/>
              <w:ind w:left="94"/>
              <w:rPr>
                <w:sz w:val="21"/>
              </w:rPr>
            </w:pPr>
            <w:r>
              <w:rPr>
                <w:sz w:val="21"/>
              </w:rPr>
              <w:t>单肢肢体机能完全丧失，须满足下列至少一项条件：</w:t>
            </w:r>
          </w:p>
          <w:p>
            <w:pPr>
              <w:pStyle w:val="TableParagraph"/>
              <w:spacing w:before="37"/>
              <w:ind w:left="94"/>
              <w:rPr>
                <w:sz w:val="21"/>
              </w:rPr>
            </w:pPr>
            <w:r>
              <w:rPr>
                <w:sz w:val="21"/>
              </w:rPr>
              <w:t>（1）任何一肢自腕关节或踝关节近端（靠近躯干端）以上完全性断离；</w:t>
            </w:r>
          </w:p>
          <w:p>
            <w:pPr>
              <w:pStyle w:val="TableParagraph"/>
              <w:spacing w:before="37"/>
              <w:ind w:left="94"/>
              <w:rPr>
                <w:sz w:val="21"/>
              </w:rPr>
            </w:pPr>
            <w:r>
              <w:rPr>
                <w:sz w:val="21"/>
              </w:rPr>
              <w:t>（2）任何一肢肢体机能完全丧失。</w:t>
            </w:r>
          </w:p>
        </w:tc>
      </w:tr>
      <w:tr>
        <w:trPr>
          <w:trHeight w:val="896" w:hRule="atLeast"/>
        </w:trPr>
        <w:tc>
          <w:tcPr>
            <w:tcW w:w="603" w:type="dxa"/>
          </w:tcPr>
          <w:p>
            <w:pPr>
              <w:pStyle w:val="TableParagraph"/>
              <w:spacing w:before="125"/>
              <w:ind w:left="179" w:right="171"/>
              <w:jc w:val="center"/>
              <w:rPr>
                <w:b/>
                <w:sz w:val="21"/>
              </w:rPr>
            </w:pPr>
            <w:r>
              <w:rPr>
                <w:b/>
                <w:sz w:val="21"/>
              </w:rPr>
              <w:t>60</w:t>
            </w:r>
          </w:p>
        </w:tc>
        <w:tc>
          <w:tcPr>
            <w:tcW w:w="2414" w:type="dxa"/>
          </w:tcPr>
          <w:p>
            <w:pPr>
              <w:pStyle w:val="TableParagraph"/>
              <w:spacing w:line="232" w:lineRule="auto" w:before="99"/>
              <w:ind w:left="192" w:right="92"/>
              <w:rPr>
                <w:rFonts w:ascii="等线" w:eastAsia="等线" w:hint="eastAsia"/>
                <w:b/>
                <w:sz w:val="21"/>
              </w:rPr>
            </w:pPr>
            <w:r>
              <w:rPr>
                <w:rFonts w:ascii="等线" w:eastAsia="等线" w:hint="eastAsia"/>
                <w:b/>
                <w:sz w:val="24"/>
              </w:rPr>
              <w:t>进行性多灶性白质脑</w:t>
            </w:r>
            <w:r>
              <w:rPr>
                <w:rFonts w:ascii="等线" w:eastAsia="等线" w:hint="eastAsia"/>
                <w:b/>
                <w:sz w:val="21"/>
              </w:rPr>
              <w:t>病</w:t>
            </w:r>
          </w:p>
        </w:tc>
        <w:tc>
          <w:tcPr>
            <w:tcW w:w="7083" w:type="dxa"/>
          </w:tcPr>
          <w:p>
            <w:pPr>
              <w:pStyle w:val="TableParagraph"/>
              <w:spacing w:line="273" w:lineRule="auto" w:before="125"/>
              <w:ind w:left="94" w:right="199"/>
              <w:rPr>
                <w:sz w:val="21"/>
              </w:rPr>
            </w:pPr>
            <w:r>
              <w:rPr>
                <w:sz w:val="21"/>
              </w:rPr>
              <w:t>是一种亚急性脱髓鞘性脑病，常常发现于免疫缺陷的病人。必须由神经科专科医生根据脑组织活检确诊。</w:t>
            </w:r>
          </w:p>
        </w:tc>
      </w:tr>
      <w:tr>
        <w:trPr>
          <w:trHeight w:val="1496" w:hRule="atLeast"/>
        </w:trPr>
        <w:tc>
          <w:tcPr>
            <w:tcW w:w="603" w:type="dxa"/>
          </w:tcPr>
          <w:p>
            <w:pPr>
              <w:pStyle w:val="TableParagraph"/>
              <w:spacing w:before="119"/>
              <w:ind w:left="179" w:right="171"/>
              <w:jc w:val="center"/>
              <w:rPr>
                <w:b/>
                <w:sz w:val="21"/>
              </w:rPr>
            </w:pPr>
            <w:r>
              <w:rPr>
                <w:b/>
                <w:sz w:val="21"/>
              </w:rPr>
              <w:t>61</w:t>
            </w:r>
          </w:p>
        </w:tc>
        <w:tc>
          <w:tcPr>
            <w:tcW w:w="2414" w:type="dxa"/>
          </w:tcPr>
          <w:p>
            <w:pPr>
              <w:pStyle w:val="TableParagraph"/>
              <w:spacing w:line="232" w:lineRule="auto" w:before="92"/>
              <w:ind w:left="192" w:right="92"/>
              <w:rPr>
                <w:rFonts w:ascii="等线" w:eastAsia="等线" w:hint="eastAsia"/>
                <w:b/>
                <w:sz w:val="24"/>
              </w:rPr>
            </w:pPr>
            <w:r>
              <w:rPr>
                <w:rFonts w:ascii="等线" w:eastAsia="等线" w:hint="eastAsia"/>
                <w:b/>
                <w:sz w:val="24"/>
              </w:rPr>
              <w:t>破裂脑动脉瘤夹闭手术</w:t>
            </w:r>
          </w:p>
        </w:tc>
        <w:tc>
          <w:tcPr>
            <w:tcW w:w="7083" w:type="dxa"/>
          </w:tcPr>
          <w:p>
            <w:pPr>
              <w:pStyle w:val="TableParagraph"/>
              <w:spacing w:line="273" w:lineRule="auto" w:before="119"/>
              <w:ind w:left="94" w:right="199"/>
              <w:rPr>
                <w:sz w:val="21"/>
              </w:rPr>
            </w:pPr>
            <w:r>
              <w:rPr>
                <w:sz w:val="21"/>
              </w:rPr>
              <w:t>指因脑动脉瘤破裂造成蛛网膜下腔出血，被保险人已经实施了在全麻下进行的开颅动脉瘤夹闭手术。</w:t>
            </w:r>
          </w:p>
          <w:p>
            <w:pPr>
              <w:pStyle w:val="TableParagraph"/>
              <w:spacing w:line="273" w:lineRule="auto" w:before="8"/>
              <w:ind w:left="94" w:right="199"/>
              <w:rPr>
                <w:sz w:val="21"/>
              </w:rPr>
            </w:pPr>
            <w:r>
              <w:rPr>
                <w:sz w:val="21"/>
                <w:shd w:fill="DADADA" w:color="auto" w:val="clear"/>
              </w:rPr>
              <w:t>脑动脉瘤（未破裂）预防性手术、颅骨打孔手术、动脉瘤栓塞手术、血管内手术及其他颅脑手术不在本保障范围内。</w:t>
            </w:r>
          </w:p>
        </w:tc>
      </w:tr>
      <w:tr>
        <w:trPr>
          <w:trHeight w:val="2491" w:hRule="atLeast"/>
        </w:trPr>
        <w:tc>
          <w:tcPr>
            <w:tcW w:w="603" w:type="dxa"/>
          </w:tcPr>
          <w:p>
            <w:pPr>
              <w:pStyle w:val="TableParagraph"/>
              <w:spacing w:before="103"/>
              <w:ind w:left="179" w:right="171"/>
              <w:jc w:val="center"/>
              <w:rPr>
                <w:b/>
                <w:sz w:val="21"/>
              </w:rPr>
            </w:pPr>
            <w:r>
              <w:rPr>
                <w:b/>
                <w:sz w:val="21"/>
              </w:rPr>
              <w:t>62</w:t>
            </w:r>
          </w:p>
        </w:tc>
        <w:tc>
          <w:tcPr>
            <w:tcW w:w="2414" w:type="dxa"/>
          </w:tcPr>
          <w:p>
            <w:pPr>
              <w:pStyle w:val="TableParagraph"/>
              <w:spacing w:before="88"/>
              <w:ind w:left="192"/>
              <w:rPr>
                <w:rFonts w:ascii="等线" w:eastAsia="等线" w:hint="eastAsia"/>
                <w:b/>
                <w:sz w:val="24"/>
              </w:rPr>
            </w:pPr>
            <w:r>
              <w:rPr>
                <w:rFonts w:ascii="等线" w:eastAsia="等线" w:hint="eastAsia"/>
                <w:b/>
                <w:sz w:val="24"/>
              </w:rPr>
              <w:t>脊髓小脑变性症</w:t>
            </w:r>
          </w:p>
        </w:tc>
        <w:tc>
          <w:tcPr>
            <w:tcW w:w="7083" w:type="dxa"/>
          </w:tcPr>
          <w:p>
            <w:pPr>
              <w:pStyle w:val="TableParagraph"/>
              <w:spacing w:line="273" w:lineRule="auto" w:before="124"/>
              <w:ind w:left="94" w:right="199"/>
              <w:rPr>
                <w:sz w:val="21"/>
              </w:rPr>
            </w:pPr>
            <w:r>
              <w:rPr>
                <w:sz w:val="21"/>
              </w:rPr>
              <w:t>脊髓小脑变性症为一组以小脑萎缩和共济失调为主要临床特点的疾病。必须符合所有以下条件：</w:t>
            </w:r>
          </w:p>
          <w:p>
            <w:pPr>
              <w:pStyle w:val="TableParagraph"/>
              <w:spacing w:before="7"/>
              <w:ind w:left="94"/>
              <w:rPr>
                <w:sz w:val="21"/>
              </w:rPr>
            </w:pPr>
            <w:r>
              <w:rPr>
                <w:sz w:val="21"/>
              </w:rPr>
              <w:t>（1）脊髓小脑变性症必须由医院诊断，并有以下证据支持：</w:t>
            </w:r>
          </w:p>
          <w:p>
            <w:pPr>
              <w:pStyle w:val="TableParagraph"/>
              <w:spacing w:before="37"/>
              <w:ind w:left="200"/>
              <w:rPr>
                <w:sz w:val="21"/>
              </w:rPr>
            </w:pPr>
            <w:r>
              <w:rPr>
                <w:sz w:val="21"/>
              </w:rPr>
              <w:t>① 影像学检查证实存在小脑萎缩；</w:t>
            </w:r>
          </w:p>
          <w:p>
            <w:pPr>
              <w:pStyle w:val="TableParagraph"/>
              <w:spacing w:before="37"/>
              <w:ind w:left="200"/>
              <w:rPr>
                <w:sz w:val="21"/>
              </w:rPr>
            </w:pPr>
            <w:r>
              <w:rPr>
                <w:sz w:val="21"/>
              </w:rPr>
              <w:t>② 临床表现存在共济失调、语言障碍和肌张力异常。</w:t>
            </w:r>
          </w:p>
          <w:p>
            <w:pPr>
              <w:pStyle w:val="TableParagraph"/>
              <w:spacing w:line="273" w:lineRule="auto" w:before="37"/>
              <w:ind w:left="620" w:right="143" w:hanging="526"/>
              <w:rPr>
                <w:sz w:val="21"/>
              </w:rPr>
            </w:pPr>
            <w:r>
              <w:rPr>
                <w:sz w:val="21"/>
              </w:rPr>
              <w:t>（2）被保险人运动功能严重障碍，自主生活能力完全丧失，无法独立完成六项基本日常生活活动中的三项或三项以上。</w:t>
            </w:r>
          </w:p>
        </w:tc>
      </w:tr>
      <w:tr>
        <w:trPr>
          <w:trHeight w:val="430" w:hRule="atLeast"/>
        </w:trPr>
        <w:tc>
          <w:tcPr>
            <w:tcW w:w="603" w:type="dxa"/>
          </w:tcPr>
          <w:p>
            <w:pPr>
              <w:pStyle w:val="TableParagraph"/>
              <w:rPr>
                <w:rFonts w:ascii="Times New Roman"/>
                <w:sz w:val="20"/>
              </w:rPr>
            </w:pPr>
          </w:p>
        </w:tc>
        <w:tc>
          <w:tcPr>
            <w:tcW w:w="2414" w:type="dxa"/>
          </w:tcPr>
          <w:p>
            <w:pPr>
              <w:pStyle w:val="TableParagraph"/>
              <w:spacing w:line="255" w:lineRule="exact" w:before="156"/>
              <w:ind w:left="192"/>
              <w:rPr>
                <w:b/>
                <w:sz w:val="21"/>
              </w:rPr>
            </w:pPr>
            <w:r>
              <w:rPr>
                <w:b/>
                <w:sz w:val="21"/>
              </w:rPr>
              <w:t>第 5 类：</w:t>
            </w:r>
          </w:p>
        </w:tc>
        <w:tc>
          <w:tcPr>
            <w:tcW w:w="7083" w:type="dxa"/>
          </w:tcPr>
          <w:p>
            <w:pPr>
              <w:pStyle w:val="TableParagraph"/>
              <w:spacing w:line="255" w:lineRule="exact" w:before="156"/>
              <w:ind w:left="94"/>
              <w:rPr>
                <w:b/>
                <w:sz w:val="21"/>
              </w:rPr>
            </w:pPr>
            <w:r>
              <w:rPr>
                <w:b/>
                <w:sz w:val="21"/>
              </w:rPr>
              <w:t>其他重大疾病</w:t>
            </w:r>
          </w:p>
        </w:tc>
      </w:tr>
    </w:tbl>
    <w:p>
      <w:pPr>
        <w:spacing w:after="0" w:line="255" w:lineRule="exact"/>
        <w:rPr>
          <w:sz w:val="21"/>
        </w:rPr>
        <w:sectPr>
          <w:pgSz w:w="11910" w:h="16840"/>
          <w:pgMar w:top="1160" w:bottom="280" w:left="880" w:right="700"/>
        </w:sectPr>
      </w:pPr>
    </w:p>
    <w:tbl>
      <w:tblPr>
        <w:tblW w:w="0" w:type="auto"/>
        <w:jc w:val="left"/>
        <w:tblInd w:w="1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3"/>
        <w:gridCol w:w="2414"/>
        <w:gridCol w:w="7188"/>
      </w:tblGrid>
      <w:tr>
        <w:trPr>
          <w:trHeight w:val="754" w:hRule="atLeast"/>
        </w:trPr>
        <w:tc>
          <w:tcPr>
            <w:tcW w:w="603" w:type="dxa"/>
          </w:tcPr>
          <w:p>
            <w:pPr>
              <w:pStyle w:val="TableParagraph"/>
              <w:spacing w:line="231" w:lineRule="exact"/>
              <w:ind w:left="179" w:right="171"/>
              <w:jc w:val="center"/>
              <w:rPr>
                <w:b/>
                <w:sz w:val="21"/>
              </w:rPr>
            </w:pPr>
            <w:r>
              <w:rPr>
                <w:b/>
                <w:sz w:val="21"/>
              </w:rPr>
              <w:t>63</w:t>
            </w:r>
          </w:p>
        </w:tc>
        <w:tc>
          <w:tcPr>
            <w:tcW w:w="2414" w:type="dxa"/>
          </w:tcPr>
          <w:p>
            <w:pPr>
              <w:pStyle w:val="TableParagraph"/>
              <w:spacing w:line="248" w:lineRule="exact"/>
              <w:ind w:left="192"/>
              <w:rPr>
                <w:rFonts w:ascii="等线" w:eastAsia="等线" w:hint="eastAsia"/>
                <w:b/>
                <w:sz w:val="24"/>
              </w:rPr>
            </w:pPr>
            <w:r>
              <w:rPr>
                <w:rFonts w:ascii="等线" w:eastAsia="等线" w:hint="eastAsia"/>
                <w:b/>
                <w:sz w:val="24"/>
              </w:rPr>
              <w:t>多个肢体缺失</w:t>
            </w:r>
          </w:p>
        </w:tc>
        <w:tc>
          <w:tcPr>
            <w:tcW w:w="7188" w:type="dxa"/>
          </w:tcPr>
          <w:p>
            <w:pPr>
              <w:pStyle w:val="TableParagraph"/>
              <w:spacing w:line="231" w:lineRule="exact"/>
              <w:ind w:left="94"/>
              <w:rPr>
                <w:sz w:val="21"/>
              </w:rPr>
            </w:pPr>
            <w:r>
              <w:rPr>
                <w:sz w:val="21"/>
              </w:rPr>
              <w:t>指因疾病或意外伤害导致两个或两个以上肢体自腕关节或踝关节近端（靠</w:t>
            </w:r>
          </w:p>
          <w:p>
            <w:pPr>
              <w:pStyle w:val="TableParagraph"/>
              <w:spacing w:before="37"/>
              <w:ind w:left="94"/>
              <w:rPr>
                <w:sz w:val="21"/>
              </w:rPr>
            </w:pPr>
            <w:r>
              <w:rPr>
                <w:sz w:val="21"/>
              </w:rPr>
              <w:t>近躯干端）以上完全性断离。</w:t>
            </w:r>
          </w:p>
        </w:tc>
      </w:tr>
      <w:tr>
        <w:trPr>
          <w:trHeight w:val="2441" w:hRule="atLeast"/>
        </w:trPr>
        <w:tc>
          <w:tcPr>
            <w:tcW w:w="603" w:type="dxa"/>
          </w:tcPr>
          <w:p>
            <w:pPr>
              <w:pStyle w:val="TableParagraph"/>
              <w:spacing w:before="167"/>
              <w:ind w:left="179" w:right="171"/>
              <w:jc w:val="center"/>
              <w:rPr>
                <w:b/>
                <w:sz w:val="21"/>
              </w:rPr>
            </w:pPr>
            <w:r>
              <w:rPr>
                <w:b/>
                <w:sz w:val="21"/>
              </w:rPr>
              <w:t>64</w:t>
            </w:r>
          </w:p>
        </w:tc>
        <w:tc>
          <w:tcPr>
            <w:tcW w:w="2414" w:type="dxa"/>
          </w:tcPr>
          <w:p>
            <w:pPr>
              <w:pStyle w:val="TableParagraph"/>
              <w:spacing w:before="131"/>
              <w:ind w:left="192"/>
              <w:rPr>
                <w:rFonts w:ascii="等线" w:eastAsia="等线" w:hint="eastAsia"/>
                <w:b/>
                <w:sz w:val="24"/>
              </w:rPr>
            </w:pPr>
            <w:r>
              <w:rPr>
                <w:rFonts w:ascii="等线" w:eastAsia="等线" w:hint="eastAsia"/>
                <w:b/>
                <w:sz w:val="24"/>
              </w:rPr>
              <w:t>严重的 1 型糖尿病</w:t>
            </w:r>
          </w:p>
        </w:tc>
        <w:tc>
          <w:tcPr>
            <w:tcW w:w="7188" w:type="dxa"/>
          </w:tcPr>
          <w:p>
            <w:pPr>
              <w:pStyle w:val="TableParagraph"/>
              <w:spacing w:line="273" w:lineRule="auto" w:before="167"/>
              <w:ind w:left="94" w:right="299"/>
              <w:jc w:val="both"/>
              <w:rPr>
                <w:sz w:val="21"/>
              </w:rPr>
            </w:pPr>
            <w:r>
              <w:rPr>
                <w:sz w:val="21"/>
              </w:rPr>
              <w:t>指由于胰岛素分泌绝对不足引起的慢性血糖升高，且已经持续性地依赖外</w:t>
            </w:r>
            <w:r>
              <w:rPr>
                <w:spacing w:val="-8"/>
                <w:sz w:val="21"/>
              </w:rPr>
              <w:t>源性胰岛素维持 </w:t>
            </w:r>
            <w:r>
              <w:rPr>
                <w:sz w:val="21"/>
              </w:rPr>
              <w:t>180</w:t>
            </w:r>
            <w:r>
              <w:rPr>
                <w:spacing w:val="-9"/>
                <w:sz w:val="21"/>
              </w:rPr>
              <w:t> 日以上。须经血胰岛素测定、血 </w:t>
            </w:r>
            <w:r>
              <w:rPr>
                <w:sz w:val="21"/>
              </w:rPr>
              <w:t>C</w:t>
            </w:r>
            <w:r>
              <w:rPr>
                <w:spacing w:val="-14"/>
                <w:sz w:val="21"/>
              </w:rPr>
              <w:t> 肽测定或尿 </w:t>
            </w:r>
            <w:r>
              <w:rPr>
                <w:sz w:val="21"/>
              </w:rPr>
              <w:t>C</w:t>
            </w:r>
            <w:r>
              <w:rPr>
                <w:spacing w:val="-13"/>
                <w:sz w:val="21"/>
              </w:rPr>
              <w:t> 肽测定，结果异常，并由内分泌科专科医生明确诊断。并须在本附加险合同保</w:t>
            </w:r>
            <w:r>
              <w:rPr>
                <w:spacing w:val="-10"/>
                <w:sz w:val="21"/>
              </w:rPr>
              <w:t>险期间内，满足下列至少 </w:t>
            </w:r>
            <w:r>
              <w:rPr>
                <w:sz w:val="21"/>
              </w:rPr>
              <w:t>1</w:t>
            </w:r>
            <w:r>
              <w:rPr>
                <w:spacing w:val="-10"/>
                <w:sz w:val="21"/>
              </w:rPr>
              <w:t> 个条件：</w:t>
            </w:r>
          </w:p>
          <w:p>
            <w:pPr>
              <w:pStyle w:val="TableParagraph"/>
              <w:spacing w:before="7"/>
              <w:ind w:left="94"/>
              <w:jc w:val="both"/>
              <w:rPr>
                <w:sz w:val="21"/>
              </w:rPr>
            </w:pPr>
            <w:r>
              <w:rPr>
                <w:sz w:val="21"/>
              </w:rPr>
              <w:t>（1）已出现增殖性视网膜病变；</w:t>
            </w:r>
          </w:p>
          <w:p>
            <w:pPr>
              <w:pStyle w:val="TableParagraph"/>
              <w:spacing w:before="36"/>
              <w:ind w:left="94"/>
              <w:jc w:val="both"/>
              <w:rPr>
                <w:sz w:val="21"/>
              </w:rPr>
            </w:pPr>
            <w:r>
              <w:rPr>
                <w:sz w:val="21"/>
              </w:rPr>
              <w:t>（2）须植入心脏起搏器治疗心脏病；</w:t>
            </w:r>
          </w:p>
          <w:p>
            <w:pPr>
              <w:pStyle w:val="TableParagraph"/>
              <w:spacing w:before="36"/>
              <w:ind w:left="94"/>
              <w:jc w:val="both"/>
              <w:rPr>
                <w:sz w:val="21"/>
              </w:rPr>
            </w:pPr>
            <w:r>
              <w:rPr>
                <w:sz w:val="21"/>
              </w:rPr>
              <w:t>（3）因坏疽需切除至少一个脚趾。</w:t>
            </w:r>
          </w:p>
        </w:tc>
      </w:tr>
      <w:tr>
        <w:trPr>
          <w:trHeight w:val="840" w:hRule="atLeast"/>
        </w:trPr>
        <w:tc>
          <w:tcPr>
            <w:tcW w:w="603" w:type="dxa"/>
          </w:tcPr>
          <w:p>
            <w:pPr>
              <w:pStyle w:val="TableParagraph"/>
              <w:spacing w:before="84"/>
              <w:ind w:left="179" w:right="171"/>
              <w:jc w:val="center"/>
              <w:rPr>
                <w:b/>
                <w:sz w:val="21"/>
              </w:rPr>
            </w:pPr>
            <w:r>
              <w:rPr>
                <w:b/>
                <w:sz w:val="21"/>
              </w:rPr>
              <w:t>65</w:t>
            </w:r>
          </w:p>
        </w:tc>
        <w:tc>
          <w:tcPr>
            <w:tcW w:w="2414" w:type="dxa"/>
          </w:tcPr>
          <w:p>
            <w:pPr>
              <w:pStyle w:val="TableParagraph"/>
              <w:spacing w:before="48"/>
              <w:ind w:left="192"/>
              <w:rPr>
                <w:rFonts w:ascii="等线" w:hAnsi="等线" w:eastAsia="等线" w:hint="eastAsia"/>
                <w:b/>
                <w:sz w:val="24"/>
              </w:rPr>
            </w:pPr>
            <w:r>
              <w:rPr>
                <w:rFonts w:ascii="等线" w:hAnsi="等线" w:eastAsia="等线" w:hint="eastAsia"/>
                <w:b/>
                <w:sz w:val="24"/>
              </w:rPr>
              <w:t>严重Ⅲ度烧伤</w:t>
            </w:r>
          </w:p>
        </w:tc>
        <w:tc>
          <w:tcPr>
            <w:tcW w:w="7188" w:type="dxa"/>
          </w:tcPr>
          <w:p>
            <w:pPr>
              <w:pStyle w:val="TableParagraph"/>
              <w:spacing w:line="273" w:lineRule="auto" w:before="84"/>
              <w:ind w:left="94" w:right="196"/>
              <w:rPr>
                <w:sz w:val="21"/>
              </w:rPr>
            </w:pPr>
            <w:r>
              <w:rPr>
                <w:spacing w:val="-11"/>
                <w:sz w:val="21"/>
              </w:rPr>
              <w:t>指烧伤程度为Ⅲ度，且Ⅲ度烧伤的面积达到全身体表面积的</w:t>
            </w:r>
            <w:r>
              <w:rPr>
                <w:sz w:val="21"/>
              </w:rPr>
              <w:t>20</w:t>
            </w:r>
            <w:r>
              <w:rPr>
                <w:spacing w:val="15"/>
                <w:sz w:val="21"/>
              </w:rPr>
              <w:t>%或</w:t>
            </w:r>
            <w:r>
              <w:rPr>
                <w:sz w:val="21"/>
              </w:rPr>
              <w:t>20</w:t>
            </w:r>
            <w:r>
              <w:rPr>
                <w:spacing w:val="-2"/>
                <w:sz w:val="21"/>
              </w:rPr>
              <w:t>%以上。</w:t>
            </w:r>
            <w:r>
              <w:rPr>
                <w:spacing w:val="-3"/>
                <w:sz w:val="21"/>
              </w:rPr>
              <w:t>体表面积根据《中国新九分法》计算。</w:t>
            </w:r>
          </w:p>
        </w:tc>
      </w:tr>
      <w:tr>
        <w:trPr>
          <w:trHeight w:val="4921" w:hRule="atLeast"/>
        </w:trPr>
        <w:tc>
          <w:tcPr>
            <w:tcW w:w="603" w:type="dxa"/>
          </w:tcPr>
          <w:p>
            <w:pPr>
              <w:pStyle w:val="TableParagraph"/>
              <w:spacing w:before="125"/>
              <w:ind w:left="179" w:right="171"/>
              <w:jc w:val="center"/>
              <w:rPr>
                <w:b/>
                <w:sz w:val="21"/>
              </w:rPr>
            </w:pPr>
            <w:r>
              <w:rPr>
                <w:b/>
                <w:sz w:val="21"/>
              </w:rPr>
              <w:t>66</w:t>
            </w:r>
          </w:p>
        </w:tc>
        <w:tc>
          <w:tcPr>
            <w:tcW w:w="2414" w:type="dxa"/>
          </w:tcPr>
          <w:p>
            <w:pPr>
              <w:pStyle w:val="TableParagraph"/>
              <w:spacing w:line="232" w:lineRule="auto" w:before="99"/>
              <w:ind w:left="192" w:right="92"/>
              <w:rPr>
                <w:rFonts w:ascii="等线" w:eastAsia="等线" w:hint="eastAsia"/>
                <w:b/>
                <w:sz w:val="24"/>
              </w:rPr>
            </w:pPr>
            <w:r>
              <w:rPr>
                <w:rFonts w:ascii="等线" w:eastAsia="等线" w:hint="eastAsia"/>
                <w:b/>
                <w:sz w:val="24"/>
              </w:rPr>
              <w:t>严重类风湿性关节炎</w:t>
            </w:r>
          </w:p>
        </w:tc>
        <w:tc>
          <w:tcPr>
            <w:tcW w:w="7188" w:type="dxa"/>
          </w:tcPr>
          <w:p>
            <w:pPr>
              <w:pStyle w:val="TableParagraph"/>
              <w:spacing w:line="273" w:lineRule="auto" w:before="125"/>
              <w:ind w:left="94" w:right="299"/>
              <w:jc w:val="both"/>
              <w:rPr>
                <w:sz w:val="21"/>
              </w:rPr>
            </w:pPr>
            <w:r>
              <w:rPr>
                <w:sz w:val="21"/>
              </w:rPr>
              <w:t>指广泛分布的慢性进行性多关节病变，表现为关节严重变形，侵犯至少三个主要关节或关节组，[如:双手（多手指）关节、双足（多足趾）关节、</w:t>
            </w:r>
            <w:r>
              <w:rPr>
                <w:spacing w:val="-7"/>
                <w:sz w:val="21"/>
              </w:rPr>
              <w:t>双腕关节、双膝关节和双髋关节]。被保人所患的类风湿性关节炎必须明确</w:t>
            </w:r>
            <w:r>
              <w:rPr>
                <w:spacing w:val="-2"/>
                <w:sz w:val="21"/>
              </w:rPr>
              <w:t>诊断并且已经达到类风湿性关节炎功能分级</w:t>
            </w:r>
            <w:r>
              <w:rPr>
                <w:sz w:val="21"/>
              </w:rPr>
              <w:t>IV</w:t>
            </w:r>
            <w:r>
              <w:rPr>
                <w:spacing w:val="-9"/>
                <w:sz w:val="21"/>
              </w:rPr>
              <w:t> 级的永久不可逆性关节功能</w:t>
            </w:r>
            <w:r>
              <w:rPr>
                <w:sz w:val="21"/>
              </w:rPr>
              <w:t>障碍</w:t>
            </w:r>
            <w:r>
              <w:rPr>
                <w:spacing w:val="-3"/>
                <w:sz w:val="21"/>
              </w:rPr>
              <w:t>（生活不能自理，且丧失工作能力）并须满足下列全部条件：</w:t>
            </w:r>
          </w:p>
          <w:p>
            <w:pPr>
              <w:pStyle w:val="TableParagraph"/>
              <w:spacing w:before="7"/>
              <w:ind w:left="94"/>
              <w:jc w:val="both"/>
              <w:rPr>
                <w:sz w:val="21"/>
              </w:rPr>
            </w:pPr>
            <w:r>
              <w:rPr>
                <w:sz w:val="21"/>
              </w:rPr>
              <w:t>（1）晨僵；</w:t>
            </w:r>
          </w:p>
          <w:p>
            <w:pPr>
              <w:pStyle w:val="TableParagraph"/>
              <w:spacing w:before="36"/>
              <w:ind w:left="94"/>
              <w:jc w:val="both"/>
              <w:rPr>
                <w:sz w:val="21"/>
              </w:rPr>
            </w:pPr>
            <w:r>
              <w:rPr>
                <w:sz w:val="21"/>
              </w:rPr>
              <w:t>（2）对称性关节炎；</w:t>
            </w:r>
          </w:p>
          <w:p>
            <w:pPr>
              <w:pStyle w:val="TableParagraph"/>
              <w:spacing w:before="36"/>
              <w:ind w:left="94"/>
              <w:jc w:val="both"/>
              <w:rPr>
                <w:sz w:val="21"/>
              </w:rPr>
            </w:pPr>
            <w:r>
              <w:rPr>
                <w:sz w:val="21"/>
              </w:rPr>
              <w:t>（3）类风湿性皮下结节；</w:t>
            </w:r>
          </w:p>
          <w:p>
            <w:pPr>
              <w:pStyle w:val="TableParagraph"/>
              <w:spacing w:before="36"/>
              <w:ind w:left="94"/>
              <w:jc w:val="both"/>
              <w:rPr>
                <w:sz w:val="21"/>
              </w:rPr>
            </w:pPr>
            <w:r>
              <w:rPr>
                <w:sz w:val="21"/>
              </w:rPr>
              <w:t>（4）类风湿因子滴度升高；</w:t>
            </w:r>
          </w:p>
          <w:p>
            <w:pPr>
              <w:pStyle w:val="TableParagraph"/>
              <w:spacing w:line="273" w:lineRule="auto" w:before="36"/>
              <w:ind w:left="94" w:right="1721"/>
              <w:rPr>
                <w:sz w:val="21"/>
              </w:rPr>
            </w:pPr>
            <w:r>
              <w:rPr>
                <w:sz w:val="21"/>
              </w:rPr>
              <w:t>（5）X 线显示严重的关节（软骨和骨）破坏和关节畸形。类风湿性关节炎功能分级标准：</w:t>
            </w:r>
          </w:p>
          <w:p>
            <w:pPr>
              <w:pStyle w:val="TableParagraph"/>
              <w:spacing w:before="7"/>
              <w:ind w:left="94"/>
              <w:jc w:val="both"/>
              <w:rPr>
                <w:sz w:val="21"/>
              </w:rPr>
            </w:pPr>
            <w:r>
              <w:rPr>
                <w:w w:val="100"/>
                <w:sz w:val="21"/>
              </w:rPr>
              <w:t>Ⅰ级</w:t>
            </w:r>
            <w:r>
              <w:rPr>
                <w:spacing w:val="-2"/>
                <w:sz w:val="21"/>
              </w:rPr>
              <w:t> </w:t>
            </w:r>
            <w:r>
              <w:rPr>
                <w:spacing w:val="-3"/>
                <w:w w:val="100"/>
                <w:sz w:val="21"/>
              </w:rPr>
              <w:t>胜任日常生活各项活动</w:t>
            </w:r>
            <w:r>
              <w:rPr>
                <w:w w:val="100"/>
                <w:sz w:val="21"/>
              </w:rPr>
              <w:t>（</w:t>
            </w:r>
            <w:r>
              <w:rPr>
                <w:spacing w:val="-3"/>
                <w:w w:val="100"/>
                <w:sz w:val="21"/>
              </w:rPr>
              <w:t>包括生活自理，职业和非职业活动</w:t>
            </w:r>
            <w:r>
              <w:rPr>
                <w:spacing w:val="-108"/>
                <w:w w:val="100"/>
                <w:sz w:val="21"/>
              </w:rPr>
              <w:t>）</w:t>
            </w:r>
            <w:r>
              <w:rPr>
                <w:w w:val="100"/>
                <w:sz w:val="21"/>
              </w:rPr>
              <w:t>；</w:t>
            </w:r>
          </w:p>
          <w:p>
            <w:pPr>
              <w:pStyle w:val="TableParagraph"/>
              <w:spacing w:before="36"/>
              <w:ind w:left="94"/>
              <w:jc w:val="both"/>
              <w:rPr>
                <w:sz w:val="21"/>
              </w:rPr>
            </w:pPr>
            <w:r>
              <w:rPr>
                <w:sz w:val="21"/>
              </w:rPr>
              <w:t>Ⅱ级 生活自理和工作，非职业活动受限；</w:t>
            </w:r>
          </w:p>
          <w:p>
            <w:pPr>
              <w:pStyle w:val="TableParagraph"/>
              <w:spacing w:before="36"/>
              <w:ind w:left="94"/>
              <w:jc w:val="both"/>
              <w:rPr>
                <w:sz w:val="21"/>
              </w:rPr>
            </w:pPr>
            <w:r>
              <w:rPr>
                <w:sz w:val="21"/>
              </w:rPr>
              <w:t>Ⅲ级 生活自理和工作，职业和非职业活动受限；</w:t>
            </w:r>
          </w:p>
          <w:p>
            <w:pPr>
              <w:pStyle w:val="TableParagraph"/>
              <w:spacing w:before="36"/>
              <w:ind w:left="94"/>
              <w:jc w:val="both"/>
              <w:rPr>
                <w:sz w:val="21"/>
              </w:rPr>
            </w:pPr>
            <w:r>
              <w:rPr>
                <w:sz w:val="21"/>
              </w:rPr>
              <w:t>Ⅳ级 生活不能自理，且丧失工作能力。</w:t>
            </w:r>
          </w:p>
        </w:tc>
      </w:tr>
      <w:tr>
        <w:trPr>
          <w:trHeight w:val="1162" w:hRule="atLeast"/>
        </w:trPr>
        <w:tc>
          <w:tcPr>
            <w:tcW w:w="603" w:type="dxa"/>
          </w:tcPr>
          <w:p>
            <w:pPr>
              <w:pStyle w:val="TableParagraph"/>
              <w:spacing w:before="109"/>
              <w:ind w:left="179" w:right="171"/>
              <w:jc w:val="center"/>
              <w:rPr>
                <w:b/>
                <w:sz w:val="21"/>
              </w:rPr>
            </w:pPr>
            <w:r>
              <w:rPr>
                <w:b/>
                <w:sz w:val="21"/>
              </w:rPr>
              <w:t>67</w:t>
            </w:r>
          </w:p>
        </w:tc>
        <w:tc>
          <w:tcPr>
            <w:tcW w:w="2414" w:type="dxa"/>
          </w:tcPr>
          <w:p>
            <w:pPr>
              <w:pStyle w:val="TableParagraph"/>
              <w:spacing w:before="73"/>
              <w:ind w:left="192"/>
              <w:rPr>
                <w:rFonts w:ascii="等线" w:eastAsia="等线" w:hint="eastAsia"/>
                <w:b/>
                <w:sz w:val="24"/>
              </w:rPr>
            </w:pPr>
            <w:r>
              <w:rPr>
                <w:rFonts w:ascii="等线" w:eastAsia="等线" w:hint="eastAsia"/>
                <w:b/>
                <w:sz w:val="24"/>
              </w:rPr>
              <w:t>象皮病</w:t>
            </w:r>
          </w:p>
        </w:tc>
        <w:tc>
          <w:tcPr>
            <w:tcW w:w="7188" w:type="dxa"/>
          </w:tcPr>
          <w:p>
            <w:pPr>
              <w:pStyle w:val="TableParagraph"/>
              <w:spacing w:line="273" w:lineRule="auto" w:before="109"/>
              <w:ind w:left="94" w:right="304"/>
              <w:jc w:val="both"/>
              <w:rPr>
                <w:sz w:val="21"/>
              </w:rPr>
            </w:pPr>
            <w:r>
              <w:rPr>
                <w:sz w:val="21"/>
              </w:rPr>
              <w:t>指末期丝虫病，已经到达国际淋巴学会分级为三度淋巴水肿，其临床表现为肢体非凹陷性水肿伴畸形增大、硬皮症和疣状增生。此病症须经专科医生根据临床表现和微丝蚴的化验结果确诊。</w:t>
            </w:r>
          </w:p>
        </w:tc>
      </w:tr>
      <w:tr>
        <w:trPr>
          <w:trHeight w:val="3034" w:hRule="atLeast"/>
        </w:trPr>
        <w:tc>
          <w:tcPr>
            <w:tcW w:w="603" w:type="dxa"/>
          </w:tcPr>
          <w:p>
            <w:pPr>
              <w:pStyle w:val="TableParagraph"/>
              <w:spacing w:before="110"/>
              <w:ind w:left="179" w:right="171"/>
              <w:jc w:val="center"/>
              <w:rPr>
                <w:b/>
                <w:sz w:val="21"/>
              </w:rPr>
            </w:pPr>
            <w:r>
              <w:rPr>
                <w:b/>
                <w:sz w:val="21"/>
              </w:rPr>
              <w:t>68</w:t>
            </w:r>
          </w:p>
        </w:tc>
        <w:tc>
          <w:tcPr>
            <w:tcW w:w="2414" w:type="dxa"/>
          </w:tcPr>
          <w:p>
            <w:pPr>
              <w:pStyle w:val="TableParagraph"/>
              <w:spacing w:line="232" w:lineRule="auto" w:before="84"/>
              <w:ind w:left="192" w:right="92"/>
              <w:jc w:val="both"/>
              <w:rPr>
                <w:rFonts w:ascii="等线" w:eastAsia="等线" w:hint="eastAsia"/>
                <w:b/>
                <w:sz w:val="24"/>
              </w:rPr>
            </w:pPr>
            <w:r>
              <w:rPr>
                <w:rFonts w:ascii="等线" w:eastAsia="等线" w:hint="eastAsia"/>
                <w:b/>
                <w:sz w:val="24"/>
              </w:rPr>
              <w:t>经输血导致的艾滋病病毒感染或患艾滋病</w:t>
            </w:r>
          </w:p>
        </w:tc>
        <w:tc>
          <w:tcPr>
            <w:tcW w:w="7188" w:type="dxa"/>
          </w:tcPr>
          <w:p>
            <w:pPr>
              <w:pStyle w:val="TableParagraph"/>
              <w:spacing w:line="273" w:lineRule="auto" w:before="110"/>
              <w:ind w:left="94" w:right="246"/>
              <w:rPr>
                <w:sz w:val="21"/>
              </w:rPr>
            </w:pPr>
            <w:r>
              <w:rPr>
                <w:sz w:val="21"/>
              </w:rPr>
              <w:t>指被保险人因输血而感染上人类免疫缺陷病毒（HIV）或患艾滋病必须满足以下全部条件：</w:t>
            </w:r>
          </w:p>
          <w:p>
            <w:pPr>
              <w:pStyle w:val="TableParagraph"/>
              <w:spacing w:before="7"/>
              <w:ind w:left="94"/>
              <w:rPr>
                <w:sz w:val="21"/>
              </w:rPr>
            </w:pPr>
            <w:r>
              <w:rPr>
                <w:sz w:val="21"/>
              </w:rPr>
              <w:t>（1）被保险人因输血而感染 HIV 或患艾滋病；</w:t>
            </w:r>
          </w:p>
          <w:p>
            <w:pPr>
              <w:pStyle w:val="TableParagraph"/>
              <w:spacing w:line="273" w:lineRule="auto" w:before="37"/>
              <w:ind w:left="620" w:right="244" w:hanging="526"/>
              <w:rPr>
                <w:sz w:val="21"/>
              </w:rPr>
            </w:pPr>
            <w:r>
              <w:rPr>
                <w:sz w:val="21"/>
              </w:rPr>
              <w:t>（2）提供输血治疗的输血中心或医院出具该项输血感染属医疗责任事故的报告，或者法院终审裁定为医疗责任；</w:t>
            </w:r>
          </w:p>
          <w:p>
            <w:pPr>
              <w:pStyle w:val="TableParagraph"/>
              <w:spacing w:before="7"/>
              <w:ind w:left="94"/>
              <w:rPr>
                <w:sz w:val="21"/>
              </w:rPr>
            </w:pPr>
            <w:r>
              <w:rPr>
                <w:sz w:val="21"/>
              </w:rPr>
              <w:t>（3）受感染的被保险人不是血友病患者。</w:t>
            </w:r>
          </w:p>
          <w:p>
            <w:pPr>
              <w:pStyle w:val="TableParagraph"/>
              <w:spacing w:line="273" w:lineRule="auto" w:before="37"/>
              <w:ind w:left="94" w:right="299"/>
              <w:jc w:val="both"/>
              <w:rPr>
                <w:sz w:val="21"/>
              </w:rPr>
            </w:pPr>
            <w:r>
              <w:rPr>
                <w:spacing w:val="-3"/>
                <w:sz w:val="21"/>
                <w:shd w:fill="DADADA" w:color="auto" w:val="clear"/>
              </w:rPr>
              <w:t>任何因其他传播方式</w:t>
            </w:r>
            <w:r>
              <w:rPr>
                <w:sz w:val="21"/>
                <w:shd w:fill="DADADA" w:color="auto" w:val="clear"/>
              </w:rPr>
              <w:t>（</w:t>
            </w:r>
            <w:r>
              <w:rPr>
                <w:spacing w:val="-3"/>
                <w:sz w:val="21"/>
                <w:shd w:fill="DADADA" w:color="auto" w:val="clear"/>
              </w:rPr>
              <w:t>包括：性传播或静脉注射毒品等）导致的 </w:t>
            </w:r>
            <w:r>
              <w:rPr>
                <w:sz w:val="21"/>
                <w:shd w:fill="DADADA" w:color="auto" w:val="clear"/>
              </w:rPr>
              <w:t>HIV</w:t>
            </w:r>
            <w:r>
              <w:rPr>
                <w:spacing w:val="-2"/>
                <w:sz w:val="21"/>
                <w:shd w:fill="DADADA" w:color="auto" w:val="clear"/>
              </w:rPr>
              <w:t> 感染或患艾滋病不在保障范围内。</w:t>
            </w:r>
            <w:r>
              <w:rPr>
                <w:spacing w:val="-2"/>
                <w:sz w:val="21"/>
              </w:rPr>
              <w:t>本公司具有获得使用被保险人的所有血液样</w:t>
            </w:r>
            <w:r>
              <w:rPr>
                <w:spacing w:val="-3"/>
                <w:sz w:val="21"/>
              </w:rPr>
              <w:t>本的权利和能够对这些样本进行独立检验的权利。</w:t>
            </w:r>
          </w:p>
        </w:tc>
      </w:tr>
      <w:tr>
        <w:trPr>
          <w:trHeight w:val="1320" w:hRule="atLeast"/>
        </w:trPr>
        <w:tc>
          <w:tcPr>
            <w:tcW w:w="603" w:type="dxa"/>
          </w:tcPr>
          <w:p>
            <w:pPr>
              <w:pStyle w:val="TableParagraph"/>
              <w:spacing w:before="109"/>
              <w:ind w:left="179" w:right="171"/>
              <w:jc w:val="center"/>
              <w:rPr>
                <w:b/>
                <w:sz w:val="21"/>
              </w:rPr>
            </w:pPr>
            <w:r>
              <w:rPr>
                <w:b/>
                <w:sz w:val="21"/>
              </w:rPr>
              <w:t>69</w:t>
            </w:r>
          </w:p>
        </w:tc>
        <w:tc>
          <w:tcPr>
            <w:tcW w:w="2414" w:type="dxa"/>
          </w:tcPr>
          <w:p>
            <w:pPr>
              <w:pStyle w:val="TableParagraph"/>
              <w:spacing w:before="73"/>
              <w:ind w:left="192"/>
              <w:rPr>
                <w:rFonts w:ascii="等线" w:eastAsia="等线" w:hint="eastAsia"/>
                <w:b/>
                <w:sz w:val="24"/>
              </w:rPr>
            </w:pPr>
            <w:r>
              <w:rPr>
                <w:rFonts w:ascii="等线" w:eastAsia="等线" w:hint="eastAsia"/>
                <w:b/>
                <w:sz w:val="24"/>
              </w:rPr>
              <w:t>严重ft营养不良症</w:t>
            </w:r>
          </w:p>
        </w:tc>
        <w:tc>
          <w:tcPr>
            <w:tcW w:w="7188" w:type="dxa"/>
          </w:tcPr>
          <w:p>
            <w:pPr>
              <w:pStyle w:val="TableParagraph"/>
              <w:spacing w:line="273" w:lineRule="auto" w:before="109"/>
              <w:ind w:left="94" w:right="304"/>
              <w:rPr>
                <w:sz w:val="21"/>
              </w:rPr>
            </w:pPr>
            <w:r>
              <w:rPr>
                <w:sz w:val="21"/>
              </w:rPr>
              <w:t>指一组原发于肌肉的疾病，临床表现为与神经系统无关的肌肉无力和肌肉萎缩。且须满足下列全部条件：</w:t>
            </w:r>
          </w:p>
          <w:p>
            <w:pPr>
              <w:pStyle w:val="TableParagraph"/>
              <w:spacing w:line="312" w:lineRule="exact" w:before="3"/>
              <w:ind w:left="619" w:right="246" w:hanging="526"/>
              <w:rPr>
                <w:sz w:val="21"/>
              </w:rPr>
            </w:pPr>
            <w:r>
              <w:rPr>
                <w:sz w:val="21"/>
              </w:rPr>
              <w:t>（1）肌肉组织活检结果满足肌营养不良症的肌肉细胞变性、坏死等阳性改变；</w:t>
            </w:r>
          </w:p>
        </w:tc>
      </w:tr>
    </w:tbl>
    <w:p>
      <w:pPr>
        <w:spacing w:after="0" w:line="312" w:lineRule="exact"/>
        <w:rPr>
          <w:sz w:val="21"/>
        </w:rPr>
        <w:sectPr>
          <w:pgSz w:w="11910" w:h="16840"/>
          <w:pgMar w:top="1140" w:bottom="280" w:left="880" w:right="600"/>
        </w:sectPr>
      </w:pPr>
    </w:p>
    <w:p>
      <w:pPr>
        <w:pStyle w:val="BodyText"/>
        <w:spacing w:line="273" w:lineRule="auto" w:before="22"/>
        <w:ind w:left="3602" w:right="151" w:hanging="526"/>
      </w:pPr>
      <w:r>
        <w:rPr/>
        <w:t>（2）自主生活能力完全丧失，无法独立完成六项基本日常生活活动中的三项或三项以上。</w:t>
      </w:r>
    </w:p>
    <w:p>
      <w:pPr>
        <w:pStyle w:val="BodyText"/>
        <w:spacing w:before="3"/>
        <w:rPr>
          <w:sz w:val="15"/>
        </w:rPr>
      </w:pPr>
    </w:p>
    <w:p>
      <w:pPr>
        <w:pStyle w:val="ListParagraph"/>
        <w:numPr>
          <w:ilvl w:val="0"/>
          <w:numId w:val="9"/>
        </w:numPr>
        <w:tabs>
          <w:tab w:pos="760" w:val="left" w:leader="none"/>
          <w:tab w:pos="761" w:val="left" w:leader="none"/>
          <w:tab w:pos="3076" w:val="left" w:leader="none"/>
        </w:tabs>
        <w:spacing w:line="240" w:lineRule="auto" w:before="0" w:after="0"/>
        <w:ind w:left="760" w:right="0" w:hanging="595"/>
        <w:jc w:val="left"/>
        <w:rPr>
          <w:sz w:val="21"/>
        </w:rPr>
      </w:pPr>
      <w:r>
        <w:rPr>
          <w:rFonts w:ascii="等线" w:eastAsia="等线" w:hint="eastAsia"/>
          <w:b/>
          <w:position w:val="1"/>
          <w:sz w:val="24"/>
        </w:rPr>
        <w:t>弥漫性血管内凝血</w:t>
        <w:tab/>
      </w:r>
      <w:r>
        <w:rPr>
          <w:sz w:val="21"/>
        </w:rPr>
        <w:t>指血液凝固系统和纤溶系统的过度活动导致微血管血栓形成、血小板及凝</w:t>
      </w:r>
    </w:p>
    <w:p>
      <w:pPr>
        <w:pStyle w:val="BodyText"/>
        <w:spacing w:before="20"/>
        <w:ind w:left="3076"/>
      </w:pPr>
      <w:r>
        <w:rPr/>
        <w:t>血因子耗竭和严重出血，需要输注血浆和浓缩血小板进行治疗。</w:t>
      </w:r>
    </w:p>
    <w:p>
      <w:pPr>
        <w:pStyle w:val="BodyText"/>
        <w:spacing w:before="10"/>
        <w:rPr>
          <w:sz w:val="15"/>
        </w:rPr>
      </w:pPr>
    </w:p>
    <w:p>
      <w:pPr>
        <w:spacing w:after="0"/>
        <w:rPr>
          <w:sz w:val="15"/>
        </w:rPr>
        <w:sectPr>
          <w:pgSz w:w="11910" w:h="16840"/>
          <w:pgMar w:top="1080" w:bottom="280" w:left="1020" w:right="820"/>
        </w:sectPr>
      </w:pPr>
    </w:p>
    <w:p>
      <w:pPr>
        <w:pStyle w:val="Heading1"/>
        <w:numPr>
          <w:ilvl w:val="0"/>
          <w:numId w:val="9"/>
        </w:numPr>
        <w:tabs>
          <w:tab w:pos="761" w:val="left" w:leader="none"/>
        </w:tabs>
        <w:spacing w:line="232" w:lineRule="auto" w:before="32" w:after="0"/>
        <w:ind w:left="760" w:right="0" w:hanging="595"/>
        <w:jc w:val="both"/>
      </w:pPr>
      <w:r>
        <w:rPr>
          <w:spacing w:val="23"/>
        </w:rPr>
        <w:t>因职业关系导致的</w:t>
      </w:r>
      <w:r>
        <w:rPr>
          <w:spacing w:val="22"/>
        </w:rPr>
        <w:t>艾滋病病毒感染或</w:t>
      </w:r>
      <w:r>
        <w:rPr/>
        <w:t>患艾滋病</w:t>
      </w:r>
    </w:p>
    <w:p>
      <w:pPr>
        <w:pStyle w:val="BodyText"/>
        <w:spacing w:line="237" w:lineRule="auto" w:before="39"/>
        <w:ind w:left="147" w:right="194"/>
        <w:jc w:val="both"/>
      </w:pPr>
      <w:r>
        <w:rPr/>
        <w:br w:type="column"/>
      </w:r>
      <w:r>
        <w:rPr/>
        <w:t>被保险人在其常规职业工作过程中遭遇外伤，或者职业需要处理血液或者</w:t>
      </w:r>
      <w:r>
        <w:rPr>
          <w:spacing w:val="-4"/>
        </w:rPr>
        <w:t>其他体液时感染上人类免疫缺陷病毒（HIV）</w:t>
      </w:r>
      <w:r>
        <w:rPr>
          <w:spacing w:val="-5"/>
        </w:rPr>
        <w:t>或患艾滋病。必须满足下列全</w:t>
      </w:r>
      <w:r>
        <w:rPr>
          <w:spacing w:val="-4"/>
        </w:rPr>
        <w:t>部条件：</w:t>
      </w:r>
    </w:p>
    <w:p>
      <w:pPr>
        <w:pStyle w:val="BodyText"/>
        <w:ind w:left="672" w:right="198" w:hanging="526"/>
        <w:jc w:val="both"/>
      </w:pPr>
      <w:r>
        <w:rPr>
          <w:spacing w:val="-8"/>
        </w:rPr>
        <w:t>（1）</w:t>
      </w:r>
      <w:r>
        <w:rPr>
          <w:spacing w:val="-4"/>
        </w:rPr>
        <w:t>感染必须是在被保险人正在从事其职业工作中发生，该职业必须属于</w:t>
      </w:r>
      <w:r>
        <w:rPr>
          <w:spacing w:val="-3"/>
        </w:rPr>
        <w:t>以下列表内的职业；</w:t>
      </w:r>
    </w:p>
    <w:p>
      <w:pPr>
        <w:pStyle w:val="BodyText"/>
        <w:ind w:left="673" w:right="197" w:hanging="526"/>
        <w:jc w:val="both"/>
      </w:pPr>
      <w:r>
        <w:rPr>
          <w:spacing w:val="-8"/>
        </w:rPr>
        <w:t>（2）</w:t>
      </w:r>
      <w:r>
        <w:rPr>
          <w:spacing w:val="-5"/>
        </w:rPr>
        <w:t>必须提供被保险人在所报事故发生后的 </w:t>
      </w:r>
      <w:r>
        <w:rPr/>
        <w:t>5</w:t>
      </w:r>
      <w:r>
        <w:rPr>
          <w:spacing w:val="-10"/>
        </w:rPr>
        <w:t> 天以内进行的检查报告，该</w:t>
      </w:r>
      <w:r>
        <w:rPr>
          <w:spacing w:val="-9"/>
        </w:rPr>
        <w:t>报告必须显示被保险人血液 </w:t>
      </w:r>
      <w:r>
        <w:rPr/>
        <w:t>HIV</w:t>
      </w:r>
      <w:r>
        <w:rPr>
          <w:spacing w:val="-10"/>
        </w:rPr>
        <w:t> 病毒阴性和</w:t>
      </w:r>
      <w:r>
        <w:rPr>
          <w:spacing w:val="-3"/>
        </w:rPr>
        <w:t>/</w:t>
      </w:r>
      <w:r>
        <w:rPr>
          <w:spacing w:val="-23"/>
        </w:rPr>
        <w:t>或 </w:t>
      </w:r>
      <w:r>
        <w:rPr/>
        <w:t>HIV</w:t>
      </w:r>
      <w:r>
        <w:rPr>
          <w:spacing w:val="-10"/>
        </w:rPr>
        <w:t> 抗体阴性；</w:t>
      </w:r>
    </w:p>
    <w:p>
      <w:pPr>
        <w:pStyle w:val="BodyText"/>
        <w:spacing w:line="269" w:lineRule="exact"/>
        <w:ind w:left="147"/>
      </w:pPr>
      <w:r>
        <w:rPr/>
        <w:t>（3）</w:t>
      </w:r>
      <w:r>
        <w:rPr>
          <w:spacing w:val="-13"/>
        </w:rPr>
        <w:t>必须在事故发生后的 </w:t>
      </w:r>
      <w:r>
        <w:rPr/>
        <w:t>6</w:t>
      </w:r>
      <w:r>
        <w:rPr>
          <w:spacing w:val="-18"/>
        </w:rPr>
        <w:t> 个月内证实被保险人体内存在 </w:t>
      </w:r>
      <w:r>
        <w:rPr>
          <w:spacing w:val="-4"/>
        </w:rPr>
        <w:t>HIV</w:t>
      </w:r>
      <w:r>
        <w:rPr>
          <w:spacing w:val="-21"/>
        </w:rPr>
        <w:t> 病毒或者 </w:t>
      </w:r>
      <w:r>
        <w:rPr>
          <w:spacing w:val="-5"/>
        </w:rPr>
        <w:t>HIV</w:t>
      </w:r>
    </w:p>
    <w:p>
      <w:pPr>
        <w:pStyle w:val="BodyText"/>
        <w:spacing w:line="272" w:lineRule="exact"/>
        <w:ind w:left="672"/>
      </w:pPr>
      <w:r>
        <w:rPr/>
        <w:t>抗体。</w:t>
      </w:r>
    </w:p>
    <w:p>
      <w:pPr>
        <w:pStyle w:val="BodyText"/>
        <w:spacing w:line="274" w:lineRule="exact"/>
        <w:ind w:left="147"/>
      </w:pPr>
      <w:r>
        <w:rPr/>
        <w:pict>
          <v:shape style="position:absolute;margin-left:56.779999pt;margin-top:94.575157pt;width:491.95pt;height:222.7pt;mso-position-horizontal-relative:page;mso-position-vertical-relative:paragraph;z-index:1576"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53"/>
                    <w:gridCol w:w="2414"/>
                    <w:gridCol w:w="6970"/>
                  </w:tblGrid>
                  <w:tr>
                    <w:trPr>
                      <w:trHeight w:val="290" w:hRule="atLeast"/>
                    </w:trPr>
                    <w:tc>
                      <w:tcPr>
                        <w:tcW w:w="453" w:type="dxa"/>
                      </w:tcPr>
                      <w:p>
                        <w:pPr>
                          <w:pStyle w:val="TableParagraph"/>
                          <w:spacing w:line="231" w:lineRule="exact"/>
                          <w:ind w:left="50"/>
                          <w:rPr>
                            <w:b/>
                            <w:sz w:val="21"/>
                          </w:rPr>
                        </w:pPr>
                        <w:r>
                          <w:rPr>
                            <w:b/>
                            <w:sz w:val="21"/>
                          </w:rPr>
                          <w:t>72</w:t>
                        </w:r>
                      </w:p>
                    </w:tc>
                    <w:tc>
                      <w:tcPr>
                        <w:tcW w:w="2414" w:type="dxa"/>
                      </w:tcPr>
                      <w:p>
                        <w:pPr>
                          <w:pStyle w:val="TableParagraph"/>
                          <w:spacing w:line="248" w:lineRule="exact"/>
                          <w:ind w:left="192"/>
                          <w:rPr>
                            <w:rFonts w:ascii="等线" w:eastAsia="等线" w:hint="eastAsia"/>
                            <w:b/>
                            <w:sz w:val="24"/>
                          </w:rPr>
                        </w:pPr>
                        <w:r>
                          <w:rPr>
                            <w:rFonts w:ascii="等线" w:eastAsia="等线" w:hint="eastAsia"/>
                            <w:b/>
                            <w:sz w:val="24"/>
                          </w:rPr>
                          <w:t>嗜铬细胞瘤</w:t>
                        </w:r>
                      </w:p>
                    </w:tc>
                    <w:tc>
                      <w:tcPr>
                        <w:tcW w:w="6970" w:type="dxa"/>
                      </w:tcPr>
                      <w:p>
                        <w:pPr>
                          <w:pStyle w:val="TableParagraph"/>
                          <w:spacing w:line="247" w:lineRule="exact"/>
                          <w:ind w:left="94"/>
                          <w:rPr>
                            <w:sz w:val="21"/>
                          </w:rPr>
                        </w:pPr>
                        <w:r>
                          <w:rPr>
                            <w:sz w:val="21"/>
                          </w:rPr>
                          <w:t>指肾上腺或肾上腺外嗜铬组织出现神经内分泌肿瘤，并分</w:t>
                        </w:r>
                        <w:r>
                          <w:rPr>
                            <w:rFonts w:ascii="Times New Roman" w:eastAsia="Times New Roman"/>
                            <w:w w:val="110"/>
                            <w:sz w:val="21"/>
                          </w:rPr>
                          <w:t>泌</w:t>
                        </w:r>
                        <w:r>
                          <w:rPr>
                            <w:sz w:val="21"/>
                          </w:rPr>
                          <w:t>过多的儿茶酚</w:t>
                        </w:r>
                      </w:p>
                    </w:tc>
                  </w:tr>
                  <w:tr>
                    <w:trPr>
                      <w:trHeight w:val="303" w:hRule="atLeast"/>
                    </w:trPr>
                    <w:tc>
                      <w:tcPr>
                        <w:tcW w:w="453" w:type="dxa"/>
                      </w:tcPr>
                      <w:p>
                        <w:pPr>
                          <w:pStyle w:val="TableParagraph"/>
                          <w:rPr>
                            <w:rFonts w:ascii="Times New Roman"/>
                            <w:sz w:val="20"/>
                          </w:rPr>
                        </w:pPr>
                      </w:p>
                    </w:tc>
                    <w:tc>
                      <w:tcPr>
                        <w:tcW w:w="2414" w:type="dxa"/>
                      </w:tcPr>
                      <w:p>
                        <w:pPr>
                          <w:pStyle w:val="TableParagraph"/>
                          <w:rPr>
                            <w:rFonts w:ascii="Times New Roman"/>
                            <w:sz w:val="20"/>
                          </w:rPr>
                        </w:pPr>
                      </w:p>
                    </w:tc>
                    <w:tc>
                      <w:tcPr>
                        <w:tcW w:w="6970" w:type="dxa"/>
                      </w:tcPr>
                      <w:p>
                        <w:pPr>
                          <w:pStyle w:val="TableParagraph"/>
                          <w:spacing w:line="269" w:lineRule="exact"/>
                          <w:ind w:left="94"/>
                          <w:rPr>
                            <w:sz w:val="21"/>
                          </w:rPr>
                        </w:pPr>
                        <w:r>
                          <w:rPr>
                            <w:sz w:val="21"/>
                          </w:rPr>
                          <w:t>胺类的疾病。且已经由组织病理检查证实，并已经进</w:t>
                        </w:r>
                        <w:r>
                          <w:rPr>
                            <w:rFonts w:ascii="Times New Roman" w:eastAsia="Times New Roman"/>
                            <w:w w:val="110"/>
                            <w:sz w:val="21"/>
                          </w:rPr>
                          <w:t>行</w:t>
                        </w:r>
                        <w:r>
                          <w:rPr>
                            <w:sz w:val="21"/>
                          </w:rPr>
                          <w:t>了切除嗜铬细胞肿</w:t>
                        </w:r>
                      </w:p>
                    </w:tc>
                  </w:tr>
                  <w:tr>
                    <w:trPr>
                      <w:trHeight w:val="444" w:hRule="atLeast"/>
                    </w:trPr>
                    <w:tc>
                      <w:tcPr>
                        <w:tcW w:w="453" w:type="dxa"/>
                      </w:tcPr>
                      <w:p>
                        <w:pPr>
                          <w:pStyle w:val="TableParagraph"/>
                          <w:rPr>
                            <w:rFonts w:ascii="Times New Roman"/>
                            <w:sz w:val="20"/>
                          </w:rPr>
                        </w:pPr>
                      </w:p>
                    </w:tc>
                    <w:tc>
                      <w:tcPr>
                        <w:tcW w:w="2414" w:type="dxa"/>
                      </w:tcPr>
                      <w:p>
                        <w:pPr>
                          <w:pStyle w:val="TableParagraph"/>
                          <w:rPr>
                            <w:rFonts w:ascii="Times New Roman"/>
                            <w:sz w:val="20"/>
                          </w:rPr>
                        </w:pPr>
                      </w:p>
                    </w:tc>
                    <w:tc>
                      <w:tcPr>
                        <w:tcW w:w="6970" w:type="dxa"/>
                      </w:tcPr>
                      <w:p>
                        <w:pPr>
                          <w:pStyle w:val="TableParagraph"/>
                          <w:spacing w:line="261" w:lineRule="exact"/>
                          <w:ind w:left="94"/>
                          <w:rPr>
                            <w:sz w:val="21"/>
                          </w:rPr>
                        </w:pPr>
                        <w:r>
                          <w:rPr>
                            <w:sz w:val="21"/>
                          </w:rPr>
                          <w:t>瘤的手术治疗。嗜铬细胞瘤须经专科医生明确诊断。</w:t>
                        </w:r>
                      </w:p>
                    </w:tc>
                  </w:tr>
                  <w:tr>
                    <w:trPr>
                      <w:trHeight w:val="787" w:hRule="atLeast"/>
                    </w:trPr>
                    <w:tc>
                      <w:tcPr>
                        <w:tcW w:w="453" w:type="dxa"/>
                      </w:tcPr>
                      <w:p>
                        <w:pPr>
                          <w:pStyle w:val="TableParagraph"/>
                          <w:spacing w:before="139"/>
                          <w:ind w:left="50"/>
                          <w:rPr>
                            <w:b/>
                            <w:sz w:val="21"/>
                          </w:rPr>
                        </w:pPr>
                        <w:r>
                          <w:rPr>
                            <w:b/>
                            <w:sz w:val="21"/>
                          </w:rPr>
                          <w:t>73</w:t>
                        </w:r>
                      </w:p>
                    </w:tc>
                    <w:tc>
                      <w:tcPr>
                        <w:tcW w:w="2414" w:type="dxa"/>
                      </w:tcPr>
                      <w:p>
                        <w:pPr>
                          <w:pStyle w:val="TableParagraph"/>
                          <w:spacing w:line="232" w:lineRule="auto" w:before="113"/>
                          <w:ind w:left="192" w:right="92"/>
                          <w:rPr>
                            <w:rFonts w:ascii="等线" w:eastAsia="等线" w:hint="eastAsia"/>
                            <w:b/>
                            <w:sz w:val="24"/>
                          </w:rPr>
                        </w:pPr>
                        <w:r>
                          <w:rPr>
                            <w:rFonts w:ascii="等线" w:eastAsia="等线" w:hint="eastAsia"/>
                            <w:b/>
                            <w:sz w:val="24"/>
                          </w:rPr>
                          <w:t>严重的原发性硬化性胆管炎</w:t>
                        </w:r>
                      </w:p>
                    </w:tc>
                    <w:tc>
                      <w:tcPr>
                        <w:tcW w:w="6970" w:type="dxa"/>
                      </w:tcPr>
                      <w:p>
                        <w:pPr>
                          <w:pStyle w:val="TableParagraph"/>
                          <w:spacing w:line="273" w:lineRule="auto" w:before="139"/>
                          <w:ind w:left="94" w:right="86"/>
                          <w:rPr>
                            <w:sz w:val="21"/>
                          </w:rPr>
                        </w:pPr>
                        <w:r>
                          <w:rPr>
                            <w:sz w:val="21"/>
                          </w:rPr>
                          <w:t>指一种胆汁淤积综合征，其特征是肝内、肝外胆道因纤维化性炎症逐渐狭窄，并最终导致完全阻塞而发展为肝硬化。须经内镜逆行胰胆管造影等影</w:t>
                        </w:r>
                      </w:p>
                    </w:tc>
                  </w:tr>
                  <w:tr>
                    <w:trPr>
                      <w:trHeight w:val="300" w:hRule="atLeast"/>
                    </w:trPr>
                    <w:tc>
                      <w:tcPr>
                        <w:tcW w:w="453" w:type="dxa"/>
                      </w:tcPr>
                      <w:p>
                        <w:pPr>
                          <w:pStyle w:val="TableParagraph"/>
                          <w:rPr>
                            <w:rFonts w:ascii="Times New Roman"/>
                            <w:sz w:val="20"/>
                          </w:rPr>
                        </w:pPr>
                      </w:p>
                    </w:tc>
                    <w:tc>
                      <w:tcPr>
                        <w:tcW w:w="2414" w:type="dxa"/>
                      </w:tcPr>
                      <w:p>
                        <w:pPr>
                          <w:pStyle w:val="TableParagraph"/>
                          <w:rPr>
                            <w:rFonts w:ascii="Times New Roman"/>
                            <w:sz w:val="20"/>
                          </w:rPr>
                        </w:pPr>
                      </w:p>
                    </w:tc>
                    <w:tc>
                      <w:tcPr>
                        <w:tcW w:w="6970" w:type="dxa"/>
                      </w:tcPr>
                      <w:p>
                        <w:pPr>
                          <w:pStyle w:val="TableParagraph"/>
                          <w:spacing w:line="250" w:lineRule="exact"/>
                          <w:ind w:left="94"/>
                          <w:rPr>
                            <w:sz w:val="21"/>
                          </w:rPr>
                        </w:pPr>
                        <w:r>
                          <w:rPr>
                            <w:sz w:val="21"/>
                          </w:rPr>
                          <w:t>像学检查证实，并须满足下列全部条件：</w:t>
                        </w:r>
                      </w:p>
                    </w:tc>
                  </w:tr>
                  <w:tr>
                    <w:trPr>
                      <w:trHeight w:val="311" w:hRule="atLeast"/>
                    </w:trPr>
                    <w:tc>
                      <w:tcPr>
                        <w:tcW w:w="453" w:type="dxa"/>
                      </w:tcPr>
                      <w:p>
                        <w:pPr>
                          <w:pStyle w:val="TableParagraph"/>
                          <w:rPr>
                            <w:rFonts w:ascii="Times New Roman"/>
                            <w:sz w:val="20"/>
                          </w:rPr>
                        </w:pPr>
                      </w:p>
                    </w:tc>
                    <w:tc>
                      <w:tcPr>
                        <w:tcW w:w="2414" w:type="dxa"/>
                      </w:tcPr>
                      <w:p>
                        <w:pPr>
                          <w:pStyle w:val="TableParagraph"/>
                          <w:rPr>
                            <w:rFonts w:ascii="Times New Roman"/>
                            <w:sz w:val="20"/>
                          </w:rPr>
                        </w:pPr>
                      </w:p>
                    </w:tc>
                    <w:tc>
                      <w:tcPr>
                        <w:tcW w:w="6970" w:type="dxa"/>
                      </w:tcPr>
                      <w:p>
                        <w:pPr>
                          <w:pStyle w:val="TableParagraph"/>
                          <w:spacing w:line="261" w:lineRule="exact"/>
                          <w:ind w:left="94"/>
                          <w:rPr>
                            <w:sz w:val="21"/>
                          </w:rPr>
                        </w:pPr>
                        <w:r>
                          <w:rPr>
                            <w:sz w:val="21"/>
                          </w:rPr>
                          <w:t>（1）总胆红素和直接胆红素同时升高，血清 ALP&gt;200U/L；</w:t>
                        </w:r>
                      </w:p>
                    </w:tc>
                  </w:tr>
                  <w:tr>
                    <w:trPr>
                      <w:trHeight w:val="311" w:hRule="atLeast"/>
                    </w:trPr>
                    <w:tc>
                      <w:tcPr>
                        <w:tcW w:w="453" w:type="dxa"/>
                      </w:tcPr>
                      <w:p>
                        <w:pPr>
                          <w:pStyle w:val="TableParagraph"/>
                          <w:rPr>
                            <w:rFonts w:ascii="Times New Roman"/>
                            <w:sz w:val="20"/>
                          </w:rPr>
                        </w:pPr>
                      </w:p>
                    </w:tc>
                    <w:tc>
                      <w:tcPr>
                        <w:tcW w:w="2414" w:type="dxa"/>
                      </w:tcPr>
                      <w:p>
                        <w:pPr>
                          <w:pStyle w:val="TableParagraph"/>
                          <w:rPr>
                            <w:rFonts w:ascii="Times New Roman"/>
                            <w:sz w:val="20"/>
                          </w:rPr>
                        </w:pPr>
                      </w:p>
                    </w:tc>
                    <w:tc>
                      <w:tcPr>
                        <w:tcW w:w="6970" w:type="dxa"/>
                      </w:tcPr>
                      <w:p>
                        <w:pPr>
                          <w:pStyle w:val="TableParagraph"/>
                          <w:spacing w:line="261" w:lineRule="exact"/>
                          <w:ind w:left="94"/>
                          <w:rPr>
                            <w:sz w:val="21"/>
                          </w:rPr>
                        </w:pPr>
                        <w:r>
                          <w:rPr>
                            <w:sz w:val="21"/>
                          </w:rPr>
                          <w:t>（2）持续性黄疸病史；</w:t>
                        </w:r>
                      </w:p>
                    </w:tc>
                  </w:tr>
                  <w:tr>
                    <w:trPr>
                      <w:trHeight w:val="312" w:hRule="atLeast"/>
                    </w:trPr>
                    <w:tc>
                      <w:tcPr>
                        <w:tcW w:w="453" w:type="dxa"/>
                      </w:tcPr>
                      <w:p>
                        <w:pPr>
                          <w:pStyle w:val="TableParagraph"/>
                          <w:rPr>
                            <w:rFonts w:ascii="Times New Roman"/>
                            <w:sz w:val="20"/>
                          </w:rPr>
                        </w:pPr>
                      </w:p>
                    </w:tc>
                    <w:tc>
                      <w:tcPr>
                        <w:tcW w:w="2414" w:type="dxa"/>
                      </w:tcPr>
                      <w:p>
                        <w:pPr>
                          <w:pStyle w:val="TableParagraph"/>
                          <w:rPr>
                            <w:rFonts w:ascii="Times New Roman"/>
                            <w:sz w:val="20"/>
                          </w:rPr>
                        </w:pPr>
                      </w:p>
                    </w:tc>
                    <w:tc>
                      <w:tcPr>
                        <w:tcW w:w="6970" w:type="dxa"/>
                      </w:tcPr>
                      <w:p>
                        <w:pPr>
                          <w:pStyle w:val="TableParagraph"/>
                          <w:spacing w:line="261" w:lineRule="exact"/>
                          <w:ind w:left="94"/>
                          <w:rPr>
                            <w:sz w:val="21"/>
                          </w:rPr>
                        </w:pPr>
                        <w:r>
                          <w:rPr>
                            <w:sz w:val="21"/>
                          </w:rPr>
                          <w:t>（3）出现胆汁性肝硬化或门脉高压。</w:t>
                        </w:r>
                      </w:p>
                    </w:tc>
                  </w:tr>
                  <w:tr>
                    <w:trPr>
                      <w:trHeight w:val="384" w:hRule="atLeast"/>
                    </w:trPr>
                    <w:tc>
                      <w:tcPr>
                        <w:tcW w:w="453" w:type="dxa"/>
                      </w:tcPr>
                      <w:p>
                        <w:pPr>
                          <w:pStyle w:val="TableParagraph"/>
                          <w:rPr>
                            <w:rFonts w:ascii="Times New Roman"/>
                            <w:sz w:val="20"/>
                          </w:rPr>
                        </w:pPr>
                      </w:p>
                    </w:tc>
                    <w:tc>
                      <w:tcPr>
                        <w:tcW w:w="2414" w:type="dxa"/>
                      </w:tcPr>
                      <w:p>
                        <w:pPr>
                          <w:pStyle w:val="TableParagraph"/>
                          <w:rPr>
                            <w:rFonts w:ascii="Times New Roman"/>
                            <w:sz w:val="20"/>
                          </w:rPr>
                        </w:pPr>
                      </w:p>
                    </w:tc>
                    <w:tc>
                      <w:tcPr>
                        <w:tcW w:w="6970" w:type="dxa"/>
                      </w:tcPr>
                      <w:p>
                        <w:pPr>
                          <w:pStyle w:val="TableParagraph"/>
                          <w:spacing w:line="262" w:lineRule="exact"/>
                          <w:ind w:left="94"/>
                          <w:rPr>
                            <w:sz w:val="21"/>
                          </w:rPr>
                        </w:pPr>
                        <w:r>
                          <w:rPr>
                            <w:sz w:val="21"/>
                            <w:shd w:fill="DADADA" w:color="auto" w:val="clear"/>
                          </w:rPr>
                          <w:t>因肿瘤或胆管损伤等继发性的硬化性胆管炎不在保障范围内。</w:t>
                        </w:r>
                      </w:p>
                    </w:tc>
                  </w:tr>
                  <w:tr>
                    <w:trPr>
                      <w:trHeight w:val="1005" w:hRule="atLeast"/>
                    </w:trPr>
                    <w:tc>
                      <w:tcPr>
                        <w:tcW w:w="453" w:type="dxa"/>
                      </w:tcPr>
                      <w:p>
                        <w:pPr>
                          <w:pStyle w:val="TableParagraph"/>
                          <w:spacing w:before="79"/>
                          <w:ind w:left="50"/>
                          <w:rPr>
                            <w:b/>
                            <w:sz w:val="21"/>
                          </w:rPr>
                        </w:pPr>
                        <w:r>
                          <w:rPr>
                            <w:b/>
                            <w:sz w:val="21"/>
                          </w:rPr>
                          <w:t>74</w:t>
                        </w:r>
                      </w:p>
                    </w:tc>
                    <w:tc>
                      <w:tcPr>
                        <w:tcW w:w="2414" w:type="dxa"/>
                      </w:tcPr>
                      <w:p>
                        <w:pPr>
                          <w:pStyle w:val="TableParagraph"/>
                          <w:spacing w:line="316" w:lineRule="exact" w:before="62"/>
                          <w:ind w:left="192" w:right="92"/>
                          <w:jc w:val="both"/>
                          <w:rPr>
                            <w:rFonts w:ascii="等线" w:eastAsia="等线" w:hint="eastAsia"/>
                            <w:b/>
                            <w:sz w:val="24"/>
                          </w:rPr>
                        </w:pPr>
                        <w:r>
                          <w:rPr>
                            <w:rFonts w:ascii="等线" w:eastAsia="等线" w:hint="eastAsia"/>
                            <w:b/>
                            <w:sz w:val="24"/>
                          </w:rPr>
                          <w:t>因器官移植导致艾滋病病毒感染或患艾滋病</w:t>
                        </w:r>
                      </w:p>
                    </w:tc>
                    <w:tc>
                      <w:tcPr>
                        <w:tcW w:w="6970" w:type="dxa"/>
                      </w:tcPr>
                      <w:p>
                        <w:pPr>
                          <w:pStyle w:val="TableParagraph"/>
                          <w:spacing w:line="273" w:lineRule="auto" w:before="79"/>
                          <w:ind w:left="94" w:right="25"/>
                          <w:rPr>
                            <w:sz w:val="21"/>
                          </w:rPr>
                        </w:pPr>
                        <w:r>
                          <w:rPr>
                            <w:sz w:val="21"/>
                          </w:rPr>
                          <w:t>指因进行器官移植而感染上人类免疫缺陷病毒（HIV）或患艾滋病，且须满足下列全部条件：</w:t>
                        </w:r>
                      </w:p>
                      <w:p>
                        <w:pPr>
                          <w:pStyle w:val="TableParagraph"/>
                          <w:spacing w:before="7"/>
                          <w:ind w:left="94"/>
                          <w:rPr>
                            <w:sz w:val="21"/>
                          </w:rPr>
                        </w:pPr>
                        <w:r>
                          <w:rPr>
                            <w:sz w:val="21"/>
                          </w:rPr>
                          <w:t>（1）在保障起始日或复效日之后，被保险人因治疗必需而实施器官移植，</w:t>
                        </w:r>
                      </w:p>
                    </w:tc>
                  </w:tr>
                </w:tbl>
                <w:p>
                  <w:pPr>
                    <w:pStyle w:val="BodyText"/>
                  </w:pPr>
                </w:p>
              </w:txbxContent>
            </v:textbox>
            <w10:wrap type="none"/>
          </v:shape>
        </w:pict>
      </w:r>
      <w:r>
        <w:rPr/>
        <w:t>职业限制如下所示:</w:t>
      </w:r>
    </w:p>
    <w:p>
      <w:pPr>
        <w:pStyle w:val="BodyText"/>
        <w:spacing w:before="5"/>
        <w:rPr>
          <w:sz w:val="2"/>
        </w:rPr>
      </w:pPr>
    </w:p>
    <w:tbl>
      <w:tblPr>
        <w:tblW w:w="0" w:type="auto"/>
        <w:jc w:val="left"/>
        <w:tblInd w:w="1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86"/>
        <w:gridCol w:w="3386"/>
      </w:tblGrid>
      <w:tr>
        <w:trPr>
          <w:trHeight w:val="273" w:hRule="atLeast"/>
        </w:trPr>
        <w:tc>
          <w:tcPr>
            <w:tcW w:w="3386" w:type="dxa"/>
          </w:tcPr>
          <w:p>
            <w:pPr>
              <w:pStyle w:val="TableParagraph"/>
              <w:spacing w:line="242" w:lineRule="exact"/>
              <w:ind w:left="108"/>
              <w:rPr>
                <w:sz w:val="21"/>
              </w:rPr>
            </w:pPr>
            <w:r>
              <w:rPr>
                <w:sz w:val="21"/>
              </w:rPr>
              <w:t>医生和牙科医生</w:t>
            </w:r>
          </w:p>
        </w:tc>
        <w:tc>
          <w:tcPr>
            <w:tcW w:w="3386" w:type="dxa"/>
          </w:tcPr>
          <w:p>
            <w:pPr>
              <w:pStyle w:val="TableParagraph"/>
              <w:spacing w:line="242" w:lineRule="exact"/>
              <w:ind w:left="108"/>
              <w:rPr>
                <w:sz w:val="21"/>
              </w:rPr>
            </w:pPr>
            <w:r>
              <w:rPr>
                <w:sz w:val="21"/>
              </w:rPr>
              <w:t>护士</w:t>
            </w:r>
          </w:p>
        </w:tc>
      </w:tr>
      <w:tr>
        <w:trPr>
          <w:trHeight w:val="273" w:hRule="atLeast"/>
        </w:trPr>
        <w:tc>
          <w:tcPr>
            <w:tcW w:w="3386" w:type="dxa"/>
          </w:tcPr>
          <w:p>
            <w:pPr>
              <w:pStyle w:val="TableParagraph"/>
              <w:spacing w:line="241" w:lineRule="exact"/>
              <w:ind w:left="107"/>
              <w:rPr>
                <w:sz w:val="21"/>
              </w:rPr>
            </w:pPr>
            <w:r>
              <w:rPr>
                <w:sz w:val="21"/>
              </w:rPr>
              <w:t>医院化验室工作人员</w:t>
            </w:r>
          </w:p>
        </w:tc>
        <w:tc>
          <w:tcPr>
            <w:tcW w:w="3386" w:type="dxa"/>
          </w:tcPr>
          <w:p>
            <w:pPr>
              <w:pStyle w:val="TableParagraph"/>
              <w:spacing w:line="241" w:lineRule="exact"/>
              <w:ind w:left="108"/>
              <w:rPr>
                <w:sz w:val="21"/>
              </w:rPr>
            </w:pPr>
            <w:r>
              <w:rPr>
                <w:sz w:val="21"/>
              </w:rPr>
              <w:t>医院护工</w:t>
            </w:r>
          </w:p>
        </w:tc>
      </w:tr>
      <w:tr>
        <w:trPr>
          <w:trHeight w:val="270" w:hRule="atLeast"/>
        </w:trPr>
        <w:tc>
          <w:tcPr>
            <w:tcW w:w="3386" w:type="dxa"/>
          </w:tcPr>
          <w:p>
            <w:pPr>
              <w:pStyle w:val="TableParagraph"/>
              <w:spacing w:line="241" w:lineRule="exact"/>
              <w:ind w:left="107"/>
              <w:rPr>
                <w:sz w:val="21"/>
              </w:rPr>
            </w:pPr>
            <w:r>
              <w:rPr>
                <w:sz w:val="21"/>
              </w:rPr>
              <w:t>医生助理和牙医助理</w:t>
            </w:r>
          </w:p>
        </w:tc>
        <w:tc>
          <w:tcPr>
            <w:tcW w:w="3386" w:type="dxa"/>
          </w:tcPr>
          <w:p>
            <w:pPr>
              <w:pStyle w:val="TableParagraph"/>
              <w:spacing w:line="241" w:lineRule="exact"/>
              <w:ind w:left="108"/>
              <w:rPr>
                <w:sz w:val="21"/>
              </w:rPr>
            </w:pPr>
            <w:r>
              <w:rPr>
                <w:sz w:val="21"/>
              </w:rPr>
              <w:t>救护车工作人员</w:t>
            </w:r>
          </w:p>
        </w:tc>
      </w:tr>
      <w:tr>
        <w:trPr>
          <w:trHeight w:val="273" w:hRule="atLeast"/>
        </w:trPr>
        <w:tc>
          <w:tcPr>
            <w:tcW w:w="3386" w:type="dxa"/>
          </w:tcPr>
          <w:p>
            <w:pPr>
              <w:pStyle w:val="TableParagraph"/>
              <w:spacing w:line="243" w:lineRule="exact"/>
              <w:ind w:left="107"/>
              <w:rPr>
                <w:sz w:val="21"/>
              </w:rPr>
            </w:pPr>
            <w:r>
              <w:rPr>
                <w:sz w:val="21"/>
              </w:rPr>
              <w:t>助产士</w:t>
            </w:r>
          </w:p>
        </w:tc>
        <w:tc>
          <w:tcPr>
            <w:tcW w:w="3386" w:type="dxa"/>
          </w:tcPr>
          <w:p>
            <w:pPr>
              <w:pStyle w:val="TableParagraph"/>
              <w:spacing w:line="243" w:lineRule="exact"/>
              <w:ind w:left="108"/>
              <w:rPr>
                <w:sz w:val="21"/>
              </w:rPr>
            </w:pPr>
            <w:r>
              <w:rPr>
                <w:sz w:val="21"/>
              </w:rPr>
              <w:t>消防队员</w:t>
            </w:r>
          </w:p>
        </w:tc>
      </w:tr>
      <w:tr>
        <w:trPr>
          <w:trHeight w:val="273" w:hRule="atLeast"/>
        </w:trPr>
        <w:tc>
          <w:tcPr>
            <w:tcW w:w="3386" w:type="dxa"/>
          </w:tcPr>
          <w:p>
            <w:pPr>
              <w:pStyle w:val="TableParagraph"/>
              <w:spacing w:line="241" w:lineRule="exact"/>
              <w:ind w:left="107"/>
              <w:rPr>
                <w:sz w:val="21"/>
              </w:rPr>
            </w:pPr>
            <w:r>
              <w:rPr>
                <w:sz w:val="21"/>
              </w:rPr>
              <w:t>警察</w:t>
            </w:r>
          </w:p>
        </w:tc>
        <w:tc>
          <w:tcPr>
            <w:tcW w:w="3386" w:type="dxa"/>
          </w:tcPr>
          <w:p>
            <w:pPr>
              <w:pStyle w:val="TableParagraph"/>
              <w:spacing w:line="241" w:lineRule="exact"/>
              <w:ind w:left="108"/>
              <w:rPr>
                <w:sz w:val="21"/>
              </w:rPr>
            </w:pPr>
            <w:r>
              <w:rPr>
                <w:sz w:val="21"/>
              </w:rPr>
              <w:t>狱警</w:t>
            </w:r>
          </w:p>
        </w:tc>
      </w:tr>
    </w:tbl>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77"/>
        <w:ind w:left="672"/>
      </w:pPr>
      <w:r>
        <w:rPr/>
        <w:t>并且因器官移植而感染人类免疫缺陷病毒或患艾滋病；</w:t>
      </w:r>
    </w:p>
    <w:p>
      <w:pPr>
        <w:pStyle w:val="BodyText"/>
        <w:spacing w:line="273" w:lineRule="auto" w:before="36"/>
        <w:ind w:left="672" w:right="195" w:hanging="526"/>
        <w:jc w:val="both"/>
      </w:pPr>
      <w:r>
        <w:rPr>
          <w:spacing w:val="-14"/>
        </w:rPr>
        <w:t>（2）</w:t>
      </w:r>
      <w:r>
        <w:rPr>
          <w:spacing w:val="-3"/>
        </w:rPr>
        <w:t>提供器官移植治疗的器官移植中心或医院出具的此次因器官移植感染</w:t>
      </w:r>
      <w:r>
        <w:rPr>
          <w:spacing w:val="-6"/>
        </w:rPr>
        <w:t>人类免疫缺陷病毒或患艾滋病，属于医疗事故的报告，或者法院终审</w:t>
      </w:r>
      <w:r>
        <w:rPr>
          <w:spacing w:val="-4"/>
        </w:rPr>
        <w:t>裁定为医疗事故并且不准上诉；</w:t>
      </w:r>
    </w:p>
    <w:p>
      <w:pPr>
        <w:pStyle w:val="BodyText"/>
        <w:spacing w:line="273" w:lineRule="auto" w:before="7"/>
        <w:ind w:left="147" w:right="195"/>
      </w:pPr>
      <w:r>
        <w:rPr/>
        <w:t>（3）</w:t>
      </w:r>
      <w:r>
        <w:rPr>
          <w:spacing w:val="-3"/>
        </w:rPr>
        <w:t>提供器官移植治疗的器官移植中心或医院必须拥有合法经营执照。 </w:t>
      </w:r>
      <w:r>
        <w:rPr>
          <w:spacing w:val="-3"/>
          <w:shd w:fill="DADADA" w:color="auto" w:val="clear"/>
        </w:rPr>
        <w:t>任何因其他传播方式</w:t>
      </w:r>
      <w:r>
        <w:rPr>
          <w:shd w:fill="DADADA" w:color="auto" w:val="clear"/>
        </w:rPr>
        <w:t>（</w:t>
      </w:r>
      <w:r>
        <w:rPr>
          <w:spacing w:val="-3"/>
          <w:shd w:fill="DADADA" w:color="auto" w:val="clear"/>
        </w:rPr>
        <w:t>包括：性传播或静脉注射毒品</w:t>
      </w:r>
      <w:r>
        <w:rPr>
          <w:shd w:fill="DADADA" w:color="auto" w:val="clear"/>
        </w:rPr>
        <w:t>）</w:t>
      </w:r>
      <w:r>
        <w:rPr>
          <w:spacing w:val="-3"/>
          <w:shd w:fill="DADADA" w:color="auto" w:val="clear"/>
        </w:rPr>
        <w:t>导致的 </w:t>
      </w:r>
      <w:r>
        <w:rPr>
          <w:shd w:fill="DADADA" w:color="auto" w:val="clear"/>
        </w:rPr>
        <w:t>HIV</w:t>
      </w:r>
      <w:r>
        <w:rPr>
          <w:spacing w:val="-2"/>
          <w:shd w:fill="DADADA" w:color="auto" w:val="clear"/>
        </w:rPr>
        <w:t> 感染或</w:t>
      </w:r>
      <w:r>
        <w:rPr>
          <w:spacing w:val="-3"/>
          <w:shd w:fill="DADADA" w:color="auto" w:val="clear"/>
        </w:rPr>
        <w:t>患艾滋病不在保障范围内。</w:t>
      </w:r>
    </w:p>
    <w:p>
      <w:pPr>
        <w:spacing w:after="0" w:line="273" w:lineRule="auto"/>
        <w:sectPr>
          <w:type w:val="continuous"/>
          <w:pgSz w:w="11910" w:h="16840"/>
          <w:pgMar w:top="400" w:bottom="280" w:left="1020" w:right="820"/>
          <w:cols w:num="2" w:equalWidth="0">
            <w:col w:w="2890" w:space="40"/>
            <w:col w:w="7140"/>
          </w:cols>
        </w:sectPr>
      </w:pPr>
    </w:p>
    <w:p>
      <w:pPr>
        <w:pStyle w:val="BodyText"/>
        <w:spacing w:before="12"/>
        <w:rPr>
          <w:sz w:val="17"/>
        </w:rPr>
      </w:pPr>
    </w:p>
    <w:p>
      <w:pPr>
        <w:pStyle w:val="ListParagraph"/>
        <w:numPr>
          <w:ilvl w:val="0"/>
          <w:numId w:val="10"/>
        </w:numPr>
        <w:tabs>
          <w:tab w:pos="760" w:val="left" w:leader="none"/>
          <w:tab w:pos="761" w:val="left" w:leader="none"/>
          <w:tab w:pos="3076" w:val="left" w:leader="none"/>
        </w:tabs>
        <w:spacing w:line="240" w:lineRule="auto" w:before="20" w:after="0"/>
        <w:ind w:left="760" w:right="0" w:hanging="595"/>
        <w:jc w:val="left"/>
        <w:rPr>
          <w:sz w:val="21"/>
        </w:rPr>
      </w:pPr>
      <w:r>
        <w:rPr>
          <w:rFonts w:ascii="等线" w:hAnsi="等线" w:eastAsia="等线" w:hint="eastAsia"/>
          <w:b/>
          <w:position w:val="1"/>
          <w:sz w:val="24"/>
        </w:rPr>
        <w:t>严重面部烧伤</w:t>
        <w:tab/>
      </w:r>
      <w:r>
        <w:rPr>
          <w:spacing w:val="2"/>
          <w:sz w:val="21"/>
        </w:rPr>
        <w:t>指面部烧伤程度为Ⅲ度</w:t>
      </w:r>
      <w:r>
        <w:rPr>
          <w:sz w:val="21"/>
        </w:rPr>
        <w:t>，</w:t>
      </w:r>
      <w:r>
        <w:rPr>
          <w:spacing w:val="2"/>
          <w:sz w:val="21"/>
        </w:rPr>
        <w:t>且Ⅲ度烧伤的面积达到</w:t>
      </w:r>
      <w:r>
        <w:rPr>
          <w:sz w:val="21"/>
        </w:rPr>
        <w:t>面</w:t>
      </w:r>
      <w:r>
        <w:rPr>
          <w:spacing w:val="2"/>
          <w:sz w:val="21"/>
        </w:rPr>
        <w:t>部表面积</w:t>
      </w:r>
      <w:r>
        <w:rPr>
          <w:sz w:val="21"/>
        </w:rPr>
        <w:t>的</w:t>
      </w:r>
      <w:r>
        <w:rPr>
          <w:spacing w:val="80"/>
          <w:sz w:val="21"/>
        </w:rPr>
        <w:t> </w:t>
      </w:r>
      <w:r>
        <w:rPr>
          <w:sz w:val="21"/>
        </w:rPr>
        <w:t>80％或者</w:t>
      </w:r>
    </w:p>
    <w:p>
      <w:pPr>
        <w:pStyle w:val="BodyText"/>
        <w:spacing w:before="21"/>
        <w:ind w:left="3076"/>
      </w:pPr>
      <w:r>
        <w:rPr/>
        <w:t>80％以上。</w:t>
      </w:r>
    </w:p>
    <w:p>
      <w:pPr>
        <w:pStyle w:val="BodyText"/>
        <w:spacing w:before="2"/>
        <w:rPr>
          <w:sz w:val="20"/>
        </w:rPr>
      </w:pPr>
    </w:p>
    <w:p>
      <w:pPr>
        <w:spacing w:after="0"/>
        <w:rPr>
          <w:sz w:val="20"/>
        </w:rPr>
        <w:sectPr>
          <w:type w:val="continuous"/>
          <w:pgSz w:w="11910" w:h="16840"/>
          <w:pgMar w:top="400" w:bottom="280" w:left="1020" w:right="820"/>
        </w:sectPr>
      </w:pPr>
    </w:p>
    <w:p>
      <w:pPr>
        <w:pStyle w:val="Heading1"/>
        <w:numPr>
          <w:ilvl w:val="0"/>
          <w:numId w:val="10"/>
        </w:numPr>
        <w:tabs>
          <w:tab w:pos="760" w:val="left" w:leader="none"/>
          <w:tab w:pos="761" w:val="left" w:leader="none"/>
        </w:tabs>
        <w:spacing w:line="323" w:lineRule="exact" w:before="20" w:after="0"/>
        <w:ind w:left="760" w:right="0" w:hanging="595"/>
        <w:jc w:val="left"/>
      </w:pPr>
      <w:r>
        <w:rPr>
          <w:position w:val="1"/>
        </w:rPr>
        <w:t>严 重 瑞 氏 综 合 症</w:t>
      </w:r>
      <w:r>
        <w:rPr>
          <w:spacing w:val="2"/>
          <w:position w:val="1"/>
        </w:rPr>
        <w:t> </w:t>
      </w:r>
    </w:p>
    <w:p>
      <w:pPr>
        <w:spacing w:line="323" w:lineRule="exact" w:before="0"/>
        <w:ind w:left="760" w:right="0" w:firstLine="0"/>
        <w:jc w:val="left"/>
        <w:rPr>
          <w:rFonts w:ascii="等线" w:eastAsia="等线" w:hint="eastAsia"/>
          <w:b/>
          <w:sz w:val="24"/>
        </w:rPr>
      </w:pPr>
      <w:r>
        <w:rPr>
          <w:rFonts w:ascii="等线" w:eastAsia="等线" w:hint="eastAsia"/>
          <w:b/>
          <w:sz w:val="24"/>
        </w:rPr>
        <w:t>（Reye 综合征，也</w:t>
      </w:r>
    </w:p>
    <w:p>
      <w:pPr>
        <w:pStyle w:val="BodyText"/>
        <w:spacing w:line="273" w:lineRule="auto" w:before="57"/>
        <w:ind w:left="106" w:right="200"/>
      </w:pPr>
      <w:r>
        <w:rPr/>
        <w:br w:type="column"/>
      </w:r>
      <w:r>
        <w:rPr/>
        <w:t>瑞氏综合征是线粒体功能障碍性疾病。导致脂肪代谢障碍，引起短链脂肪酸、血氨升高，造成脑水肿。主要临床表现为急性发热、反复呕吐、惊厥</w:t>
      </w:r>
    </w:p>
    <w:p>
      <w:pPr>
        <w:spacing w:after="0" w:line="273" w:lineRule="auto"/>
        <w:sectPr>
          <w:type w:val="continuous"/>
          <w:pgSz w:w="11910" w:h="16840"/>
          <w:pgMar w:top="400" w:bottom="280" w:left="1020" w:right="820"/>
          <w:cols w:num="2" w:equalWidth="0">
            <w:col w:w="2931" w:space="40"/>
            <w:col w:w="7099"/>
          </w:cols>
        </w:sectPr>
      </w:pPr>
    </w:p>
    <w:tbl>
      <w:tblPr>
        <w:tblW w:w="0" w:type="auto"/>
        <w:jc w:val="left"/>
        <w:tblInd w:w="3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53"/>
        <w:gridCol w:w="2414"/>
        <w:gridCol w:w="6971"/>
      </w:tblGrid>
      <w:tr>
        <w:trPr>
          <w:trHeight w:val="605" w:hRule="atLeast"/>
        </w:trPr>
        <w:tc>
          <w:tcPr>
            <w:tcW w:w="453" w:type="dxa"/>
          </w:tcPr>
          <w:p>
            <w:pPr>
              <w:pStyle w:val="TableParagraph"/>
              <w:rPr>
                <w:rFonts w:ascii="Times New Roman"/>
                <w:sz w:val="20"/>
              </w:rPr>
            </w:pPr>
          </w:p>
        </w:tc>
        <w:tc>
          <w:tcPr>
            <w:tcW w:w="2414" w:type="dxa"/>
          </w:tcPr>
          <w:p>
            <w:pPr>
              <w:pStyle w:val="TableParagraph"/>
              <w:spacing w:line="244" w:lineRule="exact"/>
              <w:ind w:left="192"/>
              <w:rPr>
                <w:rFonts w:ascii="等线" w:eastAsia="等线" w:hint="eastAsia"/>
                <w:b/>
                <w:sz w:val="24"/>
              </w:rPr>
            </w:pPr>
            <w:r>
              <w:rPr>
                <w:rFonts w:ascii="等线" w:eastAsia="等线" w:hint="eastAsia"/>
                <w:b/>
                <w:sz w:val="24"/>
              </w:rPr>
              <w:t>称赖氏综合征、雷氏</w:t>
            </w:r>
          </w:p>
          <w:p>
            <w:pPr>
              <w:pStyle w:val="TableParagraph"/>
              <w:spacing w:line="323" w:lineRule="exact"/>
              <w:ind w:left="192"/>
              <w:rPr>
                <w:rFonts w:ascii="等线" w:eastAsia="等线" w:hint="eastAsia"/>
                <w:b/>
                <w:sz w:val="24"/>
              </w:rPr>
            </w:pPr>
            <w:r>
              <w:rPr>
                <w:rFonts w:ascii="等线" w:eastAsia="等线" w:hint="eastAsia"/>
                <w:b/>
                <w:sz w:val="24"/>
              </w:rPr>
              <w:t>综合征）</w:t>
            </w:r>
          </w:p>
        </w:tc>
        <w:tc>
          <w:tcPr>
            <w:tcW w:w="6971" w:type="dxa"/>
          </w:tcPr>
          <w:p>
            <w:pPr>
              <w:pStyle w:val="TableParagraph"/>
              <w:spacing w:line="231" w:lineRule="exact"/>
              <w:ind w:left="94"/>
              <w:rPr>
                <w:sz w:val="21"/>
              </w:rPr>
            </w:pPr>
            <w:r>
              <w:rPr>
                <w:sz w:val="21"/>
              </w:rPr>
              <w:t>及意识障碍等。肝脏活检是确诊的重要手段。瑞氏综合征需由医院的专科</w:t>
            </w:r>
          </w:p>
          <w:p>
            <w:pPr>
              <w:pStyle w:val="TableParagraph"/>
              <w:spacing w:before="37"/>
              <w:ind w:left="94"/>
              <w:rPr>
                <w:sz w:val="21"/>
              </w:rPr>
            </w:pPr>
            <w:r>
              <w:rPr>
                <w:sz w:val="21"/>
              </w:rPr>
              <w:t>医生确诊，并符合以下所有条件：</w:t>
            </w:r>
          </w:p>
        </w:tc>
      </w:tr>
      <w:tr>
        <w:trPr>
          <w:trHeight w:val="299" w:hRule="atLeast"/>
        </w:trPr>
        <w:tc>
          <w:tcPr>
            <w:tcW w:w="453" w:type="dxa"/>
          </w:tcPr>
          <w:p>
            <w:pPr>
              <w:pStyle w:val="TableParagraph"/>
              <w:rPr>
                <w:rFonts w:ascii="Times New Roman"/>
                <w:sz w:val="20"/>
              </w:rPr>
            </w:pPr>
          </w:p>
        </w:tc>
        <w:tc>
          <w:tcPr>
            <w:tcW w:w="2414" w:type="dxa"/>
          </w:tcPr>
          <w:p>
            <w:pPr>
              <w:pStyle w:val="TableParagraph"/>
              <w:rPr>
                <w:rFonts w:ascii="Times New Roman"/>
                <w:sz w:val="20"/>
              </w:rPr>
            </w:pPr>
          </w:p>
        </w:tc>
        <w:tc>
          <w:tcPr>
            <w:tcW w:w="6971" w:type="dxa"/>
          </w:tcPr>
          <w:p>
            <w:pPr>
              <w:pStyle w:val="TableParagraph"/>
              <w:spacing w:line="249" w:lineRule="exact"/>
              <w:ind w:left="94"/>
              <w:rPr>
                <w:sz w:val="21"/>
              </w:rPr>
            </w:pPr>
            <w:r>
              <w:rPr>
                <w:sz w:val="21"/>
              </w:rPr>
              <w:t>（1）有脑水肿和颅内压升高的脑脊液检查和影像学检查证据；</w:t>
            </w:r>
          </w:p>
        </w:tc>
      </w:tr>
      <w:tr>
        <w:trPr>
          <w:trHeight w:val="311" w:hRule="atLeast"/>
        </w:trPr>
        <w:tc>
          <w:tcPr>
            <w:tcW w:w="453" w:type="dxa"/>
          </w:tcPr>
          <w:p>
            <w:pPr>
              <w:pStyle w:val="TableParagraph"/>
              <w:rPr>
                <w:rFonts w:ascii="Times New Roman"/>
                <w:sz w:val="20"/>
              </w:rPr>
            </w:pPr>
          </w:p>
        </w:tc>
        <w:tc>
          <w:tcPr>
            <w:tcW w:w="2414" w:type="dxa"/>
          </w:tcPr>
          <w:p>
            <w:pPr>
              <w:pStyle w:val="TableParagraph"/>
              <w:rPr>
                <w:rFonts w:ascii="Times New Roman"/>
                <w:sz w:val="20"/>
              </w:rPr>
            </w:pPr>
          </w:p>
        </w:tc>
        <w:tc>
          <w:tcPr>
            <w:tcW w:w="6971" w:type="dxa"/>
          </w:tcPr>
          <w:p>
            <w:pPr>
              <w:pStyle w:val="TableParagraph"/>
              <w:spacing w:line="261" w:lineRule="exact"/>
              <w:ind w:left="94"/>
              <w:rPr>
                <w:sz w:val="21"/>
              </w:rPr>
            </w:pPr>
            <w:r>
              <w:rPr>
                <w:sz w:val="21"/>
              </w:rPr>
              <w:t>（2）血氨超过正常值的 3 倍；</w:t>
            </w:r>
          </w:p>
        </w:tc>
      </w:tr>
      <w:tr>
        <w:trPr>
          <w:trHeight w:val="444" w:hRule="atLeast"/>
        </w:trPr>
        <w:tc>
          <w:tcPr>
            <w:tcW w:w="453" w:type="dxa"/>
          </w:tcPr>
          <w:p>
            <w:pPr>
              <w:pStyle w:val="TableParagraph"/>
              <w:rPr>
                <w:rFonts w:ascii="Times New Roman"/>
                <w:sz w:val="20"/>
              </w:rPr>
            </w:pPr>
          </w:p>
        </w:tc>
        <w:tc>
          <w:tcPr>
            <w:tcW w:w="2414" w:type="dxa"/>
          </w:tcPr>
          <w:p>
            <w:pPr>
              <w:pStyle w:val="TableParagraph"/>
              <w:rPr>
                <w:rFonts w:ascii="Times New Roman"/>
                <w:sz w:val="20"/>
              </w:rPr>
            </w:pPr>
          </w:p>
        </w:tc>
        <w:tc>
          <w:tcPr>
            <w:tcW w:w="6971" w:type="dxa"/>
          </w:tcPr>
          <w:p>
            <w:pPr>
              <w:pStyle w:val="TableParagraph"/>
              <w:spacing w:line="261" w:lineRule="exact"/>
              <w:ind w:left="94"/>
              <w:rPr>
                <w:sz w:val="21"/>
              </w:rPr>
            </w:pPr>
            <w:r>
              <w:rPr>
                <w:sz w:val="21"/>
              </w:rPr>
              <w:t>（3）临床出现昏迷，病程至少达到疾病分期的第 3 期。</w:t>
            </w:r>
          </w:p>
        </w:tc>
      </w:tr>
      <w:tr>
        <w:trPr>
          <w:trHeight w:val="473" w:hRule="atLeast"/>
        </w:trPr>
        <w:tc>
          <w:tcPr>
            <w:tcW w:w="453" w:type="dxa"/>
          </w:tcPr>
          <w:p>
            <w:pPr>
              <w:pStyle w:val="TableParagraph"/>
              <w:spacing w:before="139"/>
              <w:ind w:left="50"/>
              <w:rPr>
                <w:b/>
                <w:sz w:val="21"/>
              </w:rPr>
            </w:pPr>
            <w:r>
              <w:rPr>
                <w:b/>
                <w:sz w:val="21"/>
              </w:rPr>
              <w:t>77</w:t>
            </w:r>
          </w:p>
        </w:tc>
        <w:tc>
          <w:tcPr>
            <w:tcW w:w="2414" w:type="dxa"/>
          </w:tcPr>
          <w:p>
            <w:pPr>
              <w:pStyle w:val="TableParagraph"/>
              <w:spacing w:before="103"/>
              <w:ind w:left="192"/>
              <w:rPr>
                <w:rFonts w:ascii="等线" w:eastAsia="等线" w:hint="eastAsia"/>
                <w:b/>
                <w:sz w:val="24"/>
              </w:rPr>
            </w:pPr>
            <w:r>
              <w:rPr>
                <w:rFonts w:ascii="等线" w:eastAsia="等线" w:hint="eastAsia"/>
                <w:b/>
                <w:sz w:val="24"/>
              </w:rPr>
              <w:t>成骨不全症第三型</w:t>
            </w:r>
          </w:p>
        </w:tc>
        <w:tc>
          <w:tcPr>
            <w:tcW w:w="6971" w:type="dxa"/>
          </w:tcPr>
          <w:p>
            <w:pPr>
              <w:pStyle w:val="TableParagraph"/>
              <w:spacing w:before="139"/>
              <w:ind w:left="94"/>
              <w:rPr>
                <w:sz w:val="21"/>
              </w:rPr>
            </w:pPr>
            <w:r>
              <w:rPr>
                <w:sz w:val="21"/>
              </w:rPr>
              <w:t>成骨不全症第三型须由专科医生明确诊断，同时符合下列所有条件：</w:t>
            </w:r>
          </w:p>
        </w:tc>
      </w:tr>
      <w:tr>
        <w:trPr>
          <w:trHeight w:val="303" w:hRule="atLeast"/>
        </w:trPr>
        <w:tc>
          <w:tcPr>
            <w:tcW w:w="453" w:type="dxa"/>
          </w:tcPr>
          <w:p>
            <w:pPr>
              <w:pStyle w:val="TableParagraph"/>
              <w:rPr>
                <w:rFonts w:ascii="Times New Roman"/>
                <w:sz w:val="20"/>
              </w:rPr>
            </w:pPr>
          </w:p>
        </w:tc>
        <w:tc>
          <w:tcPr>
            <w:tcW w:w="2414" w:type="dxa"/>
          </w:tcPr>
          <w:p>
            <w:pPr>
              <w:pStyle w:val="TableParagraph"/>
              <w:rPr>
                <w:rFonts w:ascii="Times New Roman"/>
                <w:sz w:val="20"/>
              </w:rPr>
            </w:pPr>
          </w:p>
        </w:tc>
        <w:tc>
          <w:tcPr>
            <w:tcW w:w="6971" w:type="dxa"/>
          </w:tcPr>
          <w:p>
            <w:pPr>
              <w:pStyle w:val="TableParagraph"/>
              <w:spacing w:line="253" w:lineRule="exact"/>
              <w:ind w:left="94"/>
              <w:rPr>
                <w:sz w:val="21"/>
              </w:rPr>
            </w:pPr>
            <w:r>
              <w:rPr>
                <w:sz w:val="21"/>
              </w:rPr>
              <w:t>（1）就成骨不全症第三型之诊断进行的皮肤切片的病理检查结果为阳性；</w:t>
            </w:r>
          </w:p>
        </w:tc>
      </w:tr>
      <w:tr>
        <w:trPr>
          <w:trHeight w:val="312" w:hRule="atLeast"/>
        </w:trPr>
        <w:tc>
          <w:tcPr>
            <w:tcW w:w="453" w:type="dxa"/>
          </w:tcPr>
          <w:p>
            <w:pPr>
              <w:pStyle w:val="TableParagraph"/>
              <w:rPr>
                <w:rFonts w:ascii="Times New Roman"/>
                <w:sz w:val="20"/>
              </w:rPr>
            </w:pPr>
          </w:p>
        </w:tc>
        <w:tc>
          <w:tcPr>
            <w:tcW w:w="2414" w:type="dxa"/>
          </w:tcPr>
          <w:p>
            <w:pPr>
              <w:pStyle w:val="TableParagraph"/>
              <w:rPr>
                <w:rFonts w:ascii="Times New Roman"/>
                <w:sz w:val="20"/>
              </w:rPr>
            </w:pPr>
          </w:p>
        </w:tc>
        <w:tc>
          <w:tcPr>
            <w:tcW w:w="6971" w:type="dxa"/>
          </w:tcPr>
          <w:p>
            <w:pPr>
              <w:pStyle w:val="TableParagraph"/>
              <w:spacing w:line="261" w:lineRule="exact"/>
              <w:ind w:left="94"/>
              <w:rPr>
                <w:sz w:val="21"/>
              </w:rPr>
            </w:pPr>
            <w:r>
              <w:rPr>
                <w:sz w:val="21"/>
              </w:rPr>
              <w:t>（2）X 光片结果显示多处骨折及逐步脊柱后侧凸畸形；</w:t>
            </w:r>
          </w:p>
        </w:tc>
      </w:tr>
      <w:tr>
        <w:trPr>
          <w:trHeight w:val="311" w:hRule="atLeast"/>
        </w:trPr>
        <w:tc>
          <w:tcPr>
            <w:tcW w:w="453" w:type="dxa"/>
          </w:tcPr>
          <w:p>
            <w:pPr>
              <w:pStyle w:val="TableParagraph"/>
              <w:rPr>
                <w:rFonts w:ascii="Times New Roman"/>
                <w:sz w:val="20"/>
              </w:rPr>
            </w:pPr>
          </w:p>
        </w:tc>
        <w:tc>
          <w:tcPr>
            <w:tcW w:w="2414" w:type="dxa"/>
          </w:tcPr>
          <w:p>
            <w:pPr>
              <w:pStyle w:val="TableParagraph"/>
              <w:rPr>
                <w:rFonts w:ascii="Times New Roman"/>
                <w:sz w:val="20"/>
              </w:rPr>
            </w:pPr>
          </w:p>
        </w:tc>
        <w:tc>
          <w:tcPr>
            <w:tcW w:w="6971" w:type="dxa"/>
          </w:tcPr>
          <w:p>
            <w:pPr>
              <w:pStyle w:val="TableParagraph"/>
              <w:spacing w:line="261" w:lineRule="exact"/>
              <w:ind w:left="94"/>
              <w:rPr>
                <w:sz w:val="21"/>
              </w:rPr>
            </w:pPr>
            <w:r>
              <w:rPr>
                <w:sz w:val="21"/>
              </w:rPr>
              <w:t>（3）有证明是因此疾病引致发育迟缓及听力损伤。</w:t>
            </w:r>
          </w:p>
        </w:tc>
      </w:tr>
      <w:tr>
        <w:trPr>
          <w:trHeight w:val="443" w:hRule="atLeast"/>
        </w:trPr>
        <w:tc>
          <w:tcPr>
            <w:tcW w:w="453" w:type="dxa"/>
          </w:tcPr>
          <w:p>
            <w:pPr>
              <w:pStyle w:val="TableParagraph"/>
              <w:rPr>
                <w:rFonts w:ascii="Times New Roman"/>
                <w:sz w:val="20"/>
              </w:rPr>
            </w:pPr>
          </w:p>
        </w:tc>
        <w:tc>
          <w:tcPr>
            <w:tcW w:w="2414" w:type="dxa"/>
          </w:tcPr>
          <w:p>
            <w:pPr>
              <w:pStyle w:val="TableParagraph"/>
              <w:rPr>
                <w:rFonts w:ascii="Times New Roman"/>
                <w:sz w:val="20"/>
              </w:rPr>
            </w:pPr>
          </w:p>
        </w:tc>
        <w:tc>
          <w:tcPr>
            <w:tcW w:w="6971" w:type="dxa"/>
          </w:tcPr>
          <w:p>
            <w:pPr>
              <w:pStyle w:val="TableParagraph"/>
              <w:spacing w:line="261" w:lineRule="exact"/>
              <w:ind w:left="94"/>
              <w:rPr>
                <w:sz w:val="21"/>
              </w:rPr>
            </w:pPr>
            <w:r>
              <w:rPr>
                <w:sz w:val="21"/>
                <w:shd w:fill="DADADA" w:color="auto" w:val="clear"/>
              </w:rPr>
              <w:t>本公司仅对被保险人年满 18 周岁前确诊本项疾病承担保险责任。</w:t>
            </w:r>
          </w:p>
        </w:tc>
      </w:tr>
      <w:tr>
        <w:trPr>
          <w:trHeight w:val="786" w:hRule="atLeast"/>
        </w:trPr>
        <w:tc>
          <w:tcPr>
            <w:tcW w:w="453" w:type="dxa"/>
          </w:tcPr>
          <w:p>
            <w:pPr>
              <w:pStyle w:val="TableParagraph"/>
              <w:spacing w:before="138"/>
              <w:ind w:left="50"/>
              <w:rPr>
                <w:b/>
                <w:sz w:val="21"/>
              </w:rPr>
            </w:pPr>
            <w:r>
              <w:rPr>
                <w:b/>
                <w:sz w:val="21"/>
              </w:rPr>
              <w:t>78</w:t>
            </w:r>
          </w:p>
        </w:tc>
        <w:tc>
          <w:tcPr>
            <w:tcW w:w="2414" w:type="dxa"/>
          </w:tcPr>
          <w:p>
            <w:pPr>
              <w:pStyle w:val="TableParagraph"/>
              <w:spacing w:line="232" w:lineRule="auto" w:before="112"/>
              <w:ind w:left="192" w:right="92"/>
              <w:rPr>
                <w:rFonts w:ascii="等线" w:eastAsia="等线" w:hint="eastAsia"/>
                <w:b/>
                <w:sz w:val="24"/>
              </w:rPr>
            </w:pPr>
            <w:r>
              <w:rPr>
                <w:rFonts w:ascii="等线" w:eastAsia="等线" w:hint="eastAsia"/>
                <w:b/>
                <w:sz w:val="24"/>
              </w:rPr>
              <w:t>多处臂丛神经根性撕脱</w:t>
            </w:r>
          </w:p>
        </w:tc>
        <w:tc>
          <w:tcPr>
            <w:tcW w:w="6971" w:type="dxa"/>
          </w:tcPr>
          <w:p>
            <w:pPr>
              <w:pStyle w:val="TableParagraph"/>
              <w:spacing w:line="273" w:lineRule="auto" w:before="138"/>
              <w:ind w:left="94" w:right="87"/>
              <w:rPr>
                <w:sz w:val="21"/>
              </w:rPr>
            </w:pPr>
            <w:r>
              <w:rPr>
                <w:sz w:val="21"/>
              </w:rPr>
              <w:t>指由于疾病或意外导致至少两根臂丛神经根性撕脱，所造成的手臂感觉功能与运动功能完全永久性丧失。该病须由医院专科医生明确诊断，并且有</w:t>
            </w:r>
          </w:p>
        </w:tc>
      </w:tr>
      <w:tr>
        <w:trPr>
          <w:trHeight w:val="461" w:hRule="atLeast"/>
        </w:trPr>
        <w:tc>
          <w:tcPr>
            <w:tcW w:w="453" w:type="dxa"/>
          </w:tcPr>
          <w:p>
            <w:pPr>
              <w:pStyle w:val="TableParagraph"/>
              <w:rPr>
                <w:rFonts w:ascii="Times New Roman"/>
                <w:sz w:val="20"/>
              </w:rPr>
            </w:pPr>
          </w:p>
        </w:tc>
        <w:tc>
          <w:tcPr>
            <w:tcW w:w="2414" w:type="dxa"/>
          </w:tcPr>
          <w:p>
            <w:pPr>
              <w:pStyle w:val="TableParagraph"/>
              <w:rPr>
                <w:rFonts w:ascii="Times New Roman"/>
                <w:sz w:val="20"/>
              </w:rPr>
            </w:pPr>
          </w:p>
        </w:tc>
        <w:tc>
          <w:tcPr>
            <w:tcW w:w="6971" w:type="dxa"/>
          </w:tcPr>
          <w:p>
            <w:pPr>
              <w:pStyle w:val="TableParagraph"/>
              <w:spacing w:line="250" w:lineRule="exact"/>
              <w:ind w:left="94"/>
              <w:rPr>
                <w:sz w:val="21"/>
              </w:rPr>
            </w:pPr>
            <w:r>
              <w:rPr>
                <w:sz w:val="21"/>
              </w:rPr>
              <w:t>电生理检查结果证实。</w:t>
            </w:r>
          </w:p>
        </w:tc>
      </w:tr>
      <w:tr>
        <w:trPr>
          <w:trHeight w:val="815" w:hRule="atLeast"/>
        </w:trPr>
        <w:tc>
          <w:tcPr>
            <w:tcW w:w="453" w:type="dxa"/>
          </w:tcPr>
          <w:p>
            <w:pPr>
              <w:pStyle w:val="TableParagraph"/>
              <w:spacing w:before="167"/>
              <w:ind w:left="50"/>
              <w:rPr>
                <w:b/>
                <w:sz w:val="21"/>
              </w:rPr>
            </w:pPr>
            <w:r>
              <w:rPr>
                <w:b/>
                <w:sz w:val="21"/>
              </w:rPr>
              <w:t>79</w:t>
            </w:r>
          </w:p>
        </w:tc>
        <w:tc>
          <w:tcPr>
            <w:tcW w:w="2414" w:type="dxa"/>
          </w:tcPr>
          <w:p>
            <w:pPr>
              <w:pStyle w:val="TableParagraph"/>
              <w:spacing w:line="232" w:lineRule="auto" w:before="141"/>
              <w:ind w:left="192" w:right="92"/>
              <w:rPr>
                <w:rFonts w:ascii="等线" w:eastAsia="等线" w:hint="eastAsia"/>
                <w:b/>
                <w:sz w:val="24"/>
              </w:rPr>
            </w:pPr>
            <w:r>
              <w:rPr>
                <w:rFonts w:ascii="等线" w:eastAsia="等线" w:hint="eastAsia"/>
                <w:b/>
                <w:sz w:val="24"/>
              </w:rPr>
              <w:t>原发性脊柱侧弯的矫正手术</w:t>
            </w:r>
          </w:p>
        </w:tc>
        <w:tc>
          <w:tcPr>
            <w:tcW w:w="6971" w:type="dxa"/>
          </w:tcPr>
          <w:p>
            <w:pPr>
              <w:pStyle w:val="TableParagraph"/>
              <w:spacing w:line="273" w:lineRule="auto" w:before="167"/>
              <w:ind w:left="94" w:right="87"/>
              <w:rPr>
                <w:sz w:val="21"/>
              </w:rPr>
            </w:pPr>
            <w:r>
              <w:rPr>
                <w:sz w:val="21"/>
              </w:rPr>
              <w:t>指被保险人因原发性脊柱侧弯，实际实施了对该病的矫正外科手术。</w:t>
            </w:r>
            <w:r>
              <w:rPr>
                <w:sz w:val="21"/>
                <w:shd w:fill="DADADA" w:color="auto" w:val="clear"/>
              </w:rPr>
              <w:t>但由于先天</w:t>
            </w:r>
            <w:r>
              <w:rPr>
                <w:spacing w:val="-212"/>
                <w:sz w:val="21"/>
                <w:shd w:fill="DADADA" w:color="auto" w:val="clear"/>
              </w:rPr>
              <w:t>性</w:t>
            </w:r>
            <w:r>
              <w:rPr>
                <w:sz w:val="21"/>
                <w:shd w:fill="DADADA" w:color="auto" w:val="clear"/>
              </w:rPr>
              <w:t>脊柱侧弯以及其他疾病或意外导致的继发性脊柱侧弯而进行的手</w:t>
            </w:r>
          </w:p>
        </w:tc>
      </w:tr>
      <w:tr>
        <w:trPr>
          <w:trHeight w:val="460" w:hRule="atLeast"/>
        </w:trPr>
        <w:tc>
          <w:tcPr>
            <w:tcW w:w="453" w:type="dxa"/>
          </w:tcPr>
          <w:p>
            <w:pPr>
              <w:pStyle w:val="TableParagraph"/>
              <w:rPr>
                <w:rFonts w:ascii="Times New Roman"/>
                <w:sz w:val="20"/>
              </w:rPr>
            </w:pPr>
          </w:p>
        </w:tc>
        <w:tc>
          <w:tcPr>
            <w:tcW w:w="2414" w:type="dxa"/>
          </w:tcPr>
          <w:p>
            <w:pPr>
              <w:pStyle w:val="TableParagraph"/>
              <w:rPr>
                <w:rFonts w:ascii="Times New Roman"/>
                <w:sz w:val="20"/>
              </w:rPr>
            </w:pPr>
          </w:p>
        </w:tc>
        <w:tc>
          <w:tcPr>
            <w:tcW w:w="6971" w:type="dxa"/>
          </w:tcPr>
          <w:p>
            <w:pPr>
              <w:pStyle w:val="TableParagraph"/>
              <w:spacing w:line="250" w:lineRule="exact"/>
              <w:ind w:left="94"/>
              <w:rPr>
                <w:sz w:val="21"/>
              </w:rPr>
            </w:pPr>
            <w:r>
              <w:rPr>
                <w:sz w:val="21"/>
                <w:shd w:fill="DADADA" w:color="auto" w:val="clear"/>
              </w:rPr>
              <w:t>术治疗不属于本保障责任。</w:t>
            </w:r>
          </w:p>
        </w:tc>
      </w:tr>
      <w:tr>
        <w:trPr>
          <w:trHeight w:val="815" w:hRule="atLeast"/>
        </w:trPr>
        <w:tc>
          <w:tcPr>
            <w:tcW w:w="453" w:type="dxa"/>
          </w:tcPr>
          <w:p>
            <w:pPr>
              <w:pStyle w:val="TableParagraph"/>
              <w:spacing w:before="166"/>
              <w:ind w:left="50"/>
              <w:rPr>
                <w:b/>
                <w:sz w:val="21"/>
              </w:rPr>
            </w:pPr>
            <w:r>
              <w:rPr>
                <w:b/>
                <w:sz w:val="21"/>
              </w:rPr>
              <w:t>80</w:t>
            </w:r>
          </w:p>
        </w:tc>
        <w:tc>
          <w:tcPr>
            <w:tcW w:w="2414" w:type="dxa"/>
          </w:tcPr>
          <w:p>
            <w:pPr>
              <w:pStyle w:val="TableParagraph"/>
              <w:spacing w:line="235" w:lineRule="auto" w:before="136"/>
              <w:ind w:left="192" w:right="92"/>
              <w:rPr>
                <w:rFonts w:ascii="等线" w:eastAsia="等线" w:hint="eastAsia"/>
                <w:b/>
                <w:sz w:val="24"/>
              </w:rPr>
            </w:pPr>
            <w:r>
              <w:rPr>
                <w:rFonts w:ascii="等线" w:eastAsia="等线" w:hint="eastAsia"/>
                <w:b/>
                <w:sz w:val="24"/>
              </w:rPr>
              <w:t>溶血性链球菌引起的坏疽</w:t>
            </w:r>
          </w:p>
        </w:tc>
        <w:tc>
          <w:tcPr>
            <w:tcW w:w="6971" w:type="dxa"/>
          </w:tcPr>
          <w:p>
            <w:pPr>
              <w:pStyle w:val="TableParagraph"/>
              <w:spacing w:line="273" w:lineRule="auto" w:before="166"/>
              <w:ind w:left="94" w:right="87"/>
              <w:rPr>
                <w:sz w:val="21"/>
              </w:rPr>
            </w:pPr>
            <w:r>
              <w:rPr>
                <w:sz w:val="21"/>
              </w:rPr>
              <w:t>指包围肢体或者躯干的浅筋膜或者深筋膜受到溶血性链球菌的感染，病情在短时间内急剧恶化，且已经立刻进行了手术。最后的诊断必须由微生物</w:t>
            </w:r>
          </w:p>
        </w:tc>
      </w:tr>
      <w:tr>
        <w:trPr>
          <w:trHeight w:val="249" w:hRule="atLeast"/>
        </w:trPr>
        <w:tc>
          <w:tcPr>
            <w:tcW w:w="453" w:type="dxa"/>
          </w:tcPr>
          <w:p>
            <w:pPr>
              <w:pStyle w:val="TableParagraph"/>
              <w:rPr>
                <w:rFonts w:ascii="Times New Roman"/>
                <w:sz w:val="18"/>
              </w:rPr>
            </w:pPr>
          </w:p>
        </w:tc>
        <w:tc>
          <w:tcPr>
            <w:tcW w:w="2414" w:type="dxa"/>
          </w:tcPr>
          <w:p>
            <w:pPr>
              <w:pStyle w:val="TableParagraph"/>
              <w:rPr>
                <w:rFonts w:ascii="Times New Roman"/>
                <w:sz w:val="18"/>
              </w:rPr>
            </w:pPr>
          </w:p>
        </w:tc>
        <w:tc>
          <w:tcPr>
            <w:tcW w:w="6971" w:type="dxa"/>
          </w:tcPr>
          <w:p>
            <w:pPr>
              <w:pStyle w:val="TableParagraph"/>
              <w:spacing w:line="229" w:lineRule="exact"/>
              <w:ind w:left="94"/>
              <w:rPr>
                <w:sz w:val="21"/>
              </w:rPr>
            </w:pPr>
            <w:r>
              <w:rPr>
                <w:sz w:val="21"/>
              </w:rPr>
              <w:t>或者病理学专家进行相关检查后证实。</w:t>
            </w:r>
          </w:p>
        </w:tc>
      </w:tr>
    </w:tbl>
    <w:p>
      <w:pPr>
        <w:pStyle w:val="BodyText"/>
        <w:spacing w:before="3"/>
        <w:rPr>
          <w:sz w:val="18"/>
        </w:rPr>
      </w:pPr>
    </w:p>
    <w:p>
      <w:pPr>
        <w:pStyle w:val="Heading1"/>
        <w:tabs>
          <w:tab w:pos="980" w:val="left" w:leader="none"/>
        </w:tabs>
        <w:spacing w:line="458" w:lineRule="exact" w:before="62"/>
        <w:ind w:left="313" w:firstLine="0"/>
        <w:rPr>
          <w:rFonts w:ascii="宋体" w:hAnsi="宋体" w:eastAsia="宋体" w:hint="eastAsia"/>
        </w:rPr>
      </w:pPr>
      <w:r>
        <w:rPr>
          <w:rFonts w:ascii="Arial" w:hAnsi="Arial" w:eastAsia="Arial"/>
          <w:position w:val="-9"/>
          <w:sz w:val="40"/>
        </w:rPr>
        <w:t></w:t>
        <w:tab/>
      </w:r>
      <w:r>
        <w:rPr>
          <w:rFonts w:ascii="宋体" w:hAnsi="宋体" w:eastAsia="宋体" w:hint="eastAsia"/>
          <w:w w:val="95"/>
        </w:rPr>
        <w:t>特定轻度重疾释义</w:t>
      </w:r>
    </w:p>
    <w:p>
      <w:pPr>
        <w:pStyle w:val="Heading2"/>
        <w:spacing w:line="242" w:lineRule="auto"/>
        <w:ind w:right="174"/>
      </w:pPr>
      <w:r>
        <w:rPr/>
        <w:pict>
          <v:group style="position:absolute;margin-left:45.599998pt;margin-top:34.535641pt;width:504pt;height:1pt;mso-position-horizontal-relative:page;mso-position-vertical-relative:paragraph;z-index:1600;mso-wrap-distance-left:0;mso-wrap-distance-right:0" coordorigin="912,691" coordsize="10080,20">
            <v:line style="position:absolute" from="912,700" to="1673,700" stroked="true" strokeweight=".96pt" strokecolor="#000000">
              <v:stroke dashstyle="solid"/>
            </v:line>
            <v:rect style="position:absolute;left:1672;top:690;width:20;height:20" filled="true" fillcolor="#000000" stroked="false">
              <v:fill type="solid"/>
            </v:rect>
            <v:line style="position:absolute" from="1692,700" to="3989,700" stroked="true" strokeweight=".96pt" strokecolor="#000000">
              <v:stroke dashstyle="solid"/>
            </v:line>
            <v:rect style="position:absolute;left:3988;top:690;width:20;height:20" filled="true" fillcolor="#000000" stroked="false">
              <v:fill type="solid"/>
            </v:rect>
            <v:line style="position:absolute" from="4008,700" to="10992,700" stroked="true" strokeweight=".96pt" strokecolor="#000000">
              <v:stroke dashstyle="solid"/>
            </v:line>
            <w10:wrap type="topAndBottom"/>
          </v:group>
        </w:pict>
      </w:r>
      <w:r>
        <w:rPr/>
        <w:t>这部分讲的是我们提供保障的 20 种特定轻度重疾的定义，其中包含一些免责条款，请您特别留意。</w:t>
      </w:r>
    </w:p>
    <w:p>
      <w:pPr>
        <w:pStyle w:val="BodyText"/>
        <w:spacing w:before="7"/>
        <w:rPr>
          <w:sz w:val="18"/>
        </w:rPr>
      </w:pPr>
    </w:p>
    <w:p>
      <w:pPr>
        <w:pStyle w:val="Heading3"/>
        <w:tabs>
          <w:tab w:pos="3296" w:val="left" w:leader="none"/>
        </w:tabs>
        <w:spacing w:before="37"/>
        <w:ind w:left="980"/>
        <w:rPr>
          <w:rFonts w:ascii="宋体" w:eastAsia="宋体" w:hint="eastAsia"/>
        </w:rPr>
      </w:pPr>
      <w:r>
        <w:rPr>
          <w:rFonts w:ascii="宋体" w:eastAsia="宋体" w:hint="eastAsia"/>
        </w:rPr>
        <w:t>第</w:t>
      </w:r>
      <w:r>
        <w:rPr>
          <w:rFonts w:ascii="宋体" w:eastAsia="宋体" w:hint="eastAsia"/>
          <w:spacing w:val="-54"/>
        </w:rPr>
        <w:t> </w:t>
      </w:r>
      <w:r>
        <w:rPr>
          <w:rFonts w:ascii="宋体" w:eastAsia="宋体" w:hint="eastAsia"/>
        </w:rPr>
        <w:t>1</w:t>
      </w:r>
      <w:r>
        <w:rPr>
          <w:rFonts w:ascii="宋体" w:eastAsia="宋体" w:hint="eastAsia"/>
          <w:spacing w:val="-54"/>
        </w:rPr>
        <w:t> </w:t>
      </w:r>
      <w:r>
        <w:rPr>
          <w:rFonts w:ascii="宋体" w:eastAsia="宋体" w:hint="eastAsia"/>
        </w:rPr>
        <w:t>类：</w:t>
        <w:tab/>
        <w:t>与恶性肿瘤相关的</w:t>
      </w:r>
      <w:r>
        <w:rPr>
          <w:rFonts w:ascii="宋体" w:eastAsia="宋体" w:hint="eastAsia"/>
          <w:spacing w:val="-3"/>
        </w:rPr>
        <w:t>疾</w:t>
      </w:r>
      <w:r>
        <w:rPr>
          <w:rFonts w:ascii="宋体" w:eastAsia="宋体" w:hint="eastAsia"/>
        </w:rPr>
        <w:t>病</w:t>
      </w:r>
    </w:p>
    <w:p>
      <w:pPr>
        <w:pStyle w:val="BodyText"/>
        <w:spacing w:before="10"/>
        <w:rPr>
          <w:b/>
        </w:rPr>
      </w:pPr>
    </w:p>
    <w:p>
      <w:pPr>
        <w:pStyle w:val="ListParagraph"/>
        <w:numPr>
          <w:ilvl w:val="1"/>
          <w:numId w:val="10"/>
        </w:numPr>
        <w:tabs>
          <w:tab w:pos="980" w:val="left" w:leader="none"/>
          <w:tab w:pos="981" w:val="left" w:leader="none"/>
          <w:tab w:pos="3296" w:val="left" w:leader="none"/>
        </w:tabs>
        <w:spacing w:line="323" w:lineRule="exact" w:before="0" w:after="0"/>
        <w:ind w:left="3296" w:right="0" w:hanging="2858"/>
        <w:jc w:val="left"/>
        <w:rPr>
          <w:sz w:val="21"/>
        </w:rPr>
      </w:pPr>
      <w:r>
        <w:rPr>
          <w:rFonts w:ascii="等线" w:eastAsia="等线" w:hint="eastAsia"/>
          <w:b/>
          <w:position w:val="-1"/>
          <w:sz w:val="24"/>
        </w:rPr>
        <w:t>早期恶性病变</w:t>
        <w:tab/>
      </w:r>
      <w:r>
        <w:rPr>
          <w:sz w:val="21"/>
        </w:rPr>
        <w:t>指经</w:t>
      </w:r>
      <w:r>
        <w:rPr>
          <w:spacing w:val="-3"/>
          <w:sz w:val="21"/>
        </w:rPr>
        <w:t>组</w:t>
      </w:r>
      <w:r>
        <w:rPr>
          <w:sz w:val="21"/>
        </w:rPr>
        <w:t>织</w:t>
      </w:r>
      <w:r>
        <w:rPr>
          <w:spacing w:val="-3"/>
          <w:sz w:val="21"/>
        </w:rPr>
        <w:t>病</w:t>
      </w:r>
      <w:r>
        <w:rPr>
          <w:sz w:val="21"/>
        </w:rPr>
        <w:t>理</w:t>
      </w:r>
      <w:r>
        <w:rPr>
          <w:spacing w:val="-3"/>
          <w:sz w:val="21"/>
        </w:rPr>
        <w:t>学</w:t>
      </w:r>
      <w:r>
        <w:rPr>
          <w:sz w:val="21"/>
        </w:rPr>
        <w:t>检</w:t>
      </w:r>
      <w:r>
        <w:rPr>
          <w:spacing w:val="-3"/>
          <w:sz w:val="21"/>
        </w:rPr>
        <w:t>查</w:t>
      </w:r>
      <w:r>
        <w:rPr>
          <w:sz w:val="21"/>
        </w:rPr>
        <w:t>被</w:t>
      </w:r>
      <w:r>
        <w:rPr>
          <w:spacing w:val="-3"/>
          <w:sz w:val="21"/>
        </w:rPr>
        <w:t>明</w:t>
      </w:r>
      <w:r>
        <w:rPr>
          <w:sz w:val="21"/>
        </w:rPr>
        <w:t>确诊</w:t>
      </w:r>
      <w:r>
        <w:rPr>
          <w:spacing w:val="-3"/>
          <w:sz w:val="21"/>
        </w:rPr>
        <w:t>断</w:t>
      </w:r>
      <w:r>
        <w:rPr>
          <w:sz w:val="21"/>
        </w:rPr>
        <w:t>为</w:t>
      </w:r>
      <w:r>
        <w:rPr>
          <w:spacing w:val="-3"/>
          <w:sz w:val="21"/>
        </w:rPr>
        <w:t>下</w:t>
      </w:r>
      <w:r>
        <w:rPr>
          <w:sz w:val="21"/>
        </w:rPr>
        <w:t>列</w:t>
      </w:r>
      <w:r>
        <w:rPr>
          <w:spacing w:val="-3"/>
          <w:sz w:val="21"/>
        </w:rPr>
        <w:t>恶</w:t>
      </w:r>
      <w:r>
        <w:rPr>
          <w:sz w:val="21"/>
        </w:rPr>
        <w:t>性</w:t>
      </w:r>
      <w:r>
        <w:rPr>
          <w:spacing w:val="-3"/>
          <w:sz w:val="21"/>
        </w:rPr>
        <w:t>病</w:t>
      </w:r>
      <w:r>
        <w:rPr>
          <w:sz w:val="21"/>
        </w:rPr>
        <w:t>变</w:t>
      </w:r>
      <w:r>
        <w:rPr>
          <w:spacing w:val="-41"/>
          <w:sz w:val="21"/>
        </w:rPr>
        <w:t>，</w:t>
      </w:r>
      <w:r>
        <w:rPr>
          <w:sz w:val="21"/>
        </w:rPr>
        <w:t>并且</w:t>
      </w:r>
      <w:r>
        <w:rPr>
          <w:spacing w:val="-3"/>
          <w:sz w:val="21"/>
        </w:rPr>
        <w:t>接</w:t>
      </w:r>
      <w:r>
        <w:rPr>
          <w:sz w:val="21"/>
        </w:rPr>
        <w:t>受</w:t>
      </w:r>
      <w:r>
        <w:rPr>
          <w:spacing w:val="-3"/>
          <w:sz w:val="21"/>
        </w:rPr>
        <w:t>了</w:t>
      </w:r>
      <w:r>
        <w:rPr>
          <w:sz w:val="21"/>
        </w:rPr>
        <w:t>相</w:t>
      </w:r>
      <w:r>
        <w:rPr>
          <w:spacing w:val="-3"/>
          <w:sz w:val="21"/>
        </w:rPr>
        <w:t>应</w:t>
      </w:r>
      <w:r>
        <w:rPr>
          <w:sz w:val="21"/>
        </w:rPr>
        <w:t>的</w:t>
      </w:r>
      <w:r>
        <w:rPr>
          <w:spacing w:val="-3"/>
          <w:sz w:val="21"/>
        </w:rPr>
        <w:t>治疗</w:t>
      </w:r>
      <w:r>
        <w:rPr>
          <w:sz w:val="21"/>
        </w:rPr>
        <w:t>。</w:t>
      </w:r>
    </w:p>
    <w:p>
      <w:pPr>
        <w:pStyle w:val="BodyText"/>
        <w:spacing w:line="270" w:lineRule="exact"/>
        <w:ind w:left="3296"/>
      </w:pPr>
      <w:r>
        <w:rPr/>
        <w:t>（1）相当于 Binet 分期方案 A 期程度的慢性淋巴细胞白血病；</w:t>
      </w:r>
    </w:p>
    <w:p>
      <w:pPr>
        <w:pStyle w:val="BodyText"/>
        <w:spacing w:before="37"/>
        <w:ind w:left="3296"/>
      </w:pPr>
      <w:r>
        <w:rPr/>
        <w:t>（2）相当于 Ann Arbor 分期方案 I 期程度的何杰金氏病；</w:t>
      </w:r>
    </w:p>
    <w:p>
      <w:pPr>
        <w:pStyle w:val="BodyText"/>
        <w:spacing w:before="36"/>
        <w:ind w:left="3296"/>
      </w:pPr>
      <w:r>
        <w:rPr>
          <w:position w:val="1"/>
        </w:rPr>
        <w:t>（3）TNM 分期为 T</w:t>
      </w:r>
      <w:r>
        <w:rPr>
          <w:sz w:val="11"/>
        </w:rPr>
        <w:t>1</w:t>
      </w:r>
      <w:r>
        <w:rPr>
          <w:position w:val="1"/>
        </w:rPr>
        <w:t>N</w:t>
      </w:r>
      <w:r>
        <w:rPr>
          <w:sz w:val="11"/>
        </w:rPr>
        <w:t>0</w:t>
      </w:r>
      <w:r>
        <w:rPr>
          <w:position w:val="1"/>
        </w:rPr>
        <w:t>M</w:t>
      </w:r>
      <w:r>
        <w:rPr>
          <w:sz w:val="11"/>
        </w:rPr>
        <w:t>0 </w:t>
      </w:r>
      <w:r>
        <w:rPr>
          <w:position w:val="1"/>
        </w:rPr>
        <w:t>期或更轻分期的前列腺癌。</w:t>
      </w:r>
    </w:p>
    <w:p>
      <w:pPr>
        <w:pStyle w:val="BodyText"/>
        <w:spacing w:before="2"/>
        <w:rPr>
          <w:sz w:val="24"/>
        </w:rPr>
      </w:pPr>
    </w:p>
    <w:p>
      <w:pPr>
        <w:pStyle w:val="ListParagraph"/>
        <w:numPr>
          <w:ilvl w:val="1"/>
          <w:numId w:val="10"/>
        </w:numPr>
        <w:tabs>
          <w:tab w:pos="980" w:val="left" w:leader="none"/>
          <w:tab w:pos="981" w:val="left" w:leader="none"/>
          <w:tab w:pos="3296" w:val="left" w:leader="none"/>
        </w:tabs>
        <w:spacing w:line="323" w:lineRule="exact" w:before="0" w:after="0"/>
        <w:ind w:left="3296" w:right="0" w:hanging="2858"/>
        <w:jc w:val="left"/>
        <w:rPr>
          <w:sz w:val="21"/>
        </w:rPr>
      </w:pPr>
      <w:r>
        <w:rPr>
          <w:rFonts w:ascii="等线" w:eastAsia="等线" w:hint="eastAsia"/>
          <w:b/>
          <w:position w:val="-1"/>
          <w:sz w:val="24"/>
        </w:rPr>
        <w:t>原位癌</w:t>
        <w:tab/>
      </w:r>
      <w:r>
        <w:rPr>
          <w:sz w:val="21"/>
        </w:rPr>
        <w:t>指恶</w:t>
      </w:r>
      <w:r>
        <w:rPr>
          <w:spacing w:val="-3"/>
          <w:sz w:val="21"/>
        </w:rPr>
        <w:t>性</w:t>
      </w:r>
      <w:r>
        <w:rPr>
          <w:sz w:val="21"/>
        </w:rPr>
        <w:t>肿</w:t>
      </w:r>
      <w:r>
        <w:rPr>
          <w:spacing w:val="-3"/>
          <w:sz w:val="21"/>
        </w:rPr>
        <w:t>瘤</w:t>
      </w:r>
      <w:r>
        <w:rPr>
          <w:sz w:val="21"/>
        </w:rPr>
        <w:t>细</w:t>
      </w:r>
      <w:r>
        <w:rPr>
          <w:spacing w:val="-3"/>
          <w:sz w:val="21"/>
        </w:rPr>
        <w:t>胞</w:t>
      </w:r>
      <w:r>
        <w:rPr>
          <w:sz w:val="21"/>
        </w:rPr>
        <w:t>未</w:t>
      </w:r>
      <w:r>
        <w:rPr>
          <w:spacing w:val="-3"/>
          <w:sz w:val="21"/>
        </w:rPr>
        <w:t>穿</w:t>
      </w:r>
      <w:r>
        <w:rPr>
          <w:sz w:val="21"/>
        </w:rPr>
        <w:t>透</w:t>
      </w:r>
      <w:r>
        <w:rPr>
          <w:spacing w:val="-3"/>
          <w:sz w:val="21"/>
        </w:rPr>
        <w:t>基</w:t>
      </w:r>
      <w:r>
        <w:rPr>
          <w:sz w:val="21"/>
        </w:rPr>
        <w:t>底膜</w:t>
      </w:r>
      <w:r>
        <w:rPr>
          <w:spacing w:val="-3"/>
          <w:sz w:val="21"/>
        </w:rPr>
        <w:t>的</w:t>
      </w:r>
      <w:r>
        <w:rPr>
          <w:sz w:val="21"/>
        </w:rPr>
        <w:t>原</w:t>
      </w:r>
      <w:r>
        <w:rPr>
          <w:spacing w:val="-3"/>
          <w:sz w:val="21"/>
        </w:rPr>
        <w:t>位</w:t>
      </w:r>
      <w:r>
        <w:rPr>
          <w:sz w:val="21"/>
        </w:rPr>
        <w:t>无</w:t>
      </w:r>
      <w:r>
        <w:rPr>
          <w:spacing w:val="-3"/>
          <w:sz w:val="21"/>
        </w:rPr>
        <w:t>浸</w:t>
      </w:r>
      <w:r>
        <w:rPr>
          <w:sz w:val="21"/>
        </w:rPr>
        <w:t>润</w:t>
      </w:r>
      <w:r>
        <w:rPr>
          <w:spacing w:val="-3"/>
          <w:sz w:val="21"/>
        </w:rPr>
        <w:t>的</w:t>
      </w:r>
      <w:r>
        <w:rPr>
          <w:sz w:val="21"/>
        </w:rPr>
        <w:t>恶</w:t>
      </w:r>
      <w:r>
        <w:rPr>
          <w:spacing w:val="-3"/>
          <w:sz w:val="21"/>
        </w:rPr>
        <w:t>性</w:t>
      </w:r>
      <w:r>
        <w:rPr>
          <w:sz w:val="21"/>
        </w:rPr>
        <w:t>肿瘤。</w:t>
      </w:r>
    </w:p>
    <w:p>
      <w:pPr>
        <w:pStyle w:val="BodyText"/>
        <w:spacing w:line="273" w:lineRule="auto"/>
        <w:ind w:left="3296" w:right="220"/>
      </w:pPr>
      <w:r>
        <w:rPr>
          <w:shd w:fill="DADADA" w:color="auto" w:val="clear"/>
        </w:rPr>
        <w:t>诊断需以固定组织标本的病理组织学检查结果为依据，任何组织涂片和穿</w:t>
      </w:r>
      <w:r>
        <w:rPr>
          <w:spacing w:val="-212"/>
          <w:shd w:fill="DADADA" w:color="auto" w:val="clear"/>
        </w:rPr>
        <w:t>刺</w:t>
      </w:r>
      <w:r>
        <w:rPr>
          <w:spacing w:val="-3"/>
          <w:shd w:fill="DADADA" w:color="auto" w:val="clear"/>
        </w:rPr>
        <w:t>活检结果均不能作为诊断依据。</w:t>
      </w:r>
    </w:p>
    <w:p>
      <w:pPr>
        <w:pStyle w:val="BodyText"/>
        <w:spacing w:before="10"/>
        <w:rPr>
          <w:sz w:val="22"/>
        </w:rPr>
      </w:pPr>
    </w:p>
    <w:p>
      <w:pPr>
        <w:pStyle w:val="ListParagraph"/>
        <w:numPr>
          <w:ilvl w:val="1"/>
          <w:numId w:val="10"/>
        </w:numPr>
        <w:tabs>
          <w:tab w:pos="980" w:val="left" w:leader="none"/>
          <w:tab w:pos="981" w:val="left" w:leader="none"/>
          <w:tab w:pos="3296" w:val="left" w:leader="none"/>
        </w:tabs>
        <w:spacing w:line="232" w:lineRule="auto" w:before="1" w:after="0"/>
        <w:ind w:left="3296" w:right="220" w:hanging="2858"/>
        <w:jc w:val="left"/>
        <w:rPr>
          <w:sz w:val="21"/>
        </w:rPr>
      </w:pPr>
      <w:r>
        <w:rPr>
          <w:rFonts w:ascii="等线" w:eastAsia="等线" w:hint="eastAsia"/>
          <w:b/>
          <w:position w:val="-1"/>
          <w:sz w:val="24"/>
        </w:rPr>
        <w:t>皮肤癌</w:t>
        <w:tab/>
      </w:r>
      <w:r>
        <w:rPr>
          <w:sz w:val="21"/>
        </w:rPr>
        <w:t>指皮肤表皮发生的恶性肿瘤。皮肤癌的诊断必须由专科医生诊断并且经病 理学</w:t>
      </w:r>
      <w:r>
        <w:rPr>
          <w:spacing w:val="-3"/>
          <w:sz w:val="21"/>
        </w:rPr>
        <w:t>检</w:t>
      </w:r>
      <w:r>
        <w:rPr>
          <w:sz w:val="21"/>
        </w:rPr>
        <w:t>查</w:t>
      </w:r>
      <w:r>
        <w:rPr>
          <w:spacing w:val="-3"/>
          <w:sz w:val="21"/>
        </w:rPr>
        <w:t>结</w:t>
      </w:r>
      <w:r>
        <w:rPr>
          <w:sz w:val="21"/>
        </w:rPr>
        <w:t>果</w:t>
      </w:r>
      <w:r>
        <w:rPr>
          <w:spacing w:val="-3"/>
          <w:sz w:val="21"/>
        </w:rPr>
        <w:t>确</w:t>
      </w:r>
      <w:r>
        <w:rPr>
          <w:sz w:val="21"/>
        </w:rPr>
        <w:t>诊。</w:t>
      </w:r>
    </w:p>
    <w:p>
      <w:pPr>
        <w:pStyle w:val="BodyText"/>
        <w:spacing w:before="37"/>
        <w:ind w:left="3296"/>
      </w:pPr>
      <w:r>
        <w:rPr>
          <w:shd w:fill="DADADA" w:color="auto" w:val="clear"/>
        </w:rPr>
        <w:t>恶性黑色素瘤及已发生转移的皮肤癌不在保障范围内。</w:t>
      </w:r>
    </w:p>
    <w:p>
      <w:pPr>
        <w:pStyle w:val="BodyText"/>
        <w:spacing w:before="5"/>
        <w:rPr>
          <w:sz w:val="24"/>
        </w:rPr>
      </w:pPr>
    </w:p>
    <w:p>
      <w:pPr>
        <w:pStyle w:val="Heading3"/>
        <w:tabs>
          <w:tab w:pos="3296" w:val="left" w:leader="none"/>
        </w:tabs>
        <w:spacing w:before="1"/>
        <w:ind w:left="980"/>
        <w:rPr>
          <w:rFonts w:ascii="宋体" w:eastAsia="宋体" w:hint="eastAsia"/>
        </w:rPr>
      </w:pPr>
      <w:r>
        <w:rPr>
          <w:rFonts w:ascii="宋体" w:eastAsia="宋体" w:hint="eastAsia"/>
          <w:position w:val="-1"/>
        </w:rPr>
        <w:t>第</w:t>
      </w:r>
      <w:r>
        <w:rPr>
          <w:rFonts w:ascii="宋体" w:eastAsia="宋体" w:hint="eastAsia"/>
          <w:spacing w:val="-54"/>
          <w:position w:val="-1"/>
        </w:rPr>
        <w:t> </w:t>
      </w:r>
      <w:r>
        <w:rPr>
          <w:rFonts w:ascii="宋体" w:eastAsia="宋体" w:hint="eastAsia"/>
          <w:position w:val="-1"/>
        </w:rPr>
        <w:t>2</w:t>
      </w:r>
      <w:r>
        <w:rPr>
          <w:rFonts w:ascii="宋体" w:eastAsia="宋体" w:hint="eastAsia"/>
          <w:spacing w:val="-54"/>
          <w:position w:val="-1"/>
        </w:rPr>
        <w:t> </w:t>
      </w:r>
      <w:r>
        <w:rPr>
          <w:rFonts w:ascii="宋体" w:eastAsia="宋体" w:hint="eastAsia"/>
          <w:position w:val="-1"/>
        </w:rPr>
        <w:t>类：</w:t>
        <w:tab/>
      </w:r>
      <w:r>
        <w:rPr>
          <w:rFonts w:ascii="宋体" w:eastAsia="宋体" w:hint="eastAsia"/>
        </w:rPr>
        <w:t>与心脏或脑血管相</w:t>
      </w:r>
      <w:r>
        <w:rPr>
          <w:rFonts w:ascii="宋体" w:eastAsia="宋体" w:hint="eastAsia"/>
          <w:spacing w:val="-3"/>
        </w:rPr>
        <w:t>关</w:t>
      </w:r>
      <w:r>
        <w:rPr>
          <w:rFonts w:ascii="宋体" w:eastAsia="宋体" w:hint="eastAsia"/>
        </w:rPr>
        <w:t>的</w:t>
      </w:r>
      <w:r>
        <w:rPr>
          <w:rFonts w:ascii="宋体" w:eastAsia="宋体" w:hint="eastAsia"/>
          <w:spacing w:val="-3"/>
        </w:rPr>
        <w:t>疾</w:t>
      </w:r>
      <w:r>
        <w:rPr>
          <w:rFonts w:ascii="宋体" w:eastAsia="宋体" w:hint="eastAsia"/>
        </w:rPr>
        <w:t>病</w:t>
      </w:r>
    </w:p>
    <w:p>
      <w:pPr>
        <w:pStyle w:val="BodyText"/>
        <w:spacing w:before="2"/>
        <w:rPr>
          <w:b/>
          <w:sz w:val="23"/>
        </w:rPr>
      </w:pPr>
    </w:p>
    <w:p>
      <w:pPr>
        <w:pStyle w:val="ListParagraph"/>
        <w:numPr>
          <w:ilvl w:val="1"/>
          <w:numId w:val="10"/>
        </w:numPr>
        <w:tabs>
          <w:tab w:pos="980" w:val="left" w:leader="none"/>
          <w:tab w:pos="981" w:val="left" w:leader="none"/>
          <w:tab w:pos="3296" w:val="left" w:leader="none"/>
        </w:tabs>
        <w:spacing w:line="240" w:lineRule="auto" w:before="0" w:after="0"/>
        <w:ind w:left="3296" w:right="0" w:hanging="2858"/>
        <w:jc w:val="left"/>
        <w:rPr>
          <w:sz w:val="21"/>
        </w:rPr>
      </w:pPr>
      <w:r>
        <w:rPr>
          <w:rFonts w:ascii="等线" w:eastAsia="等线" w:hint="eastAsia"/>
          <w:b/>
          <w:position w:val="-1"/>
          <w:sz w:val="24"/>
        </w:rPr>
        <w:t>心脏瓣膜介入手术</w:t>
        <w:tab/>
      </w:r>
      <w:r>
        <w:rPr>
          <w:sz w:val="21"/>
        </w:rPr>
        <w:t>为了治疗心脏瓣膜疾病，实际实施了的经胸壁打孔内镜手术或经皮经导管</w:t>
      </w:r>
    </w:p>
    <w:p>
      <w:pPr>
        <w:spacing w:after="0" w:line="240" w:lineRule="auto"/>
        <w:jc w:val="left"/>
        <w:rPr>
          <w:sz w:val="21"/>
        </w:rPr>
        <w:sectPr>
          <w:pgSz w:w="11910" w:h="16840"/>
          <w:pgMar w:top="1140" w:bottom="280" w:left="800" w:right="800"/>
        </w:sectPr>
      </w:pPr>
    </w:p>
    <w:tbl>
      <w:tblPr>
        <w:tblW w:w="0" w:type="auto"/>
        <w:jc w:val="left"/>
        <w:tblInd w:w="1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3"/>
        <w:gridCol w:w="2414"/>
        <w:gridCol w:w="7191"/>
      </w:tblGrid>
      <w:tr>
        <w:trPr>
          <w:trHeight w:val="404" w:hRule="atLeast"/>
        </w:trPr>
        <w:tc>
          <w:tcPr>
            <w:tcW w:w="603" w:type="dxa"/>
          </w:tcPr>
          <w:p>
            <w:pPr>
              <w:pStyle w:val="TableParagraph"/>
              <w:rPr>
                <w:rFonts w:ascii="Times New Roman"/>
                <w:sz w:val="20"/>
              </w:rPr>
            </w:pPr>
          </w:p>
        </w:tc>
        <w:tc>
          <w:tcPr>
            <w:tcW w:w="2414" w:type="dxa"/>
          </w:tcPr>
          <w:p>
            <w:pPr>
              <w:pStyle w:val="TableParagraph"/>
              <w:rPr>
                <w:rFonts w:ascii="Times New Roman"/>
                <w:sz w:val="20"/>
              </w:rPr>
            </w:pPr>
          </w:p>
        </w:tc>
        <w:tc>
          <w:tcPr>
            <w:tcW w:w="7191" w:type="dxa"/>
          </w:tcPr>
          <w:p>
            <w:pPr>
              <w:pStyle w:val="TableParagraph"/>
              <w:spacing w:line="211" w:lineRule="exact"/>
              <w:ind w:left="94"/>
              <w:rPr>
                <w:sz w:val="21"/>
              </w:rPr>
            </w:pPr>
            <w:r>
              <w:rPr>
                <w:sz w:val="21"/>
              </w:rPr>
              <w:t>介入手术进行的心脏瓣膜置换或修复手术。。</w:t>
            </w:r>
          </w:p>
        </w:tc>
      </w:tr>
      <w:tr>
        <w:trPr>
          <w:trHeight w:val="908" w:hRule="atLeast"/>
        </w:trPr>
        <w:tc>
          <w:tcPr>
            <w:tcW w:w="603" w:type="dxa"/>
          </w:tcPr>
          <w:p>
            <w:pPr>
              <w:pStyle w:val="TableParagraph"/>
              <w:spacing w:before="129"/>
              <w:ind w:left="8"/>
              <w:jc w:val="center"/>
              <w:rPr>
                <w:b/>
                <w:sz w:val="21"/>
              </w:rPr>
            </w:pPr>
            <w:r>
              <w:rPr>
                <w:b/>
                <w:w w:val="99"/>
                <w:sz w:val="21"/>
              </w:rPr>
              <w:t>5</w:t>
            </w:r>
          </w:p>
        </w:tc>
        <w:tc>
          <w:tcPr>
            <w:tcW w:w="2414" w:type="dxa"/>
          </w:tcPr>
          <w:p>
            <w:pPr>
              <w:pStyle w:val="TableParagraph"/>
              <w:spacing w:before="127"/>
              <w:ind w:left="192"/>
              <w:rPr>
                <w:rFonts w:ascii="等线" w:eastAsia="等线" w:hint="eastAsia"/>
                <w:b/>
                <w:sz w:val="24"/>
              </w:rPr>
            </w:pPr>
            <w:r>
              <w:rPr>
                <w:rFonts w:ascii="等线" w:eastAsia="等线" w:hint="eastAsia"/>
                <w:b/>
                <w:sz w:val="24"/>
              </w:rPr>
              <w:t>主动脉内手术</w:t>
            </w:r>
          </w:p>
        </w:tc>
        <w:tc>
          <w:tcPr>
            <w:tcW w:w="7191" w:type="dxa"/>
          </w:tcPr>
          <w:p>
            <w:pPr>
              <w:pStyle w:val="TableParagraph"/>
              <w:spacing w:before="129"/>
              <w:ind w:left="94"/>
              <w:rPr>
                <w:sz w:val="21"/>
              </w:rPr>
            </w:pPr>
            <w:r>
              <w:rPr>
                <w:sz w:val="21"/>
              </w:rPr>
              <w:t>为了治疗主动脉疾病实际实施了经皮经导管进行的动脉内手术。</w:t>
            </w:r>
          </w:p>
          <w:p>
            <w:pPr>
              <w:pStyle w:val="TableParagraph"/>
              <w:spacing w:before="36"/>
              <w:ind w:left="94"/>
              <w:rPr>
                <w:sz w:val="21"/>
              </w:rPr>
            </w:pPr>
            <w:r>
              <w:rPr>
                <w:sz w:val="21"/>
              </w:rPr>
              <w:t>主动脉指胸主动脉和腹主动脉，</w:t>
            </w:r>
            <w:r>
              <w:rPr>
                <w:sz w:val="21"/>
                <w:shd w:fill="DADADA" w:color="auto" w:val="clear"/>
              </w:rPr>
              <w:t>不包括胸主动脉和腹主动脉的分支血管。</w:t>
            </w:r>
          </w:p>
        </w:tc>
      </w:tr>
      <w:tr>
        <w:trPr>
          <w:trHeight w:val="907" w:hRule="atLeast"/>
        </w:trPr>
        <w:tc>
          <w:tcPr>
            <w:tcW w:w="603" w:type="dxa"/>
          </w:tcPr>
          <w:p>
            <w:pPr>
              <w:pStyle w:val="TableParagraph"/>
              <w:spacing w:before="128"/>
              <w:ind w:left="8"/>
              <w:jc w:val="center"/>
              <w:rPr>
                <w:b/>
                <w:sz w:val="21"/>
              </w:rPr>
            </w:pPr>
            <w:r>
              <w:rPr>
                <w:b/>
                <w:w w:val="99"/>
                <w:sz w:val="21"/>
              </w:rPr>
              <w:t>6</w:t>
            </w:r>
          </w:p>
        </w:tc>
        <w:tc>
          <w:tcPr>
            <w:tcW w:w="2414" w:type="dxa"/>
          </w:tcPr>
          <w:p>
            <w:pPr>
              <w:pStyle w:val="TableParagraph"/>
              <w:spacing w:before="126"/>
              <w:ind w:left="192"/>
              <w:rPr>
                <w:rFonts w:ascii="等线" w:eastAsia="等线" w:hint="eastAsia"/>
                <w:b/>
                <w:sz w:val="24"/>
              </w:rPr>
            </w:pPr>
            <w:r>
              <w:rPr>
                <w:rFonts w:ascii="等线" w:eastAsia="等线" w:hint="eastAsia"/>
                <w:b/>
                <w:sz w:val="24"/>
              </w:rPr>
              <w:t>心包膜切除术</w:t>
            </w:r>
          </w:p>
        </w:tc>
        <w:tc>
          <w:tcPr>
            <w:tcW w:w="7191" w:type="dxa"/>
          </w:tcPr>
          <w:p>
            <w:pPr>
              <w:pStyle w:val="TableParagraph"/>
              <w:spacing w:line="273" w:lineRule="auto" w:before="128"/>
              <w:ind w:left="94" w:right="307"/>
              <w:rPr>
                <w:sz w:val="21"/>
              </w:rPr>
            </w:pPr>
            <w:r>
              <w:rPr>
                <w:sz w:val="21"/>
              </w:rPr>
              <w:t>因心包膜疾病导致已经接受心包膜切除术。手术必须由专科医生认为是医学上必须的情况下进行。</w:t>
            </w:r>
          </w:p>
        </w:tc>
      </w:tr>
      <w:tr>
        <w:trPr>
          <w:trHeight w:val="2181" w:hRule="atLeast"/>
        </w:trPr>
        <w:tc>
          <w:tcPr>
            <w:tcW w:w="603" w:type="dxa"/>
          </w:tcPr>
          <w:p>
            <w:pPr>
              <w:pStyle w:val="TableParagraph"/>
              <w:spacing w:before="128"/>
              <w:ind w:left="8"/>
              <w:jc w:val="center"/>
              <w:rPr>
                <w:b/>
                <w:sz w:val="21"/>
              </w:rPr>
            </w:pPr>
            <w:r>
              <w:rPr>
                <w:b/>
                <w:w w:val="99"/>
                <w:sz w:val="21"/>
              </w:rPr>
              <w:t>7</w:t>
            </w:r>
          </w:p>
        </w:tc>
        <w:tc>
          <w:tcPr>
            <w:tcW w:w="2414" w:type="dxa"/>
          </w:tcPr>
          <w:p>
            <w:pPr>
              <w:pStyle w:val="TableParagraph"/>
              <w:spacing w:line="235" w:lineRule="auto" w:before="132"/>
              <w:ind w:left="192" w:right="92"/>
              <w:rPr>
                <w:rFonts w:ascii="等线" w:eastAsia="等线" w:hint="eastAsia"/>
                <w:b/>
                <w:sz w:val="24"/>
              </w:rPr>
            </w:pPr>
            <w:r>
              <w:rPr>
                <w:rFonts w:ascii="等线" w:eastAsia="等线" w:hint="eastAsia"/>
                <w:b/>
                <w:sz w:val="24"/>
              </w:rPr>
              <w:t>颈动脉血管成形术或内膜切除术</w:t>
            </w:r>
          </w:p>
        </w:tc>
        <w:tc>
          <w:tcPr>
            <w:tcW w:w="7191" w:type="dxa"/>
          </w:tcPr>
          <w:p>
            <w:pPr>
              <w:pStyle w:val="TableParagraph"/>
              <w:spacing w:line="273" w:lineRule="auto" w:before="128"/>
              <w:ind w:left="94" w:right="197"/>
              <w:rPr>
                <w:sz w:val="21"/>
              </w:rPr>
            </w:pPr>
            <w:r>
              <w:rPr>
                <w:spacing w:val="-6"/>
                <w:sz w:val="21"/>
              </w:rPr>
              <w:t>指为治疗颈动脉狭窄性疾病，已经实施了颈动脉血管成形术或内膜切除术。须由颈动脉造影检查证实一条或以上颈动脉超过管径 </w:t>
            </w:r>
            <w:r>
              <w:rPr>
                <w:sz w:val="21"/>
              </w:rPr>
              <w:t>50</w:t>
            </w:r>
            <w:r>
              <w:rPr>
                <w:spacing w:val="-14"/>
                <w:sz w:val="21"/>
              </w:rPr>
              <w:t>%或以上的狭窄。此</w:t>
            </w:r>
            <w:r>
              <w:rPr>
                <w:spacing w:val="-7"/>
                <w:sz w:val="21"/>
              </w:rPr>
              <w:t>病症须由专科医生明确诊断，同时必须已经实施了以下手术之一：</w:t>
            </w:r>
          </w:p>
          <w:p>
            <w:pPr>
              <w:pStyle w:val="TableParagraph"/>
              <w:spacing w:before="7"/>
              <w:ind w:left="94"/>
              <w:rPr>
                <w:sz w:val="21"/>
              </w:rPr>
            </w:pPr>
            <w:r>
              <w:rPr>
                <w:sz w:val="21"/>
              </w:rPr>
              <w:t>（1）颈动脉内膜切除术；</w:t>
            </w:r>
          </w:p>
          <w:p>
            <w:pPr>
              <w:pStyle w:val="TableParagraph"/>
              <w:spacing w:line="273" w:lineRule="auto" w:before="36"/>
              <w:ind w:left="619" w:right="269" w:hanging="526"/>
              <w:rPr>
                <w:sz w:val="21"/>
              </w:rPr>
            </w:pPr>
            <w:r>
              <w:rPr>
                <w:sz w:val="21"/>
              </w:rPr>
              <w:t>（2）血管介入手术，例如血管成形术及／或进行植入支架或动脉粥样瘤清除手术。</w:t>
            </w:r>
          </w:p>
        </w:tc>
      </w:tr>
      <w:tr>
        <w:trPr>
          <w:trHeight w:val="3430" w:hRule="atLeast"/>
        </w:trPr>
        <w:tc>
          <w:tcPr>
            <w:tcW w:w="603" w:type="dxa"/>
          </w:tcPr>
          <w:p>
            <w:pPr>
              <w:pStyle w:val="TableParagraph"/>
              <w:spacing w:before="154"/>
              <w:ind w:left="8"/>
              <w:jc w:val="center"/>
              <w:rPr>
                <w:b/>
                <w:sz w:val="21"/>
              </w:rPr>
            </w:pPr>
            <w:r>
              <w:rPr>
                <w:b/>
                <w:w w:val="99"/>
                <w:sz w:val="21"/>
              </w:rPr>
              <w:t>8</w:t>
            </w:r>
          </w:p>
        </w:tc>
        <w:tc>
          <w:tcPr>
            <w:tcW w:w="2414" w:type="dxa"/>
          </w:tcPr>
          <w:p>
            <w:pPr>
              <w:pStyle w:val="TableParagraph"/>
              <w:spacing w:before="152"/>
              <w:ind w:left="192"/>
              <w:rPr>
                <w:rFonts w:ascii="等线" w:eastAsia="等线" w:hint="eastAsia"/>
                <w:b/>
                <w:sz w:val="24"/>
              </w:rPr>
            </w:pPr>
            <w:r>
              <w:rPr>
                <w:rFonts w:ascii="等线" w:eastAsia="等线" w:hint="eastAsia"/>
                <w:b/>
                <w:sz w:val="24"/>
              </w:rPr>
              <w:t>早期原发性心ft病</w:t>
            </w:r>
          </w:p>
        </w:tc>
        <w:tc>
          <w:tcPr>
            <w:tcW w:w="7191" w:type="dxa"/>
          </w:tcPr>
          <w:p>
            <w:pPr>
              <w:pStyle w:val="TableParagraph"/>
              <w:spacing w:line="273" w:lineRule="auto" w:before="154"/>
              <w:ind w:left="94" w:right="307"/>
              <w:rPr>
                <w:sz w:val="21"/>
              </w:rPr>
            </w:pPr>
            <w:r>
              <w:rPr>
                <w:sz w:val="21"/>
              </w:rPr>
              <w:t>被诊断为原发性心肌病，并符合下列所有条件，但未达到本附加险合同所指重大疾病“严重原发性心肌病”的标准：</w:t>
            </w:r>
          </w:p>
          <w:p>
            <w:pPr>
              <w:pStyle w:val="TableParagraph"/>
              <w:spacing w:line="273" w:lineRule="auto" w:before="7"/>
              <w:ind w:left="619" w:right="271" w:hanging="526"/>
              <w:rPr>
                <w:sz w:val="21"/>
              </w:rPr>
            </w:pPr>
            <w:r>
              <w:rPr>
                <w:sz w:val="21"/>
              </w:rPr>
              <w:t>（1）导致心室功能受损，其受损程度达到美国纽约心脏病学会心功能状态分级Ⅲ级，或其同等级别；</w:t>
            </w:r>
          </w:p>
          <w:p>
            <w:pPr>
              <w:pStyle w:val="TableParagraph"/>
              <w:spacing w:before="7"/>
              <w:ind w:left="94"/>
              <w:rPr>
                <w:sz w:val="21"/>
              </w:rPr>
            </w:pPr>
            <w:r>
              <w:rPr>
                <w:sz w:val="21"/>
              </w:rPr>
              <w:t>（2）左室射血分数 LVEF &lt;35%；</w:t>
            </w:r>
          </w:p>
          <w:p>
            <w:pPr>
              <w:pStyle w:val="TableParagraph"/>
              <w:spacing w:line="273" w:lineRule="auto" w:before="36"/>
              <w:ind w:left="620" w:right="248" w:hanging="526"/>
              <w:rPr>
                <w:sz w:val="21"/>
              </w:rPr>
            </w:pPr>
            <w:r>
              <w:rPr>
                <w:sz w:val="21"/>
              </w:rPr>
              <w:t>（3）原发性心肌病的诊断必须由医院专科医生确认，并提供心脏超声检查结果报告。</w:t>
            </w:r>
          </w:p>
          <w:p>
            <w:pPr>
              <w:pStyle w:val="TableParagraph"/>
              <w:spacing w:line="273" w:lineRule="auto" w:before="7"/>
              <w:ind w:left="94" w:right="307"/>
              <w:rPr>
                <w:sz w:val="21"/>
              </w:rPr>
            </w:pPr>
            <w:r>
              <w:rPr>
                <w:sz w:val="21"/>
              </w:rPr>
              <w:t>本保障范围内的心肌病仅包括扩张型心肌病、肥厚型心肌病及限制型心肌病。</w:t>
            </w:r>
          </w:p>
          <w:p>
            <w:pPr>
              <w:pStyle w:val="TableParagraph"/>
              <w:spacing w:before="8"/>
              <w:ind w:left="94"/>
              <w:rPr>
                <w:sz w:val="21"/>
              </w:rPr>
            </w:pPr>
            <w:r>
              <w:rPr>
                <w:sz w:val="21"/>
                <w:shd w:fill="DADADA" w:color="auto" w:val="clear"/>
              </w:rPr>
              <w:t>继发于全身性疾病或其他器官系统疾病造成的心肌病变不在保障范围内。</w:t>
            </w:r>
          </w:p>
        </w:tc>
      </w:tr>
      <w:tr>
        <w:trPr>
          <w:trHeight w:val="1551" w:hRule="atLeast"/>
        </w:trPr>
        <w:tc>
          <w:tcPr>
            <w:tcW w:w="603" w:type="dxa"/>
          </w:tcPr>
          <w:p>
            <w:pPr>
              <w:pStyle w:val="TableParagraph"/>
              <w:spacing w:before="129"/>
              <w:ind w:left="8"/>
              <w:jc w:val="center"/>
              <w:rPr>
                <w:b/>
                <w:sz w:val="21"/>
              </w:rPr>
            </w:pPr>
            <w:r>
              <w:rPr>
                <w:b/>
                <w:w w:val="99"/>
                <w:sz w:val="21"/>
              </w:rPr>
              <w:t>9</w:t>
            </w:r>
          </w:p>
        </w:tc>
        <w:tc>
          <w:tcPr>
            <w:tcW w:w="2414" w:type="dxa"/>
          </w:tcPr>
          <w:p>
            <w:pPr>
              <w:pStyle w:val="TableParagraph"/>
              <w:spacing w:before="127"/>
              <w:ind w:left="192"/>
              <w:rPr>
                <w:rFonts w:ascii="等线" w:eastAsia="等线" w:hint="eastAsia"/>
                <w:b/>
                <w:sz w:val="24"/>
              </w:rPr>
            </w:pPr>
            <w:r>
              <w:rPr>
                <w:rFonts w:ascii="等线" w:eastAsia="等线" w:hint="eastAsia"/>
                <w:b/>
                <w:sz w:val="24"/>
              </w:rPr>
              <w:t>心脏起搏器植入</w:t>
            </w:r>
          </w:p>
        </w:tc>
        <w:tc>
          <w:tcPr>
            <w:tcW w:w="7191" w:type="dxa"/>
          </w:tcPr>
          <w:p>
            <w:pPr>
              <w:pStyle w:val="TableParagraph"/>
              <w:spacing w:line="273" w:lineRule="auto" w:before="129"/>
              <w:ind w:left="94" w:right="307"/>
              <w:jc w:val="both"/>
              <w:rPr>
                <w:sz w:val="21"/>
              </w:rPr>
            </w:pPr>
            <w:r>
              <w:rPr>
                <w:sz w:val="21"/>
              </w:rPr>
              <w:t>指因严重心律失常而确实已经实施植入永久性心脏起搏器的手术。理赔时须提供完整病历资料及手术记录，诊断及治疗均须专科医生认为是医疗必须的情况下进行。由于心脏再同步化治疗而实施的植入心脏起博器包括在本项保障范围内。</w:t>
            </w:r>
          </w:p>
        </w:tc>
      </w:tr>
      <w:tr>
        <w:trPr>
          <w:trHeight w:val="627" w:hRule="atLeast"/>
        </w:trPr>
        <w:tc>
          <w:tcPr>
            <w:tcW w:w="603" w:type="dxa"/>
          </w:tcPr>
          <w:p>
            <w:pPr>
              <w:pStyle w:val="TableParagraph"/>
              <w:rPr>
                <w:rFonts w:ascii="Times New Roman"/>
                <w:sz w:val="20"/>
              </w:rPr>
            </w:pPr>
          </w:p>
        </w:tc>
        <w:tc>
          <w:tcPr>
            <w:tcW w:w="2414" w:type="dxa"/>
          </w:tcPr>
          <w:p>
            <w:pPr>
              <w:pStyle w:val="TableParagraph"/>
              <w:spacing w:before="147"/>
              <w:ind w:left="192"/>
              <w:rPr>
                <w:b/>
                <w:sz w:val="21"/>
              </w:rPr>
            </w:pPr>
            <w:r>
              <w:rPr>
                <w:b/>
                <w:sz w:val="21"/>
              </w:rPr>
              <w:t>第 3 类：</w:t>
            </w:r>
          </w:p>
        </w:tc>
        <w:tc>
          <w:tcPr>
            <w:tcW w:w="7191" w:type="dxa"/>
          </w:tcPr>
          <w:p>
            <w:pPr>
              <w:pStyle w:val="TableParagraph"/>
              <w:spacing w:before="147"/>
              <w:ind w:left="94"/>
              <w:rPr>
                <w:b/>
                <w:sz w:val="21"/>
              </w:rPr>
            </w:pPr>
            <w:r>
              <w:rPr>
                <w:b/>
                <w:sz w:val="21"/>
              </w:rPr>
              <w:t>与器官功能严重受损相关的疾病</w:t>
            </w:r>
          </w:p>
        </w:tc>
      </w:tr>
      <w:tr>
        <w:trPr>
          <w:trHeight w:val="2139" w:hRule="atLeast"/>
        </w:trPr>
        <w:tc>
          <w:tcPr>
            <w:tcW w:w="603" w:type="dxa"/>
          </w:tcPr>
          <w:p>
            <w:pPr>
              <w:pStyle w:val="TableParagraph"/>
              <w:spacing w:before="141"/>
              <w:ind w:left="179" w:right="171"/>
              <w:jc w:val="center"/>
              <w:rPr>
                <w:b/>
                <w:sz w:val="21"/>
              </w:rPr>
            </w:pPr>
            <w:r>
              <w:rPr>
                <w:b/>
                <w:sz w:val="21"/>
              </w:rPr>
              <w:t>10</w:t>
            </w:r>
          </w:p>
        </w:tc>
        <w:tc>
          <w:tcPr>
            <w:tcW w:w="2414" w:type="dxa"/>
          </w:tcPr>
          <w:p>
            <w:pPr>
              <w:pStyle w:val="TableParagraph"/>
              <w:spacing w:before="139"/>
              <w:ind w:left="192"/>
              <w:rPr>
                <w:rFonts w:ascii="等线" w:eastAsia="等线" w:hint="eastAsia"/>
                <w:b/>
                <w:sz w:val="24"/>
              </w:rPr>
            </w:pPr>
            <w:r>
              <w:rPr>
                <w:rFonts w:ascii="等线" w:eastAsia="等线" w:hint="eastAsia"/>
                <w:b/>
                <w:sz w:val="24"/>
              </w:rPr>
              <w:t>听力严重受损</w:t>
            </w:r>
          </w:p>
        </w:tc>
        <w:tc>
          <w:tcPr>
            <w:tcW w:w="7191" w:type="dxa"/>
          </w:tcPr>
          <w:p>
            <w:pPr>
              <w:pStyle w:val="TableParagraph"/>
              <w:spacing w:before="141"/>
              <w:ind w:left="94"/>
              <w:rPr>
                <w:sz w:val="21"/>
              </w:rPr>
            </w:pPr>
            <w:r>
              <w:rPr>
                <w:sz w:val="21"/>
              </w:rPr>
              <w:t>指因疾病或意外伤害导致双耳听力永久不可逆性丧失，在 500 赫兹、1000</w:t>
            </w:r>
          </w:p>
          <w:p>
            <w:pPr>
              <w:pStyle w:val="TableParagraph"/>
              <w:spacing w:line="273" w:lineRule="auto" w:before="36"/>
              <w:ind w:left="94" w:right="203"/>
              <w:rPr>
                <w:sz w:val="21"/>
              </w:rPr>
            </w:pPr>
            <w:r>
              <w:rPr>
                <w:spacing w:val="-13"/>
                <w:sz w:val="21"/>
              </w:rPr>
              <w:t>赫兹和 </w:t>
            </w:r>
            <w:r>
              <w:rPr>
                <w:sz w:val="21"/>
              </w:rPr>
              <w:t>2000</w:t>
            </w:r>
            <w:r>
              <w:rPr>
                <w:spacing w:val="-13"/>
                <w:sz w:val="21"/>
              </w:rPr>
              <w:t> 赫兹语音频率下，平均听阈大于 </w:t>
            </w:r>
            <w:r>
              <w:rPr>
                <w:sz w:val="21"/>
              </w:rPr>
              <w:t>70</w:t>
            </w:r>
            <w:r>
              <w:rPr>
                <w:spacing w:val="-10"/>
                <w:sz w:val="21"/>
              </w:rPr>
              <w:t> 分贝，且经纯音听力测试、</w:t>
            </w:r>
            <w:r>
              <w:rPr>
                <w:sz w:val="21"/>
              </w:rPr>
              <w:t>声导抗检测或听觉诱发电位检测等证实。但未达到本附加险合同所指重大</w:t>
            </w:r>
            <w:r>
              <w:rPr>
                <w:spacing w:val="-3"/>
                <w:sz w:val="21"/>
              </w:rPr>
              <w:t>疾病“双耳失聪”的标准。</w:t>
            </w:r>
          </w:p>
          <w:p>
            <w:pPr>
              <w:pStyle w:val="TableParagraph"/>
              <w:spacing w:line="273" w:lineRule="auto" w:before="7"/>
              <w:ind w:left="94" w:right="306"/>
              <w:rPr>
                <w:sz w:val="21"/>
              </w:rPr>
            </w:pPr>
            <w:r>
              <w:rPr>
                <w:spacing w:val="-6"/>
                <w:sz w:val="21"/>
                <w:shd w:fill="DADADA" w:color="auto" w:val="clear"/>
              </w:rPr>
              <w:t>若被保险人在 </w:t>
            </w:r>
            <w:r>
              <w:rPr>
                <w:sz w:val="21"/>
                <w:shd w:fill="DADADA" w:color="auto" w:val="clear"/>
              </w:rPr>
              <w:t>0</w:t>
            </w:r>
            <w:r>
              <w:rPr>
                <w:spacing w:val="-20"/>
                <w:sz w:val="21"/>
                <w:shd w:fill="DADADA" w:color="auto" w:val="clear"/>
              </w:rPr>
              <w:t> 至 </w:t>
            </w:r>
            <w:r>
              <w:rPr>
                <w:sz w:val="21"/>
                <w:shd w:fill="DADADA" w:color="auto" w:val="clear"/>
              </w:rPr>
              <w:t>3</w:t>
            </w:r>
            <w:r>
              <w:rPr>
                <w:spacing w:val="-7"/>
                <w:sz w:val="21"/>
                <w:shd w:fill="DADADA" w:color="auto" w:val="clear"/>
              </w:rPr>
              <w:t> 周岁保单周年日期间听力严重受损，在本附加险合同</w:t>
            </w:r>
            <w:r>
              <w:rPr>
                <w:spacing w:val="-3"/>
                <w:sz w:val="21"/>
                <w:shd w:fill="DADADA" w:color="auto" w:val="clear"/>
              </w:rPr>
              <w:t>有效期内我们对听力严重受损不承担保险责任。</w:t>
            </w:r>
          </w:p>
        </w:tc>
      </w:tr>
      <w:tr>
        <w:trPr>
          <w:trHeight w:val="850" w:hRule="atLeast"/>
        </w:trPr>
        <w:tc>
          <w:tcPr>
            <w:tcW w:w="603" w:type="dxa"/>
          </w:tcPr>
          <w:p>
            <w:pPr>
              <w:pStyle w:val="TableParagraph"/>
              <w:spacing w:before="99"/>
              <w:ind w:left="179" w:right="171"/>
              <w:jc w:val="center"/>
              <w:rPr>
                <w:b/>
                <w:sz w:val="21"/>
              </w:rPr>
            </w:pPr>
            <w:r>
              <w:rPr>
                <w:b/>
                <w:sz w:val="21"/>
              </w:rPr>
              <w:t>11</w:t>
            </w:r>
          </w:p>
        </w:tc>
        <w:tc>
          <w:tcPr>
            <w:tcW w:w="2414" w:type="dxa"/>
          </w:tcPr>
          <w:p>
            <w:pPr>
              <w:pStyle w:val="TableParagraph"/>
              <w:spacing w:before="97"/>
              <w:ind w:left="192"/>
              <w:rPr>
                <w:rFonts w:ascii="等线" w:eastAsia="等线" w:hint="eastAsia"/>
                <w:b/>
                <w:sz w:val="24"/>
              </w:rPr>
            </w:pPr>
            <w:r>
              <w:rPr>
                <w:rFonts w:ascii="等线" w:eastAsia="等线" w:hint="eastAsia"/>
                <w:b/>
                <w:sz w:val="24"/>
              </w:rPr>
              <w:t>单个肢体缺失</w:t>
            </w:r>
          </w:p>
        </w:tc>
        <w:tc>
          <w:tcPr>
            <w:tcW w:w="7191" w:type="dxa"/>
          </w:tcPr>
          <w:p>
            <w:pPr>
              <w:pStyle w:val="TableParagraph"/>
              <w:spacing w:line="273" w:lineRule="auto" w:before="99"/>
              <w:ind w:left="94" w:right="141"/>
              <w:rPr>
                <w:sz w:val="21"/>
              </w:rPr>
            </w:pPr>
            <w:r>
              <w:rPr>
                <w:sz w:val="21"/>
              </w:rPr>
              <w:t>指因疾病或意外伤害导致仅一个肢体自腕关节或踝关节近端（靠近躯干端） 以上完全性断离。</w:t>
            </w:r>
          </w:p>
        </w:tc>
      </w:tr>
      <w:tr>
        <w:trPr>
          <w:trHeight w:val="999" w:hRule="atLeast"/>
        </w:trPr>
        <w:tc>
          <w:tcPr>
            <w:tcW w:w="603" w:type="dxa"/>
          </w:tcPr>
          <w:p>
            <w:pPr>
              <w:pStyle w:val="TableParagraph"/>
              <w:spacing w:before="100"/>
              <w:ind w:left="179" w:right="171"/>
              <w:jc w:val="center"/>
              <w:rPr>
                <w:b/>
                <w:sz w:val="21"/>
              </w:rPr>
            </w:pPr>
            <w:r>
              <w:rPr>
                <w:b/>
                <w:sz w:val="21"/>
              </w:rPr>
              <w:t>12</w:t>
            </w:r>
          </w:p>
        </w:tc>
        <w:tc>
          <w:tcPr>
            <w:tcW w:w="2414" w:type="dxa"/>
          </w:tcPr>
          <w:p>
            <w:pPr>
              <w:pStyle w:val="TableParagraph"/>
              <w:spacing w:before="98"/>
              <w:ind w:left="192"/>
              <w:rPr>
                <w:rFonts w:ascii="等线" w:eastAsia="等线" w:hint="eastAsia"/>
                <w:b/>
                <w:sz w:val="24"/>
              </w:rPr>
            </w:pPr>
            <w:r>
              <w:rPr>
                <w:rFonts w:ascii="等线" w:eastAsia="等线" w:hint="eastAsia"/>
                <w:b/>
                <w:sz w:val="24"/>
              </w:rPr>
              <w:t>肝叶切除</w:t>
            </w:r>
          </w:p>
        </w:tc>
        <w:tc>
          <w:tcPr>
            <w:tcW w:w="7191" w:type="dxa"/>
          </w:tcPr>
          <w:p>
            <w:pPr>
              <w:pStyle w:val="TableParagraph"/>
              <w:spacing w:line="273" w:lineRule="auto" w:before="100"/>
              <w:ind w:left="94" w:right="307"/>
              <w:rPr>
                <w:sz w:val="21"/>
              </w:rPr>
            </w:pPr>
            <w:r>
              <w:rPr>
                <w:sz w:val="21"/>
              </w:rPr>
              <w:t>指因疾病或意外导致肝脏左叶或肝脏右叶的整叶切除。诊断及治疗均须医院专科医生认为是医疗必须的情况下进行。</w:t>
            </w:r>
          </w:p>
          <w:p>
            <w:pPr>
              <w:pStyle w:val="TableParagraph"/>
              <w:spacing w:line="255" w:lineRule="exact" w:before="7"/>
              <w:ind w:left="94"/>
              <w:rPr>
                <w:sz w:val="21"/>
              </w:rPr>
            </w:pPr>
            <w:r>
              <w:rPr>
                <w:sz w:val="21"/>
                <w:shd w:fill="DADADA" w:color="auto" w:val="clear"/>
              </w:rPr>
              <w:t>因酗酒、药物滥用、捐赠肝脏而实施的肝叶切除均不在保障范围内。</w:t>
            </w:r>
          </w:p>
        </w:tc>
      </w:tr>
    </w:tbl>
    <w:p>
      <w:pPr>
        <w:spacing w:after="0" w:line="255" w:lineRule="exact"/>
        <w:rPr>
          <w:sz w:val="21"/>
        </w:rPr>
        <w:sectPr>
          <w:pgSz w:w="11910" w:h="16840"/>
          <w:pgMar w:top="1160" w:bottom="280" w:left="880" w:right="600"/>
        </w:sectPr>
      </w:pPr>
    </w:p>
    <w:tbl>
      <w:tblPr>
        <w:tblW w:w="0" w:type="auto"/>
        <w:jc w:val="left"/>
        <w:tblInd w:w="1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3"/>
        <w:gridCol w:w="2431"/>
        <w:gridCol w:w="7172"/>
      </w:tblGrid>
      <w:tr>
        <w:trPr>
          <w:trHeight w:val="2275" w:hRule="atLeast"/>
        </w:trPr>
        <w:tc>
          <w:tcPr>
            <w:tcW w:w="603" w:type="dxa"/>
          </w:tcPr>
          <w:p>
            <w:pPr>
              <w:pStyle w:val="TableParagraph"/>
              <w:spacing w:line="211" w:lineRule="exact"/>
              <w:ind w:left="179" w:right="171"/>
              <w:jc w:val="center"/>
              <w:rPr>
                <w:b/>
                <w:sz w:val="21"/>
              </w:rPr>
            </w:pPr>
            <w:r>
              <w:rPr>
                <w:b/>
                <w:sz w:val="21"/>
              </w:rPr>
              <w:t>13</w:t>
            </w:r>
          </w:p>
        </w:tc>
        <w:tc>
          <w:tcPr>
            <w:tcW w:w="2431" w:type="dxa"/>
          </w:tcPr>
          <w:p>
            <w:pPr>
              <w:pStyle w:val="TableParagraph"/>
              <w:spacing w:line="258" w:lineRule="exact"/>
              <w:ind w:left="192"/>
              <w:rPr>
                <w:rFonts w:ascii="等线" w:eastAsia="等线" w:hint="eastAsia"/>
                <w:b/>
                <w:sz w:val="24"/>
              </w:rPr>
            </w:pPr>
            <w:r>
              <w:rPr>
                <w:rFonts w:ascii="等线" w:eastAsia="等线" w:hint="eastAsia"/>
                <w:b/>
                <w:sz w:val="24"/>
              </w:rPr>
              <w:t>非严重型再生障碍</w:t>
            </w:r>
          </w:p>
          <w:p>
            <w:pPr>
              <w:pStyle w:val="TableParagraph"/>
              <w:spacing w:line="324" w:lineRule="exact"/>
              <w:ind w:left="192"/>
              <w:rPr>
                <w:rFonts w:ascii="等线" w:eastAsia="等线" w:hint="eastAsia"/>
                <w:b/>
                <w:sz w:val="24"/>
              </w:rPr>
            </w:pPr>
            <w:r>
              <w:rPr>
                <w:rFonts w:ascii="等线" w:eastAsia="等线" w:hint="eastAsia"/>
                <w:b/>
                <w:sz w:val="24"/>
              </w:rPr>
              <w:t>性贫血</w:t>
            </w:r>
          </w:p>
        </w:tc>
        <w:tc>
          <w:tcPr>
            <w:tcW w:w="7172" w:type="dxa"/>
          </w:tcPr>
          <w:p>
            <w:pPr>
              <w:pStyle w:val="TableParagraph"/>
              <w:spacing w:line="211" w:lineRule="exact"/>
              <w:ind w:left="77"/>
              <w:rPr>
                <w:sz w:val="21"/>
              </w:rPr>
            </w:pPr>
            <w:r>
              <w:rPr>
                <w:sz w:val="21"/>
              </w:rPr>
              <w:t>指因急性可逆性的骨髓造血功能衰竭而导致贫血、中性粒细胞减少和血小</w:t>
            </w:r>
          </w:p>
          <w:p>
            <w:pPr>
              <w:pStyle w:val="TableParagraph"/>
              <w:spacing w:line="273" w:lineRule="auto" w:before="37"/>
              <w:ind w:left="77" w:right="305"/>
              <w:jc w:val="both"/>
              <w:rPr>
                <w:sz w:val="21"/>
              </w:rPr>
            </w:pPr>
            <w:r>
              <w:rPr>
                <w:sz w:val="21"/>
              </w:rPr>
              <w:t>板减少，但未达到本附加险合同所指重大疾病“重型再生障碍性贫血”的标准，须骨髓穿刺检查或骨髓活检结果支持诊断且病历资料显示接受了下列任一治疗：</w:t>
            </w:r>
          </w:p>
          <w:p>
            <w:pPr>
              <w:pStyle w:val="TableParagraph"/>
              <w:spacing w:before="7"/>
              <w:ind w:left="77"/>
              <w:jc w:val="both"/>
              <w:rPr>
                <w:sz w:val="21"/>
              </w:rPr>
            </w:pPr>
            <w:r>
              <w:rPr>
                <w:sz w:val="21"/>
              </w:rPr>
              <w:t>（1）骨髓刺激疗法至少 1 个月；</w:t>
            </w:r>
          </w:p>
          <w:p>
            <w:pPr>
              <w:pStyle w:val="TableParagraph"/>
              <w:spacing w:before="36"/>
              <w:ind w:left="77"/>
              <w:jc w:val="both"/>
              <w:rPr>
                <w:sz w:val="21"/>
              </w:rPr>
            </w:pPr>
            <w:r>
              <w:rPr>
                <w:sz w:val="21"/>
              </w:rPr>
              <w:t>（2）免疫抑制剂治疗至少 1 个月；</w:t>
            </w:r>
          </w:p>
          <w:p>
            <w:pPr>
              <w:pStyle w:val="TableParagraph"/>
              <w:spacing w:before="36"/>
              <w:ind w:left="77"/>
              <w:jc w:val="both"/>
              <w:rPr>
                <w:sz w:val="21"/>
              </w:rPr>
            </w:pPr>
            <w:r>
              <w:rPr>
                <w:sz w:val="21"/>
              </w:rPr>
              <w:t>（3）接受了骨髓移植。</w:t>
            </w:r>
          </w:p>
        </w:tc>
      </w:tr>
      <w:tr>
        <w:trPr>
          <w:trHeight w:val="2468" w:hRule="atLeast"/>
        </w:trPr>
        <w:tc>
          <w:tcPr>
            <w:tcW w:w="603" w:type="dxa"/>
          </w:tcPr>
          <w:p>
            <w:pPr>
              <w:pStyle w:val="TableParagraph"/>
              <w:spacing w:before="128"/>
              <w:ind w:left="179" w:right="171"/>
              <w:jc w:val="center"/>
              <w:rPr>
                <w:b/>
                <w:sz w:val="21"/>
              </w:rPr>
            </w:pPr>
            <w:r>
              <w:rPr>
                <w:b/>
                <w:sz w:val="21"/>
              </w:rPr>
              <w:t>14</w:t>
            </w:r>
          </w:p>
        </w:tc>
        <w:tc>
          <w:tcPr>
            <w:tcW w:w="2431" w:type="dxa"/>
          </w:tcPr>
          <w:p>
            <w:pPr>
              <w:pStyle w:val="TableParagraph"/>
              <w:spacing w:before="126"/>
              <w:ind w:left="192"/>
              <w:rPr>
                <w:rFonts w:ascii="等线" w:eastAsia="等线" w:hint="eastAsia"/>
                <w:b/>
                <w:sz w:val="24"/>
              </w:rPr>
            </w:pPr>
            <w:r>
              <w:rPr>
                <w:rFonts w:ascii="等线" w:eastAsia="等线" w:hint="eastAsia"/>
                <w:b/>
                <w:sz w:val="24"/>
              </w:rPr>
              <w:t>视力严重受损</w:t>
            </w:r>
          </w:p>
        </w:tc>
        <w:tc>
          <w:tcPr>
            <w:tcW w:w="7172" w:type="dxa"/>
          </w:tcPr>
          <w:p>
            <w:pPr>
              <w:pStyle w:val="TableParagraph"/>
              <w:spacing w:line="273" w:lineRule="auto" w:before="128"/>
              <w:ind w:left="77" w:right="197"/>
              <w:rPr>
                <w:sz w:val="21"/>
              </w:rPr>
            </w:pPr>
            <w:r>
              <w:rPr>
                <w:sz w:val="21"/>
              </w:rPr>
              <w:t>指被保险人因疾病或意外伤害导致双目视力永久不可逆性丧失，但未达到</w:t>
            </w:r>
            <w:r>
              <w:rPr>
                <w:spacing w:val="-6"/>
                <w:sz w:val="21"/>
              </w:rPr>
              <w:t>本附加险合同所指重大疾病“双目失明”的标准，但须满足下列全部条件：</w:t>
            </w:r>
          </w:p>
          <w:p>
            <w:pPr>
              <w:pStyle w:val="TableParagraph"/>
              <w:spacing w:line="273" w:lineRule="auto" w:before="7"/>
              <w:ind w:left="602" w:right="303" w:hanging="526"/>
              <w:rPr>
                <w:sz w:val="21"/>
              </w:rPr>
            </w:pPr>
            <w:r>
              <w:rPr>
                <w:sz w:val="21"/>
              </w:rPr>
              <w:t>（1）</w:t>
            </w:r>
            <w:r>
              <w:rPr>
                <w:spacing w:val="-4"/>
                <w:sz w:val="21"/>
              </w:rPr>
              <w:t>双眼中较好眼矫正视力低于 </w:t>
            </w:r>
            <w:r>
              <w:rPr>
                <w:sz w:val="21"/>
              </w:rPr>
              <w:t>0.1（</w:t>
            </w:r>
            <w:r>
              <w:rPr>
                <w:spacing w:val="-3"/>
                <w:sz w:val="21"/>
              </w:rPr>
              <w:t>采用国际标准视力表，如果使用其</w:t>
            </w:r>
            <w:r>
              <w:rPr>
                <w:spacing w:val="-3"/>
                <w:w w:val="100"/>
                <w:sz w:val="21"/>
              </w:rPr>
              <w:t>它视力表应进行换算</w:t>
            </w:r>
            <w:r>
              <w:rPr>
                <w:spacing w:val="-106"/>
                <w:w w:val="100"/>
                <w:sz w:val="21"/>
              </w:rPr>
              <w:t>）</w:t>
            </w:r>
            <w:r>
              <w:rPr>
                <w:w w:val="100"/>
                <w:sz w:val="21"/>
              </w:rPr>
              <w:t>；</w:t>
            </w:r>
          </w:p>
          <w:p>
            <w:pPr>
              <w:pStyle w:val="TableParagraph"/>
              <w:spacing w:before="7"/>
              <w:ind w:left="77"/>
              <w:rPr>
                <w:sz w:val="21"/>
              </w:rPr>
            </w:pPr>
            <w:r>
              <w:rPr>
                <w:sz w:val="21"/>
              </w:rPr>
              <w:t>（2）双眼中较好眼视野半径小于 20 度。</w:t>
            </w:r>
          </w:p>
          <w:p>
            <w:pPr>
              <w:pStyle w:val="TableParagraph"/>
              <w:spacing w:line="273" w:lineRule="auto" w:before="36"/>
              <w:ind w:left="77" w:right="305"/>
              <w:rPr>
                <w:sz w:val="21"/>
              </w:rPr>
            </w:pPr>
            <w:r>
              <w:rPr>
                <w:sz w:val="21"/>
              </w:rPr>
              <w:t>此病症须由专科医生明确诊断。申请理赔时须提供理赔当时的视力丧失诊断及检查证据。</w:t>
            </w:r>
          </w:p>
        </w:tc>
      </w:tr>
      <w:tr>
        <w:trPr>
          <w:trHeight w:val="614" w:hRule="atLeast"/>
        </w:trPr>
        <w:tc>
          <w:tcPr>
            <w:tcW w:w="603" w:type="dxa"/>
          </w:tcPr>
          <w:p>
            <w:pPr>
              <w:pStyle w:val="TableParagraph"/>
              <w:rPr>
                <w:rFonts w:ascii="Times New Roman"/>
                <w:sz w:val="20"/>
              </w:rPr>
            </w:pPr>
          </w:p>
        </w:tc>
        <w:tc>
          <w:tcPr>
            <w:tcW w:w="2431" w:type="dxa"/>
          </w:tcPr>
          <w:p>
            <w:pPr>
              <w:pStyle w:val="TableParagraph"/>
              <w:spacing w:before="119"/>
              <w:ind w:left="192"/>
              <w:rPr>
                <w:b/>
                <w:sz w:val="24"/>
              </w:rPr>
            </w:pPr>
            <w:r>
              <w:rPr>
                <w:b/>
                <w:sz w:val="24"/>
              </w:rPr>
              <w:t>第 4 类：</w:t>
            </w:r>
          </w:p>
        </w:tc>
        <w:tc>
          <w:tcPr>
            <w:tcW w:w="7172" w:type="dxa"/>
          </w:tcPr>
          <w:p>
            <w:pPr>
              <w:pStyle w:val="TableParagraph"/>
              <w:spacing w:before="130"/>
              <w:ind w:left="77"/>
              <w:rPr>
                <w:b/>
                <w:sz w:val="21"/>
              </w:rPr>
            </w:pPr>
            <w:r>
              <w:rPr>
                <w:b/>
                <w:sz w:val="21"/>
              </w:rPr>
              <w:t>与神经系统相关的疾病</w:t>
            </w:r>
          </w:p>
        </w:tc>
      </w:tr>
      <w:tr>
        <w:trPr>
          <w:trHeight w:val="2443" w:hRule="atLeast"/>
        </w:trPr>
        <w:tc>
          <w:tcPr>
            <w:tcW w:w="603" w:type="dxa"/>
          </w:tcPr>
          <w:p>
            <w:pPr>
              <w:pStyle w:val="TableParagraph"/>
              <w:spacing w:before="118"/>
              <w:ind w:left="179" w:right="171"/>
              <w:jc w:val="center"/>
              <w:rPr>
                <w:b/>
                <w:sz w:val="21"/>
              </w:rPr>
            </w:pPr>
            <w:r>
              <w:rPr>
                <w:b/>
                <w:sz w:val="21"/>
              </w:rPr>
              <w:t>15</w:t>
            </w:r>
          </w:p>
        </w:tc>
        <w:tc>
          <w:tcPr>
            <w:tcW w:w="2431" w:type="dxa"/>
          </w:tcPr>
          <w:p>
            <w:pPr>
              <w:pStyle w:val="TableParagraph"/>
              <w:spacing w:before="115"/>
              <w:ind w:left="192"/>
              <w:rPr>
                <w:rFonts w:ascii="等线" w:eastAsia="等线" w:hint="eastAsia"/>
                <w:b/>
                <w:sz w:val="24"/>
              </w:rPr>
            </w:pPr>
            <w:r>
              <w:rPr>
                <w:rFonts w:ascii="等线" w:eastAsia="等线" w:hint="eastAsia"/>
                <w:b/>
                <w:sz w:val="24"/>
              </w:rPr>
              <w:t>轻度脑损伤</w:t>
            </w:r>
          </w:p>
        </w:tc>
        <w:tc>
          <w:tcPr>
            <w:tcW w:w="7172" w:type="dxa"/>
          </w:tcPr>
          <w:p>
            <w:pPr>
              <w:pStyle w:val="TableParagraph"/>
              <w:spacing w:line="273" w:lineRule="auto" w:before="118"/>
              <w:ind w:left="77" w:right="305"/>
              <w:jc w:val="both"/>
              <w:rPr>
                <w:sz w:val="21"/>
              </w:rPr>
            </w:pPr>
            <w:r>
              <w:rPr>
                <w:sz w:val="21"/>
              </w:rPr>
              <w:t>指因头部遭受机械性外力伤害，引起脑重要部位损伤，并且由头颅断层扫</w:t>
            </w:r>
            <w:r>
              <w:rPr>
                <w:spacing w:val="-8"/>
                <w:w w:val="100"/>
                <w:sz w:val="21"/>
              </w:rPr>
              <w:t>描</w:t>
            </w:r>
            <w:r>
              <w:rPr>
                <w:w w:val="100"/>
                <w:sz w:val="21"/>
              </w:rPr>
              <w:t>（CT</w:t>
            </w:r>
            <w:r>
              <w:rPr>
                <w:spacing w:val="-106"/>
                <w:w w:val="100"/>
                <w:sz w:val="21"/>
              </w:rPr>
              <w:t>）</w:t>
            </w:r>
            <w:r>
              <w:rPr>
                <w:spacing w:val="-5"/>
                <w:w w:val="100"/>
                <w:sz w:val="21"/>
              </w:rPr>
              <w:t>、核磁共振检查</w:t>
            </w:r>
            <w:r>
              <w:rPr>
                <w:spacing w:val="-3"/>
                <w:w w:val="100"/>
                <w:sz w:val="21"/>
              </w:rPr>
              <w:t>（</w:t>
            </w:r>
            <w:r>
              <w:rPr>
                <w:w w:val="100"/>
                <w:sz w:val="21"/>
              </w:rPr>
              <w:t>MRI</w:t>
            </w:r>
            <w:r>
              <w:rPr>
                <w:spacing w:val="-8"/>
                <w:w w:val="100"/>
                <w:sz w:val="21"/>
              </w:rPr>
              <w:t>）</w:t>
            </w:r>
            <w:r>
              <w:rPr>
                <w:spacing w:val="-4"/>
                <w:w w:val="100"/>
                <w:sz w:val="21"/>
              </w:rPr>
              <w:t>或正电子发射断层扫描</w:t>
            </w:r>
            <w:r>
              <w:rPr>
                <w:spacing w:val="-1"/>
                <w:w w:val="100"/>
                <w:sz w:val="21"/>
              </w:rPr>
              <w:t>（</w:t>
            </w:r>
            <w:r>
              <w:rPr>
                <w:w w:val="100"/>
                <w:sz w:val="21"/>
              </w:rPr>
              <w:t>PET</w:t>
            </w:r>
            <w:r>
              <w:rPr>
                <w:spacing w:val="-10"/>
                <w:w w:val="100"/>
                <w:sz w:val="21"/>
              </w:rPr>
              <w:t>）</w:t>
            </w:r>
            <w:r>
              <w:rPr>
                <w:spacing w:val="-3"/>
                <w:w w:val="100"/>
                <w:sz w:val="21"/>
              </w:rPr>
              <w:t>等影像学检</w:t>
            </w:r>
            <w:r>
              <w:rPr>
                <w:sz w:val="21"/>
              </w:rPr>
              <w:t>查证实。头部外伤导致神经系统功能障碍，虽然未达到本附加险合同所指</w:t>
            </w:r>
            <w:r>
              <w:rPr>
                <w:spacing w:val="-3"/>
                <w:sz w:val="21"/>
              </w:rPr>
              <w:t>重大疾病“严重脑损伤”的给付标准，但须满足下列条件之一：</w:t>
            </w:r>
          </w:p>
          <w:p>
            <w:pPr>
              <w:pStyle w:val="TableParagraph"/>
              <w:spacing w:before="8"/>
              <w:ind w:left="77"/>
              <w:rPr>
                <w:sz w:val="21"/>
              </w:rPr>
            </w:pPr>
            <w:r>
              <w:rPr>
                <w:w w:val="100"/>
                <w:sz w:val="21"/>
              </w:rPr>
              <w:t>（1</w:t>
            </w:r>
            <w:r>
              <w:rPr>
                <w:spacing w:val="-3"/>
                <w:w w:val="100"/>
                <w:sz w:val="21"/>
              </w:rPr>
              <w:t>）已接受全麻下颅骨切开颅内血肿清除术（颅骨钻孔术除外</w:t>
            </w:r>
            <w:r>
              <w:rPr>
                <w:spacing w:val="-106"/>
                <w:w w:val="100"/>
                <w:sz w:val="21"/>
              </w:rPr>
              <w:t>）</w:t>
            </w:r>
            <w:r>
              <w:rPr>
                <w:w w:val="100"/>
                <w:sz w:val="21"/>
              </w:rPr>
              <w:t>；</w:t>
            </w:r>
          </w:p>
          <w:p>
            <w:pPr>
              <w:pStyle w:val="TableParagraph"/>
              <w:spacing w:line="273" w:lineRule="auto" w:before="37"/>
              <w:ind w:left="602" w:right="147" w:hanging="526"/>
              <w:rPr>
                <w:sz w:val="21"/>
              </w:rPr>
            </w:pPr>
            <w:r>
              <w:rPr>
                <w:sz w:val="21"/>
              </w:rPr>
              <w:t>（2）在遭受头外伤 180 日后，仍遗留一肢或一肢以上肢体机能部分丧失， 其肢体肌力为Ⅲ级或Ⅲ级以下的。</w:t>
            </w:r>
          </w:p>
        </w:tc>
      </w:tr>
      <w:tr>
        <w:trPr>
          <w:trHeight w:val="2131" w:hRule="atLeast"/>
        </w:trPr>
        <w:tc>
          <w:tcPr>
            <w:tcW w:w="603" w:type="dxa"/>
          </w:tcPr>
          <w:p>
            <w:pPr>
              <w:pStyle w:val="TableParagraph"/>
              <w:spacing w:before="115"/>
              <w:ind w:left="179" w:right="171"/>
              <w:jc w:val="center"/>
              <w:rPr>
                <w:b/>
                <w:sz w:val="21"/>
              </w:rPr>
            </w:pPr>
            <w:r>
              <w:rPr>
                <w:b/>
                <w:sz w:val="21"/>
              </w:rPr>
              <w:t>16</w:t>
            </w:r>
          </w:p>
        </w:tc>
        <w:tc>
          <w:tcPr>
            <w:tcW w:w="2431" w:type="dxa"/>
          </w:tcPr>
          <w:p>
            <w:pPr>
              <w:pStyle w:val="TableParagraph"/>
              <w:spacing w:line="235" w:lineRule="auto" w:before="119"/>
              <w:ind w:left="192" w:right="74"/>
              <w:jc w:val="both"/>
              <w:rPr>
                <w:rFonts w:ascii="等线" w:eastAsia="等线" w:hint="eastAsia"/>
                <w:b/>
                <w:sz w:val="24"/>
              </w:rPr>
            </w:pPr>
            <w:r>
              <w:rPr>
                <w:rFonts w:ascii="等线" w:eastAsia="等线" w:hint="eastAsia"/>
                <w:b/>
                <w:sz w:val="24"/>
              </w:rPr>
              <w:t>脑垂体瘤、脑囊肿、脑动脉瘤及脑血管瘤</w:t>
            </w:r>
          </w:p>
        </w:tc>
        <w:tc>
          <w:tcPr>
            <w:tcW w:w="7172" w:type="dxa"/>
          </w:tcPr>
          <w:p>
            <w:pPr>
              <w:pStyle w:val="TableParagraph"/>
              <w:spacing w:line="273" w:lineRule="auto" w:before="115"/>
              <w:ind w:left="77" w:right="303"/>
              <w:jc w:val="both"/>
              <w:rPr>
                <w:sz w:val="21"/>
              </w:rPr>
            </w:pPr>
            <w:r>
              <w:rPr>
                <w:w w:val="100"/>
                <w:sz w:val="21"/>
              </w:rPr>
              <w:t>指经头颅断层扫描（C</w:t>
            </w:r>
            <w:r>
              <w:rPr>
                <w:spacing w:val="1"/>
                <w:w w:val="100"/>
                <w:sz w:val="21"/>
              </w:rPr>
              <w:t>T</w:t>
            </w:r>
            <w:r>
              <w:rPr>
                <w:spacing w:val="-106"/>
                <w:w w:val="100"/>
                <w:sz w:val="21"/>
              </w:rPr>
              <w:t>）</w:t>
            </w:r>
            <w:r>
              <w:rPr>
                <w:w w:val="100"/>
                <w:sz w:val="21"/>
              </w:rPr>
              <w:t>、核磁共振检查</w:t>
            </w:r>
            <w:r>
              <w:rPr>
                <w:spacing w:val="1"/>
                <w:w w:val="100"/>
                <w:sz w:val="21"/>
              </w:rPr>
              <w:t>（</w:t>
            </w:r>
            <w:r>
              <w:rPr>
                <w:spacing w:val="-3"/>
                <w:w w:val="100"/>
                <w:sz w:val="21"/>
              </w:rPr>
              <w:t>M</w:t>
            </w:r>
            <w:r>
              <w:rPr>
                <w:w w:val="100"/>
                <w:sz w:val="21"/>
              </w:rPr>
              <w:t>RI</w:t>
            </w:r>
            <w:r>
              <w:rPr>
                <w:spacing w:val="1"/>
                <w:w w:val="100"/>
                <w:sz w:val="21"/>
              </w:rPr>
              <w:t>）</w:t>
            </w:r>
            <w:r>
              <w:rPr>
                <w:w w:val="100"/>
                <w:sz w:val="21"/>
              </w:rPr>
              <w:t>或其他影像学检查被确诊</w:t>
            </w:r>
            <w:r>
              <w:rPr>
                <w:sz w:val="21"/>
              </w:rPr>
              <w:t>为下列病变，并实际接受了手术或放射治疗，且实际实施了开颅进行的脑</w:t>
            </w:r>
            <w:r>
              <w:rPr>
                <w:spacing w:val="-3"/>
                <w:sz w:val="21"/>
              </w:rPr>
              <w:t>肿瘤或囊肿完全切除或部分切除的手术。</w:t>
            </w:r>
          </w:p>
          <w:p>
            <w:pPr>
              <w:pStyle w:val="TableParagraph"/>
              <w:spacing w:before="7"/>
              <w:ind w:left="77"/>
              <w:jc w:val="both"/>
              <w:rPr>
                <w:sz w:val="21"/>
              </w:rPr>
            </w:pPr>
            <w:r>
              <w:rPr>
                <w:sz w:val="21"/>
              </w:rPr>
              <w:t>（1）脑垂体瘤；</w:t>
            </w:r>
          </w:p>
          <w:p>
            <w:pPr>
              <w:pStyle w:val="TableParagraph"/>
              <w:spacing w:before="36"/>
              <w:ind w:left="77"/>
              <w:jc w:val="both"/>
              <w:rPr>
                <w:sz w:val="21"/>
              </w:rPr>
            </w:pPr>
            <w:r>
              <w:rPr>
                <w:sz w:val="21"/>
              </w:rPr>
              <w:t>（2）脑囊肿；</w:t>
            </w:r>
          </w:p>
          <w:p>
            <w:pPr>
              <w:pStyle w:val="TableParagraph"/>
              <w:spacing w:before="36"/>
              <w:ind w:left="77"/>
              <w:jc w:val="both"/>
              <w:rPr>
                <w:sz w:val="21"/>
              </w:rPr>
            </w:pPr>
            <w:r>
              <w:rPr>
                <w:sz w:val="21"/>
              </w:rPr>
              <w:t>（3）脑动脉瘤、脑血管瘤。</w:t>
            </w:r>
          </w:p>
        </w:tc>
      </w:tr>
      <w:tr>
        <w:trPr>
          <w:trHeight w:val="907" w:hRule="atLeast"/>
        </w:trPr>
        <w:tc>
          <w:tcPr>
            <w:tcW w:w="603" w:type="dxa"/>
          </w:tcPr>
          <w:p>
            <w:pPr>
              <w:pStyle w:val="TableParagraph"/>
              <w:spacing w:before="117"/>
              <w:ind w:left="179" w:right="171"/>
              <w:jc w:val="center"/>
              <w:rPr>
                <w:b/>
                <w:sz w:val="21"/>
              </w:rPr>
            </w:pPr>
            <w:r>
              <w:rPr>
                <w:b/>
                <w:sz w:val="21"/>
              </w:rPr>
              <w:t>17</w:t>
            </w:r>
          </w:p>
        </w:tc>
        <w:tc>
          <w:tcPr>
            <w:tcW w:w="2431" w:type="dxa"/>
          </w:tcPr>
          <w:p>
            <w:pPr>
              <w:pStyle w:val="TableParagraph"/>
              <w:spacing w:before="103"/>
              <w:ind w:left="192"/>
              <w:rPr>
                <w:rFonts w:ascii="等线" w:eastAsia="等线" w:hint="eastAsia"/>
                <w:b/>
                <w:sz w:val="24"/>
              </w:rPr>
            </w:pPr>
            <w:r>
              <w:rPr>
                <w:rFonts w:ascii="等线" w:eastAsia="等线" w:hint="eastAsia"/>
                <w:b/>
                <w:sz w:val="24"/>
              </w:rPr>
              <w:t>轻度颅脑手术</w:t>
            </w:r>
          </w:p>
        </w:tc>
        <w:tc>
          <w:tcPr>
            <w:tcW w:w="7172" w:type="dxa"/>
          </w:tcPr>
          <w:p>
            <w:pPr>
              <w:pStyle w:val="TableParagraph"/>
              <w:spacing w:line="273" w:lineRule="auto" w:before="139"/>
              <w:ind w:left="77" w:right="787"/>
              <w:rPr>
                <w:sz w:val="21"/>
              </w:rPr>
            </w:pPr>
            <w:r>
              <w:rPr>
                <w:sz w:val="21"/>
              </w:rPr>
              <w:t>指因疾病或意外已实施全麻下的颅骨钻孔手术或经鼻蝶窦入颅手术。理赔时必须提供由专科医生出具的诊断书及手术证明。</w:t>
            </w:r>
          </w:p>
        </w:tc>
      </w:tr>
      <w:tr>
        <w:trPr>
          <w:trHeight w:val="1533" w:hRule="atLeast"/>
        </w:trPr>
        <w:tc>
          <w:tcPr>
            <w:tcW w:w="603" w:type="dxa"/>
          </w:tcPr>
          <w:p>
            <w:pPr>
              <w:pStyle w:val="TableParagraph"/>
              <w:spacing w:before="117"/>
              <w:ind w:left="179" w:right="171"/>
              <w:jc w:val="center"/>
              <w:rPr>
                <w:b/>
                <w:sz w:val="21"/>
              </w:rPr>
            </w:pPr>
            <w:r>
              <w:rPr>
                <w:b/>
                <w:sz w:val="21"/>
              </w:rPr>
              <w:t>18</w:t>
            </w:r>
          </w:p>
        </w:tc>
        <w:tc>
          <w:tcPr>
            <w:tcW w:w="2431" w:type="dxa"/>
          </w:tcPr>
          <w:p>
            <w:pPr>
              <w:pStyle w:val="TableParagraph"/>
              <w:spacing w:before="103"/>
              <w:ind w:left="192"/>
              <w:rPr>
                <w:rFonts w:ascii="等线" w:eastAsia="等线" w:hint="eastAsia"/>
                <w:b/>
                <w:sz w:val="24"/>
              </w:rPr>
            </w:pPr>
            <w:r>
              <w:rPr>
                <w:rFonts w:ascii="等线" w:eastAsia="等线" w:hint="eastAsia"/>
                <w:b/>
                <w:sz w:val="24"/>
              </w:rPr>
              <w:t>中度瘫痪</w:t>
            </w:r>
          </w:p>
        </w:tc>
        <w:tc>
          <w:tcPr>
            <w:tcW w:w="7172" w:type="dxa"/>
          </w:tcPr>
          <w:p>
            <w:pPr>
              <w:pStyle w:val="TableParagraph"/>
              <w:spacing w:line="273" w:lineRule="auto" w:before="139"/>
              <w:ind w:left="77" w:right="305"/>
              <w:rPr>
                <w:sz w:val="21"/>
              </w:rPr>
            </w:pPr>
            <w:r>
              <w:rPr>
                <w:sz w:val="21"/>
              </w:rPr>
              <w:t>指因疾病或意外伤害导致一肢肢体机能永久完全丧失，但未达到本附加险合同所指重大疾病“瘫痪”的标准。肢体机能永久完全丧失，指疾病确诊</w:t>
            </w:r>
          </w:p>
          <w:p>
            <w:pPr>
              <w:pStyle w:val="TableParagraph"/>
              <w:spacing w:line="273" w:lineRule="auto" w:before="7"/>
              <w:ind w:left="76" w:right="303"/>
              <w:rPr>
                <w:sz w:val="21"/>
              </w:rPr>
            </w:pPr>
            <w:r>
              <w:rPr>
                <w:sz w:val="21"/>
              </w:rPr>
              <w:t>180天后或意外伤害发生180天后，每肢三大关节中的两大关节仍然完全僵硬，或不能随意识活动。</w:t>
            </w:r>
          </w:p>
        </w:tc>
      </w:tr>
      <w:tr>
        <w:trPr>
          <w:trHeight w:val="1532" w:hRule="atLeast"/>
        </w:trPr>
        <w:tc>
          <w:tcPr>
            <w:tcW w:w="603" w:type="dxa"/>
          </w:tcPr>
          <w:p>
            <w:pPr>
              <w:pStyle w:val="TableParagraph"/>
              <w:spacing w:before="139"/>
              <w:ind w:left="179" w:right="171"/>
              <w:jc w:val="center"/>
              <w:rPr>
                <w:b/>
                <w:sz w:val="21"/>
              </w:rPr>
            </w:pPr>
            <w:r>
              <w:rPr>
                <w:b/>
                <w:sz w:val="21"/>
              </w:rPr>
              <w:t>19</w:t>
            </w:r>
          </w:p>
        </w:tc>
        <w:tc>
          <w:tcPr>
            <w:tcW w:w="2431" w:type="dxa"/>
          </w:tcPr>
          <w:p>
            <w:pPr>
              <w:pStyle w:val="TableParagraph"/>
              <w:spacing w:before="103"/>
              <w:ind w:left="192"/>
              <w:rPr>
                <w:rFonts w:ascii="等线" w:eastAsia="等线" w:hint="eastAsia"/>
                <w:b/>
                <w:sz w:val="24"/>
              </w:rPr>
            </w:pPr>
            <w:r>
              <w:rPr>
                <w:rFonts w:ascii="等线" w:eastAsia="等线" w:hint="eastAsia"/>
                <w:b/>
                <w:sz w:val="24"/>
              </w:rPr>
              <w:t>早期运动神经元病</w:t>
            </w:r>
          </w:p>
        </w:tc>
        <w:tc>
          <w:tcPr>
            <w:tcW w:w="7172" w:type="dxa"/>
          </w:tcPr>
          <w:p>
            <w:pPr>
              <w:pStyle w:val="TableParagraph"/>
              <w:spacing w:line="273" w:lineRule="auto" w:before="139"/>
              <w:ind w:left="77" w:right="305"/>
              <w:jc w:val="both"/>
              <w:rPr>
                <w:sz w:val="21"/>
              </w:rPr>
            </w:pPr>
            <w:r>
              <w:rPr>
                <w:sz w:val="21"/>
              </w:rPr>
              <w:t>是一组中枢神经系统运动神经元的进行性变性疾病，包括进行性脊肌萎缩症、进行性延髓麻痹症、原发性侧索硬化症、肌萎缩性侧索硬化症，但未达到本附加险合同所指重大疾病“严重运动神经元病”的标准，须满足自主生活能力完全丧失，无法独立完成六项基本日常生活活动中的两项。</w:t>
            </w:r>
          </w:p>
        </w:tc>
      </w:tr>
      <w:tr>
        <w:trPr>
          <w:trHeight w:val="430" w:hRule="atLeast"/>
        </w:trPr>
        <w:tc>
          <w:tcPr>
            <w:tcW w:w="603" w:type="dxa"/>
          </w:tcPr>
          <w:p>
            <w:pPr>
              <w:pStyle w:val="TableParagraph"/>
              <w:spacing w:line="272" w:lineRule="exact" w:before="138"/>
              <w:ind w:left="179" w:right="171"/>
              <w:jc w:val="center"/>
              <w:rPr>
                <w:b/>
                <w:sz w:val="21"/>
              </w:rPr>
            </w:pPr>
            <w:r>
              <w:rPr>
                <w:b/>
                <w:sz w:val="21"/>
              </w:rPr>
              <w:t>20</w:t>
            </w:r>
          </w:p>
        </w:tc>
        <w:tc>
          <w:tcPr>
            <w:tcW w:w="2431" w:type="dxa"/>
          </w:tcPr>
          <w:p>
            <w:pPr>
              <w:pStyle w:val="TableParagraph"/>
              <w:spacing w:line="308" w:lineRule="exact" w:before="102"/>
              <w:ind w:left="192"/>
              <w:rPr>
                <w:rFonts w:ascii="等线" w:eastAsia="等线" w:hint="eastAsia"/>
                <w:b/>
                <w:sz w:val="24"/>
              </w:rPr>
            </w:pPr>
            <w:r>
              <w:rPr>
                <w:rFonts w:ascii="等线" w:eastAsia="等线" w:hint="eastAsia"/>
                <w:b/>
                <w:sz w:val="24"/>
              </w:rPr>
              <w:t>中度昏迷</w:t>
            </w:r>
          </w:p>
        </w:tc>
        <w:tc>
          <w:tcPr>
            <w:tcW w:w="7172" w:type="dxa"/>
          </w:tcPr>
          <w:p>
            <w:pPr>
              <w:pStyle w:val="TableParagraph"/>
              <w:spacing w:line="272" w:lineRule="exact" w:before="138"/>
              <w:ind w:left="77"/>
              <w:rPr>
                <w:sz w:val="21"/>
              </w:rPr>
            </w:pPr>
            <w:r>
              <w:rPr>
                <w:sz w:val="21"/>
              </w:rPr>
              <w:t>指因疾病或意外伤害导致意识丧失,对外界刺激和体内需求均无反应,昏迷</w:t>
            </w:r>
          </w:p>
        </w:tc>
      </w:tr>
    </w:tbl>
    <w:p>
      <w:pPr>
        <w:spacing w:after="0" w:line="272" w:lineRule="exact"/>
        <w:rPr>
          <w:sz w:val="21"/>
        </w:rPr>
        <w:sectPr>
          <w:pgSz w:w="11910" w:h="16840"/>
          <w:pgMar w:top="1160" w:bottom="280" w:left="880" w:right="60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0"/>
        <w:gridCol w:w="2142"/>
        <w:gridCol w:w="7211"/>
      </w:tblGrid>
      <w:tr>
        <w:trPr>
          <w:trHeight w:val="1328" w:hRule="atLeast"/>
        </w:trPr>
        <w:tc>
          <w:tcPr>
            <w:tcW w:w="730" w:type="dxa"/>
          </w:tcPr>
          <w:p>
            <w:pPr>
              <w:pStyle w:val="TableParagraph"/>
              <w:rPr>
                <w:rFonts w:ascii="Times New Roman"/>
                <w:sz w:val="20"/>
              </w:rPr>
            </w:pPr>
          </w:p>
        </w:tc>
        <w:tc>
          <w:tcPr>
            <w:tcW w:w="2142" w:type="dxa"/>
          </w:tcPr>
          <w:p>
            <w:pPr>
              <w:pStyle w:val="TableParagraph"/>
              <w:rPr>
                <w:rFonts w:ascii="Times New Roman"/>
                <w:sz w:val="20"/>
              </w:rPr>
            </w:pPr>
          </w:p>
        </w:tc>
        <w:tc>
          <w:tcPr>
            <w:tcW w:w="7211" w:type="dxa"/>
          </w:tcPr>
          <w:p>
            <w:pPr>
              <w:pStyle w:val="TableParagraph"/>
              <w:spacing w:line="211" w:lineRule="exact"/>
              <w:ind w:left="312"/>
              <w:rPr>
                <w:sz w:val="21"/>
              </w:rPr>
            </w:pPr>
            <w:r>
              <w:rPr>
                <w:spacing w:val="-3"/>
                <w:sz w:val="21"/>
              </w:rPr>
              <w:t>程度按照格拉斯哥昏迷分级</w:t>
            </w:r>
            <w:r>
              <w:rPr>
                <w:sz w:val="21"/>
              </w:rPr>
              <w:t>（Glasgow coma scale）</w:t>
            </w:r>
            <w:r>
              <w:rPr>
                <w:spacing w:val="-2"/>
                <w:sz w:val="21"/>
              </w:rPr>
              <w:t>结果为</w:t>
            </w:r>
            <w:r>
              <w:rPr>
                <w:spacing w:val="-3"/>
                <w:sz w:val="21"/>
              </w:rPr>
              <w:t>5</w:t>
            </w:r>
            <w:r>
              <w:rPr>
                <w:sz w:val="21"/>
              </w:rPr>
              <w:t>分或</w:t>
            </w:r>
            <w:r>
              <w:rPr>
                <w:spacing w:val="-3"/>
                <w:sz w:val="21"/>
              </w:rPr>
              <w:t>5</w:t>
            </w:r>
            <w:r>
              <w:rPr>
                <w:spacing w:val="-2"/>
                <w:sz w:val="21"/>
              </w:rPr>
              <w:t>分以下，</w:t>
            </w:r>
          </w:p>
          <w:p>
            <w:pPr>
              <w:pStyle w:val="TableParagraph"/>
              <w:spacing w:line="273" w:lineRule="auto" w:before="37"/>
              <w:ind w:left="312" w:right="108"/>
              <w:rPr>
                <w:sz w:val="21"/>
              </w:rPr>
            </w:pPr>
            <w:r>
              <w:rPr>
                <w:sz w:val="21"/>
              </w:rPr>
              <w:t>且已经持续使用呼吸机及其他生命维持系统48小时以上。但未达到本附加险合同所指重大疾病“深度昏迷”的标准。</w:t>
            </w:r>
          </w:p>
          <w:p>
            <w:pPr>
              <w:pStyle w:val="TableParagraph"/>
              <w:spacing w:before="7"/>
              <w:ind w:left="312"/>
              <w:rPr>
                <w:sz w:val="21"/>
              </w:rPr>
            </w:pPr>
            <w:r>
              <w:rPr>
                <w:sz w:val="21"/>
                <w:shd w:fill="DADADA" w:color="auto" w:val="clear"/>
              </w:rPr>
              <w:t>因酗酒或药物滥用导致的中度昏迷不在保障范围内。</w:t>
            </w:r>
          </w:p>
        </w:tc>
      </w:tr>
      <w:tr>
        <w:trPr>
          <w:trHeight w:val="1118" w:hRule="atLeast"/>
        </w:trPr>
        <w:tc>
          <w:tcPr>
            <w:tcW w:w="730" w:type="dxa"/>
            <w:tcBorders>
              <w:bottom w:val="single" w:sz="8" w:space="0" w:color="000000"/>
            </w:tcBorders>
          </w:tcPr>
          <w:p>
            <w:pPr>
              <w:pStyle w:val="TableParagraph"/>
              <w:spacing w:before="143"/>
              <w:ind w:left="30"/>
              <w:jc w:val="center"/>
              <w:rPr>
                <w:rFonts w:ascii="Arial" w:hAnsi="Arial"/>
                <w:b/>
                <w:sz w:val="40"/>
              </w:rPr>
            </w:pPr>
            <w:r>
              <w:rPr>
                <w:rFonts w:ascii="Arial" w:hAnsi="Arial"/>
                <w:b/>
                <w:w w:val="119"/>
                <w:sz w:val="40"/>
              </w:rPr>
              <w:t></w:t>
            </w:r>
          </w:p>
        </w:tc>
        <w:tc>
          <w:tcPr>
            <w:tcW w:w="9353" w:type="dxa"/>
            <w:gridSpan w:val="2"/>
            <w:tcBorders>
              <w:bottom w:val="single" w:sz="8" w:space="0" w:color="000000"/>
            </w:tcBorders>
          </w:tcPr>
          <w:p>
            <w:pPr>
              <w:pStyle w:val="TableParagraph"/>
              <w:spacing w:before="142"/>
              <w:ind w:left="138"/>
              <w:rPr>
                <w:b/>
                <w:sz w:val="24"/>
              </w:rPr>
            </w:pPr>
            <w:r>
              <w:rPr>
                <w:b/>
                <w:w w:val="95"/>
                <w:sz w:val="24"/>
              </w:rPr>
              <w:t>需关注的其他内容</w:t>
            </w:r>
          </w:p>
          <w:p>
            <w:pPr>
              <w:pStyle w:val="TableParagraph"/>
              <w:spacing w:before="134"/>
              <w:ind w:left="138"/>
              <w:rPr>
                <w:sz w:val="24"/>
              </w:rPr>
            </w:pPr>
            <w:r>
              <w:rPr>
                <w:sz w:val="24"/>
              </w:rPr>
              <w:t>这部分讲的是您应当注意的其他事项。</w:t>
            </w:r>
          </w:p>
        </w:tc>
      </w:tr>
      <w:tr>
        <w:trPr>
          <w:trHeight w:val="839" w:hRule="atLeast"/>
        </w:trPr>
        <w:tc>
          <w:tcPr>
            <w:tcW w:w="730" w:type="dxa"/>
            <w:tcBorders>
              <w:top w:val="single" w:sz="8" w:space="0" w:color="000000"/>
            </w:tcBorders>
          </w:tcPr>
          <w:p>
            <w:pPr>
              <w:pStyle w:val="TableParagraph"/>
              <w:spacing w:before="11"/>
              <w:rPr>
                <w:sz w:val="24"/>
              </w:rPr>
            </w:pPr>
          </w:p>
          <w:p>
            <w:pPr>
              <w:pStyle w:val="TableParagraph"/>
              <w:ind w:left="147" w:right="119"/>
              <w:jc w:val="center"/>
              <w:rPr>
                <w:b/>
                <w:sz w:val="21"/>
              </w:rPr>
            </w:pPr>
            <w:r>
              <w:rPr>
                <w:b/>
                <w:sz w:val="21"/>
              </w:rPr>
              <w:t>10.1</w:t>
            </w:r>
          </w:p>
        </w:tc>
        <w:tc>
          <w:tcPr>
            <w:tcW w:w="2142" w:type="dxa"/>
            <w:tcBorders>
              <w:top w:val="single" w:sz="8" w:space="0" w:color="000000"/>
            </w:tcBorders>
          </w:tcPr>
          <w:p>
            <w:pPr>
              <w:pStyle w:val="TableParagraph"/>
              <w:spacing w:before="11"/>
              <w:rPr>
                <w:sz w:val="24"/>
              </w:rPr>
            </w:pPr>
          </w:p>
          <w:p>
            <w:pPr>
              <w:pStyle w:val="TableParagraph"/>
              <w:ind w:left="138"/>
              <w:rPr>
                <w:b/>
                <w:sz w:val="21"/>
              </w:rPr>
            </w:pPr>
            <w:r>
              <w:rPr>
                <w:b/>
                <w:sz w:val="21"/>
              </w:rPr>
              <w:t>合同订立</w:t>
            </w:r>
          </w:p>
        </w:tc>
        <w:tc>
          <w:tcPr>
            <w:tcW w:w="7211" w:type="dxa"/>
            <w:tcBorders>
              <w:top w:val="single" w:sz="8" w:space="0" w:color="000000"/>
            </w:tcBorders>
          </w:tcPr>
          <w:p>
            <w:pPr>
              <w:pStyle w:val="TableParagraph"/>
              <w:spacing w:before="11"/>
              <w:rPr>
                <w:sz w:val="24"/>
              </w:rPr>
            </w:pPr>
          </w:p>
          <w:p>
            <w:pPr>
              <w:pStyle w:val="TableParagraph"/>
              <w:ind w:left="312"/>
              <w:rPr>
                <w:sz w:val="21"/>
              </w:rPr>
            </w:pPr>
            <w:r>
              <w:rPr>
                <w:sz w:val="21"/>
              </w:rPr>
              <w:t>本附加险合同由主险合同投保人提出申请，经我们同意而订立。</w:t>
            </w:r>
          </w:p>
        </w:tc>
      </w:tr>
      <w:tr>
        <w:trPr>
          <w:trHeight w:val="1293" w:hRule="atLeast"/>
        </w:trPr>
        <w:tc>
          <w:tcPr>
            <w:tcW w:w="730" w:type="dxa"/>
          </w:tcPr>
          <w:p>
            <w:pPr>
              <w:pStyle w:val="TableParagraph"/>
              <w:spacing w:before="175"/>
              <w:ind w:left="147" w:right="119"/>
              <w:jc w:val="center"/>
              <w:rPr>
                <w:b/>
                <w:sz w:val="21"/>
              </w:rPr>
            </w:pPr>
            <w:r>
              <w:rPr>
                <w:b/>
                <w:sz w:val="21"/>
              </w:rPr>
              <w:t>10.2</w:t>
            </w:r>
          </w:p>
        </w:tc>
        <w:tc>
          <w:tcPr>
            <w:tcW w:w="2142" w:type="dxa"/>
          </w:tcPr>
          <w:p>
            <w:pPr>
              <w:pStyle w:val="TableParagraph"/>
              <w:spacing w:before="175"/>
              <w:ind w:left="138"/>
              <w:rPr>
                <w:b/>
                <w:sz w:val="21"/>
              </w:rPr>
            </w:pPr>
            <w:r>
              <w:rPr>
                <w:b/>
                <w:sz w:val="21"/>
              </w:rPr>
              <w:t>合同生效</w:t>
            </w:r>
          </w:p>
        </w:tc>
        <w:tc>
          <w:tcPr>
            <w:tcW w:w="7211" w:type="dxa"/>
          </w:tcPr>
          <w:p>
            <w:pPr>
              <w:pStyle w:val="TableParagraph"/>
              <w:spacing w:line="273" w:lineRule="auto" w:before="175"/>
              <w:ind w:left="312" w:right="3111"/>
              <w:rPr>
                <w:sz w:val="21"/>
              </w:rPr>
            </w:pPr>
            <w:r>
              <w:rPr>
                <w:spacing w:val="-3"/>
                <w:sz w:val="21"/>
              </w:rPr>
              <w:t>本附加险合同须与主险合同同时投保。 本附加险合同的生效日与主险合同相同。</w:t>
            </w:r>
          </w:p>
          <w:p>
            <w:pPr>
              <w:pStyle w:val="TableParagraph"/>
              <w:spacing w:before="7"/>
              <w:ind w:left="312"/>
              <w:rPr>
                <w:sz w:val="21"/>
              </w:rPr>
            </w:pPr>
            <w:r>
              <w:rPr>
                <w:sz w:val="21"/>
              </w:rPr>
              <w:t>本附加险合同的保单周年日同主险合同的保单周年日。</w:t>
            </w:r>
          </w:p>
        </w:tc>
      </w:tr>
      <w:tr>
        <w:trPr>
          <w:trHeight w:val="1275" w:hRule="atLeast"/>
        </w:trPr>
        <w:tc>
          <w:tcPr>
            <w:tcW w:w="730" w:type="dxa"/>
          </w:tcPr>
          <w:p>
            <w:pPr>
              <w:pStyle w:val="TableParagraph"/>
              <w:spacing w:before="156"/>
              <w:ind w:left="147" w:right="119"/>
              <w:jc w:val="center"/>
              <w:rPr>
                <w:b/>
                <w:sz w:val="21"/>
              </w:rPr>
            </w:pPr>
            <w:r>
              <w:rPr>
                <w:b/>
                <w:sz w:val="21"/>
              </w:rPr>
              <w:t>10.3</w:t>
            </w:r>
          </w:p>
        </w:tc>
        <w:tc>
          <w:tcPr>
            <w:tcW w:w="2142" w:type="dxa"/>
          </w:tcPr>
          <w:p>
            <w:pPr>
              <w:pStyle w:val="TableParagraph"/>
              <w:spacing w:before="156"/>
              <w:ind w:left="138"/>
              <w:rPr>
                <w:b/>
                <w:sz w:val="21"/>
              </w:rPr>
            </w:pPr>
            <w:r>
              <w:rPr>
                <w:b/>
                <w:sz w:val="21"/>
              </w:rPr>
              <w:t>投保年龄</w:t>
            </w:r>
          </w:p>
        </w:tc>
        <w:tc>
          <w:tcPr>
            <w:tcW w:w="7211" w:type="dxa"/>
          </w:tcPr>
          <w:p>
            <w:pPr>
              <w:pStyle w:val="TableParagraph"/>
              <w:spacing w:line="273" w:lineRule="auto" w:before="156"/>
              <w:ind w:left="312" w:right="106"/>
              <w:jc w:val="both"/>
              <w:rPr>
                <w:sz w:val="21"/>
              </w:rPr>
            </w:pPr>
            <w:r>
              <w:rPr>
                <w:sz w:val="21"/>
              </w:rPr>
              <w:t>指投保时被保险人的年龄，投保年龄以周岁计算。本附加险合同接受的投</w:t>
            </w:r>
            <w:r>
              <w:rPr>
                <w:spacing w:val="-11"/>
                <w:sz w:val="21"/>
              </w:rPr>
              <w:t>保年龄为 </w:t>
            </w:r>
            <w:r>
              <w:rPr>
                <w:sz w:val="21"/>
              </w:rPr>
              <w:t>0</w:t>
            </w:r>
            <w:r>
              <w:rPr>
                <w:spacing w:val="-22"/>
                <w:sz w:val="21"/>
              </w:rPr>
              <w:t> 周岁至 </w:t>
            </w:r>
            <w:r>
              <w:rPr>
                <w:sz w:val="21"/>
              </w:rPr>
              <w:t>50</w:t>
            </w:r>
            <w:r>
              <w:rPr>
                <w:spacing w:val="-15"/>
                <w:sz w:val="21"/>
              </w:rPr>
              <w:t> 周岁，投保时被保险人为 </w:t>
            </w:r>
            <w:r>
              <w:rPr>
                <w:sz w:val="21"/>
              </w:rPr>
              <w:t>0</w:t>
            </w:r>
            <w:r>
              <w:rPr>
                <w:spacing w:val="-15"/>
                <w:sz w:val="21"/>
              </w:rPr>
              <w:t> 周岁的，应当为出生满 </w:t>
            </w:r>
            <w:r>
              <w:rPr>
                <w:sz w:val="21"/>
              </w:rPr>
              <w:t>28 </w:t>
            </w:r>
            <w:r>
              <w:rPr>
                <w:spacing w:val="-3"/>
                <w:sz w:val="21"/>
              </w:rPr>
              <w:t>日且已健康出院的婴儿。</w:t>
            </w:r>
          </w:p>
        </w:tc>
      </w:tr>
      <w:tr>
        <w:trPr>
          <w:trHeight w:val="3777" w:hRule="atLeast"/>
        </w:trPr>
        <w:tc>
          <w:tcPr>
            <w:tcW w:w="730" w:type="dxa"/>
          </w:tcPr>
          <w:p>
            <w:pPr>
              <w:pStyle w:val="TableParagraph"/>
              <w:spacing w:before="157"/>
              <w:ind w:left="147" w:right="119"/>
              <w:jc w:val="center"/>
              <w:rPr>
                <w:b/>
                <w:sz w:val="21"/>
              </w:rPr>
            </w:pPr>
            <w:r>
              <w:rPr>
                <w:b/>
                <w:sz w:val="21"/>
              </w:rPr>
              <w:t>10.4</w:t>
            </w:r>
          </w:p>
        </w:tc>
        <w:tc>
          <w:tcPr>
            <w:tcW w:w="2142" w:type="dxa"/>
          </w:tcPr>
          <w:p>
            <w:pPr>
              <w:pStyle w:val="TableParagraph"/>
              <w:spacing w:before="157"/>
              <w:ind w:left="138"/>
              <w:rPr>
                <w:b/>
                <w:sz w:val="21"/>
              </w:rPr>
            </w:pPr>
            <w:r>
              <w:rPr>
                <w:b/>
                <w:sz w:val="21"/>
              </w:rPr>
              <w:t>年龄错误</w:t>
            </w:r>
          </w:p>
        </w:tc>
        <w:tc>
          <w:tcPr>
            <w:tcW w:w="7211" w:type="dxa"/>
          </w:tcPr>
          <w:p>
            <w:pPr>
              <w:pStyle w:val="TableParagraph"/>
              <w:spacing w:line="273" w:lineRule="auto" w:before="157"/>
              <w:ind w:left="312" w:right="106" w:firstLine="2"/>
              <w:rPr>
                <w:sz w:val="21"/>
              </w:rPr>
            </w:pPr>
            <w:r>
              <w:rPr>
                <w:sz w:val="21"/>
              </w:rPr>
              <w:t>您在申请投保时，应将与有效身份证件相符的被保险人的出生日期在投保书上填明，如果发生错误按照下列方式办理：</w:t>
            </w:r>
          </w:p>
          <w:p>
            <w:pPr>
              <w:pStyle w:val="TableParagraph"/>
              <w:spacing w:line="273" w:lineRule="auto" w:before="7"/>
              <w:ind w:left="816" w:right="106" w:hanging="504"/>
              <w:jc w:val="both"/>
              <w:rPr>
                <w:sz w:val="21"/>
              </w:rPr>
            </w:pPr>
            <w:r>
              <w:rPr>
                <w:spacing w:val="-8"/>
                <w:sz w:val="21"/>
              </w:rPr>
              <w:t>（1）</w:t>
            </w:r>
            <w:r>
              <w:rPr>
                <w:spacing w:val="-5"/>
                <w:sz w:val="21"/>
              </w:rPr>
              <w:t>您申报的被保险人年龄不真实，并且其真实年龄不符合本附加险合同</w:t>
            </w:r>
            <w:r>
              <w:rPr>
                <w:spacing w:val="-6"/>
                <w:sz w:val="21"/>
              </w:rPr>
              <w:t>约定投保年龄限制的，我们有权解除合同，并向您退还本附加险合同的现金价值。我们行使合同解除权适用“10.6（2）明确说明与如实</w:t>
            </w:r>
            <w:r>
              <w:rPr>
                <w:spacing w:val="-4"/>
                <w:sz w:val="21"/>
              </w:rPr>
              <w:t>告知”中合同解除权限制的规定。</w:t>
            </w:r>
          </w:p>
          <w:p>
            <w:pPr>
              <w:pStyle w:val="TableParagraph"/>
              <w:spacing w:line="273" w:lineRule="auto" w:before="7"/>
              <w:ind w:left="816" w:right="1" w:hanging="505"/>
              <w:rPr>
                <w:sz w:val="21"/>
              </w:rPr>
            </w:pPr>
            <w:r>
              <w:rPr>
                <w:spacing w:val="-25"/>
                <w:sz w:val="21"/>
              </w:rPr>
              <w:t>（2）</w:t>
            </w:r>
            <w:r>
              <w:rPr>
                <w:spacing w:val="-9"/>
                <w:sz w:val="21"/>
              </w:rPr>
              <w:t>您申报的被保险人年龄不真实，致使您实付保险费少于应付保险费的， </w:t>
            </w:r>
            <w:r>
              <w:rPr>
                <w:spacing w:val="1"/>
                <w:sz w:val="21"/>
              </w:rPr>
              <w:t>我们有权更正并要求您补交保险费或在给付保险金时扣除您欠交的</w:t>
            </w:r>
            <w:r>
              <w:rPr>
                <w:sz w:val="21"/>
              </w:rPr>
              <w:t>保险费。</w:t>
            </w:r>
          </w:p>
          <w:p>
            <w:pPr>
              <w:pStyle w:val="TableParagraph"/>
              <w:spacing w:line="273" w:lineRule="auto" w:before="7"/>
              <w:ind w:left="816" w:right="1" w:hanging="505"/>
              <w:rPr>
                <w:sz w:val="21"/>
              </w:rPr>
            </w:pPr>
            <w:r>
              <w:rPr>
                <w:spacing w:val="-25"/>
                <w:sz w:val="21"/>
              </w:rPr>
              <w:t>（3）</w:t>
            </w:r>
            <w:r>
              <w:rPr>
                <w:spacing w:val="-9"/>
                <w:sz w:val="21"/>
              </w:rPr>
              <w:t>您申报的被保险人年龄不真实，致使您实付保险费多于应付保险费的， </w:t>
            </w:r>
            <w:r>
              <w:rPr>
                <w:spacing w:val="-5"/>
                <w:sz w:val="21"/>
              </w:rPr>
              <w:t>我们会将多收的保险费退还给您。</w:t>
            </w:r>
          </w:p>
        </w:tc>
      </w:tr>
      <w:tr>
        <w:trPr>
          <w:trHeight w:val="1275" w:hRule="atLeast"/>
        </w:trPr>
        <w:tc>
          <w:tcPr>
            <w:tcW w:w="730" w:type="dxa"/>
          </w:tcPr>
          <w:p>
            <w:pPr>
              <w:pStyle w:val="TableParagraph"/>
              <w:spacing w:before="162"/>
              <w:ind w:left="147" w:right="119"/>
              <w:jc w:val="center"/>
              <w:rPr>
                <w:b/>
                <w:sz w:val="21"/>
              </w:rPr>
            </w:pPr>
            <w:r>
              <w:rPr>
                <w:b/>
                <w:sz w:val="21"/>
              </w:rPr>
              <w:t>10.5</w:t>
            </w:r>
          </w:p>
        </w:tc>
        <w:tc>
          <w:tcPr>
            <w:tcW w:w="2142" w:type="dxa"/>
          </w:tcPr>
          <w:p>
            <w:pPr>
              <w:pStyle w:val="TableParagraph"/>
              <w:spacing w:before="162"/>
              <w:ind w:left="138"/>
              <w:rPr>
                <w:b/>
                <w:sz w:val="21"/>
              </w:rPr>
            </w:pPr>
            <w:r>
              <w:rPr>
                <w:b/>
                <w:sz w:val="21"/>
              </w:rPr>
              <w:t>效力终止</w:t>
            </w:r>
          </w:p>
        </w:tc>
        <w:tc>
          <w:tcPr>
            <w:tcW w:w="7211" w:type="dxa"/>
          </w:tcPr>
          <w:p>
            <w:pPr>
              <w:pStyle w:val="TableParagraph"/>
              <w:spacing w:before="162"/>
              <w:ind w:left="312"/>
              <w:rPr>
                <w:sz w:val="21"/>
              </w:rPr>
            </w:pPr>
            <w:r>
              <w:rPr>
                <w:sz w:val="21"/>
              </w:rPr>
              <w:t>当发生下列情形之一时，本附加险合同效力终止：</w:t>
            </w:r>
          </w:p>
          <w:p>
            <w:pPr>
              <w:pStyle w:val="TableParagraph"/>
              <w:spacing w:before="37"/>
              <w:ind w:left="312"/>
              <w:rPr>
                <w:sz w:val="21"/>
              </w:rPr>
            </w:pPr>
            <w:r>
              <w:rPr>
                <w:sz w:val="21"/>
              </w:rPr>
              <w:t>（1）主险合同效力终止；</w:t>
            </w:r>
          </w:p>
          <w:p>
            <w:pPr>
              <w:pStyle w:val="TableParagraph"/>
              <w:spacing w:before="37"/>
              <w:ind w:left="312"/>
              <w:rPr>
                <w:sz w:val="21"/>
              </w:rPr>
            </w:pPr>
            <w:r>
              <w:rPr>
                <w:sz w:val="21"/>
              </w:rPr>
              <w:t>（2）您申请解除本附加险合同。</w:t>
            </w:r>
          </w:p>
        </w:tc>
      </w:tr>
      <w:tr>
        <w:trPr>
          <w:trHeight w:val="1985" w:hRule="atLeast"/>
        </w:trPr>
        <w:tc>
          <w:tcPr>
            <w:tcW w:w="730" w:type="dxa"/>
          </w:tcPr>
          <w:p>
            <w:pPr>
              <w:pStyle w:val="TableParagraph"/>
              <w:spacing w:before="151"/>
              <w:ind w:left="147" w:right="119"/>
              <w:jc w:val="center"/>
              <w:rPr>
                <w:b/>
                <w:sz w:val="21"/>
              </w:rPr>
            </w:pPr>
            <w:r>
              <w:rPr>
                <w:b/>
                <w:sz w:val="21"/>
              </w:rPr>
              <w:t>10.6</w:t>
            </w:r>
          </w:p>
        </w:tc>
        <w:tc>
          <w:tcPr>
            <w:tcW w:w="2142" w:type="dxa"/>
          </w:tcPr>
          <w:p>
            <w:pPr>
              <w:pStyle w:val="TableParagraph"/>
              <w:spacing w:before="151"/>
              <w:ind w:left="138"/>
              <w:rPr>
                <w:b/>
                <w:sz w:val="21"/>
              </w:rPr>
            </w:pPr>
            <w:r>
              <w:rPr>
                <w:b/>
                <w:sz w:val="21"/>
              </w:rPr>
              <w:t>适用主险合同条款</w:t>
            </w:r>
          </w:p>
        </w:tc>
        <w:tc>
          <w:tcPr>
            <w:tcW w:w="7211" w:type="dxa"/>
          </w:tcPr>
          <w:p>
            <w:pPr>
              <w:pStyle w:val="TableParagraph"/>
              <w:spacing w:before="151"/>
              <w:ind w:left="312"/>
              <w:rPr>
                <w:sz w:val="21"/>
              </w:rPr>
            </w:pPr>
            <w:r>
              <w:rPr>
                <w:sz w:val="21"/>
              </w:rPr>
              <w:t>下列各项条款，适用主险合同条款：</w:t>
            </w:r>
          </w:p>
          <w:p>
            <w:pPr>
              <w:pStyle w:val="TableParagraph"/>
              <w:spacing w:before="37"/>
              <w:ind w:left="312"/>
              <w:rPr>
                <w:sz w:val="21"/>
              </w:rPr>
            </w:pPr>
            <w:r>
              <w:rPr>
                <w:sz w:val="21"/>
              </w:rPr>
              <w:t>（1）保险事故通知；</w:t>
            </w:r>
          </w:p>
          <w:p>
            <w:pPr>
              <w:pStyle w:val="TableParagraph"/>
              <w:spacing w:before="37"/>
              <w:ind w:left="312"/>
              <w:rPr>
                <w:sz w:val="21"/>
              </w:rPr>
            </w:pPr>
            <w:r>
              <w:rPr>
                <w:sz w:val="21"/>
              </w:rPr>
              <w:t>（2）明确说明与如实告知；</w:t>
            </w:r>
          </w:p>
          <w:p>
            <w:pPr>
              <w:pStyle w:val="TableParagraph"/>
              <w:spacing w:before="37"/>
              <w:ind w:left="312"/>
              <w:rPr>
                <w:sz w:val="21"/>
              </w:rPr>
            </w:pPr>
            <w:r>
              <w:rPr>
                <w:sz w:val="21"/>
              </w:rPr>
              <w:t>（3）未还款项；</w:t>
            </w:r>
          </w:p>
          <w:p>
            <w:pPr>
              <w:pStyle w:val="TableParagraph"/>
              <w:spacing w:before="37"/>
              <w:ind w:left="312"/>
              <w:rPr>
                <w:sz w:val="21"/>
              </w:rPr>
            </w:pPr>
            <w:r>
              <w:rPr>
                <w:sz w:val="21"/>
              </w:rPr>
              <w:t>（4）合同内容变更；</w:t>
            </w:r>
          </w:p>
          <w:p>
            <w:pPr>
              <w:pStyle w:val="TableParagraph"/>
              <w:spacing w:line="255" w:lineRule="exact" w:before="37"/>
              <w:ind w:left="312"/>
              <w:rPr>
                <w:sz w:val="21"/>
              </w:rPr>
            </w:pPr>
            <w:r>
              <w:rPr>
                <w:sz w:val="21"/>
              </w:rPr>
              <w:t>（5）争议处理。</w:t>
            </w:r>
          </w:p>
        </w:tc>
      </w:tr>
    </w:tbl>
    <w:p>
      <w:pPr>
        <w:pStyle w:val="BodyText"/>
        <w:rPr>
          <w:sz w:val="20"/>
        </w:rPr>
      </w:pPr>
    </w:p>
    <w:p>
      <w:pPr>
        <w:pStyle w:val="BodyText"/>
        <w:rPr>
          <w:sz w:val="20"/>
        </w:rPr>
      </w:pPr>
    </w:p>
    <w:p>
      <w:pPr>
        <w:pStyle w:val="BodyText"/>
        <w:rPr>
          <w:sz w:val="20"/>
        </w:rPr>
      </w:pPr>
    </w:p>
    <w:p>
      <w:pPr>
        <w:pStyle w:val="BodyText"/>
        <w:rPr>
          <w:sz w:val="20"/>
        </w:rPr>
      </w:pPr>
    </w:p>
    <w:p>
      <w:pPr>
        <w:pStyle w:val="BodyText"/>
        <w:spacing w:before="11"/>
        <w:rPr>
          <w:sz w:val="15"/>
        </w:rPr>
      </w:pPr>
    </w:p>
    <w:p>
      <w:pPr>
        <w:pStyle w:val="BodyText"/>
        <w:spacing w:before="37"/>
        <w:ind w:left="3807" w:right="3493"/>
        <w:jc w:val="center"/>
      </w:pPr>
      <w:r>
        <w:rPr/>
        <w:t>（完）</w:t>
      </w:r>
    </w:p>
    <w:sectPr>
      <w:pgSz w:w="11910" w:h="16840"/>
      <w:pgMar w:top="1160" w:bottom="280" w:left="800" w:right="8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Microsoft JhengHei">
    <w:altName w:val="Microsoft JhengHei"/>
    <w:charset w:val="0"/>
    <w:family w:val="swiss"/>
    <w:pitch w:val="variable"/>
  </w:font>
  <w:font w:name="宋体">
    <w:altName w:val="宋体"/>
    <w:charset w:val="86"/>
    <w:family w:val="auto"/>
    <w:pitch w:val="variable"/>
  </w:font>
  <w:font w:name="微软雅黑">
    <w:altName w:val="微软雅黑"/>
    <w:charset w:val="86"/>
    <w:family w:val="swiss"/>
    <w:pitch w:val="variable"/>
  </w:font>
  <w:font w:name="Wingdings">
    <w:altName w:val="Wingdings"/>
    <w:charset w:val="2"/>
    <w:family w:val="auto"/>
    <w:pitch w:val="variable"/>
  </w:font>
  <w:font w:name="等线">
    <w:altName w:val="等线"/>
    <w:charset w:val="86"/>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9">
    <w:multiLevelType w:val="hybridMultilevel"/>
    <w:lvl w:ilvl="0">
      <w:start w:val="75"/>
      <w:numFmt w:val="decimal"/>
      <w:lvlText w:val="%1"/>
      <w:lvlJc w:val="left"/>
      <w:pPr>
        <w:ind w:left="760" w:hanging="596"/>
        <w:jc w:val="left"/>
      </w:pPr>
      <w:rPr>
        <w:rFonts w:hint="default" w:ascii="宋体" w:hAnsi="宋体" w:eastAsia="宋体" w:cs="宋体"/>
        <w:b/>
        <w:bCs/>
        <w:w w:val="99"/>
        <w:sz w:val="21"/>
        <w:szCs w:val="21"/>
      </w:rPr>
    </w:lvl>
    <w:lvl w:ilvl="1">
      <w:start w:val="1"/>
      <w:numFmt w:val="decimal"/>
      <w:lvlText w:val="%2"/>
      <w:lvlJc w:val="left"/>
      <w:pPr>
        <w:ind w:left="3296" w:hanging="543"/>
        <w:jc w:val="left"/>
      </w:pPr>
      <w:rPr>
        <w:rFonts w:hint="default" w:ascii="宋体" w:hAnsi="宋体" w:eastAsia="宋体" w:cs="宋体"/>
        <w:b/>
        <w:bCs/>
        <w:w w:val="99"/>
        <w:sz w:val="21"/>
        <w:szCs w:val="21"/>
      </w:rPr>
    </w:lvl>
    <w:lvl w:ilvl="2">
      <w:start w:val="0"/>
      <w:numFmt w:val="bullet"/>
      <w:lvlText w:val="•"/>
      <w:lvlJc w:val="left"/>
      <w:pPr>
        <w:ind w:left="4051" w:hanging="543"/>
      </w:pPr>
      <w:rPr>
        <w:rFonts w:hint="default"/>
      </w:rPr>
    </w:lvl>
    <w:lvl w:ilvl="3">
      <w:start w:val="0"/>
      <w:numFmt w:val="bullet"/>
      <w:lvlText w:val="•"/>
      <w:lvlJc w:val="left"/>
      <w:pPr>
        <w:ind w:left="4803" w:hanging="543"/>
      </w:pPr>
      <w:rPr>
        <w:rFonts w:hint="default"/>
      </w:rPr>
    </w:lvl>
    <w:lvl w:ilvl="4">
      <w:start w:val="0"/>
      <w:numFmt w:val="bullet"/>
      <w:lvlText w:val="•"/>
      <w:lvlJc w:val="left"/>
      <w:pPr>
        <w:ind w:left="5555" w:hanging="543"/>
      </w:pPr>
      <w:rPr>
        <w:rFonts w:hint="default"/>
      </w:rPr>
    </w:lvl>
    <w:lvl w:ilvl="5">
      <w:start w:val="0"/>
      <w:numFmt w:val="bullet"/>
      <w:lvlText w:val="•"/>
      <w:lvlJc w:val="left"/>
      <w:pPr>
        <w:ind w:left="6307" w:hanging="543"/>
      </w:pPr>
      <w:rPr>
        <w:rFonts w:hint="default"/>
      </w:rPr>
    </w:lvl>
    <w:lvl w:ilvl="6">
      <w:start w:val="0"/>
      <w:numFmt w:val="bullet"/>
      <w:lvlText w:val="•"/>
      <w:lvlJc w:val="left"/>
      <w:pPr>
        <w:ind w:left="7059" w:hanging="543"/>
      </w:pPr>
      <w:rPr>
        <w:rFonts w:hint="default"/>
      </w:rPr>
    </w:lvl>
    <w:lvl w:ilvl="7">
      <w:start w:val="0"/>
      <w:numFmt w:val="bullet"/>
      <w:lvlText w:val="•"/>
      <w:lvlJc w:val="left"/>
      <w:pPr>
        <w:ind w:left="7810" w:hanging="543"/>
      </w:pPr>
      <w:rPr>
        <w:rFonts w:hint="default"/>
      </w:rPr>
    </w:lvl>
    <w:lvl w:ilvl="8">
      <w:start w:val="0"/>
      <w:numFmt w:val="bullet"/>
      <w:lvlText w:val="•"/>
      <w:lvlJc w:val="left"/>
      <w:pPr>
        <w:ind w:left="8562" w:hanging="543"/>
      </w:pPr>
      <w:rPr>
        <w:rFonts w:hint="default"/>
      </w:rPr>
    </w:lvl>
  </w:abstractNum>
  <w:abstractNum w:abstractNumId="8">
    <w:multiLevelType w:val="hybridMultilevel"/>
    <w:lvl w:ilvl="0">
      <w:start w:val="70"/>
      <w:numFmt w:val="decimal"/>
      <w:lvlText w:val="%1"/>
      <w:lvlJc w:val="left"/>
      <w:pPr>
        <w:ind w:left="760" w:hanging="596"/>
        <w:jc w:val="left"/>
      </w:pPr>
      <w:rPr>
        <w:rFonts w:hint="default" w:ascii="宋体" w:hAnsi="宋体" w:eastAsia="宋体" w:cs="宋体"/>
        <w:b/>
        <w:bCs/>
        <w:w w:val="99"/>
        <w:sz w:val="21"/>
        <w:szCs w:val="21"/>
      </w:rPr>
    </w:lvl>
    <w:lvl w:ilvl="1">
      <w:start w:val="0"/>
      <w:numFmt w:val="bullet"/>
      <w:lvlText w:val="•"/>
      <w:lvlJc w:val="left"/>
      <w:pPr>
        <w:ind w:left="1690" w:hanging="596"/>
      </w:pPr>
      <w:rPr>
        <w:rFonts w:hint="default"/>
      </w:rPr>
    </w:lvl>
    <w:lvl w:ilvl="2">
      <w:start w:val="0"/>
      <w:numFmt w:val="bullet"/>
      <w:lvlText w:val="•"/>
      <w:lvlJc w:val="left"/>
      <w:pPr>
        <w:ind w:left="2621" w:hanging="596"/>
      </w:pPr>
      <w:rPr>
        <w:rFonts w:hint="default"/>
      </w:rPr>
    </w:lvl>
    <w:lvl w:ilvl="3">
      <w:start w:val="0"/>
      <w:numFmt w:val="bullet"/>
      <w:lvlText w:val="•"/>
      <w:lvlJc w:val="left"/>
      <w:pPr>
        <w:ind w:left="3551" w:hanging="596"/>
      </w:pPr>
      <w:rPr>
        <w:rFonts w:hint="default"/>
      </w:rPr>
    </w:lvl>
    <w:lvl w:ilvl="4">
      <w:start w:val="0"/>
      <w:numFmt w:val="bullet"/>
      <w:lvlText w:val="•"/>
      <w:lvlJc w:val="left"/>
      <w:pPr>
        <w:ind w:left="4482" w:hanging="596"/>
      </w:pPr>
      <w:rPr>
        <w:rFonts w:hint="default"/>
      </w:rPr>
    </w:lvl>
    <w:lvl w:ilvl="5">
      <w:start w:val="0"/>
      <w:numFmt w:val="bullet"/>
      <w:lvlText w:val="•"/>
      <w:lvlJc w:val="left"/>
      <w:pPr>
        <w:ind w:left="5413" w:hanging="596"/>
      </w:pPr>
      <w:rPr>
        <w:rFonts w:hint="default"/>
      </w:rPr>
    </w:lvl>
    <w:lvl w:ilvl="6">
      <w:start w:val="0"/>
      <w:numFmt w:val="bullet"/>
      <w:lvlText w:val="•"/>
      <w:lvlJc w:val="left"/>
      <w:pPr>
        <w:ind w:left="6343" w:hanging="596"/>
      </w:pPr>
      <w:rPr>
        <w:rFonts w:hint="default"/>
      </w:rPr>
    </w:lvl>
    <w:lvl w:ilvl="7">
      <w:start w:val="0"/>
      <w:numFmt w:val="bullet"/>
      <w:lvlText w:val="•"/>
      <w:lvlJc w:val="left"/>
      <w:pPr>
        <w:ind w:left="7274" w:hanging="596"/>
      </w:pPr>
      <w:rPr>
        <w:rFonts w:hint="default"/>
      </w:rPr>
    </w:lvl>
    <w:lvl w:ilvl="8">
      <w:start w:val="0"/>
      <w:numFmt w:val="bullet"/>
      <w:lvlText w:val="•"/>
      <w:lvlJc w:val="left"/>
      <w:pPr>
        <w:ind w:left="8205" w:hanging="596"/>
      </w:pPr>
      <w:rPr>
        <w:rFonts w:hint="default"/>
      </w:rPr>
    </w:lvl>
  </w:abstractNum>
  <w:abstractNum w:abstractNumId="7">
    <w:multiLevelType w:val="hybridMultilevel"/>
    <w:lvl w:ilvl="0">
      <w:start w:val="26"/>
      <w:numFmt w:val="decimal"/>
      <w:lvlText w:val="%1"/>
      <w:lvlJc w:val="left"/>
      <w:pPr>
        <w:ind w:left="700" w:hanging="596"/>
        <w:jc w:val="left"/>
      </w:pPr>
      <w:rPr>
        <w:rFonts w:hint="default" w:ascii="宋体" w:hAnsi="宋体" w:eastAsia="宋体" w:cs="宋体"/>
        <w:b/>
        <w:bCs/>
        <w:w w:val="99"/>
        <w:sz w:val="21"/>
        <w:szCs w:val="21"/>
      </w:rPr>
    </w:lvl>
    <w:lvl w:ilvl="1">
      <w:start w:val="0"/>
      <w:numFmt w:val="bullet"/>
      <w:lvlText w:val="•"/>
      <w:lvlJc w:val="left"/>
      <w:pPr>
        <w:ind w:left="1620" w:hanging="596"/>
      </w:pPr>
      <w:rPr>
        <w:rFonts w:hint="default"/>
      </w:rPr>
    </w:lvl>
    <w:lvl w:ilvl="2">
      <w:start w:val="0"/>
      <w:numFmt w:val="bullet"/>
      <w:lvlText w:val="•"/>
      <w:lvlJc w:val="left"/>
      <w:pPr>
        <w:ind w:left="2541" w:hanging="596"/>
      </w:pPr>
      <w:rPr>
        <w:rFonts w:hint="default"/>
      </w:rPr>
    </w:lvl>
    <w:lvl w:ilvl="3">
      <w:start w:val="0"/>
      <w:numFmt w:val="bullet"/>
      <w:lvlText w:val="•"/>
      <w:lvlJc w:val="left"/>
      <w:pPr>
        <w:ind w:left="3461" w:hanging="596"/>
      </w:pPr>
      <w:rPr>
        <w:rFonts w:hint="default"/>
      </w:rPr>
    </w:lvl>
    <w:lvl w:ilvl="4">
      <w:start w:val="0"/>
      <w:numFmt w:val="bullet"/>
      <w:lvlText w:val="•"/>
      <w:lvlJc w:val="left"/>
      <w:pPr>
        <w:ind w:left="4382" w:hanging="596"/>
      </w:pPr>
      <w:rPr>
        <w:rFonts w:hint="default"/>
      </w:rPr>
    </w:lvl>
    <w:lvl w:ilvl="5">
      <w:start w:val="0"/>
      <w:numFmt w:val="bullet"/>
      <w:lvlText w:val="•"/>
      <w:lvlJc w:val="left"/>
      <w:pPr>
        <w:ind w:left="5303" w:hanging="596"/>
      </w:pPr>
      <w:rPr>
        <w:rFonts w:hint="default"/>
      </w:rPr>
    </w:lvl>
    <w:lvl w:ilvl="6">
      <w:start w:val="0"/>
      <w:numFmt w:val="bullet"/>
      <w:lvlText w:val="•"/>
      <w:lvlJc w:val="left"/>
      <w:pPr>
        <w:ind w:left="6223" w:hanging="596"/>
      </w:pPr>
      <w:rPr>
        <w:rFonts w:hint="default"/>
      </w:rPr>
    </w:lvl>
    <w:lvl w:ilvl="7">
      <w:start w:val="0"/>
      <w:numFmt w:val="bullet"/>
      <w:lvlText w:val="•"/>
      <w:lvlJc w:val="left"/>
      <w:pPr>
        <w:ind w:left="7144" w:hanging="596"/>
      </w:pPr>
      <w:rPr>
        <w:rFonts w:hint="default"/>
      </w:rPr>
    </w:lvl>
    <w:lvl w:ilvl="8">
      <w:start w:val="0"/>
      <w:numFmt w:val="bullet"/>
      <w:lvlText w:val="•"/>
      <w:lvlJc w:val="left"/>
      <w:pPr>
        <w:ind w:left="8065" w:hanging="596"/>
      </w:pPr>
      <w:rPr>
        <w:rFonts w:hint="default"/>
      </w:rPr>
    </w:lvl>
  </w:abstractNum>
  <w:abstractNum w:abstractNumId="6">
    <w:multiLevelType w:val="hybridMultilevel"/>
    <w:lvl w:ilvl="0">
      <w:start w:val="22"/>
      <w:numFmt w:val="decimal"/>
      <w:lvlText w:val="%1"/>
      <w:lvlJc w:val="left"/>
      <w:pPr>
        <w:ind w:left="700" w:hanging="596"/>
        <w:jc w:val="left"/>
      </w:pPr>
      <w:rPr>
        <w:rFonts w:hint="default" w:ascii="宋体" w:hAnsi="宋体" w:eastAsia="宋体" w:cs="宋体"/>
        <w:b/>
        <w:bCs/>
        <w:w w:val="99"/>
        <w:sz w:val="21"/>
        <w:szCs w:val="21"/>
      </w:rPr>
    </w:lvl>
    <w:lvl w:ilvl="1">
      <w:start w:val="0"/>
      <w:numFmt w:val="bullet"/>
      <w:lvlText w:val="•"/>
      <w:lvlJc w:val="left"/>
      <w:pPr>
        <w:ind w:left="1620" w:hanging="596"/>
      </w:pPr>
      <w:rPr>
        <w:rFonts w:hint="default"/>
      </w:rPr>
    </w:lvl>
    <w:lvl w:ilvl="2">
      <w:start w:val="0"/>
      <w:numFmt w:val="bullet"/>
      <w:lvlText w:val="•"/>
      <w:lvlJc w:val="left"/>
      <w:pPr>
        <w:ind w:left="2541" w:hanging="596"/>
      </w:pPr>
      <w:rPr>
        <w:rFonts w:hint="default"/>
      </w:rPr>
    </w:lvl>
    <w:lvl w:ilvl="3">
      <w:start w:val="0"/>
      <w:numFmt w:val="bullet"/>
      <w:lvlText w:val="•"/>
      <w:lvlJc w:val="left"/>
      <w:pPr>
        <w:ind w:left="3461" w:hanging="596"/>
      </w:pPr>
      <w:rPr>
        <w:rFonts w:hint="default"/>
      </w:rPr>
    </w:lvl>
    <w:lvl w:ilvl="4">
      <w:start w:val="0"/>
      <w:numFmt w:val="bullet"/>
      <w:lvlText w:val="•"/>
      <w:lvlJc w:val="left"/>
      <w:pPr>
        <w:ind w:left="4382" w:hanging="596"/>
      </w:pPr>
      <w:rPr>
        <w:rFonts w:hint="default"/>
      </w:rPr>
    </w:lvl>
    <w:lvl w:ilvl="5">
      <w:start w:val="0"/>
      <w:numFmt w:val="bullet"/>
      <w:lvlText w:val="•"/>
      <w:lvlJc w:val="left"/>
      <w:pPr>
        <w:ind w:left="5303" w:hanging="596"/>
      </w:pPr>
      <w:rPr>
        <w:rFonts w:hint="default"/>
      </w:rPr>
    </w:lvl>
    <w:lvl w:ilvl="6">
      <w:start w:val="0"/>
      <w:numFmt w:val="bullet"/>
      <w:lvlText w:val="•"/>
      <w:lvlJc w:val="left"/>
      <w:pPr>
        <w:ind w:left="6223" w:hanging="596"/>
      </w:pPr>
      <w:rPr>
        <w:rFonts w:hint="default"/>
      </w:rPr>
    </w:lvl>
    <w:lvl w:ilvl="7">
      <w:start w:val="0"/>
      <w:numFmt w:val="bullet"/>
      <w:lvlText w:val="•"/>
      <w:lvlJc w:val="left"/>
      <w:pPr>
        <w:ind w:left="7144" w:hanging="596"/>
      </w:pPr>
      <w:rPr>
        <w:rFonts w:hint="default"/>
      </w:rPr>
    </w:lvl>
    <w:lvl w:ilvl="8">
      <w:start w:val="0"/>
      <w:numFmt w:val="bullet"/>
      <w:lvlText w:val="•"/>
      <w:lvlJc w:val="left"/>
      <w:pPr>
        <w:ind w:left="8065" w:hanging="596"/>
      </w:pPr>
      <w:rPr>
        <w:rFonts w:hint="default"/>
      </w:rPr>
    </w:lvl>
  </w:abstractNum>
  <w:abstractNum w:abstractNumId="5">
    <w:multiLevelType w:val="hybridMultilevel"/>
    <w:lvl w:ilvl="0">
      <w:start w:val="10"/>
      <w:numFmt w:val="decimal"/>
      <w:lvlText w:val="%1"/>
      <w:lvlJc w:val="left"/>
      <w:pPr>
        <w:ind w:left="700" w:hanging="596"/>
        <w:jc w:val="left"/>
      </w:pPr>
      <w:rPr>
        <w:rFonts w:hint="default" w:ascii="宋体" w:hAnsi="宋体" w:eastAsia="宋体" w:cs="宋体"/>
        <w:b/>
        <w:bCs/>
        <w:w w:val="99"/>
        <w:sz w:val="21"/>
        <w:szCs w:val="21"/>
      </w:rPr>
    </w:lvl>
    <w:lvl w:ilvl="1">
      <w:start w:val="0"/>
      <w:numFmt w:val="bullet"/>
      <w:lvlText w:val="•"/>
      <w:lvlJc w:val="left"/>
      <w:pPr>
        <w:ind w:left="860" w:hanging="596"/>
      </w:pPr>
      <w:rPr>
        <w:rFonts w:hint="default"/>
      </w:rPr>
    </w:lvl>
    <w:lvl w:ilvl="2">
      <w:start w:val="0"/>
      <w:numFmt w:val="bullet"/>
      <w:lvlText w:val="•"/>
      <w:lvlJc w:val="left"/>
      <w:pPr>
        <w:ind w:left="1078" w:hanging="596"/>
      </w:pPr>
      <w:rPr>
        <w:rFonts w:hint="default"/>
      </w:rPr>
    </w:lvl>
    <w:lvl w:ilvl="3">
      <w:start w:val="0"/>
      <w:numFmt w:val="bullet"/>
      <w:lvlText w:val="•"/>
      <w:lvlJc w:val="left"/>
      <w:pPr>
        <w:ind w:left="1297" w:hanging="596"/>
      </w:pPr>
      <w:rPr>
        <w:rFonts w:hint="default"/>
      </w:rPr>
    </w:lvl>
    <w:lvl w:ilvl="4">
      <w:start w:val="0"/>
      <w:numFmt w:val="bullet"/>
      <w:lvlText w:val="•"/>
      <w:lvlJc w:val="left"/>
      <w:pPr>
        <w:ind w:left="1516" w:hanging="596"/>
      </w:pPr>
      <w:rPr>
        <w:rFonts w:hint="default"/>
      </w:rPr>
    </w:lvl>
    <w:lvl w:ilvl="5">
      <w:start w:val="0"/>
      <w:numFmt w:val="bullet"/>
      <w:lvlText w:val="•"/>
      <w:lvlJc w:val="left"/>
      <w:pPr>
        <w:ind w:left="1735" w:hanging="596"/>
      </w:pPr>
      <w:rPr>
        <w:rFonts w:hint="default"/>
      </w:rPr>
    </w:lvl>
    <w:lvl w:ilvl="6">
      <w:start w:val="0"/>
      <w:numFmt w:val="bullet"/>
      <w:lvlText w:val="•"/>
      <w:lvlJc w:val="left"/>
      <w:pPr>
        <w:ind w:left="1954" w:hanging="596"/>
      </w:pPr>
      <w:rPr>
        <w:rFonts w:hint="default"/>
      </w:rPr>
    </w:lvl>
    <w:lvl w:ilvl="7">
      <w:start w:val="0"/>
      <w:numFmt w:val="bullet"/>
      <w:lvlText w:val="•"/>
      <w:lvlJc w:val="left"/>
      <w:pPr>
        <w:ind w:left="2173" w:hanging="596"/>
      </w:pPr>
      <w:rPr>
        <w:rFonts w:hint="default"/>
      </w:rPr>
    </w:lvl>
    <w:lvl w:ilvl="8">
      <w:start w:val="0"/>
      <w:numFmt w:val="bullet"/>
      <w:lvlText w:val="•"/>
      <w:lvlJc w:val="left"/>
      <w:pPr>
        <w:ind w:left="2391" w:hanging="596"/>
      </w:pPr>
      <w:rPr>
        <w:rFonts w:hint="default"/>
      </w:rPr>
    </w:lvl>
  </w:abstractNum>
  <w:abstractNum w:abstractNumId="4">
    <w:multiLevelType w:val="hybridMultilevel"/>
    <w:lvl w:ilvl="0">
      <w:start w:val="1"/>
      <w:numFmt w:val="decimal"/>
      <w:lvlText w:val="%1"/>
      <w:lvlJc w:val="left"/>
      <w:pPr>
        <w:ind w:left="980" w:hanging="648"/>
        <w:jc w:val="left"/>
      </w:pPr>
      <w:rPr>
        <w:rFonts w:hint="default"/>
      </w:rPr>
    </w:lvl>
    <w:lvl w:ilvl="1">
      <w:start w:val="1"/>
      <w:numFmt w:val="decimal"/>
      <w:lvlText w:val="%1.%2"/>
      <w:lvlJc w:val="left"/>
      <w:pPr>
        <w:ind w:left="980" w:hanging="648"/>
        <w:jc w:val="left"/>
      </w:pPr>
      <w:rPr>
        <w:rFonts w:hint="default" w:ascii="宋体" w:hAnsi="宋体" w:eastAsia="宋体" w:cs="宋体"/>
        <w:b/>
        <w:bCs/>
        <w:w w:val="99"/>
        <w:sz w:val="21"/>
        <w:szCs w:val="21"/>
      </w:rPr>
    </w:lvl>
    <w:lvl w:ilvl="2">
      <w:start w:val="0"/>
      <w:numFmt w:val="bullet"/>
      <w:lvlText w:val="•"/>
      <w:lvlJc w:val="left"/>
      <w:pPr>
        <w:ind w:left="2845" w:hanging="648"/>
      </w:pPr>
      <w:rPr>
        <w:rFonts w:hint="default"/>
      </w:rPr>
    </w:lvl>
    <w:lvl w:ilvl="3">
      <w:start w:val="0"/>
      <w:numFmt w:val="bullet"/>
      <w:lvlText w:val="•"/>
      <w:lvlJc w:val="left"/>
      <w:pPr>
        <w:ind w:left="3777" w:hanging="648"/>
      </w:pPr>
      <w:rPr>
        <w:rFonts w:hint="default"/>
      </w:rPr>
    </w:lvl>
    <w:lvl w:ilvl="4">
      <w:start w:val="0"/>
      <w:numFmt w:val="bullet"/>
      <w:lvlText w:val="•"/>
      <w:lvlJc w:val="left"/>
      <w:pPr>
        <w:ind w:left="4710" w:hanging="648"/>
      </w:pPr>
      <w:rPr>
        <w:rFonts w:hint="default"/>
      </w:rPr>
    </w:lvl>
    <w:lvl w:ilvl="5">
      <w:start w:val="0"/>
      <w:numFmt w:val="bullet"/>
      <w:lvlText w:val="•"/>
      <w:lvlJc w:val="left"/>
      <w:pPr>
        <w:ind w:left="5643" w:hanging="648"/>
      </w:pPr>
      <w:rPr>
        <w:rFonts w:hint="default"/>
      </w:rPr>
    </w:lvl>
    <w:lvl w:ilvl="6">
      <w:start w:val="0"/>
      <w:numFmt w:val="bullet"/>
      <w:lvlText w:val="•"/>
      <w:lvlJc w:val="left"/>
      <w:pPr>
        <w:ind w:left="6575" w:hanging="648"/>
      </w:pPr>
      <w:rPr>
        <w:rFonts w:hint="default"/>
      </w:rPr>
    </w:lvl>
    <w:lvl w:ilvl="7">
      <w:start w:val="0"/>
      <w:numFmt w:val="bullet"/>
      <w:lvlText w:val="•"/>
      <w:lvlJc w:val="left"/>
      <w:pPr>
        <w:ind w:left="7508" w:hanging="648"/>
      </w:pPr>
      <w:rPr>
        <w:rFonts w:hint="default"/>
      </w:rPr>
    </w:lvl>
    <w:lvl w:ilvl="8">
      <w:start w:val="0"/>
      <w:numFmt w:val="bullet"/>
      <w:lvlText w:val="•"/>
      <w:lvlJc w:val="left"/>
      <w:pPr>
        <w:ind w:left="8441" w:hanging="648"/>
      </w:pPr>
      <w:rPr>
        <w:rFonts w:hint="default"/>
      </w:rPr>
    </w:lvl>
  </w:abstractNum>
  <w:abstractNum w:abstractNumId="3">
    <w:multiLevelType w:val="hybridMultilevel"/>
    <w:lvl w:ilvl="0">
      <w:start w:val="3"/>
      <w:numFmt w:val="decimal"/>
      <w:lvlText w:val="%1"/>
      <w:lvlJc w:val="left"/>
      <w:pPr>
        <w:ind w:left="683" w:hanging="423"/>
        <w:jc w:val="left"/>
      </w:pPr>
      <w:rPr>
        <w:rFonts w:hint="default"/>
      </w:rPr>
    </w:lvl>
    <w:lvl w:ilvl="1">
      <w:start w:val="2"/>
      <w:numFmt w:val="decimal"/>
      <w:lvlText w:val="%1.%2"/>
      <w:lvlJc w:val="left"/>
      <w:pPr>
        <w:ind w:left="683" w:hanging="423"/>
        <w:jc w:val="left"/>
      </w:pPr>
      <w:rPr>
        <w:rFonts w:hint="default" w:ascii="宋体" w:hAnsi="宋体" w:eastAsia="宋体" w:cs="宋体"/>
        <w:w w:val="100"/>
        <w:sz w:val="21"/>
        <w:szCs w:val="21"/>
      </w:rPr>
    </w:lvl>
    <w:lvl w:ilvl="2">
      <w:start w:val="0"/>
      <w:numFmt w:val="bullet"/>
      <w:lvlText w:val="•"/>
      <w:lvlJc w:val="left"/>
      <w:pPr>
        <w:ind w:left="1032" w:hanging="423"/>
      </w:pPr>
      <w:rPr>
        <w:rFonts w:hint="default"/>
      </w:rPr>
    </w:lvl>
    <w:lvl w:ilvl="3">
      <w:start w:val="0"/>
      <w:numFmt w:val="bullet"/>
      <w:lvlText w:val="•"/>
      <w:lvlJc w:val="left"/>
      <w:pPr>
        <w:ind w:left="1208" w:hanging="423"/>
      </w:pPr>
      <w:rPr>
        <w:rFonts w:hint="default"/>
      </w:rPr>
    </w:lvl>
    <w:lvl w:ilvl="4">
      <w:start w:val="0"/>
      <w:numFmt w:val="bullet"/>
      <w:lvlText w:val="•"/>
      <w:lvlJc w:val="left"/>
      <w:pPr>
        <w:ind w:left="1385" w:hanging="423"/>
      </w:pPr>
      <w:rPr>
        <w:rFonts w:hint="default"/>
      </w:rPr>
    </w:lvl>
    <w:lvl w:ilvl="5">
      <w:start w:val="0"/>
      <w:numFmt w:val="bullet"/>
      <w:lvlText w:val="•"/>
      <w:lvlJc w:val="left"/>
      <w:pPr>
        <w:ind w:left="1561" w:hanging="423"/>
      </w:pPr>
      <w:rPr>
        <w:rFonts w:hint="default"/>
      </w:rPr>
    </w:lvl>
    <w:lvl w:ilvl="6">
      <w:start w:val="0"/>
      <w:numFmt w:val="bullet"/>
      <w:lvlText w:val="•"/>
      <w:lvlJc w:val="left"/>
      <w:pPr>
        <w:ind w:left="1737" w:hanging="423"/>
      </w:pPr>
      <w:rPr>
        <w:rFonts w:hint="default"/>
      </w:rPr>
    </w:lvl>
    <w:lvl w:ilvl="7">
      <w:start w:val="0"/>
      <w:numFmt w:val="bullet"/>
      <w:lvlText w:val="•"/>
      <w:lvlJc w:val="left"/>
      <w:pPr>
        <w:ind w:left="1914" w:hanging="423"/>
      </w:pPr>
      <w:rPr>
        <w:rFonts w:hint="default"/>
      </w:rPr>
    </w:lvl>
    <w:lvl w:ilvl="8">
      <w:start w:val="0"/>
      <w:numFmt w:val="bullet"/>
      <w:lvlText w:val="•"/>
      <w:lvlJc w:val="left"/>
      <w:pPr>
        <w:ind w:left="2090" w:hanging="423"/>
      </w:pPr>
      <w:rPr>
        <w:rFonts w:hint="default"/>
      </w:rPr>
    </w:lvl>
  </w:abstractNum>
  <w:abstractNum w:abstractNumId="2">
    <w:multiLevelType w:val="hybridMultilevel"/>
    <w:lvl w:ilvl="0">
      <w:start w:val="4"/>
      <w:numFmt w:val="decimal"/>
      <w:lvlText w:val="%1"/>
      <w:lvlJc w:val="left"/>
      <w:pPr>
        <w:ind w:left="1167" w:hanging="423"/>
        <w:jc w:val="left"/>
      </w:pPr>
      <w:rPr>
        <w:rFonts w:hint="default"/>
      </w:rPr>
    </w:lvl>
    <w:lvl w:ilvl="1">
      <w:start w:val="1"/>
      <w:numFmt w:val="decimal"/>
      <w:lvlText w:val="%1.%2"/>
      <w:lvlJc w:val="left"/>
      <w:pPr>
        <w:ind w:left="1167" w:hanging="423"/>
        <w:jc w:val="left"/>
      </w:pPr>
      <w:rPr>
        <w:rFonts w:hint="default" w:ascii="宋体" w:hAnsi="宋体" w:eastAsia="宋体" w:cs="宋体"/>
        <w:w w:val="100"/>
        <w:sz w:val="21"/>
        <w:szCs w:val="21"/>
      </w:rPr>
    </w:lvl>
    <w:lvl w:ilvl="2">
      <w:start w:val="0"/>
      <w:numFmt w:val="bullet"/>
      <w:lvlText w:val="•"/>
      <w:lvlJc w:val="left"/>
      <w:pPr>
        <w:ind w:left="1413" w:hanging="423"/>
      </w:pPr>
      <w:rPr>
        <w:rFonts w:hint="default"/>
      </w:rPr>
    </w:lvl>
    <w:lvl w:ilvl="3">
      <w:start w:val="0"/>
      <w:numFmt w:val="bullet"/>
      <w:lvlText w:val="•"/>
      <w:lvlJc w:val="left"/>
      <w:pPr>
        <w:ind w:left="1539" w:hanging="423"/>
      </w:pPr>
      <w:rPr>
        <w:rFonts w:hint="default"/>
      </w:rPr>
    </w:lvl>
    <w:lvl w:ilvl="4">
      <w:start w:val="0"/>
      <w:numFmt w:val="bullet"/>
      <w:lvlText w:val="•"/>
      <w:lvlJc w:val="left"/>
      <w:pPr>
        <w:ind w:left="1666" w:hanging="423"/>
      </w:pPr>
      <w:rPr>
        <w:rFonts w:hint="default"/>
      </w:rPr>
    </w:lvl>
    <w:lvl w:ilvl="5">
      <w:start w:val="0"/>
      <w:numFmt w:val="bullet"/>
      <w:lvlText w:val="•"/>
      <w:lvlJc w:val="left"/>
      <w:pPr>
        <w:ind w:left="1792" w:hanging="423"/>
      </w:pPr>
      <w:rPr>
        <w:rFonts w:hint="default"/>
      </w:rPr>
    </w:lvl>
    <w:lvl w:ilvl="6">
      <w:start w:val="0"/>
      <w:numFmt w:val="bullet"/>
      <w:lvlText w:val="•"/>
      <w:lvlJc w:val="left"/>
      <w:pPr>
        <w:ind w:left="1919" w:hanging="423"/>
      </w:pPr>
      <w:rPr>
        <w:rFonts w:hint="default"/>
      </w:rPr>
    </w:lvl>
    <w:lvl w:ilvl="7">
      <w:start w:val="0"/>
      <w:numFmt w:val="bullet"/>
      <w:lvlText w:val="•"/>
      <w:lvlJc w:val="left"/>
      <w:pPr>
        <w:ind w:left="2045" w:hanging="423"/>
      </w:pPr>
      <w:rPr>
        <w:rFonts w:hint="default"/>
      </w:rPr>
    </w:lvl>
    <w:lvl w:ilvl="8">
      <w:start w:val="0"/>
      <w:numFmt w:val="bullet"/>
      <w:lvlText w:val="•"/>
      <w:lvlJc w:val="left"/>
      <w:pPr>
        <w:ind w:left="2172" w:hanging="423"/>
      </w:pPr>
      <w:rPr>
        <w:rFonts w:hint="default"/>
      </w:rPr>
    </w:lvl>
  </w:abstractNum>
  <w:abstractNum w:abstractNumId="1">
    <w:multiLevelType w:val="hybridMultilevel"/>
    <w:lvl w:ilvl="0">
      <w:start w:val="1"/>
      <w:numFmt w:val="decimal"/>
      <w:lvlText w:val="%1"/>
      <w:lvlJc w:val="left"/>
      <w:pPr>
        <w:ind w:left="1652" w:hanging="423"/>
        <w:jc w:val="left"/>
      </w:pPr>
      <w:rPr>
        <w:rFonts w:hint="default"/>
      </w:rPr>
    </w:lvl>
    <w:lvl w:ilvl="1">
      <w:start w:val="1"/>
      <w:numFmt w:val="decimal"/>
      <w:lvlText w:val="%1.%2"/>
      <w:lvlJc w:val="left"/>
      <w:pPr>
        <w:ind w:left="1652" w:hanging="423"/>
        <w:jc w:val="left"/>
      </w:pPr>
      <w:rPr>
        <w:rFonts w:hint="default" w:ascii="宋体" w:hAnsi="宋体" w:eastAsia="宋体" w:cs="宋体"/>
        <w:w w:val="100"/>
        <w:sz w:val="21"/>
        <w:szCs w:val="21"/>
      </w:rPr>
    </w:lvl>
    <w:lvl w:ilvl="2">
      <w:start w:val="0"/>
      <w:numFmt w:val="bullet"/>
      <w:lvlText w:val="•"/>
      <w:lvlJc w:val="left"/>
      <w:pPr>
        <w:ind w:left="1954" w:hanging="423"/>
      </w:pPr>
      <w:rPr>
        <w:rFonts w:hint="default"/>
      </w:rPr>
    </w:lvl>
    <w:lvl w:ilvl="3">
      <w:start w:val="0"/>
      <w:numFmt w:val="bullet"/>
      <w:lvlText w:val="•"/>
      <w:lvlJc w:val="left"/>
      <w:pPr>
        <w:ind w:left="2101" w:hanging="423"/>
      </w:pPr>
      <w:rPr>
        <w:rFonts w:hint="default"/>
      </w:rPr>
    </w:lvl>
    <w:lvl w:ilvl="4">
      <w:start w:val="0"/>
      <w:numFmt w:val="bullet"/>
      <w:lvlText w:val="•"/>
      <w:lvlJc w:val="left"/>
      <w:pPr>
        <w:ind w:left="2248" w:hanging="423"/>
      </w:pPr>
      <w:rPr>
        <w:rFonts w:hint="default"/>
      </w:rPr>
    </w:lvl>
    <w:lvl w:ilvl="5">
      <w:start w:val="0"/>
      <w:numFmt w:val="bullet"/>
      <w:lvlText w:val="•"/>
      <w:lvlJc w:val="left"/>
      <w:pPr>
        <w:ind w:left="2395" w:hanging="423"/>
      </w:pPr>
      <w:rPr>
        <w:rFonts w:hint="default"/>
      </w:rPr>
    </w:lvl>
    <w:lvl w:ilvl="6">
      <w:start w:val="0"/>
      <w:numFmt w:val="bullet"/>
      <w:lvlText w:val="•"/>
      <w:lvlJc w:val="left"/>
      <w:pPr>
        <w:ind w:left="2542" w:hanging="423"/>
      </w:pPr>
      <w:rPr>
        <w:rFonts w:hint="default"/>
      </w:rPr>
    </w:lvl>
    <w:lvl w:ilvl="7">
      <w:start w:val="0"/>
      <w:numFmt w:val="bullet"/>
      <w:lvlText w:val="•"/>
      <w:lvlJc w:val="left"/>
      <w:pPr>
        <w:ind w:left="2689" w:hanging="423"/>
      </w:pPr>
      <w:rPr>
        <w:rFonts w:hint="default"/>
      </w:rPr>
    </w:lvl>
    <w:lvl w:ilvl="8">
      <w:start w:val="0"/>
      <w:numFmt w:val="bullet"/>
      <w:lvlText w:val="•"/>
      <w:lvlJc w:val="left"/>
      <w:pPr>
        <w:ind w:left="2836" w:hanging="423"/>
      </w:pPr>
      <w:rPr>
        <w:rFonts w:hint="default"/>
      </w:rPr>
    </w:lvl>
  </w:abstractNum>
  <w:abstractNum w:abstractNumId="0">
    <w:multiLevelType w:val="hybridMultilevel"/>
    <w:lvl w:ilvl="0">
      <w:start w:val="0"/>
      <w:numFmt w:val="bullet"/>
      <w:lvlText w:val=""/>
      <w:lvlJc w:val="left"/>
      <w:pPr>
        <w:ind w:left="1191" w:hanging="420"/>
      </w:pPr>
      <w:rPr>
        <w:rFonts w:hint="default" w:ascii="Wingdings" w:hAnsi="Wingdings" w:eastAsia="Wingdings" w:cs="Wingdings"/>
        <w:w w:val="100"/>
        <w:sz w:val="21"/>
        <w:szCs w:val="21"/>
      </w:rPr>
    </w:lvl>
    <w:lvl w:ilvl="1">
      <w:start w:val="0"/>
      <w:numFmt w:val="bullet"/>
      <w:lvlText w:val="•"/>
      <w:lvlJc w:val="left"/>
      <w:pPr>
        <w:ind w:left="2134" w:hanging="420"/>
      </w:pPr>
      <w:rPr>
        <w:rFonts w:hint="default"/>
      </w:rPr>
    </w:lvl>
    <w:lvl w:ilvl="2">
      <w:start w:val="0"/>
      <w:numFmt w:val="bullet"/>
      <w:lvlText w:val="•"/>
      <w:lvlJc w:val="left"/>
      <w:pPr>
        <w:ind w:left="3069" w:hanging="420"/>
      </w:pPr>
      <w:rPr>
        <w:rFonts w:hint="default"/>
      </w:rPr>
    </w:lvl>
    <w:lvl w:ilvl="3">
      <w:start w:val="0"/>
      <w:numFmt w:val="bullet"/>
      <w:lvlText w:val="•"/>
      <w:lvlJc w:val="left"/>
      <w:pPr>
        <w:ind w:left="4003" w:hanging="420"/>
      </w:pPr>
      <w:rPr>
        <w:rFonts w:hint="default"/>
      </w:rPr>
    </w:lvl>
    <w:lvl w:ilvl="4">
      <w:start w:val="0"/>
      <w:numFmt w:val="bullet"/>
      <w:lvlText w:val="•"/>
      <w:lvlJc w:val="left"/>
      <w:pPr>
        <w:ind w:left="4938" w:hanging="420"/>
      </w:pPr>
      <w:rPr>
        <w:rFonts w:hint="default"/>
      </w:rPr>
    </w:lvl>
    <w:lvl w:ilvl="5">
      <w:start w:val="0"/>
      <w:numFmt w:val="bullet"/>
      <w:lvlText w:val="•"/>
      <w:lvlJc w:val="left"/>
      <w:pPr>
        <w:ind w:left="5873" w:hanging="420"/>
      </w:pPr>
      <w:rPr>
        <w:rFonts w:hint="default"/>
      </w:rPr>
    </w:lvl>
    <w:lvl w:ilvl="6">
      <w:start w:val="0"/>
      <w:numFmt w:val="bullet"/>
      <w:lvlText w:val="•"/>
      <w:lvlJc w:val="left"/>
      <w:pPr>
        <w:ind w:left="6807" w:hanging="420"/>
      </w:pPr>
      <w:rPr>
        <w:rFonts w:hint="default"/>
      </w:rPr>
    </w:lvl>
    <w:lvl w:ilvl="7">
      <w:start w:val="0"/>
      <w:numFmt w:val="bullet"/>
      <w:lvlText w:val="•"/>
      <w:lvlJc w:val="left"/>
      <w:pPr>
        <w:ind w:left="7742" w:hanging="420"/>
      </w:pPr>
      <w:rPr>
        <w:rFonts w:hint="default"/>
      </w:rPr>
    </w:lvl>
    <w:lvl w:ilvl="8">
      <w:start w:val="0"/>
      <w:numFmt w:val="bullet"/>
      <w:lvlText w:val="•"/>
      <w:lvlJc w:val="left"/>
      <w:pPr>
        <w:ind w:left="8677" w:hanging="420"/>
      </w:pPr>
      <w:rPr>
        <w:rFonts w:hint="default"/>
      </w:rPr>
    </w:lvl>
  </w:abstract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spacing w:before="30"/>
      <w:ind w:left="700" w:hanging="595"/>
      <w:outlineLvl w:val="1"/>
    </w:pPr>
    <w:rPr>
      <w:rFonts w:ascii="等线" w:hAnsi="等线" w:eastAsia="等线" w:cs="等线"/>
      <w:b/>
      <w:bCs/>
      <w:sz w:val="24"/>
      <w:szCs w:val="24"/>
    </w:rPr>
  </w:style>
  <w:style w:styleId="Heading2" w:type="paragraph">
    <w:name w:val="Heading 2"/>
    <w:basedOn w:val="Normal"/>
    <w:uiPriority w:val="1"/>
    <w:qFormat/>
    <w:pPr>
      <w:ind w:left="980"/>
      <w:outlineLvl w:val="2"/>
    </w:pPr>
    <w:rPr>
      <w:rFonts w:ascii="宋体" w:hAnsi="宋体" w:eastAsia="宋体" w:cs="宋体"/>
      <w:sz w:val="24"/>
      <w:szCs w:val="24"/>
    </w:rPr>
  </w:style>
  <w:style w:styleId="Heading3" w:type="paragraph">
    <w:name w:val="Heading 3"/>
    <w:basedOn w:val="Normal"/>
    <w:uiPriority w:val="1"/>
    <w:qFormat/>
    <w:pPr>
      <w:ind w:left="245"/>
      <w:outlineLvl w:val="3"/>
    </w:pPr>
    <w:rPr>
      <w:rFonts w:ascii="Microsoft JhengHei" w:hAnsi="Microsoft JhengHei" w:eastAsia="Microsoft JhengHei" w:cs="Microsoft JhengHei"/>
      <w:b/>
      <w:bCs/>
      <w:sz w:val="21"/>
      <w:szCs w:val="21"/>
    </w:rPr>
  </w:style>
  <w:style w:styleId="ListParagraph" w:type="paragraph">
    <w:name w:val="List Paragraph"/>
    <w:basedOn w:val="Normal"/>
    <w:uiPriority w:val="1"/>
    <w:qFormat/>
    <w:pPr>
      <w:ind w:left="700" w:hanging="595"/>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wangwenyu</dc:creator>
  <dc:title>阅 读 指 引</dc:title>
  <dcterms:created xsi:type="dcterms:W3CDTF">2018-10-20T02:47:51Z</dcterms:created>
  <dcterms:modified xsi:type="dcterms:W3CDTF">2018-10-20T02:47:51Z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2016-09-28T00:00:00Z</vt:filetime>
  </property>
  <property fmtid="{D5CDD505-2E9C-101B-9397-08002B2CF9AE}" pid="3" name="Creator">
    <vt:lpwstr>Acrobat PDFMaker 11 Word 版</vt:lpwstr>
  </property>
  <property fmtid="{D5CDD505-2E9C-101B-9397-08002B2CF9AE}" pid="4" name="LastSaved">
    <vt:filetime>2018-10-19T00:00:00Z</vt:filetime>
  </property>
</Properties>
</file>