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6509"/>
      </w:pPr>
      <w:r>
        <w:rPr/>
        <w:t>中意人寿[2014]疾病保险 060 号</w:t>
      </w:r>
    </w:p>
    <w:p>
      <w:pPr>
        <w:pStyle w:val="BodyText"/>
        <w:spacing w:before="9"/>
        <w:rPr>
          <w:sz w:val="8"/>
        </w:rPr>
      </w:pPr>
    </w:p>
    <w:p>
      <w:pPr>
        <w:tabs>
          <w:tab w:pos="7354" w:val="left" w:leader="none"/>
        </w:tabs>
        <w:spacing w:line="240" w:lineRule="auto"/>
        <w:ind w:left="370" w:right="0" w:firstLine="0"/>
        <w:rPr>
          <w:sz w:val="20"/>
        </w:rPr>
      </w:pPr>
      <w:r>
        <w:rPr>
          <w:position w:val="35"/>
          <w:sz w:val="20"/>
        </w:rPr>
        <w:drawing>
          <wp:inline distT="0" distB="0" distL="0" distR="0">
            <wp:extent cx="1322903" cy="44348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22903" cy="443483"/>
                    </a:xfrm>
                    <a:prstGeom prst="rect">
                      <a:avLst/>
                    </a:prstGeom>
                  </pic:spPr>
                </pic:pic>
              </a:graphicData>
            </a:graphic>
          </wp:inline>
        </w:drawing>
      </w:r>
      <w:r>
        <w:rPr>
          <w:position w:val="35"/>
          <w:sz w:val="20"/>
        </w:rPr>
      </w:r>
      <w:r>
        <w:rPr>
          <w:position w:val="35"/>
          <w:sz w:val="20"/>
        </w:rPr>
        <w:tab/>
      </w: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line="240" w:lineRule="auto"/>
        <w:rPr>
          <w:sz w:val="20"/>
        </w:rPr>
        <w:sectPr>
          <w:type w:val="continuous"/>
          <w:pgSz w:w="11910" w:h="16850"/>
          <w:pgMar w:top="360" w:bottom="280" w:left="760" w:right="1340"/>
        </w:sectPr>
      </w:pPr>
    </w:p>
    <w:p>
      <w:pPr>
        <w:pStyle w:val="Heading1"/>
        <w:spacing w:before="39"/>
        <w:jc w:val="right"/>
      </w:pPr>
      <w:r>
        <w:rPr/>
        <w:t>阅 读 提 示</w:t>
      </w:r>
    </w:p>
    <w:p>
      <w:pPr>
        <w:pStyle w:val="BodyText"/>
        <w:spacing w:before="34"/>
        <w:ind w:left="370"/>
      </w:pPr>
      <w:r>
        <w:rPr/>
        <w:br w:type="column"/>
      </w:r>
      <w:r>
        <w:rPr>
          <w:w w:val="95"/>
        </w:rPr>
        <w:t>请扫描以查询验证条款</w:t>
      </w:r>
    </w:p>
    <w:p>
      <w:pPr>
        <w:spacing w:after="0"/>
        <w:sectPr>
          <w:type w:val="continuous"/>
          <w:pgSz w:w="11910" w:h="16850"/>
          <w:pgMar w:top="360" w:bottom="280" w:left="760" w:right="1340"/>
          <w:cols w:num="2" w:equalWidth="0">
            <w:col w:w="5789" w:space="775"/>
            <w:col w:w="3246"/>
          </w:cols>
        </w:sectPr>
      </w:pPr>
    </w:p>
    <w:p>
      <w:pPr>
        <w:pStyle w:val="BodyText"/>
        <w:rPr>
          <w:sz w:val="20"/>
        </w:rPr>
      </w:pPr>
    </w:p>
    <w:p>
      <w:pPr>
        <w:pStyle w:val="BodyText"/>
        <w:spacing w:before="7"/>
        <w:rPr>
          <w:sz w:val="14"/>
        </w:rPr>
      </w:pPr>
    </w:p>
    <w:p>
      <w:pPr>
        <w:pStyle w:val="Heading2"/>
        <w:ind w:left="1179" w:right="1179"/>
        <w:jc w:val="center"/>
      </w:pPr>
      <w:r>
        <w:rPr>
          <w:w w:val="95"/>
        </w:rPr>
        <w:t>本阅读提示是为了帮助您更好理解条款，对本附加合同内容的解释以条款正文为准。</w:t>
      </w:r>
    </w:p>
    <w:p>
      <w:pPr>
        <w:pStyle w:val="BodyText"/>
        <w:spacing w:before="4"/>
        <w:rPr>
          <w:b/>
          <w:sz w:val="27"/>
        </w:rPr>
      </w:pPr>
    </w:p>
    <w:p>
      <w:pPr>
        <w:tabs>
          <w:tab w:pos="788" w:val="left" w:leader="none"/>
        </w:tabs>
        <w:spacing w:before="1"/>
        <w:ind w:left="370" w:right="0" w:firstLine="0"/>
        <w:jc w:val="left"/>
        <w:rPr>
          <w:b/>
          <w:sz w:val="21"/>
        </w:rPr>
      </w:pPr>
      <w:r>
        <w:rPr>
          <w:rFonts w:ascii="Symbol" w:hAnsi="Symbol" w:eastAsia="Symbol"/>
          <w:b/>
          <w:sz w:val="21"/>
        </w:rPr>
        <w:t></w:t>
      </w:r>
      <w:r>
        <w:rPr>
          <w:rFonts w:ascii="Times New Roman" w:hAnsi="Times New Roman" w:eastAsia="Times New Roman"/>
          <w:sz w:val="21"/>
        </w:rPr>
        <w:tab/>
      </w:r>
      <w:r>
        <w:rPr>
          <w:b/>
          <w:w w:val="95"/>
          <w:sz w:val="21"/>
        </w:rPr>
        <w:t>您拥有的重要权益</w:t>
      </w:r>
    </w:p>
    <w:p>
      <w:pPr>
        <w:pStyle w:val="ListParagraph"/>
        <w:numPr>
          <w:ilvl w:val="0"/>
          <w:numId w:val="1"/>
        </w:numPr>
        <w:tabs>
          <w:tab w:pos="1214" w:val="left" w:leader="none"/>
          <w:tab w:pos="1215" w:val="left" w:leader="none"/>
          <w:tab w:pos="8980" w:val="right" w:leader="dot"/>
        </w:tabs>
        <w:spacing w:line="240" w:lineRule="auto" w:before="11" w:after="0"/>
        <w:ind w:left="1214" w:right="0" w:hanging="426"/>
        <w:jc w:val="left"/>
        <w:rPr>
          <w:rFonts w:ascii="Times New Roman" w:eastAsia="Times New Roman"/>
          <w:sz w:val="21"/>
        </w:rPr>
      </w:pPr>
      <w:r>
        <w:rPr>
          <w:sz w:val="21"/>
        </w:rPr>
        <w:t>签收合同</w:t>
      </w:r>
      <w:r>
        <w:rPr>
          <w:spacing w:val="-48"/>
          <w:sz w:val="21"/>
        </w:rPr>
        <w:t> </w:t>
      </w:r>
      <w:r>
        <w:rPr>
          <w:rFonts w:ascii="Times New Roman" w:eastAsia="Times New Roman"/>
          <w:sz w:val="21"/>
        </w:rPr>
        <w:t>10 </w:t>
      </w:r>
      <w:r>
        <w:rPr>
          <w:sz w:val="21"/>
        </w:rPr>
        <w:t>天内您可以</w:t>
      </w:r>
      <w:r>
        <w:rPr>
          <w:spacing w:val="5"/>
          <w:sz w:val="21"/>
        </w:rPr>
        <w:t>要</w:t>
      </w:r>
      <w:r>
        <w:rPr>
          <w:sz w:val="21"/>
        </w:rPr>
        <w:t>求全额退还保</w:t>
      </w:r>
      <w:r>
        <w:rPr>
          <w:spacing w:val="5"/>
          <w:sz w:val="21"/>
        </w:rPr>
        <w:t>险</w:t>
      </w:r>
      <w:r>
        <w:rPr>
          <w:sz w:val="21"/>
        </w:rPr>
        <w:t>费</w:t>
        <w:tab/>
      </w:r>
      <w:r>
        <w:rPr>
          <w:rFonts w:ascii="Times New Roman" w:eastAsia="Times New Roman"/>
          <w:sz w:val="21"/>
        </w:rPr>
        <w:t>1.5</w:t>
      </w:r>
    </w:p>
    <w:p>
      <w:pPr>
        <w:pStyle w:val="ListParagraph"/>
        <w:numPr>
          <w:ilvl w:val="0"/>
          <w:numId w:val="1"/>
        </w:numPr>
        <w:tabs>
          <w:tab w:pos="1214" w:val="left" w:leader="none"/>
          <w:tab w:pos="1215" w:val="left" w:leader="none"/>
          <w:tab w:pos="9037" w:val="right" w:leader="dot"/>
        </w:tabs>
        <w:spacing w:line="240" w:lineRule="auto" w:before="18" w:after="0"/>
        <w:ind w:left="1214" w:right="0" w:hanging="426"/>
        <w:jc w:val="left"/>
        <w:rPr>
          <w:rFonts w:ascii="Times New Roman" w:eastAsia="Times New Roman"/>
          <w:sz w:val="21"/>
        </w:rPr>
      </w:pPr>
      <w:r>
        <w:rPr>
          <w:sz w:val="21"/>
        </w:rPr>
        <w:t>被保险人可以享有</w:t>
      </w:r>
      <w:r>
        <w:rPr>
          <w:spacing w:val="6"/>
          <w:sz w:val="21"/>
        </w:rPr>
        <w:t>本</w:t>
      </w:r>
      <w:r>
        <w:rPr>
          <w:sz w:val="21"/>
        </w:rPr>
        <w:t>附加合同提</w:t>
      </w:r>
      <w:r>
        <w:rPr>
          <w:spacing w:val="5"/>
          <w:sz w:val="21"/>
        </w:rPr>
        <w:t>供</w:t>
      </w:r>
      <w:r>
        <w:rPr>
          <w:sz w:val="21"/>
        </w:rPr>
        <w:t>的保障利益</w:t>
        <w:tab/>
      </w:r>
      <w:r>
        <w:rPr>
          <w:rFonts w:ascii="Times New Roman" w:eastAsia="Times New Roman"/>
          <w:sz w:val="21"/>
        </w:rPr>
        <w:t>2.4</w:t>
      </w:r>
    </w:p>
    <w:p>
      <w:pPr>
        <w:pStyle w:val="ListParagraph"/>
        <w:numPr>
          <w:ilvl w:val="0"/>
          <w:numId w:val="1"/>
        </w:numPr>
        <w:tabs>
          <w:tab w:pos="1214" w:val="left" w:leader="none"/>
          <w:tab w:pos="1215" w:val="left" w:leader="none"/>
          <w:tab w:pos="9035" w:val="right" w:leader="dot"/>
        </w:tabs>
        <w:spacing w:line="240" w:lineRule="auto" w:before="18" w:after="0"/>
        <w:ind w:left="1214" w:right="0" w:hanging="426"/>
        <w:jc w:val="left"/>
        <w:rPr>
          <w:rFonts w:ascii="Times New Roman" w:eastAsia="Times New Roman"/>
          <w:sz w:val="21"/>
        </w:rPr>
      </w:pPr>
      <w:r>
        <w:rPr>
          <w:sz w:val="21"/>
        </w:rPr>
        <w:t>您有权解除合同</w:t>
        <w:tab/>
      </w:r>
      <w:r>
        <w:rPr>
          <w:rFonts w:ascii="Times New Roman" w:eastAsia="Times New Roman"/>
          <w:sz w:val="21"/>
        </w:rPr>
        <w:t>6.1</w:t>
      </w:r>
    </w:p>
    <w:p>
      <w:pPr>
        <w:pStyle w:val="Heading2"/>
        <w:tabs>
          <w:tab w:pos="788" w:val="left" w:leader="none"/>
        </w:tabs>
        <w:spacing w:before="342"/>
      </w:pPr>
      <w:r>
        <w:rPr>
          <w:rFonts w:ascii="Symbol" w:hAnsi="Symbol" w:eastAsia="Symbol"/>
        </w:rPr>
        <w:t></w:t>
      </w:r>
      <w:r>
        <w:rPr>
          <w:rFonts w:ascii="Times New Roman" w:hAnsi="Times New Roman" w:eastAsia="Times New Roman"/>
          <w:b w:val="0"/>
        </w:rPr>
        <w:tab/>
      </w:r>
      <w:r>
        <w:rPr>
          <w:w w:val="95"/>
        </w:rPr>
        <w:t>您应当特别注意的事项</w:t>
      </w:r>
    </w:p>
    <w:p>
      <w:pPr>
        <w:pStyle w:val="ListParagraph"/>
        <w:numPr>
          <w:ilvl w:val="0"/>
          <w:numId w:val="1"/>
        </w:numPr>
        <w:tabs>
          <w:tab w:pos="1214" w:val="left" w:leader="none"/>
          <w:tab w:pos="1215" w:val="left" w:leader="none"/>
          <w:tab w:pos="9036" w:val="right" w:leader="dot"/>
        </w:tabs>
        <w:spacing w:line="240" w:lineRule="auto" w:before="10" w:after="0"/>
        <w:ind w:left="1214" w:right="0" w:hanging="426"/>
        <w:jc w:val="left"/>
        <w:rPr>
          <w:rFonts w:ascii="Times New Roman" w:eastAsia="Times New Roman"/>
          <w:sz w:val="21"/>
        </w:rPr>
      </w:pPr>
      <w:r>
        <w:rPr>
          <w:sz w:val="21"/>
        </w:rPr>
        <w:t>等待期内我们不承</w:t>
      </w:r>
      <w:r>
        <w:rPr>
          <w:spacing w:val="5"/>
          <w:sz w:val="21"/>
        </w:rPr>
        <w:t>担</w:t>
      </w:r>
      <w:r>
        <w:rPr>
          <w:sz w:val="21"/>
        </w:rPr>
        <w:t>保险责任</w:t>
        <w:tab/>
      </w:r>
      <w:r>
        <w:rPr>
          <w:rFonts w:ascii="Times New Roman" w:eastAsia="Times New Roman"/>
          <w:sz w:val="21"/>
        </w:rPr>
        <w:t>2.3</w:t>
      </w:r>
    </w:p>
    <w:p>
      <w:pPr>
        <w:pStyle w:val="ListParagraph"/>
        <w:numPr>
          <w:ilvl w:val="0"/>
          <w:numId w:val="1"/>
        </w:numPr>
        <w:tabs>
          <w:tab w:pos="1214" w:val="left" w:leader="none"/>
          <w:tab w:pos="1215" w:val="left" w:leader="none"/>
          <w:tab w:pos="9041" w:val="right" w:leader="dot"/>
        </w:tabs>
        <w:spacing w:line="240" w:lineRule="auto" w:before="26" w:after="0"/>
        <w:ind w:left="1214" w:right="0" w:hanging="426"/>
        <w:jc w:val="left"/>
        <w:rPr>
          <w:rFonts w:ascii="Times New Roman" w:eastAsia="Times New Roman"/>
          <w:sz w:val="21"/>
        </w:rPr>
      </w:pPr>
      <w:r>
        <w:rPr>
          <w:sz w:val="21"/>
        </w:rPr>
        <w:t>在某些情况下，我</w:t>
      </w:r>
      <w:r>
        <w:rPr>
          <w:spacing w:val="5"/>
          <w:sz w:val="21"/>
        </w:rPr>
        <w:t>们</w:t>
      </w:r>
      <w:r>
        <w:rPr>
          <w:sz w:val="21"/>
        </w:rPr>
        <w:t>不承担保险</w:t>
      </w:r>
      <w:r>
        <w:rPr>
          <w:spacing w:val="5"/>
          <w:sz w:val="21"/>
        </w:rPr>
        <w:t>责</w:t>
      </w:r>
      <w:r>
        <w:rPr>
          <w:sz w:val="21"/>
        </w:rPr>
        <w:t>任</w:t>
        <w:tab/>
      </w:r>
      <w:r>
        <w:rPr>
          <w:rFonts w:ascii="Times New Roman" w:eastAsia="Times New Roman"/>
          <w:sz w:val="21"/>
        </w:rPr>
        <w:t>2.5</w:t>
      </w:r>
    </w:p>
    <w:p>
      <w:pPr>
        <w:pStyle w:val="ListParagraph"/>
        <w:numPr>
          <w:ilvl w:val="0"/>
          <w:numId w:val="1"/>
        </w:numPr>
        <w:tabs>
          <w:tab w:pos="1214" w:val="left" w:leader="none"/>
          <w:tab w:pos="1215" w:val="left" w:leader="none"/>
          <w:tab w:pos="9038" w:val="right" w:leader="dot"/>
        </w:tabs>
        <w:spacing w:line="240" w:lineRule="auto" w:before="19" w:after="0"/>
        <w:ind w:left="1214" w:right="0" w:hanging="426"/>
        <w:jc w:val="left"/>
        <w:rPr>
          <w:rFonts w:ascii="Times New Roman" w:eastAsia="Times New Roman"/>
          <w:sz w:val="21"/>
        </w:rPr>
      </w:pPr>
      <w:r>
        <w:rPr>
          <w:sz w:val="21"/>
        </w:rPr>
        <w:t>解除合同会给您造</w:t>
      </w:r>
      <w:r>
        <w:rPr>
          <w:spacing w:val="5"/>
          <w:sz w:val="21"/>
        </w:rPr>
        <w:t>成</w:t>
      </w:r>
      <w:r>
        <w:rPr>
          <w:sz w:val="21"/>
        </w:rPr>
        <w:t>一定的损失</w:t>
      </w:r>
      <w:r>
        <w:rPr>
          <w:spacing w:val="5"/>
          <w:sz w:val="21"/>
        </w:rPr>
        <w:t>，</w:t>
      </w:r>
      <w:r>
        <w:rPr>
          <w:sz w:val="21"/>
        </w:rPr>
        <w:t>请您慎重决策</w:t>
        <w:tab/>
      </w:r>
      <w:r>
        <w:rPr>
          <w:rFonts w:ascii="Times New Roman" w:eastAsia="Times New Roman"/>
          <w:sz w:val="21"/>
        </w:rPr>
        <w:t>6.1</w:t>
      </w:r>
    </w:p>
    <w:p>
      <w:pPr>
        <w:pStyle w:val="ListParagraph"/>
        <w:numPr>
          <w:ilvl w:val="0"/>
          <w:numId w:val="1"/>
        </w:numPr>
        <w:tabs>
          <w:tab w:pos="1214" w:val="left" w:leader="none"/>
          <w:tab w:pos="1215" w:val="left" w:leader="none"/>
          <w:tab w:pos="9037" w:val="right" w:leader="dot"/>
        </w:tabs>
        <w:spacing w:line="240" w:lineRule="auto" w:before="18" w:after="0"/>
        <w:ind w:left="1214" w:right="0" w:hanging="426"/>
        <w:jc w:val="left"/>
        <w:rPr>
          <w:rFonts w:ascii="Times New Roman" w:eastAsia="Times New Roman"/>
          <w:sz w:val="21"/>
        </w:rPr>
      </w:pPr>
      <w:r>
        <w:rPr>
          <w:sz w:val="21"/>
        </w:rPr>
        <w:t>在某些情况下，本</w:t>
      </w:r>
      <w:r>
        <w:rPr>
          <w:spacing w:val="5"/>
          <w:sz w:val="21"/>
        </w:rPr>
        <w:t>附</w:t>
      </w:r>
      <w:r>
        <w:rPr>
          <w:sz w:val="21"/>
        </w:rPr>
        <w:t>加合同效力</w:t>
      </w:r>
      <w:r>
        <w:rPr>
          <w:spacing w:val="5"/>
          <w:sz w:val="21"/>
        </w:rPr>
        <w:t>终</w:t>
      </w:r>
      <w:r>
        <w:rPr>
          <w:sz w:val="21"/>
        </w:rPr>
        <w:t>止</w:t>
        <w:tab/>
      </w:r>
      <w:r>
        <w:rPr>
          <w:rFonts w:ascii="Times New Roman" w:eastAsia="Times New Roman"/>
          <w:sz w:val="21"/>
        </w:rPr>
        <w:t>6.2</w:t>
      </w:r>
    </w:p>
    <w:p>
      <w:pPr>
        <w:pStyle w:val="ListParagraph"/>
        <w:numPr>
          <w:ilvl w:val="0"/>
          <w:numId w:val="1"/>
        </w:numPr>
        <w:tabs>
          <w:tab w:pos="1214" w:val="left" w:leader="none"/>
          <w:tab w:pos="1215" w:val="left" w:leader="none"/>
          <w:tab w:pos="8882" w:val="right" w:leader="dot"/>
        </w:tabs>
        <w:spacing w:line="240" w:lineRule="auto" w:before="25" w:after="0"/>
        <w:ind w:left="1214" w:right="0" w:hanging="426"/>
        <w:jc w:val="left"/>
        <w:rPr>
          <w:rFonts w:ascii="Times New Roman" w:eastAsia="Times New Roman"/>
          <w:sz w:val="21"/>
        </w:rPr>
      </w:pPr>
      <w:r>
        <w:rPr>
          <w:sz w:val="21"/>
        </w:rPr>
        <w:t>保险条款有关重大</w:t>
      </w:r>
      <w:r>
        <w:rPr>
          <w:spacing w:val="5"/>
          <w:sz w:val="21"/>
        </w:rPr>
        <w:t>疾</w:t>
      </w:r>
      <w:r>
        <w:rPr>
          <w:sz w:val="21"/>
        </w:rPr>
        <w:t>病的释义，</w:t>
      </w:r>
      <w:r>
        <w:rPr>
          <w:spacing w:val="5"/>
          <w:sz w:val="21"/>
        </w:rPr>
        <w:t>请</w:t>
      </w:r>
      <w:r>
        <w:rPr>
          <w:sz w:val="21"/>
        </w:rPr>
        <w:t>您留意</w:t>
        <w:tab/>
      </w:r>
      <w:r>
        <w:rPr>
          <w:rFonts w:ascii="Times New Roman" w:eastAsia="Times New Roman"/>
          <w:sz w:val="21"/>
        </w:rPr>
        <w:t>7</w:t>
      </w:r>
    </w:p>
    <w:p>
      <w:pPr>
        <w:pStyle w:val="ListParagraph"/>
        <w:numPr>
          <w:ilvl w:val="0"/>
          <w:numId w:val="1"/>
        </w:numPr>
        <w:tabs>
          <w:tab w:pos="1214" w:val="left" w:leader="none"/>
          <w:tab w:pos="1215" w:val="left" w:leader="none"/>
          <w:tab w:pos="8882" w:val="right" w:leader="dot"/>
        </w:tabs>
        <w:spacing w:line="240" w:lineRule="auto" w:before="18" w:after="0"/>
        <w:ind w:left="1214" w:right="0" w:hanging="426"/>
        <w:jc w:val="left"/>
        <w:rPr>
          <w:rFonts w:ascii="Times New Roman" w:eastAsia="Times New Roman"/>
          <w:sz w:val="21"/>
        </w:rPr>
      </w:pPr>
      <w:r>
        <w:rPr>
          <w:sz w:val="21"/>
        </w:rPr>
        <w:t>我们对一些重要术</w:t>
      </w:r>
      <w:r>
        <w:rPr>
          <w:spacing w:val="5"/>
          <w:sz w:val="21"/>
        </w:rPr>
        <w:t>语</w:t>
      </w:r>
      <w:r>
        <w:rPr>
          <w:sz w:val="21"/>
        </w:rPr>
        <w:t>进行了解释</w:t>
      </w:r>
      <w:r>
        <w:rPr>
          <w:spacing w:val="5"/>
          <w:sz w:val="21"/>
        </w:rPr>
        <w:t>，</w:t>
      </w:r>
      <w:r>
        <w:rPr>
          <w:sz w:val="21"/>
        </w:rPr>
        <w:t>请您注意</w:t>
        <w:tab/>
      </w:r>
      <w:r>
        <w:rPr>
          <w:rFonts w:ascii="Times New Roman" w:eastAsia="Times New Roman"/>
          <w:sz w:val="21"/>
        </w:rPr>
        <w:t>9</w:t>
      </w:r>
    </w:p>
    <w:p>
      <w:pPr>
        <w:tabs>
          <w:tab w:pos="788" w:val="left" w:leader="none"/>
        </w:tabs>
        <w:spacing w:before="343"/>
        <w:ind w:left="370" w:right="0" w:firstLine="0"/>
        <w:jc w:val="left"/>
        <w:rPr>
          <w:b/>
          <w:sz w:val="21"/>
        </w:rPr>
      </w:pPr>
      <w:r>
        <w:rPr>
          <w:rFonts w:ascii="Symbol" w:hAnsi="Symbol" w:eastAsia="Symbol"/>
          <w:b/>
          <w:sz w:val="21"/>
        </w:rPr>
        <w:t></w:t>
      </w:r>
      <w:r>
        <w:rPr>
          <w:rFonts w:ascii="Times New Roman" w:hAnsi="Times New Roman" w:eastAsia="Times New Roman"/>
          <w:sz w:val="21"/>
        </w:rPr>
        <w:tab/>
      </w:r>
      <w:r>
        <w:rPr>
          <w:b/>
          <w:w w:val="95"/>
          <w:sz w:val="21"/>
        </w:rPr>
        <w:t>条款是保险合同的重要内容，为充分保障您的权益，请您仔细阅读本条款。</w:t>
      </w:r>
    </w:p>
    <w:p>
      <w:pPr>
        <w:tabs>
          <w:tab w:pos="788" w:val="left" w:leader="none"/>
        </w:tabs>
        <w:spacing w:before="299" w:after="19"/>
        <w:ind w:left="370" w:right="0" w:firstLine="0"/>
        <w:jc w:val="left"/>
        <w:rPr>
          <w:b/>
          <w:sz w:val="21"/>
        </w:rPr>
      </w:pPr>
      <w:r>
        <w:rPr/>
        <w:pict>
          <v:group style="position:absolute;margin-left:521.950012pt;margin-top:30.453659pt;width:.75pt;height:199.9pt;mso-position-horizontal-relative:page;mso-position-vertical-relative:paragraph;z-index:-27736" coordorigin="10439,609" coordsize="15,3998">
            <v:shape style="position:absolute;left:10439;top:609;width:15;height:22" type="#_x0000_t75" stroked="false">
              <v:imagedata r:id="rId7" o:title=""/>
            </v:shape>
            <v:shape style="position:absolute;left:10439;top:630;width:15;height:3976" coordorigin="10439,631" coordsize="15,3976" path="m10453,4434l10439,4434,10439,4462,10439,4491,10439,4520,10439,4549,10439,4578,10439,4606,10453,4606,10453,4578,10453,4549,10453,4520,10453,4491,10453,4462,10453,4434m10453,3786l10439,3786,10439,3807,10439,3836,10439,3865,10439,3894,10439,3922,10439,3951,10439,3980,10439,4009,10439,4038,10439,4066,10439,4095,10439,4124,10439,4153,10439,4182,10439,4203,10439,4232,10439,4261,10439,4290,10439,4318,10439,4347,10439,4376,10439,4405,10439,4434,10453,4434,10453,4405,10453,4376,10453,4347,10453,4318,10453,4290,10453,4261,10453,4232,10453,4203,10453,4182,10453,4153,10453,4124,10453,4095,10453,4066,10453,4038,10453,4009,10453,3980,10453,3951,10453,3922,10453,3894,10453,3865,10453,3836,10453,3807,10453,3786m10453,3670l10439,3670,10439,3699,10439,3728,10439,3728,10439,3757,10439,3786,10453,3786,10453,3757,10453,3728,10453,3728,10453,3699,10453,3670m10453,3411l10439,3411,10439,3440,10439,3468,10439,3497,10439,3526,10439,3555,10439,3584,10439,3612,10439,3641,10439,3670,10453,3670,10453,3641,10453,3612,10453,3584,10453,3555,10453,3526,10453,3497,10453,3468,10453,3440,10453,3411m10453,3130l10439,3130,10439,3159,10439,3188,10439,3216,10439,3245,10439,3274,10439,3303,10439,3332,10439,3360,10439,3389,10439,3411,10453,3411,10453,3389,10453,3360,10453,3332,10453,3303,10453,3274,10453,3245,10453,3216,10453,3188,10453,3159,10453,3130m10453,2993l10439,2993,10439,3015,10439,3044,10439,3072,10439,3101,10439,3130,10453,3130,10453,3101,10453,3072,10453,3044,10453,3015,10453,2993m10453,2597l10439,2597,10439,2618,10439,2618,10439,2648,10439,2676,10439,2705,10439,2734,10439,2763,10439,2792,10439,2820,10439,2849,10439,2878,10439,2907,10439,2936,10439,2964,10439,2993,10453,2993,10453,2964,10453,2936,10453,2907,10453,2878,10453,2849,10453,2820,10453,2792,10453,2763,10453,2734,10453,2705,10453,2676,10453,2648,10453,2618,10453,2618,10453,2597m10453,2201l10439,2201,10439,2222,10439,2251,10439,2280,10439,2309,10439,2338,10439,2366,10439,2395,10439,2424,10439,2453,10439,2482,10439,2510,10439,2539,10439,2568,10439,2597,10453,2597,10453,2568,10453,2539,10453,2510,10453,2482,10453,2453,10453,2424,10453,2395,10453,2366,10453,2338,10453,2309,10453,2280,10453,2251,10453,2222,10453,2201m10453,1538l10439,1538,10439,1567,10439,1596,10439,1625,10439,1654,10439,1682,10439,1711,10439,1740,10439,1769,10439,1798,10439,1826,10439,1855,10439,1884,10439,1913,10439,1942,10439,1970,10439,1999,10439,2028,10439,2057,10439,2086,10439,2114,10439,2143,10439,2172,10439,2201,10453,2201,10453,2172,10453,2143,10453,2114,10453,2086,10453,2057,10453,2028,10453,1999,10453,1970,10453,1942,10453,1913,10453,1884,10453,1855,10453,1826,10453,1798,10453,1769,10453,1740,10453,1711,10453,1682,10453,1654,10453,1625,10453,1596,10453,1567,10453,1538m10453,1286l10439,1286,10439,1315,10439,1343,10439,1372,10439,1401,10439,1423,10439,1451,10439,1480,10439,1509,10439,1538,10453,1538,10453,1509,10453,1480,10453,1451,10453,1423,10453,1401,10453,1372,10453,1343,10453,1315,10453,1286m10453,746l10439,746,10439,775,10439,803,10439,832,10439,861,10439,890,10439,919,10439,947,10439,976,10439,1005,10439,1027,10439,1055,10439,1084,10439,1113,10439,1142,10439,1171,10439,1199,10439,1228,10439,1257,10439,1286,10453,1286,10453,1257,10453,1228,10453,1199,10453,1171,10453,1142,10453,1113,10453,1084,10453,1055,10453,1027,10453,1005,10453,976,10453,947,10453,919,10453,890,10453,861,10453,832,10453,803,10453,775,10453,746m10453,631l10439,631,10439,659,10439,688,10439,717,10439,746,10453,746,10453,717,10453,688,10453,659,10453,631e" filled="true" fillcolor="#000000" stroked="false">
              <v:path arrowok="t"/>
              <v:fill type="solid"/>
            </v:shape>
            <w10:wrap type="none"/>
          </v:group>
        </w:pict>
      </w:r>
      <w:r>
        <w:rPr>
          <w:rFonts w:ascii="Symbol" w:hAnsi="Symbol" w:eastAsia="Symbol"/>
          <w:b/>
          <w:sz w:val="21"/>
        </w:rPr>
        <w:t></w:t>
      </w:r>
      <w:r>
        <w:rPr>
          <w:rFonts w:ascii="Times New Roman" w:hAnsi="Times New Roman" w:eastAsia="Times New Roman"/>
          <w:sz w:val="21"/>
        </w:rPr>
        <w:tab/>
      </w:r>
      <w:r>
        <w:rPr>
          <w:b/>
          <w:w w:val="95"/>
          <w:sz w:val="21"/>
        </w:rPr>
        <w:t>条款目录</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7"/>
        <w:gridCol w:w="2889"/>
        <w:gridCol w:w="3883"/>
      </w:tblGrid>
      <w:tr>
        <w:trPr>
          <w:trHeight w:val="408" w:hRule="atLeast"/>
        </w:trPr>
        <w:tc>
          <w:tcPr>
            <w:tcW w:w="2787" w:type="dxa"/>
            <w:tcBorders>
              <w:top w:val="single" w:sz="6" w:space="0" w:color="000000"/>
              <w:left w:val="single" w:sz="6" w:space="0" w:color="000000"/>
            </w:tcBorders>
          </w:tcPr>
          <w:p>
            <w:pPr>
              <w:pStyle w:val="TableParagraph"/>
              <w:spacing w:before="35"/>
              <w:ind w:left="114"/>
              <w:rPr>
                <w:b/>
                <w:sz w:val="21"/>
              </w:rPr>
            </w:pPr>
            <w:r>
              <w:rPr>
                <w:rFonts w:ascii="Times New Roman" w:eastAsia="Times New Roman"/>
                <w:b/>
                <w:sz w:val="21"/>
              </w:rPr>
              <w:t>1. </w:t>
            </w:r>
            <w:r>
              <w:rPr>
                <w:b/>
                <w:sz w:val="21"/>
              </w:rPr>
              <w:t>您与我们订立的合同</w:t>
            </w:r>
          </w:p>
        </w:tc>
        <w:tc>
          <w:tcPr>
            <w:tcW w:w="2889" w:type="dxa"/>
            <w:tcBorders>
              <w:top w:val="single" w:sz="6" w:space="0" w:color="000000"/>
            </w:tcBorders>
          </w:tcPr>
          <w:p>
            <w:pPr>
              <w:pStyle w:val="TableParagraph"/>
              <w:spacing w:before="35"/>
              <w:ind w:left="483"/>
              <w:rPr>
                <w:sz w:val="21"/>
              </w:rPr>
            </w:pPr>
            <w:r>
              <w:rPr>
                <w:rFonts w:ascii="Times New Roman" w:eastAsia="Times New Roman"/>
                <w:sz w:val="21"/>
              </w:rPr>
              <w:t>2.4 </w:t>
            </w:r>
            <w:r>
              <w:rPr>
                <w:sz w:val="21"/>
              </w:rPr>
              <w:t>保险责任</w:t>
            </w:r>
          </w:p>
        </w:tc>
        <w:tc>
          <w:tcPr>
            <w:tcW w:w="3883" w:type="dxa"/>
            <w:tcBorders>
              <w:top w:val="single" w:sz="6" w:space="0" w:color="000000"/>
            </w:tcBorders>
          </w:tcPr>
          <w:p>
            <w:pPr>
              <w:pStyle w:val="TableParagraph"/>
              <w:spacing w:before="35"/>
              <w:ind w:left="851"/>
              <w:rPr>
                <w:b/>
                <w:sz w:val="21"/>
              </w:rPr>
            </w:pPr>
            <w:r>
              <w:rPr>
                <w:rFonts w:ascii="Times New Roman" w:eastAsia="Times New Roman"/>
                <w:b/>
                <w:sz w:val="21"/>
              </w:rPr>
              <w:t>5. </w:t>
            </w:r>
            <w:r>
              <w:rPr>
                <w:b/>
                <w:sz w:val="21"/>
              </w:rPr>
              <w:t>现金价值权益</w:t>
            </w:r>
          </w:p>
        </w:tc>
      </w:tr>
      <w:tr>
        <w:trPr>
          <w:trHeight w:val="396" w:hRule="atLeast"/>
        </w:trPr>
        <w:tc>
          <w:tcPr>
            <w:tcW w:w="2787" w:type="dxa"/>
            <w:tcBorders>
              <w:left w:val="single" w:sz="6" w:space="0" w:color="000000"/>
            </w:tcBorders>
          </w:tcPr>
          <w:p>
            <w:pPr>
              <w:pStyle w:val="TableParagraph"/>
              <w:spacing w:before="23"/>
              <w:ind w:left="114"/>
              <w:rPr>
                <w:sz w:val="21"/>
              </w:rPr>
            </w:pPr>
            <w:r>
              <w:rPr>
                <w:rFonts w:ascii="Times New Roman" w:eastAsia="Times New Roman"/>
                <w:sz w:val="21"/>
              </w:rPr>
              <w:t>1.1 </w:t>
            </w:r>
            <w:r>
              <w:rPr>
                <w:sz w:val="21"/>
              </w:rPr>
              <w:t>合同构成</w:t>
            </w:r>
          </w:p>
        </w:tc>
        <w:tc>
          <w:tcPr>
            <w:tcW w:w="2889" w:type="dxa"/>
          </w:tcPr>
          <w:p>
            <w:pPr>
              <w:pStyle w:val="TableParagraph"/>
              <w:spacing w:before="23"/>
              <w:ind w:left="483"/>
              <w:rPr>
                <w:sz w:val="21"/>
              </w:rPr>
            </w:pPr>
            <w:r>
              <w:rPr>
                <w:rFonts w:ascii="Times New Roman" w:eastAsia="Times New Roman"/>
                <w:sz w:val="21"/>
              </w:rPr>
              <w:t>2.5 </w:t>
            </w:r>
            <w:r>
              <w:rPr>
                <w:sz w:val="21"/>
              </w:rPr>
              <w:t>责任免除</w:t>
            </w:r>
          </w:p>
        </w:tc>
        <w:tc>
          <w:tcPr>
            <w:tcW w:w="3883" w:type="dxa"/>
          </w:tcPr>
          <w:p>
            <w:pPr>
              <w:pStyle w:val="TableParagraph"/>
              <w:spacing w:before="23"/>
              <w:ind w:left="851"/>
              <w:rPr>
                <w:sz w:val="21"/>
              </w:rPr>
            </w:pPr>
            <w:r>
              <w:rPr>
                <w:rFonts w:ascii="Times New Roman" w:eastAsia="Times New Roman"/>
                <w:sz w:val="21"/>
              </w:rPr>
              <w:t>5.1 </w:t>
            </w:r>
            <w:r>
              <w:rPr>
                <w:sz w:val="21"/>
              </w:rPr>
              <w:t>现金价值</w:t>
            </w:r>
          </w:p>
        </w:tc>
      </w:tr>
      <w:tr>
        <w:trPr>
          <w:trHeight w:val="396" w:hRule="atLeast"/>
        </w:trPr>
        <w:tc>
          <w:tcPr>
            <w:tcW w:w="2787" w:type="dxa"/>
            <w:tcBorders>
              <w:left w:val="single" w:sz="6" w:space="0" w:color="000000"/>
            </w:tcBorders>
          </w:tcPr>
          <w:p>
            <w:pPr>
              <w:pStyle w:val="TableParagraph"/>
              <w:spacing w:before="23"/>
              <w:ind w:left="114"/>
              <w:rPr>
                <w:sz w:val="21"/>
              </w:rPr>
            </w:pPr>
            <w:r>
              <w:rPr>
                <w:rFonts w:ascii="Times New Roman" w:eastAsia="Times New Roman"/>
                <w:sz w:val="21"/>
              </w:rPr>
              <w:t>1.2 </w:t>
            </w:r>
            <w:r>
              <w:rPr>
                <w:sz w:val="21"/>
              </w:rPr>
              <w:t>保险合同成立与生效</w:t>
            </w:r>
          </w:p>
        </w:tc>
        <w:tc>
          <w:tcPr>
            <w:tcW w:w="2889" w:type="dxa"/>
          </w:tcPr>
          <w:p>
            <w:pPr>
              <w:pStyle w:val="TableParagraph"/>
              <w:spacing w:before="23"/>
              <w:ind w:left="483"/>
              <w:rPr>
                <w:b/>
                <w:sz w:val="21"/>
              </w:rPr>
            </w:pPr>
            <w:r>
              <w:rPr>
                <w:rFonts w:ascii="Times New Roman" w:eastAsia="Times New Roman"/>
                <w:b/>
                <w:sz w:val="21"/>
              </w:rPr>
              <w:t>3. </w:t>
            </w:r>
            <w:r>
              <w:rPr>
                <w:b/>
                <w:sz w:val="21"/>
              </w:rPr>
              <w:t>保险金的申请</w:t>
            </w:r>
          </w:p>
        </w:tc>
        <w:tc>
          <w:tcPr>
            <w:tcW w:w="3883" w:type="dxa"/>
          </w:tcPr>
          <w:p>
            <w:pPr>
              <w:pStyle w:val="TableParagraph"/>
              <w:spacing w:before="23"/>
              <w:ind w:left="851"/>
              <w:rPr>
                <w:b/>
                <w:sz w:val="21"/>
              </w:rPr>
            </w:pPr>
            <w:r>
              <w:rPr>
                <w:rFonts w:ascii="Times New Roman" w:eastAsia="Times New Roman"/>
                <w:b/>
                <w:sz w:val="21"/>
              </w:rPr>
              <w:t>6. </w:t>
            </w:r>
            <w:r>
              <w:rPr>
                <w:b/>
                <w:sz w:val="21"/>
              </w:rPr>
              <w:t>合同解除与效力终止</w:t>
            </w:r>
          </w:p>
        </w:tc>
      </w:tr>
      <w:tr>
        <w:trPr>
          <w:trHeight w:val="396" w:hRule="atLeast"/>
        </w:trPr>
        <w:tc>
          <w:tcPr>
            <w:tcW w:w="2787" w:type="dxa"/>
            <w:tcBorders>
              <w:left w:val="single" w:sz="6" w:space="0" w:color="000000"/>
            </w:tcBorders>
          </w:tcPr>
          <w:p>
            <w:pPr>
              <w:pStyle w:val="TableParagraph"/>
              <w:spacing w:before="23"/>
              <w:ind w:left="114"/>
              <w:rPr>
                <w:sz w:val="21"/>
              </w:rPr>
            </w:pPr>
            <w:r>
              <w:rPr>
                <w:rFonts w:ascii="Times New Roman" w:eastAsia="Times New Roman"/>
                <w:sz w:val="21"/>
              </w:rPr>
              <w:t>1.3 </w:t>
            </w:r>
            <w:r>
              <w:rPr>
                <w:sz w:val="21"/>
              </w:rPr>
              <w:t>投保年龄</w:t>
            </w:r>
          </w:p>
        </w:tc>
        <w:tc>
          <w:tcPr>
            <w:tcW w:w="2889" w:type="dxa"/>
          </w:tcPr>
          <w:p>
            <w:pPr>
              <w:pStyle w:val="TableParagraph"/>
              <w:spacing w:before="23"/>
              <w:ind w:left="483"/>
              <w:rPr>
                <w:sz w:val="21"/>
              </w:rPr>
            </w:pPr>
            <w:r>
              <w:rPr>
                <w:rFonts w:ascii="Times New Roman" w:eastAsia="Times New Roman"/>
                <w:sz w:val="21"/>
              </w:rPr>
              <w:t>3.1 </w:t>
            </w:r>
            <w:r>
              <w:rPr>
                <w:sz w:val="21"/>
              </w:rPr>
              <w:t>保险金的申请</w:t>
            </w:r>
          </w:p>
        </w:tc>
        <w:tc>
          <w:tcPr>
            <w:tcW w:w="3883" w:type="dxa"/>
          </w:tcPr>
          <w:p>
            <w:pPr>
              <w:pStyle w:val="TableParagraph"/>
              <w:spacing w:before="23"/>
              <w:ind w:left="851"/>
              <w:rPr>
                <w:sz w:val="21"/>
              </w:rPr>
            </w:pPr>
            <w:r>
              <w:rPr>
                <w:rFonts w:ascii="Times New Roman" w:eastAsia="Times New Roman"/>
                <w:sz w:val="21"/>
              </w:rPr>
              <w:t>6.1 </w:t>
            </w:r>
            <w:r>
              <w:rPr>
                <w:sz w:val="21"/>
              </w:rPr>
              <w:t>解除合同的手续及风险</w:t>
            </w:r>
          </w:p>
        </w:tc>
      </w:tr>
      <w:tr>
        <w:trPr>
          <w:trHeight w:val="396" w:hRule="atLeast"/>
        </w:trPr>
        <w:tc>
          <w:tcPr>
            <w:tcW w:w="2787" w:type="dxa"/>
            <w:tcBorders>
              <w:left w:val="single" w:sz="6" w:space="0" w:color="000000"/>
            </w:tcBorders>
          </w:tcPr>
          <w:p>
            <w:pPr>
              <w:pStyle w:val="TableParagraph"/>
              <w:spacing w:before="23"/>
              <w:ind w:left="114"/>
              <w:rPr>
                <w:sz w:val="21"/>
              </w:rPr>
            </w:pPr>
            <w:r>
              <w:rPr>
                <w:rFonts w:ascii="Times New Roman" w:eastAsia="Times New Roman"/>
                <w:sz w:val="21"/>
              </w:rPr>
              <w:t>1.4 </w:t>
            </w:r>
            <w:r>
              <w:rPr>
                <w:sz w:val="21"/>
              </w:rPr>
              <w:t>合同的签收</w:t>
            </w:r>
          </w:p>
        </w:tc>
        <w:tc>
          <w:tcPr>
            <w:tcW w:w="2889" w:type="dxa"/>
          </w:tcPr>
          <w:p>
            <w:pPr>
              <w:pStyle w:val="TableParagraph"/>
              <w:spacing w:before="23"/>
              <w:ind w:left="483"/>
              <w:rPr>
                <w:sz w:val="21"/>
              </w:rPr>
            </w:pPr>
            <w:r>
              <w:rPr>
                <w:rFonts w:ascii="Times New Roman" w:eastAsia="Times New Roman"/>
                <w:sz w:val="21"/>
              </w:rPr>
              <w:t>3.2 </w:t>
            </w:r>
            <w:r>
              <w:rPr>
                <w:sz w:val="21"/>
              </w:rPr>
              <w:t>保险金的给付</w:t>
            </w:r>
          </w:p>
        </w:tc>
        <w:tc>
          <w:tcPr>
            <w:tcW w:w="3883" w:type="dxa"/>
          </w:tcPr>
          <w:p>
            <w:pPr>
              <w:pStyle w:val="TableParagraph"/>
              <w:spacing w:before="23"/>
              <w:ind w:left="851"/>
              <w:rPr>
                <w:sz w:val="21"/>
              </w:rPr>
            </w:pPr>
            <w:r>
              <w:rPr>
                <w:rFonts w:ascii="Times New Roman" w:eastAsia="Times New Roman"/>
                <w:sz w:val="21"/>
              </w:rPr>
              <w:t>6.2 </w:t>
            </w:r>
            <w:r>
              <w:rPr>
                <w:sz w:val="21"/>
              </w:rPr>
              <w:t>附加合同效力的终止</w:t>
            </w:r>
          </w:p>
        </w:tc>
      </w:tr>
      <w:tr>
        <w:trPr>
          <w:trHeight w:val="399" w:hRule="atLeast"/>
        </w:trPr>
        <w:tc>
          <w:tcPr>
            <w:tcW w:w="2787" w:type="dxa"/>
            <w:tcBorders>
              <w:left w:val="single" w:sz="6" w:space="0" w:color="000000"/>
            </w:tcBorders>
          </w:tcPr>
          <w:p>
            <w:pPr>
              <w:pStyle w:val="TableParagraph"/>
              <w:spacing w:before="23"/>
              <w:ind w:left="114"/>
              <w:rPr>
                <w:sz w:val="21"/>
              </w:rPr>
            </w:pPr>
            <w:r>
              <w:rPr>
                <w:rFonts w:ascii="Times New Roman" w:eastAsia="Times New Roman"/>
                <w:sz w:val="21"/>
              </w:rPr>
              <w:t>1.5 </w:t>
            </w:r>
            <w:r>
              <w:rPr>
                <w:sz w:val="21"/>
              </w:rPr>
              <w:t>犹豫期</w:t>
            </w:r>
          </w:p>
        </w:tc>
        <w:tc>
          <w:tcPr>
            <w:tcW w:w="2889" w:type="dxa"/>
          </w:tcPr>
          <w:p>
            <w:pPr>
              <w:pStyle w:val="TableParagraph"/>
              <w:spacing w:before="23"/>
              <w:ind w:left="483"/>
              <w:rPr>
                <w:sz w:val="21"/>
              </w:rPr>
            </w:pPr>
            <w:r>
              <w:rPr>
                <w:rFonts w:ascii="Times New Roman" w:eastAsia="Times New Roman"/>
                <w:sz w:val="21"/>
              </w:rPr>
              <w:t>3.3 </w:t>
            </w:r>
            <w:r>
              <w:rPr>
                <w:sz w:val="21"/>
              </w:rPr>
              <w:t>诉讼时效</w:t>
            </w:r>
          </w:p>
        </w:tc>
        <w:tc>
          <w:tcPr>
            <w:tcW w:w="3883" w:type="dxa"/>
          </w:tcPr>
          <w:p>
            <w:pPr>
              <w:pStyle w:val="TableParagraph"/>
              <w:spacing w:before="23"/>
              <w:ind w:left="851"/>
              <w:rPr>
                <w:b/>
                <w:sz w:val="21"/>
              </w:rPr>
            </w:pPr>
            <w:r>
              <w:rPr>
                <w:rFonts w:ascii="Times New Roman" w:eastAsia="Times New Roman"/>
                <w:b/>
                <w:sz w:val="21"/>
              </w:rPr>
              <w:t>7. </w:t>
            </w:r>
            <w:r>
              <w:rPr>
                <w:b/>
                <w:sz w:val="21"/>
              </w:rPr>
              <w:t>重大疾病的定义及范围</w:t>
            </w:r>
          </w:p>
        </w:tc>
      </w:tr>
      <w:tr>
        <w:trPr>
          <w:trHeight w:val="399" w:hRule="atLeast"/>
        </w:trPr>
        <w:tc>
          <w:tcPr>
            <w:tcW w:w="2787" w:type="dxa"/>
            <w:tcBorders>
              <w:left w:val="single" w:sz="6" w:space="0" w:color="000000"/>
            </w:tcBorders>
          </w:tcPr>
          <w:p>
            <w:pPr>
              <w:pStyle w:val="TableParagraph"/>
              <w:spacing w:before="26"/>
              <w:ind w:left="114"/>
              <w:rPr>
                <w:b/>
                <w:sz w:val="21"/>
              </w:rPr>
            </w:pPr>
            <w:r>
              <w:rPr>
                <w:rFonts w:ascii="Times New Roman" w:eastAsia="Times New Roman"/>
                <w:b/>
                <w:sz w:val="21"/>
              </w:rPr>
              <w:t>2. </w:t>
            </w:r>
            <w:r>
              <w:rPr>
                <w:b/>
                <w:sz w:val="21"/>
              </w:rPr>
              <w:t>我们提供的保障</w:t>
            </w:r>
          </w:p>
        </w:tc>
        <w:tc>
          <w:tcPr>
            <w:tcW w:w="2889" w:type="dxa"/>
          </w:tcPr>
          <w:p>
            <w:pPr>
              <w:pStyle w:val="TableParagraph"/>
              <w:spacing w:before="26"/>
              <w:ind w:left="483"/>
              <w:rPr>
                <w:b/>
                <w:sz w:val="21"/>
              </w:rPr>
            </w:pPr>
            <w:r>
              <w:rPr>
                <w:rFonts w:ascii="Times New Roman" w:eastAsia="Times New Roman"/>
                <w:b/>
                <w:sz w:val="21"/>
              </w:rPr>
              <w:t>4. </w:t>
            </w:r>
            <w:r>
              <w:rPr>
                <w:b/>
                <w:sz w:val="21"/>
              </w:rPr>
              <w:t>保险费的支付</w:t>
            </w:r>
          </w:p>
        </w:tc>
        <w:tc>
          <w:tcPr>
            <w:tcW w:w="3883" w:type="dxa"/>
          </w:tcPr>
          <w:p>
            <w:pPr>
              <w:pStyle w:val="TableParagraph"/>
              <w:spacing w:before="26"/>
              <w:ind w:left="851"/>
              <w:rPr>
                <w:b/>
                <w:sz w:val="21"/>
              </w:rPr>
            </w:pPr>
            <w:r>
              <w:rPr>
                <w:rFonts w:ascii="Times New Roman" w:eastAsia="Times New Roman"/>
                <w:b/>
                <w:sz w:val="21"/>
              </w:rPr>
              <w:t>8. </w:t>
            </w:r>
            <w:r>
              <w:rPr>
                <w:b/>
                <w:sz w:val="21"/>
              </w:rPr>
              <w:t>释义</w:t>
            </w:r>
          </w:p>
        </w:tc>
      </w:tr>
      <w:tr>
        <w:trPr>
          <w:trHeight w:val="396" w:hRule="atLeast"/>
        </w:trPr>
        <w:tc>
          <w:tcPr>
            <w:tcW w:w="2787" w:type="dxa"/>
            <w:tcBorders>
              <w:left w:val="single" w:sz="6" w:space="0" w:color="000000"/>
            </w:tcBorders>
          </w:tcPr>
          <w:p>
            <w:pPr>
              <w:pStyle w:val="TableParagraph"/>
              <w:spacing w:before="23"/>
              <w:ind w:left="114"/>
              <w:rPr>
                <w:sz w:val="21"/>
              </w:rPr>
            </w:pPr>
            <w:r>
              <w:rPr>
                <w:rFonts w:ascii="Times New Roman" w:eastAsia="Times New Roman"/>
                <w:sz w:val="21"/>
              </w:rPr>
              <w:t>2.1 </w:t>
            </w:r>
            <w:r>
              <w:rPr>
                <w:sz w:val="21"/>
              </w:rPr>
              <w:t>基本保险金额</w:t>
            </w:r>
          </w:p>
        </w:tc>
        <w:tc>
          <w:tcPr>
            <w:tcW w:w="2889" w:type="dxa"/>
          </w:tcPr>
          <w:p>
            <w:pPr>
              <w:pStyle w:val="TableParagraph"/>
              <w:spacing w:before="23"/>
              <w:ind w:left="483"/>
              <w:rPr>
                <w:sz w:val="21"/>
              </w:rPr>
            </w:pPr>
            <w:r>
              <w:rPr>
                <w:rFonts w:ascii="Times New Roman" w:eastAsia="Times New Roman"/>
                <w:sz w:val="21"/>
              </w:rPr>
              <w:t>4.1 </w:t>
            </w:r>
            <w:r>
              <w:rPr>
                <w:sz w:val="21"/>
              </w:rPr>
              <w:t>保险费的支付</w:t>
            </w:r>
          </w:p>
        </w:tc>
        <w:tc>
          <w:tcPr>
            <w:tcW w:w="3883" w:type="dxa"/>
          </w:tcPr>
          <w:p>
            <w:pPr>
              <w:pStyle w:val="TableParagraph"/>
              <w:spacing w:before="23"/>
              <w:ind w:left="851"/>
              <w:rPr>
                <w:b/>
                <w:sz w:val="21"/>
              </w:rPr>
            </w:pPr>
            <w:r>
              <w:rPr>
                <w:rFonts w:ascii="Times New Roman" w:eastAsia="Times New Roman"/>
                <w:b/>
                <w:sz w:val="21"/>
              </w:rPr>
              <w:t>9. </w:t>
            </w:r>
            <w:r>
              <w:rPr>
                <w:b/>
                <w:sz w:val="21"/>
              </w:rPr>
              <w:t>特别说明</w:t>
            </w:r>
          </w:p>
        </w:tc>
      </w:tr>
      <w:tr>
        <w:trPr>
          <w:trHeight w:val="396" w:hRule="atLeast"/>
        </w:trPr>
        <w:tc>
          <w:tcPr>
            <w:tcW w:w="2787" w:type="dxa"/>
            <w:tcBorders>
              <w:left w:val="single" w:sz="6" w:space="0" w:color="000000"/>
            </w:tcBorders>
          </w:tcPr>
          <w:p>
            <w:pPr>
              <w:pStyle w:val="TableParagraph"/>
              <w:spacing w:before="23"/>
              <w:ind w:left="114"/>
              <w:rPr>
                <w:sz w:val="21"/>
              </w:rPr>
            </w:pPr>
            <w:r>
              <w:rPr>
                <w:rFonts w:ascii="Times New Roman" w:eastAsia="Times New Roman"/>
                <w:sz w:val="21"/>
              </w:rPr>
              <w:t>2.2 </w:t>
            </w:r>
            <w:r>
              <w:rPr>
                <w:sz w:val="21"/>
              </w:rPr>
              <w:t>保险期间</w:t>
            </w:r>
          </w:p>
        </w:tc>
        <w:tc>
          <w:tcPr>
            <w:tcW w:w="2889" w:type="dxa"/>
          </w:tcPr>
          <w:p>
            <w:pPr>
              <w:pStyle w:val="TableParagraph"/>
              <w:spacing w:before="23"/>
              <w:ind w:left="483"/>
              <w:rPr>
                <w:sz w:val="21"/>
              </w:rPr>
            </w:pPr>
            <w:r>
              <w:rPr>
                <w:rFonts w:ascii="Times New Roman" w:eastAsia="Times New Roman"/>
                <w:sz w:val="21"/>
              </w:rPr>
              <w:t>4.2 </w:t>
            </w:r>
            <w:r>
              <w:rPr>
                <w:sz w:val="21"/>
              </w:rPr>
              <w:t>宽限期</w:t>
            </w:r>
          </w:p>
        </w:tc>
        <w:tc>
          <w:tcPr>
            <w:tcW w:w="3883" w:type="dxa"/>
          </w:tcPr>
          <w:p>
            <w:pPr>
              <w:pStyle w:val="TableParagraph"/>
              <w:ind w:left="0"/>
              <w:rPr>
                <w:rFonts w:ascii="Times New Roman"/>
                <w:sz w:val="20"/>
              </w:rPr>
            </w:pPr>
          </w:p>
        </w:tc>
      </w:tr>
      <w:tr>
        <w:trPr>
          <w:trHeight w:val="397" w:hRule="atLeast"/>
        </w:trPr>
        <w:tc>
          <w:tcPr>
            <w:tcW w:w="2787" w:type="dxa"/>
            <w:tcBorders>
              <w:left w:val="single" w:sz="6" w:space="0" w:color="000000"/>
              <w:bottom w:val="single" w:sz="6" w:space="0" w:color="000000"/>
            </w:tcBorders>
          </w:tcPr>
          <w:p>
            <w:pPr>
              <w:pStyle w:val="TableParagraph"/>
              <w:spacing w:before="23"/>
              <w:ind w:left="114"/>
              <w:rPr>
                <w:sz w:val="21"/>
              </w:rPr>
            </w:pPr>
            <w:r>
              <w:rPr>
                <w:rFonts w:ascii="Times New Roman" w:eastAsia="Times New Roman"/>
                <w:sz w:val="21"/>
              </w:rPr>
              <w:t>2.3 </w:t>
            </w:r>
            <w:r>
              <w:rPr>
                <w:sz w:val="21"/>
              </w:rPr>
              <w:t>等待期</w:t>
            </w:r>
          </w:p>
        </w:tc>
        <w:tc>
          <w:tcPr>
            <w:tcW w:w="2889" w:type="dxa"/>
            <w:tcBorders>
              <w:bottom w:val="single" w:sz="6" w:space="0" w:color="000000"/>
            </w:tcBorders>
          </w:tcPr>
          <w:p>
            <w:pPr>
              <w:pStyle w:val="TableParagraph"/>
              <w:spacing w:before="23"/>
              <w:ind w:left="483"/>
              <w:rPr>
                <w:sz w:val="21"/>
              </w:rPr>
            </w:pPr>
            <w:r>
              <w:rPr>
                <w:rFonts w:ascii="Times New Roman" w:eastAsia="Times New Roman"/>
                <w:sz w:val="21"/>
              </w:rPr>
              <w:t>4.3 </w:t>
            </w:r>
            <w:r>
              <w:rPr>
                <w:sz w:val="21"/>
              </w:rPr>
              <w:t>减额交清保险</w:t>
            </w:r>
          </w:p>
        </w:tc>
        <w:tc>
          <w:tcPr>
            <w:tcW w:w="3883" w:type="dxa"/>
            <w:tcBorders>
              <w:bottom w:val="single" w:sz="6" w:space="0" w:color="000000"/>
            </w:tcBorders>
          </w:tcPr>
          <w:p>
            <w:pPr>
              <w:pStyle w:val="TableParagraph"/>
              <w:ind w:left="0"/>
              <w:rPr>
                <w:rFonts w:ascii="Times New Roman"/>
                <w:sz w:val="20"/>
              </w:rPr>
            </w:pPr>
          </w:p>
        </w:tc>
      </w:tr>
    </w:tbl>
    <w:p>
      <w:pPr>
        <w:spacing w:after="0"/>
        <w:rPr>
          <w:rFonts w:ascii="Times New Roman"/>
          <w:sz w:val="20"/>
        </w:rPr>
        <w:sectPr>
          <w:type w:val="continuous"/>
          <w:pgSz w:w="11910" w:h="16850"/>
          <w:pgMar w:top="360" w:bottom="280" w:left="760" w:right="1340"/>
        </w:sectPr>
      </w:pPr>
    </w:p>
    <w:p>
      <w:pPr>
        <w:pStyle w:val="BodyText"/>
        <w:ind w:left="1891"/>
        <w:rPr>
          <w:sz w:val="20"/>
        </w:rPr>
      </w:pPr>
      <w:r>
        <w:rPr>
          <w:sz w:val="20"/>
        </w:rPr>
        <w:drawing>
          <wp:inline distT="0" distB="0" distL="0" distR="0">
            <wp:extent cx="3609035" cy="886396"/>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0" cstate="print"/>
                    <a:stretch>
                      <a:fillRect/>
                    </a:stretch>
                  </pic:blipFill>
                  <pic:spPr>
                    <a:xfrm>
                      <a:off x="0" y="0"/>
                      <a:ext cx="3609035" cy="886396"/>
                    </a:xfrm>
                    <a:prstGeom prst="rect">
                      <a:avLst/>
                    </a:prstGeom>
                  </pic:spPr>
                </pic:pic>
              </a:graphicData>
            </a:graphic>
          </wp:inline>
        </w:drawing>
      </w:r>
      <w:r>
        <w:rPr>
          <w:sz w:val="20"/>
        </w:rPr>
      </w:r>
    </w:p>
    <w:p>
      <w:pPr>
        <w:pStyle w:val="BodyText"/>
        <w:spacing w:before="4"/>
        <w:rPr>
          <w:b/>
          <w:sz w:val="15"/>
        </w:rPr>
      </w:pPr>
    </w:p>
    <w:p>
      <w:pPr>
        <w:pStyle w:val="Heading1"/>
        <w:ind w:left="2325"/>
      </w:pPr>
      <w:r>
        <w:rPr/>
        <w:t>中意附加一生保重大疾病保险条款</w:t>
      </w:r>
    </w:p>
    <w:p>
      <w:pPr>
        <w:pStyle w:val="BodyText"/>
        <w:rPr>
          <w:b/>
          <w:sz w:val="32"/>
        </w:rPr>
      </w:pPr>
    </w:p>
    <w:p>
      <w:pPr>
        <w:pStyle w:val="BodyText"/>
        <w:spacing w:line="259" w:lineRule="auto" w:before="243"/>
        <w:ind w:left="200" w:right="223" w:firstLine="418"/>
        <w:jc w:val="both"/>
      </w:pPr>
      <w:r>
        <w:rPr>
          <w:spacing w:val="-2"/>
          <w:w w:val="95"/>
        </w:rPr>
        <w:t>在本条款中，</w:t>
      </w:r>
      <w:r>
        <w:rPr>
          <w:rFonts w:ascii="Times New Roman" w:hAnsi="Times New Roman" w:eastAsia="Times New Roman"/>
          <w:spacing w:val="-11"/>
          <w:w w:val="95"/>
        </w:rPr>
        <w:t>“</w:t>
      </w:r>
      <w:r>
        <w:rPr>
          <w:w w:val="95"/>
        </w:rPr>
        <w:t>您</w:t>
      </w:r>
      <w:r>
        <w:rPr>
          <w:rFonts w:ascii="Times New Roman" w:hAnsi="Times New Roman" w:eastAsia="Times New Roman"/>
          <w:spacing w:val="6"/>
          <w:w w:val="95"/>
        </w:rPr>
        <w:t>”</w:t>
      </w:r>
      <w:r>
        <w:rPr>
          <w:spacing w:val="-2"/>
          <w:w w:val="95"/>
        </w:rPr>
        <w:t>指投保人，</w:t>
      </w:r>
      <w:r>
        <w:rPr>
          <w:rFonts w:ascii="Times New Roman" w:hAnsi="Times New Roman" w:eastAsia="Times New Roman"/>
          <w:spacing w:val="-11"/>
          <w:w w:val="95"/>
        </w:rPr>
        <w:t>“</w:t>
      </w:r>
      <w:r>
        <w:rPr>
          <w:w w:val="95"/>
        </w:rPr>
        <w:t>我们</w:t>
      </w:r>
      <w:r>
        <w:rPr>
          <w:rFonts w:ascii="Times New Roman" w:hAnsi="Times New Roman" w:eastAsia="Times New Roman"/>
          <w:w w:val="95"/>
        </w:rPr>
        <w:t>”</w:t>
      </w:r>
      <w:r>
        <w:rPr>
          <w:spacing w:val="-15"/>
          <w:w w:val="95"/>
        </w:rPr>
        <w:t>、</w:t>
      </w:r>
      <w:r>
        <w:rPr>
          <w:rFonts w:ascii="Times New Roman" w:hAnsi="Times New Roman" w:eastAsia="Times New Roman"/>
          <w:w w:val="95"/>
        </w:rPr>
        <w:t>“</w:t>
      </w:r>
      <w:r>
        <w:rPr>
          <w:w w:val="95"/>
        </w:rPr>
        <w:t>本公司</w:t>
      </w:r>
      <w:r>
        <w:rPr>
          <w:rFonts w:ascii="Times New Roman" w:hAnsi="Times New Roman" w:eastAsia="Times New Roman"/>
          <w:w w:val="95"/>
        </w:rPr>
        <w:t>”</w:t>
      </w:r>
      <w:r>
        <w:rPr>
          <w:spacing w:val="-1"/>
          <w:w w:val="95"/>
        </w:rPr>
        <w:t>均指中意人寿保险有限公司，</w:t>
      </w:r>
      <w:r>
        <w:rPr>
          <w:rFonts w:ascii="Times New Roman" w:hAnsi="Times New Roman" w:eastAsia="Times New Roman"/>
          <w:spacing w:val="-10"/>
          <w:w w:val="95"/>
        </w:rPr>
        <w:t>“</w:t>
      </w:r>
      <w:r>
        <w:rPr>
          <w:w w:val="95"/>
        </w:rPr>
        <w:t>本附加合同</w:t>
      </w:r>
      <w:r>
        <w:rPr>
          <w:rFonts w:ascii="Times New Roman" w:hAnsi="Times New Roman" w:eastAsia="Times New Roman"/>
          <w:w w:val="95"/>
        </w:rPr>
        <w:t>”</w:t>
      </w:r>
      <w:r>
        <w:rPr>
          <w:w w:val="95"/>
        </w:rPr>
        <w:t>指您   </w:t>
      </w:r>
      <w:r>
        <w:rPr/>
        <w:t>与我们之间订立的</w:t>
      </w:r>
      <w:r>
        <w:rPr>
          <w:rFonts w:ascii="Times New Roman" w:hAnsi="Times New Roman" w:eastAsia="Times New Roman"/>
          <w:spacing w:val="-7"/>
        </w:rPr>
        <w:t>“</w:t>
      </w:r>
      <w:r>
        <w:rPr/>
        <w:t>中意附加一生保提前给付疾病保险</w:t>
      </w:r>
      <w:r>
        <w:rPr>
          <w:rFonts w:ascii="Times New Roman" w:hAnsi="Times New Roman" w:eastAsia="Times New Roman"/>
        </w:rPr>
        <w:t>”</w:t>
      </w:r>
      <w:r>
        <w:rPr/>
        <w:t>的保险合同。本产品可通过电话营销渠道、</w:t>
      </w:r>
      <w:r>
        <w:rPr>
          <w:w w:val="95"/>
        </w:rPr>
        <w:t>网络营销渠道及本公司的其他销售渠道销售。</w:t>
      </w:r>
    </w:p>
    <w:p>
      <w:pPr>
        <w:pStyle w:val="BodyText"/>
        <w:spacing w:before="1"/>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2251"/>
        <w:gridCol w:w="6301"/>
      </w:tblGrid>
      <w:tr>
        <w:trPr>
          <w:trHeight w:val="354" w:hRule="atLeast"/>
        </w:trPr>
        <w:tc>
          <w:tcPr>
            <w:tcW w:w="718" w:type="dxa"/>
            <w:tcBorders>
              <w:bottom w:val="single" w:sz="4" w:space="0" w:color="000000"/>
            </w:tcBorders>
          </w:tcPr>
          <w:p>
            <w:pPr>
              <w:pStyle w:val="TableParagraph"/>
              <w:spacing w:line="261" w:lineRule="exact"/>
              <w:ind w:left="115"/>
              <w:rPr>
                <w:rFonts w:ascii="Times New Roman"/>
                <w:b/>
                <w:sz w:val="23"/>
              </w:rPr>
            </w:pPr>
            <w:r>
              <w:rPr>
                <w:rFonts w:ascii="Times New Roman"/>
                <w:b/>
                <w:w w:val="103"/>
                <w:sz w:val="23"/>
              </w:rPr>
              <w:t>1</w:t>
            </w:r>
          </w:p>
        </w:tc>
        <w:tc>
          <w:tcPr>
            <w:tcW w:w="8552" w:type="dxa"/>
            <w:gridSpan w:val="2"/>
            <w:tcBorders>
              <w:bottom w:val="single" w:sz="4" w:space="0" w:color="000000"/>
            </w:tcBorders>
          </w:tcPr>
          <w:p>
            <w:pPr>
              <w:pStyle w:val="TableParagraph"/>
              <w:spacing w:line="237" w:lineRule="exact"/>
              <w:ind w:left="348"/>
              <w:rPr>
                <w:b/>
                <w:sz w:val="23"/>
              </w:rPr>
            </w:pPr>
            <w:r>
              <w:rPr>
                <w:b/>
                <w:sz w:val="23"/>
              </w:rPr>
              <w:t>您与我们订立的合同</w:t>
            </w:r>
          </w:p>
        </w:tc>
      </w:tr>
      <w:tr>
        <w:trPr>
          <w:trHeight w:val="1400" w:hRule="atLeast"/>
        </w:trPr>
        <w:tc>
          <w:tcPr>
            <w:tcW w:w="718" w:type="dxa"/>
            <w:tcBorders>
              <w:top w:val="single" w:sz="4" w:space="0" w:color="000000"/>
            </w:tcBorders>
          </w:tcPr>
          <w:p>
            <w:pPr>
              <w:pStyle w:val="TableParagraph"/>
              <w:spacing w:before="33"/>
              <w:ind w:left="115"/>
              <w:rPr>
                <w:rFonts w:ascii="Times New Roman"/>
                <w:sz w:val="21"/>
              </w:rPr>
            </w:pPr>
            <w:r>
              <w:rPr>
                <w:rFonts w:ascii="Times New Roman"/>
                <w:sz w:val="21"/>
              </w:rPr>
              <w:t>1.1</w:t>
            </w:r>
          </w:p>
        </w:tc>
        <w:tc>
          <w:tcPr>
            <w:tcW w:w="2251" w:type="dxa"/>
            <w:tcBorders>
              <w:top w:val="single" w:sz="4" w:space="0" w:color="000000"/>
            </w:tcBorders>
          </w:tcPr>
          <w:p>
            <w:pPr>
              <w:pStyle w:val="TableParagraph"/>
              <w:spacing w:line="259" w:lineRule="exact"/>
              <w:ind w:left="348"/>
              <w:rPr>
                <w:b/>
                <w:sz w:val="21"/>
              </w:rPr>
            </w:pPr>
            <w:r>
              <w:rPr>
                <w:b/>
                <w:w w:val="95"/>
                <w:sz w:val="21"/>
              </w:rPr>
              <w:t>合同构成</w:t>
            </w:r>
          </w:p>
        </w:tc>
        <w:tc>
          <w:tcPr>
            <w:tcW w:w="6301" w:type="dxa"/>
            <w:tcBorders>
              <w:top w:val="single" w:sz="4" w:space="0" w:color="000000"/>
            </w:tcBorders>
          </w:tcPr>
          <w:p>
            <w:pPr>
              <w:pStyle w:val="TableParagraph"/>
              <w:spacing w:line="259" w:lineRule="exact"/>
              <w:ind w:left="107"/>
              <w:rPr>
                <w:sz w:val="21"/>
              </w:rPr>
            </w:pPr>
            <w:r>
              <w:rPr>
                <w:w w:val="95"/>
                <w:sz w:val="21"/>
              </w:rPr>
              <w:t>本附加合同可以附加于我们供您选择的人身保险合同（以下简称主</w:t>
            </w:r>
          </w:p>
          <w:p>
            <w:pPr>
              <w:pStyle w:val="TableParagraph"/>
              <w:spacing w:line="273" w:lineRule="auto" w:before="34"/>
              <w:ind w:left="107" w:right="115"/>
              <w:jc w:val="both"/>
              <w:rPr>
                <w:sz w:val="21"/>
              </w:rPr>
            </w:pPr>
            <w:r>
              <w:rPr>
                <w:w w:val="95"/>
                <w:sz w:val="21"/>
              </w:rPr>
              <w:t>合同）。如您申请投保本附加合同，经我们审核同意后可以订立本 附加合同。主合同的条款也适用于本附加合同，若互有冲突，则以 本附加合同为准。</w:t>
            </w:r>
          </w:p>
        </w:tc>
      </w:tr>
      <w:tr>
        <w:trPr>
          <w:trHeight w:val="2182" w:hRule="atLeast"/>
        </w:trPr>
        <w:tc>
          <w:tcPr>
            <w:tcW w:w="718" w:type="dxa"/>
          </w:tcPr>
          <w:p>
            <w:pPr>
              <w:pStyle w:val="TableParagraph"/>
              <w:spacing w:before="195"/>
              <w:ind w:left="115"/>
              <w:rPr>
                <w:rFonts w:ascii="Times New Roman"/>
                <w:sz w:val="21"/>
              </w:rPr>
            </w:pPr>
            <w:r>
              <w:rPr>
                <w:rFonts w:ascii="Times New Roman"/>
                <w:sz w:val="21"/>
              </w:rPr>
              <w:t>1.2</w:t>
            </w:r>
          </w:p>
        </w:tc>
        <w:tc>
          <w:tcPr>
            <w:tcW w:w="2251" w:type="dxa"/>
          </w:tcPr>
          <w:p>
            <w:pPr>
              <w:pStyle w:val="TableParagraph"/>
              <w:spacing w:line="271" w:lineRule="auto" w:before="146"/>
              <w:ind w:left="348" w:right="102"/>
              <w:rPr>
                <w:b/>
                <w:sz w:val="21"/>
              </w:rPr>
            </w:pPr>
            <w:r>
              <w:rPr>
                <w:b/>
                <w:w w:val="95"/>
                <w:sz w:val="21"/>
              </w:rPr>
              <w:t>保险合同成立与生</w:t>
            </w:r>
            <w:r>
              <w:rPr>
                <w:b/>
                <w:sz w:val="21"/>
              </w:rPr>
              <w:t>效</w:t>
            </w:r>
          </w:p>
        </w:tc>
        <w:tc>
          <w:tcPr>
            <w:tcW w:w="6301" w:type="dxa"/>
          </w:tcPr>
          <w:p>
            <w:pPr>
              <w:pStyle w:val="TableParagraph"/>
              <w:spacing w:before="146"/>
              <w:ind w:left="107"/>
              <w:rPr>
                <w:sz w:val="21"/>
              </w:rPr>
            </w:pPr>
            <w:r>
              <w:rPr>
                <w:w w:val="95"/>
                <w:sz w:val="21"/>
              </w:rPr>
              <w:t>您提出保险申请、我们同意承保，本附加合同成立。</w:t>
            </w:r>
          </w:p>
          <w:p>
            <w:pPr>
              <w:pStyle w:val="TableParagraph"/>
              <w:spacing w:line="273" w:lineRule="auto" w:before="35"/>
              <w:ind w:left="107" w:right="115"/>
              <w:jc w:val="both"/>
              <w:rPr>
                <w:sz w:val="21"/>
              </w:rPr>
            </w:pPr>
            <w:r>
              <w:rPr>
                <w:spacing w:val="-1"/>
                <w:w w:val="95"/>
                <w:sz w:val="21"/>
              </w:rPr>
              <w:t>本附加合同自我们同意承保、收取首期保险费并签发保险单后开始 生效，合同生效日期在保险单上载明。保单年度、保险费约定支付 日均以该日期计算。</w:t>
            </w:r>
          </w:p>
          <w:p>
            <w:pPr>
              <w:pStyle w:val="TableParagraph"/>
              <w:spacing w:line="271" w:lineRule="auto" w:before="5"/>
              <w:ind w:left="107" w:right="107"/>
              <w:jc w:val="both"/>
              <w:rPr>
                <w:b/>
                <w:sz w:val="21"/>
              </w:rPr>
            </w:pPr>
            <w:r>
              <w:rPr>
                <w:b/>
                <w:w w:val="95"/>
                <w:sz w:val="21"/>
              </w:rPr>
              <w:t>我们自保险单上约定的生效日的次日零时起开始承担本附加合同 约定的保险责任。</w:t>
            </w:r>
          </w:p>
        </w:tc>
      </w:tr>
      <w:tr>
        <w:trPr>
          <w:trHeight w:val="944" w:hRule="atLeast"/>
        </w:trPr>
        <w:tc>
          <w:tcPr>
            <w:tcW w:w="718" w:type="dxa"/>
          </w:tcPr>
          <w:p>
            <w:pPr>
              <w:pStyle w:val="TableParagraph"/>
              <w:spacing w:before="195"/>
              <w:ind w:left="115"/>
              <w:rPr>
                <w:rFonts w:ascii="Times New Roman"/>
                <w:sz w:val="21"/>
              </w:rPr>
            </w:pPr>
            <w:r>
              <w:rPr>
                <w:rFonts w:ascii="Times New Roman"/>
                <w:sz w:val="21"/>
              </w:rPr>
              <w:t>1.3</w:t>
            </w:r>
          </w:p>
        </w:tc>
        <w:tc>
          <w:tcPr>
            <w:tcW w:w="2251" w:type="dxa"/>
          </w:tcPr>
          <w:p>
            <w:pPr>
              <w:pStyle w:val="TableParagraph"/>
              <w:spacing w:before="146"/>
              <w:ind w:left="348"/>
              <w:rPr>
                <w:b/>
                <w:sz w:val="21"/>
              </w:rPr>
            </w:pPr>
            <w:r>
              <w:rPr>
                <w:b/>
                <w:w w:val="95"/>
                <w:sz w:val="21"/>
              </w:rPr>
              <w:t>投保年龄</w:t>
            </w:r>
          </w:p>
        </w:tc>
        <w:tc>
          <w:tcPr>
            <w:tcW w:w="6301" w:type="dxa"/>
          </w:tcPr>
          <w:p>
            <w:pPr>
              <w:pStyle w:val="TableParagraph"/>
              <w:spacing w:line="271" w:lineRule="auto" w:before="146"/>
              <w:ind w:left="107" w:right="742"/>
              <w:rPr>
                <w:sz w:val="21"/>
              </w:rPr>
            </w:pPr>
            <w:r>
              <w:rPr>
                <w:w w:val="95"/>
                <w:sz w:val="21"/>
              </w:rPr>
              <w:t>指您投保本附加合同时被保险人的年龄，年龄以周岁计算。 本附加合同所接受的投保年龄为出生满</w:t>
            </w:r>
            <w:r>
              <w:rPr>
                <w:rFonts w:ascii="Times New Roman" w:eastAsia="Times New Roman"/>
                <w:spacing w:val="-4"/>
                <w:w w:val="95"/>
                <w:sz w:val="21"/>
              </w:rPr>
              <w:t>7</w:t>
            </w:r>
            <w:r>
              <w:rPr>
                <w:spacing w:val="2"/>
                <w:w w:val="95"/>
                <w:sz w:val="21"/>
              </w:rPr>
              <w:t>天至</w:t>
            </w:r>
            <w:r>
              <w:rPr>
                <w:rFonts w:ascii="Times New Roman" w:eastAsia="Times New Roman"/>
                <w:w w:val="95"/>
                <w:sz w:val="21"/>
              </w:rPr>
              <w:t>65</w:t>
            </w:r>
            <w:r>
              <w:rPr>
                <w:w w:val="95"/>
                <w:sz w:val="21"/>
              </w:rPr>
              <w:t>周岁。</w:t>
            </w:r>
          </w:p>
        </w:tc>
      </w:tr>
      <w:tr>
        <w:trPr>
          <w:trHeight w:val="626" w:hRule="atLeast"/>
        </w:trPr>
        <w:tc>
          <w:tcPr>
            <w:tcW w:w="718" w:type="dxa"/>
          </w:tcPr>
          <w:p>
            <w:pPr>
              <w:pStyle w:val="TableParagraph"/>
              <w:spacing w:before="187"/>
              <w:ind w:left="115"/>
              <w:rPr>
                <w:rFonts w:ascii="Times New Roman"/>
                <w:sz w:val="21"/>
              </w:rPr>
            </w:pPr>
            <w:r>
              <w:rPr>
                <w:rFonts w:ascii="Times New Roman"/>
                <w:sz w:val="21"/>
              </w:rPr>
              <w:t>1.4</w:t>
            </w:r>
          </w:p>
        </w:tc>
        <w:tc>
          <w:tcPr>
            <w:tcW w:w="2251" w:type="dxa"/>
          </w:tcPr>
          <w:p>
            <w:pPr>
              <w:pStyle w:val="TableParagraph"/>
              <w:spacing w:before="138"/>
              <w:ind w:left="348"/>
              <w:rPr>
                <w:b/>
                <w:sz w:val="21"/>
              </w:rPr>
            </w:pPr>
            <w:r>
              <w:rPr>
                <w:b/>
                <w:w w:val="95"/>
                <w:sz w:val="21"/>
              </w:rPr>
              <w:t>合同的签收</w:t>
            </w:r>
          </w:p>
        </w:tc>
        <w:tc>
          <w:tcPr>
            <w:tcW w:w="6301" w:type="dxa"/>
          </w:tcPr>
          <w:p>
            <w:pPr>
              <w:pStyle w:val="TableParagraph"/>
              <w:spacing w:before="138"/>
              <w:ind w:left="107"/>
              <w:rPr>
                <w:sz w:val="21"/>
              </w:rPr>
            </w:pPr>
            <w:r>
              <w:rPr>
                <w:w w:val="95"/>
                <w:sz w:val="21"/>
              </w:rPr>
              <w:t>在您收到本附加合同时，您应当签署本附加合同的签收回执。</w:t>
            </w:r>
          </w:p>
        </w:tc>
      </w:tr>
      <w:tr>
        <w:trPr>
          <w:trHeight w:val="2831" w:hRule="atLeast"/>
        </w:trPr>
        <w:tc>
          <w:tcPr>
            <w:tcW w:w="718" w:type="dxa"/>
          </w:tcPr>
          <w:p>
            <w:pPr>
              <w:pStyle w:val="TableParagraph"/>
              <w:spacing w:before="187"/>
              <w:ind w:left="115"/>
              <w:rPr>
                <w:rFonts w:ascii="Times New Roman"/>
                <w:sz w:val="21"/>
              </w:rPr>
            </w:pPr>
            <w:r>
              <w:rPr>
                <w:rFonts w:ascii="Times New Roman"/>
                <w:sz w:val="21"/>
              </w:rPr>
              <w:t>1.5</w:t>
            </w:r>
          </w:p>
        </w:tc>
        <w:tc>
          <w:tcPr>
            <w:tcW w:w="2251" w:type="dxa"/>
          </w:tcPr>
          <w:p>
            <w:pPr>
              <w:pStyle w:val="TableParagraph"/>
              <w:spacing w:before="138"/>
              <w:ind w:left="348"/>
              <w:rPr>
                <w:b/>
                <w:sz w:val="21"/>
              </w:rPr>
            </w:pPr>
            <w:r>
              <w:rPr>
                <w:b/>
                <w:w w:val="95"/>
                <w:sz w:val="21"/>
              </w:rPr>
              <w:t>犹豫期</w:t>
            </w:r>
          </w:p>
        </w:tc>
        <w:tc>
          <w:tcPr>
            <w:tcW w:w="6301" w:type="dxa"/>
          </w:tcPr>
          <w:p>
            <w:pPr>
              <w:pStyle w:val="TableParagraph"/>
              <w:spacing w:line="261" w:lineRule="auto" w:before="138"/>
              <w:ind w:left="107" w:right="107"/>
              <w:jc w:val="both"/>
              <w:rPr>
                <w:sz w:val="21"/>
              </w:rPr>
            </w:pPr>
            <w:r>
              <w:rPr>
                <w:w w:val="95"/>
                <w:sz w:val="21"/>
              </w:rPr>
              <w:t>自您签收本附加合同的次日起，有</w:t>
            </w:r>
            <w:r>
              <w:rPr>
                <w:rFonts w:ascii="Times New Roman" w:eastAsia="Times New Roman"/>
                <w:w w:val="95"/>
                <w:sz w:val="21"/>
              </w:rPr>
              <w:t>10</w:t>
            </w:r>
            <w:r>
              <w:rPr>
                <w:w w:val="95"/>
                <w:sz w:val="21"/>
              </w:rPr>
              <w:t>日的犹豫期（通过商业银行投 保的，有</w:t>
            </w:r>
            <w:r>
              <w:rPr>
                <w:rFonts w:ascii="Times New Roman" w:eastAsia="Times New Roman"/>
                <w:w w:val="95"/>
                <w:sz w:val="21"/>
              </w:rPr>
              <w:t>15</w:t>
            </w:r>
            <w:r>
              <w:rPr>
                <w:w w:val="95"/>
                <w:sz w:val="21"/>
              </w:rPr>
              <w:t>日的犹豫期）。在此期间，请您仔细阅读本附加合同， 如果您认为本附加合同与您的需求不相符，您可以在犹豫期结束前 解除本附加合同，我们将在扣除不超过</w:t>
            </w:r>
            <w:r>
              <w:rPr>
                <w:rFonts w:ascii="Times New Roman" w:eastAsia="Times New Roman"/>
                <w:w w:val="95"/>
                <w:sz w:val="21"/>
              </w:rPr>
              <w:t>10</w:t>
            </w:r>
            <w:r>
              <w:rPr>
                <w:w w:val="95"/>
                <w:sz w:val="21"/>
              </w:rPr>
              <w:t>元的工本费后无息退还您 所支付的保险费。</w:t>
            </w:r>
          </w:p>
          <w:p>
            <w:pPr>
              <w:pStyle w:val="TableParagraph"/>
              <w:spacing w:line="273" w:lineRule="auto" w:before="15"/>
              <w:ind w:left="107" w:right="115"/>
              <w:jc w:val="both"/>
              <w:rPr>
                <w:sz w:val="21"/>
              </w:rPr>
            </w:pPr>
            <w:r>
              <w:rPr>
                <w:w w:val="95"/>
                <w:sz w:val="21"/>
              </w:rPr>
              <w:t>解除本附加合同时，您需要填写申请书，并提供您的保险合同及有 效身份证件。自您书面申请解除本附加合同之日起，本附加合同即 被解除，我们自本附加合同生效日起不承担保险责任。</w:t>
            </w:r>
          </w:p>
        </w:tc>
      </w:tr>
      <w:tr>
        <w:trPr>
          <w:trHeight w:val="591" w:hRule="atLeast"/>
        </w:trPr>
        <w:tc>
          <w:tcPr>
            <w:tcW w:w="718" w:type="dxa"/>
            <w:tcBorders>
              <w:bottom w:val="single" w:sz="6" w:space="0" w:color="000000"/>
            </w:tcBorders>
          </w:tcPr>
          <w:p>
            <w:pPr>
              <w:pStyle w:val="TableParagraph"/>
              <w:spacing w:before="233"/>
              <w:ind w:left="115"/>
              <w:rPr>
                <w:rFonts w:ascii="Times New Roman"/>
                <w:b/>
                <w:sz w:val="23"/>
              </w:rPr>
            </w:pPr>
            <w:r>
              <w:rPr>
                <w:rFonts w:ascii="Times New Roman"/>
                <w:b/>
                <w:w w:val="103"/>
                <w:sz w:val="23"/>
              </w:rPr>
              <w:t>2</w:t>
            </w:r>
          </w:p>
        </w:tc>
        <w:tc>
          <w:tcPr>
            <w:tcW w:w="2251" w:type="dxa"/>
            <w:tcBorders>
              <w:bottom w:val="single" w:sz="6" w:space="0" w:color="000000"/>
            </w:tcBorders>
          </w:tcPr>
          <w:p>
            <w:pPr>
              <w:pStyle w:val="TableParagraph"/>
              <w:spacing w:before="171"/>
              <w:ind w:left="348"/>
              <w:rPr>
                <w:b/>
                <w:sz w:val="23"/>
              </w:rPr>
            </w:pPr>
            <w:r>
              <w:rPr>
                <w:b/>
                <w:sz w:val="23"/>
              </w:rPr>
              <w:t>我们提供的保障</w:t>
            </w:r>
          </w:p>
        </w:tc>
        <w:tc>
          <w:tcPr>
            <w:tcW w:w="6301" w:type="dxa"/>
            <w:tcBorders>
              <w:bottom w:val="single" w:sz="6" w:space="0" w:color="000000"/>
            </w:tcBorders>
          </w:tcPr>
          <w:p>
            <w:pPr>
              <w:pStyle w:val="TableParagraph"/>
              <w:ind w:left="0"/>
              <w:rPr>
                <w:rFonts w:ascii="Times New Roman"/>
                <w:sz w:val="20"/>
              </w:rPr>
            </w:pPr>
          </w:p>
        </w:tc>
      </w:tr>
      <w:tr>
        <w:trPr>
          <w:trHeight w:val="1663" w:hRule="atLeast"/>
        </w:trPr>
        <w:tc>
          <w:tcPr>
            <w:tcW w:w="718" w:type="dxa"/>
            <w:tcBorders>
              <w:top w:val="single" w:sz="6" w:space="0" w:color="000000"/>
            </w:tcBorders>
          </w:tcPr>
          <w:p>
            <w:pPr>
              <w:pStyle w:val="TableParagraph"/>
              <w:spacing w:before="41"/>
              <w:ind w:left="115"/>
              <w:rPr>
                <w:rFonts w:ascii="Times New Roman"/>
                <w:sz w:val="21"/>
              </w:rPr>
            </w:pPr>
            <w:r>
              <w:rPr>
                <w:rFonts w:ascii="Times New Roman"/>
                <w:sz w:val="21"/>
              </w:rPr>
              <w:t>2.1</w:t>
            </w:r>
          </w:p>
        </w:tc>
        <w:tc>
          <w:tcPr>
            <w:tcW w:w="2251" w:type="dxa"/>
            <w:tcBorders>
              <w:top w:val="single" w:sz="6" w:space="0" w:color="000000"/>
            </w:tcBorders>
          </w:tcPr>
          <w:p>
            <w:pPr>
              <w:pStyle w:val="TableParagraph"/>
              <w:spacing w:line="267" w:lineRule="exact"/>
              <w:ind w:left="348"/>
              <w:rPr>
                <w:b/>
                <w:sz w:val="21"/>
              </w:rPr>
            </w:pPr>
            <w:r>
              <w:rPr>
                <w:b/>
                <w:w w:val="95"/>
                <w:sz w:val="21"/>
              </w:rPr>
              <w:t>基本保险金额</w:t>
            </w:r>
          </w:p>
        </w:tc>
        <w:tc>
          <w:tcPr>
            <w:tcW w:w="6301" w:type="dxa"/>
            <w:tcBorders>
              <w:top w:val="single" w:sz="6" w:space="0" w:color="000000"/>
            </w:tcBorders>
          </w:tcPr>
          <w:p>
            <w:pPr>
              <w:pStyle w:val="TableParagraph"/>
              <w:spacing w:line="266" w:lineRule="exact" w:before="3"/>
              <w:ind w:left="107" w:right="71"/>
              <w:rPr>
                <w:sz w:val="21"/>
              </w:rPr>
            </w:pPr>
            <w:r>
              <w:rPr>
                <w:w w:val="95"/>
                <w:sz w:val="21"/>
              </w:rPr>
              <w:t>本附加合同的基本保险金额由您在投保时与我们约定，并在保险单 上载明。如果该基本保险金额有所变更，以变更后的基本保险金额</w:t>
            </w:r>
          </w:p>
          <w:p>
            <w:pPr>
              <w:pStyle w:val="TableParagraph"/>
              <w:spacing w:line="274" w:lineRule="exact" w:before="1"/>
              <w:ind w:left="107" w:right="317"/>
              <w:rPr>
                <w:sz w:val="21"/>
              </w:rPr>
            </w:pPr>
            <w:r>
              <w:rPr>
                <w:w w:val="95"/>
                <w:sz w:val="21"/>
              </w:rPr>
              <w:t>为准。本附加合同的基本保险金额不得超过主合同的基本保险金 额。</w:t>
            </w:r>
          </w:p>
          <w:p>
            <w:pPr>
              <w:pStyle w:val="TableParagraph"/>
              <w:spacing w:line="270" w:lineRule="exact"/>
              <w:ind w:left="107"/>
              <w:rPr>
                <w:sz w:val="21"/>
              </w:rPr>
            </w:pPr>
            <w:r>
              <w:rPr>
                <w:w w:val="95"/>
                <w:sz w:val="21"/>
              </w:rPr>
              <w:t>若主合同因给付保险金导致其基本保险金额降低，则本附加合同的</w:t>
            </w:r>
          </w:p>
          <w:p>
            <w:pPr>
              <w:pStyle w:val="TableParagraph"/>
              <w:spacing w:line="255" w:lineRule="exact" w:before="35"/>
              <w:ind w:left="107"/>
              <w:rPr>
                <w:sz w:val="21"/>
              </w:rPr>
            </w:pPr>
            <w:r>
              <w:rPr>
                <w:w w:val="95"/>
                <w:sz w:val="21"/>
              </w:rPr>
              <w:t>基本保险金额同比例降低。</w:t>
            </w:r>
          </w:p>
        </w:tc>
      </w:tr>
    </w:tbl>
    <w:p>
      <w:pPr>
        <w:spacing w:after="0" w:line="255" w:lineRule="exact"/>
        <w:rPr>
          <w:sz w:val="21"/>
        </w:rPr>
        <w:sectPr>
          <w:footerReference w:type="default" r:id="rId8"/>
          <w:footerReference w:type="even" r:id="rId9"/>
          <w:pgSz w:w="11910" w:h="16850"/>
          <w:pgMar w:footer="773" w:header="0" w:top="1120" w:bottom="960" w:left="1500" w:right="920"/>
          <w:pgNumType w:start="1"/>
        </w:sectPr>
      </w:pPr>
    </w:p>
    <w:p>
      <w:pPr>
        <w:pStyle w:val="BodyText"/>
        <w:spacing w:before="2"/>
        <w:rPr>
          <w:rFonts w:ascii="Times New Roman"/>
          <w:sz w:val="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2116"/>
        <w:gridCol w:w="6359"/>
      </w:tblGrid>
      <w:tr>
        <w:trPr>
          <w:trHeight w:val="687" w:hRule="atLeast"/>
        </w:trPr>
        <w:tc>
          <w:tcPr>
            <w:tcW w:w="798" w:type="dxa"/>
          </w:tcPr>
          <w:p>
            <w:pPr>
              <w:pStyle w:val="TableParagraph"/>
              <w:spacing w:line="231" w:lineRule="exact"/>
              <w:ind w:left="115"/>
              <w:rPr>
                <w:rFonts w:ascii="Times New Roman"/>
                <w:sz w:val="21"/>
              </w:rPr>
            </w:pPr>
            <w:r>
              <w:rPr>
                <w:rFonts w:ascii="Times New Roman"/>
                <w:sz w:val="21"/>
              </w:rPr>
              <w:t>2.2</w:t>
            </w:r>
          </w:p>
        </w:tc>
        <w:tc>
          <w:tcPr>
            <w:tcW w:w="2116" w:type="dxa"/>
          </w:tcPr>
          <w:p>
            <w:pPr>
              <w:pStyle w:val="TableParagraph"/>
              <w:spacing w:line="216" w:lineRule="exact"/>
              <w:ind w:left="268"/>
              <w:rPr>
                <w:b/>
                <w:sz w:val="21"/>
              </w:rPr>
            </w:pPr>
            <w:r>
              <w:rPr>
                <w:b/>
                <w:w w:val="95"/>
                <w:sz w:val="21"/>
              </w:rPr>
              <w:t>保险期间</w:t>
            </w:r>
          </w:p>
        </w:tc>
        <w:tc>
          <w:tcPr>
            <w:tcW w:w="6359" w:type="dxa"/>
          </w:tcPr>
          <w:p>
            <w:pPr>
              <w:pStyle w:val="TableParagraph"/>
              <w:spacing w:line="216" w:lineRule="exact"/>
              <w:ind w:left="162"/>
              <w:rPr>
                <w:sz w:val="21"/>
              </w:rPr>
            </w:pPr>
            <w:r>
              <w:rPr>
                <w:w w:val="95"/>
                <w:sz w:val="21"/>
              </w:rPr>
              <w:t>本附加合同的保险期间为终身，自生效日的次日零时起至本附加合</w:t>
            </w:r>
          </w:p>
          <w:p>
            <w:pPr>
              <w:pStyle w:val="TableParagraph"/>
              <w:spacing w:before="42"/>
              <w:ind w:left="162"/>
              <w:rPr>
                <w:sz w:val="21"/>
              </w:rPr>
            </w:pPr>
            <w:r>
              <w:rPr>
                <w:w w:val="95"/>
                <w:sz w:val="21"/>
              </w:rPr>
              <w:t>同终止日止，并于保险单上载明。</w:t>
            </w:r>
          </w:p>
        </w:tc>
      </w:tr>
      <w:tr>
        <w:trPr>
          <w:trHeight w:val="1113" w:hRule="atLeast"/>
        </w:trPr>
        <w:tc>
          <w:tcPr>
            <w:tcW w:w="798" w:type="dxa"/>
          </w:tcPr>
          <w:p>
            <w:pPr>
              <w:pStyle w:val="TableParagraph"/>
              <w:spacing w:before="166"/>
              <w:ind w:left="115"/>
              <w:rPr>
                <w:rFonts w:ascii="Times New Roman"/>
                <w:sz w:val="21"/>
              </w:rPr>
            </w:pPr>
            <w:r>
              <w:rPr>
                <w:rFonts w:ascii="Times New Roman"/>
                <w:sz w:val="21"/>
              </w:rPr>
              <w:t>2.3</w:t>
            </w:r>
          </w:p>
        </w:tc>
        <w:tc>
          <w:tcPr>
            <w:tcW w:w="2116" w:type="dxa"/>
          </w:tcPr>
          <w:p>
            <w:pPr>
              <w:pStyle w:val="TableParagraph"/>
              <w:spacing w:before="117"/>
              <w:ind w:left="268"/>
              <w:rPr>
                <w:b/>
                <w:sz w:val="21"/>
              </w:rPr>
            </w:pPr>
            <w:r>
              <w:rPr>
                <w:b/>
                <w:w w:val="95"/>
                <w:sz w:val="21"/>
              </w:rPr>
              <w:t>等待期</w:t>
            </w:r>
          </w:p>
        </w:tc>
        <w:tc>
          <w:tcPr>
            <w:tcW w:w="6359" w:type="dxa"/>
          </w:tcPr>
          <w:p>
            <w:pPr>
              <w:pStyle w:val="TableParagraph"/>
              <w:spacing w:line="282" w:lineRule="exact" w:before="96"/>
              <w:ind w:left="162"/>
              <w:rPr>
                <w:b/>
                <w:sz w:val="21"/>
              </w:rPr>
            </w:pPr>
            <w:r>
              <w:rPr>
                <w:b/>
                <w:spacing w:val="-12"/>
                <w:w w:val="99"/>
                <w:sz w:val="21"/>
              </w:rPr>
              <w:t>从本附加合同生效</w:t>
            </w:r>
            <w:r>
              <w:rPr>
                <w:b/>
                <w:w w:val="99"/>
                <w:sz w:val="21"/>
              </w:rPr>
              <w:t>（</w:t>
            </w:r>
            <w:r>
              <w:rPr>
                <w:b/>
                <w:spacing w:val="0"/>
                <w:w w:val="99"/>
                <w:sz w:val="21"/>
              </w:rPr>
              <w:t>或最后复效</w:t>
            </w:r>
            <w:r>
              <w:rPr>
                <w:b/>
                <w:spacing w:val="-101"/>
                <w:w w:val="99"/>
                <w:sz w:val="21"/>
              </w:rPr>
              <w:t>）</w:t>
            </w:r>
            <w:r>
              <w:rPr>
                <w:b/>
                <w:w w:val="99"/>
                <w:sz w:val="21"/>
              </w:rPr>
              <w:t>之日</w:t>
            </w:r>
            <w:r>
              <w:rPr>
                <w:b/>
                <w:spacing w:val="-45"/>
                <w:sz w:val="21"/>
              </w:rPr>
              <w:t> </w:t>
            </w:r>
            <w:r>
              <w:rPr>
                <w:rFonts w:ascii="Times New Roman" w:eastAsia="Times New Roman"/>
                <w:b/>
                <w:spacing w:val="2"/>
                <w:w w:val="99"/>
                <w:sz w:val="21"/>
              </w:rPr>
              <w:t>9</w:t>
            </w:r>
            <w:r>
              <w:rPr>
                <w:rFonts w:ascii="Times New Roman" w:eastAsia="Times New Roman"/>
                <w:b/>
                <w:w w:val="99"/>
                <w:sz w:val="21"/>
              </w:rPr>
              <w:t>0</w:t>
            </w:r>
            <w:r>
              <w:rPr>
                <w:rFonts w:ascii="Times New Roman" w:eastAsia="Times New Roman"/>
                <w:b/>
                <w:spacing w:val="-6"/>
                <w:sz w:val="21"/>
              </w:rPr>
              <w:t> </w:t>
            </w:r>
            <w:r>
              <w:rPr>
                <w:b/>
                <w:spacing w:val="-22"/>
                <w:w w:val="99"/>
                <w:sz w:val="21"/>
              </w:rPr>
              <w:t>天内，被保险人发病</w:t>
            </w:r>
            <w:r>
              <w:rPr>
                <w:b/>
                <w:spacing w:val="6"/>
                <w:w w:val="99"/>
                <w:sz w:val="21"/>
              </w:rPr>
              <w:t>（</w:t>
            </w:r>
            <w:r>
              <w:rPr>
                <w:rFonts w:ascii="Times New Roman" w:eastAsia="Times New Roman"/>
                <w:b/>
                <w:spacing w:val="2"/>
                <w:w w:val="99"/>
                <w:sz w:val="21"/>
              </w:rPr>
              <w:t>8</w:t>
            </w:r>
            <w:r>
              <w:rPr>
                <w:rFonts w:ascii="Times New Roman" w:eastAsia="Times New Roman"/>
                <w:b/>
                <w:spacing w:val="-2"/>
                <w:w w:val="99"/>
                <w:sz w:val="21"/>
              </w:rPr>
              <w:t>.</w:t>
            </w:r>
            <w:r>
              <w:rPr>
                <w:rFonts w:ascii="Times New Roman" w:eastAsia="Times New Roman"/>
                <w:b/>
                <w:spacing w:val="-4"/>
                <w:w w:val="99"/>
                <w:sz w:val="21"/>
              </w:rPr>
              <w:t>1</w:t>
            </w:r>
            <w:r>
              <w:rPr>
                <w:b/>
                <w:spacing w:val="-101"/>
                <w:w w:val="99"/>
                <w:sz w:val="21"/>
              </w:rPr>
              <w:t>）</w:t>
            </w:r>
            <w:r>
              <w:rPr>
                <w:b/>
                <w:w w:val="99"/>
                <w:sz w:val="21"/>
              </w:rPr>
              <w:t>，</w:t>
            </w:r>
          </w:p>
          <w:p>
            <w:pPr>
              <w:pStyle w:val="TableParagraph"/>
              <w:spacing w:line="274" w:lineRule="exact"/>
              <w:ind w:left="162"/>
              <w:rPr>
                <w:b/>
                <w:sz w:val="21"/>
              </w:rPr>
            </w:pPr>
            <w:r>
              <w:rPr>
                <w:b/>
                <w:sz w:val="21"/>
              </w:rPr>
              <w:t>我们不承担保险责任。这 </w:t>
            </w:r>
            <w:r>
              <w:rPr>
                <w:rFonts w:ascii="Times New Roman" w:eastAsia="Times New Roman"/>
                <w:b/>
                <w:sz w:val="21"/>
              </w:rPr>
              <w:t>90 </w:t>
            </w:r>
            <w:r>
              <w:rPr>
                <w:b/>
                <w:sz w:val="21"/>
              </w:rPr>
              <w:t>天的时间称为等待期</w:t>
            </w:r>
            <w:r>
              <w:rPr>
                <w:sz w:val="21"/>
              </w:rPr>
              <w:t>。但因</w:t>
            </w:r>
            <w:r>
              <w:rPr>
                <w:b/>
                <w:sz w:val="21"/>
              </w:rPr>
              <w:t>意外伤害</w:t>
            </w:r>
          </w:p>
          <w:p>
            <w:pPr>
              <w:pStyle w:val="TableParagraph"/>
              <w:spacing w:line="282" w:lineRule="exact"/>
              <w:ind w:left="162"/>
              <w:rPr>
                <w:sz w:val="21"/>
              </w:rPr>
            </w:pPr>
            <w:r>
              <w:rPr>
                <w:b/>
                <w:sz w:val="21"/>
              </w:rPr>
              <w:t>（</w:t>
            </w:r>
            <w:r>
              <w:rPr>
                <w:rFonts w:ascii="Times New Roman" w:eastAsia="Times New Roman"/>
                <w:b/>
                <w:sz w:val="21"/>
              </w:rPr>
              <w:t>8.2</w:t>
            </w:r>
            <w:r>
              <w:rPr>
                <w:b/>
                <w:sz w:val="21"/>
              </w:rPr>
              <w:t>）</w:t>
            </w:r>
            <w:r>
              <w:rPr>
                <w:sz w:val="21"/>
              </w:rPr>
              <w:t>事故引起的第 </w:t>
            </w:r>
            <w:r>
              <w:rPr>
                <w:rFonts w:ascii="Times New Roman" w:eastAsia="Times New Roman"/>
                <w:sz w:val="21"/>
              </w:rPr>
              <w:t>7 </w:t>
            </w:r>
            <w:r>
              <w:rPr>
                <w:sz w:val="21"/>
              </w:rPr>
              <w:t>条约定的疾病无等待期。</w:t>
            </w:r>
          </w:p>
        </w:tc>
      </w:tr>
      <w:tr>
        <w:trPr>
          <w:trHeight w:val="562" w:hRule="atLeast"/>
        </w:trPr>
        <w:tc>
          <w:tcPr>
            <w:tcW w:w="798" w:type="dxa"/>
          </w:tcPr>
          <w:p>
            <w:pPr>
              <w:pStyle w:val="TableParagraph"/>
              <w:spacing w:before="185"/>
              <w:ind w:left="216"/>
              <w:rPr>
                <w:rFonts w:ascii="Times New Roman"/>
                <w:sz w:val="21"/>
              </w:rPr>
            </w:pPr>
            <w:r>
              <w:rPr>
                <w:rFonts w:ascii="Times New Roman"/>
                <w:sz w:val="21"/>
              </w:rPr>
              <w:t>2.4</w:t>
            </w:r>
          </w:p>
        </w:tc>
        <w:tc>
          <w:tcPr>
            <w:tcW w:w="2116" w:type="dxa"/>
          </w:tcPr>
          <w:p>
            <w:pPr>
              <w:pStyle w:val="TableParagraph"/>
              <w:spacing w:before="135"/>
              <w:ind w:left="268"/>
              <w:rPr>
                <w:b/>
                <w:sz w:val="21"/>
              </w:rPr>
            </w:pPr>
            <w:r>
              <w:rPr>
                <w:b/>
                <w:w w:val="95"/>
                <w:sz w:val="21"/>
              </w:rPr>
              <w:t>保险责任</w:t>
            </w:r>
          </w:p>
        </w:tc>
        <w:tc>
          <w:tcPr>
            <w:tcW w:w="6359" w:type="dxa"/>
          </w:tcPr>
          <w:p>
            <w:pPr>
              <w:pStyle w:val="TableParagraph"/>
              <w:spacing w:before="113"/>
              <w:ind w:left="162"/>
              <w:rPr>
                <w:sz w:val="21"/>
              </w:rPr>
            </w:pPr>
            <w:r>
              <w:rPr>
                <w:w w:val="95"/>
                <w:sz w:val="21"/>
              </w:rPr>
              <w:t>在本附加合同有效期内，我们承担如下保险责任：</w:t>
            </w:r>
          </w:p>
        </w:tc>
      </w:tr>
      <w:tr>
        <w:trPr>
          <w:trHeight w:val="2376" w:hRule="atLeast"/>
        </w:trPr>
        <w:tc>
          <w:tcPr>
            <w:tcW w:w="798" w:type="dxa"/>
          </w:tcPr>
          <w:p>
            <w:pPr>
              <w:pStyle w:val="TableParagraph"/>
              <w:spacing w:before="141"/>
              <w:ind w:left="115"/>
              <w:rPr>
                <w:rFonts w:ascii="Times New Roman"/>
                <w:sz w:val="21"/>
              </w:rPr>
            </w:pPr>
            <w:r>
              <w:rPr>
                <w:rFonts w:ascii="Times New Roman"/>
                <w:sz w:val="21"/>
              </w:rPr>
              <w:t>2.4.1</w:t>
            </w:r>
          </w:p>
        </w:tc>
        <w:tc>
          <w:tcPr>
            <w:tcW w:w="2116" w:type="dxa"/>
          </w:tcPr>
          <w:p>
            <w:pPr>
              <w:pStyle w:val="TableParagraph"/>
              <w:spacing w:line="271" w:lineRule="auto" w:before="92"/>
              <w:ind w:left="268" w:right="161"/>
              <w:rPr>
                <w:b/>
                <w:sz w:val="21"/>
              </w:rPr>
            </w:pPr>
            <w:r>
              <w:rPr>
                <w:b/>
                <w:w w:val="95"/>
                <w:sz w:val="21"/>
              </w:rPr>
              <w:t>重大疾病提前给付保险金</w:t>
            </w:r>
          </w:p>
        </w:tc>
        <w:tc>
          <w:tcPr>
            <w:tcW w:w="6359" w:type="dxa"/>
          </w:tcPr>
          <w:p>
            <w:pPr>
              <w:pStyle w:val="TableParagraph"/>
              <w:spacing w:line="228" w:lineRule="auto" w:before="84"/>
              <w:ind w:left="162" w:right="114"/>
              <w:jc w:val="both"/>
              <w:rPr>
                <w:sz w:val="21"/>
              </w:rPr>
            </w:pPr>
            <w:r>
              <w:rPr>
                <w:spacing w:val="3"/>
                <w:sz w:val="21"/>
              </w:rPr>
              <w:t>如果被保险人在等待期后首次发病并经专科医生首次确诊患有任</w:t>
            </w:r>
            <w:r>
              <w:rPr>
                <w:spacing w:val="-6"/>
                <w:sz w:val="21"/>
              </w:rPr>
              <w:t>何一项符合我们第 </w:t>
            </w:r>
            <w:r>
              <w:rPr>
                <w:rFonts w:ascii="Times New Roman" w:hAnsi="Times New Roman" w:eastAsia="Times New Roman"/>
                <w:sz w:val="21"/>
              </w:rPr>
              <w:t>7 </w:t>
            </w:r>
            <w:r>
              <w:rPr>
                <w:spacing w:val="-1"/>
                <w:sz w:val="21"/>
              </w:rPr>
              <w:t>条约定的重大疾病，我们将按照本附加合同的</w:t>
            </w:r>
            <w:r>
              <w:rPr>
                <w:spacing w:val="-7"/>
                <w:w w:val="95"/>
                <w:sz w:val="21"/>
              </w:rPr>
              <w:t>基本保险金额给付“重大疾病提前给付保险金”。</w:t>
            </w:r>
          </w:p>
          <w:p>
            <w:pPr>
              <w:pStyle w:val="TableParagraph"/>
              <w:spacing w:before="5"/>
              <w:ind w:left="0"/>
              <w:rPr>
                <w:rFonts w:ascii="Times New Roman"/>
                <w:sz w:val="21"/>
              </w:rPr>
            </w:pPr>
          </w:p>
          <w:p>
            <w:pPr>
              <w:pStyle w:val="TableParagraph"/>
              <w:spacing w:line="237" w:lineRule="auto"/>
              <w:ind w:left="162" w:right="11"/>
              <w:jc w:val="both"/>
              <w:rPr>
                <w:sz w:val="21"/>
              </w:rPr>
            </w:pPr>
            <w:r>
              <w:rPr>
                <w:sz w:val="21"/>
              </w:rPr>
              <w:t>我们给付“重大疾病提前给付保险金”后，本附加合同终止，主合同基本保险金额按给付的重大疾病提前给付保险金等额减少；主合同约定的各项保险责任及保险单上载明的现金价值按减少后的基</w:t>
            </w:r>
            <w:r>
              <w:rPr>
                <w:w w:val="95"/>
                <w:sz w:val="21"/>
              </w:rPr>
              <w:t>本保险金额确定。当主合同基本保险金额减少至零时，主合同终止。</w:t>
            </w:r>
          </w:p>
        </w:tc>
      </w:tr>
      <w:tr>
        <w:trPr>
          <w:trHeight w:val="1761" w:hRule="atLeast"/>
        </w:trPr>
        <w:tc>
          <w:tcPr>
            <w:tcW w:w="798" w:type="dxa"/>
          </w:tcPr>
          <w:p>
            <w:pPr>
              <w:pStyle w:val="TableParagraph"/>
              <w:spacing w:before="148"/>
              <w:ind w:left="115"/>
              <w:rPr>
                <w:rFonts w:ascii="Times New Roman"/>
                <w:sz w:val="21"/>
              </w:rPr>
            </w:pPr>
            <w:r>
              <w:rPr>
                <w:rFonts w:ascii="Times New Roman"/>
                <w:sz w:val="21"/>
              </w:rPr>
              <w:t>2.4.2</w:t>
            </w:r>
          </w:p>
        </w:tc>
        <w:tc>
          <w:tcPr>
            <w:tcW w:w="2116" w:type="dxa"/>
          </w:tcPr>
          <w:p>
            <w:pPr>
              <w:pStyle w:val="TableParagraph"/>
              <w:spacing w:before="99"/>
              <w:ind w:left="268"/>
              <w:rPr>
                <w:b/>
                <w:sz w:val="21"/>
              </w:rPr>
            </w:pPr>
            <w:r>
              <w:rPr>
                <w:b/>
                <w:w w:val="95"/>
                <w:sz w:val="21"/>
              </w:rPr>
              <w:t>未成年人身故返还</w:t>
            </w:r>
          </w:p>
        </w:tc>
        <w:tc>
          <w:tcPr>
            <w:tcW w:w="6359" w:type="dxa"/>
          </w:tcPr>
          <w:p>
            <w:pPr>
              <w:pStyle w:val="TableParagraph"/>
              <w:spacing w:line="266" w:lineRule="auto" w:before="99"/>
              <w:ind w:left="162" w:right="115"/>
              <w:jc w:val="both"/>
              <w:rPr>
                <w:sz w:val="21"/>
              </w:rPr>
            </w:pPr>
            <w:r>
              <w:rPr>
                <w:w w:val="95"/>
                <w:sz w:val="21"/>
              </w:rPr>
              <w:t>若被保险人身故，且被保险人身故时未满</w:t>
            </w:r>
            <w:r>
              <w:rPr>
                <w:rFonts w:ascii="Times New Roman" w:eastAsia="Times New Roman"/>
                <w:w w:val="95"/>
                <w:sz w:val="21"/>
              </w:rPr>
              <w:t>18</w:t>
            </w:r>
            <w:r>
              <w:rPr>
                <w:w w:val="95"/>
                <w:sz w:val="21"/>
              </w:rPr>
              <w:t>周岁，我们将向本合同 </w:t>
            </w:r>
            <w:r>
              <w:rPr>
                <w:spacing w:val="-1"/>
                <w:w w:val="95"/>
                <w:sz w:val="21"/>
              </w:rPr>
              <w:t>的身故保险金受益人给付下列两项金额中的较大者，本合同随即终 止：</w:t>
            </w:r>
          </w:p>
          <w:p>
            <w:pPr>
              <w:pStyle w:val="TableParagraph"/>
              <w:spacing w:before="11"/>
              <w:ind w:left="162"/>
              <w:jc w:val="both"/>
              <w:rPr>
                <w:sz w:val="21"/>
              </w:rPr>
            </w:pPr>
            <w:r>
              <w:rPr>
                <w:w w:val="95"/>
                <w:sz w:val="21"/>
              </w:rPr>
              <w:t>（</w:t>
            </w:r>
            <w:r>
              <w:rPr>
                <w:rFonts w:ascii="Times New Roman" w:eastAsia="Times New Roman"/>
                <w:w w:val="95"/>
                <w:sz w:val="21"/>
              </w:rPr>
              <w:t>1</w:t>
            </w:r>
            <w:r>
              <w:rPr>
                <w:w w:val="95"/>
                <w:sz w:val="21"/>
              </w:rPr>
              <w:t>）累计已支付的本附加合同保险费；</w:t>
            </w:r>
          </w:p>
          <w:p>
            <w:pPr>
              <w:pStyle w:val="TableParagraph"/>
              <w:spacing w:before="4"/>
              <w:ind w:left="162"/>
              <w:jc w:val="both"/>
              <w:rPr>
                <w:sz w:val="21"/>
              </w:rPr>
            </w:pPr>
            <w:r>
              <w:rPr>
                <w:w w:val="99"/>
                <w:sz w:val="21"/>
              </w:rPr>
              <w:t>（</w:t>
            </w:r>
            <w:r>
              <w:rPr>
                <w:rFonts w:ascii="Times New Roman" w:eastAsia="Times New Roman"/>
                <w:spacing w:val="-4"/>
                <w:w w:val="99"/>
                <w:sz w:val="21"/>
              </w:rPr>
              <w:t>2</w:t>
            </w:r>
            <w:r>
              <w:rPr>
                <w:w w:val="99"/>
                <w:sz w:val="21"/>
              </w:rPr>
              <w:t>）本附加合同在被保险人身故时的</w:t>
            </w:r>
            <w:r>
              <w:rPr>
                <w:b/>
                <w:spacing w:val="3"/>
                <w:w w:val="99"/>
                <w:sz w:val="21"/>
              </w:rPr>
              <w:t>现金价值</w:t>
            </w:r>
            <w:r>
              <w:rPr>
                <w:b/>
                <w:w w:val="99"/>
                <w:sz w:val="21"/>
              </w:rPr>
              <w:t>（</w:t>
            </w:r>
            <w:r>
              <w:rPr>
                <w:rFonts w:ascii="Times New Roman" w:eastAsia="Times New Roman"/>
                <w:b/>
                <w:spacing w:val="2"/>
                <w:w w:val="99"/>
                <w:sz w:val="21"/>
              </w:rPr>
              <w:t>8</w:t>
            </w:r>
            <w:r>
              <w:rPr>
                <w:rFonts w:ascii="Times New Roman" w:eastAsia="Times New Roman"/>
                <w:b/>
                <w:spacing w:val="-2"/>
                <w:w w:val="99"/>
                <w:sz w:val="21"/>
              </w:rPr>
              <w:t>.</w:t>
            </w:r>
            <w:r>
              <w:rPr>
                <w:rFonts w:ascii="Times New Roman" w:eastAsia="Times New Roman"/>
                <w:b/>
                <w:spacing w:val="2"/>
                <w:w w:val="99"/>
                <w:sz w:val="21"/>
              </w:rPr>
              <w:t>3</w:t>
            </w:r>
            <w:r>
              <w:rPr>
                <w:b/>
                <w:spacing w:val="-101"/>
                <w:w w:val="99"/>
                <w:sz w:val="21"/>
              </w:rPr>
              <w:t>）</w:t>
            </w:r>
            <w:r>
              <w:rPr>
                <w:w w:val="99"/>
                <w:sz w:val="21"/>
              </w:rPr>
              <w:t>。</w:t>
            </w:r>
          </w:p>
        </w:tc>
      </w:tr>
      <w:tr>
        <w:trPr>
          <w:trHeight w:val="5644" w:hRule="atLeast"/>
        </w:trPr>
        <w:tc>
          <w:tcPr>
            <w:tcW w:w="798" w:type="dxa"/>
          </w:tcPr>
          <w:p>
            <w:pPr>
              <w:pStyle w:val="TableParagraph"/>
              <w:spacing w:before="151"/>
              <w:ind w:left="115"/>
              <w:rPr>
                <w:rFonts w:ascii="Times New Roman"/>
                <w:sz w:val="21"/>
              </w:rPr>
            </w:pPr>
            <w:r>
              <w:rPr>
                <w:rFonts w:ascii="Times New Roman"/>
                <w:sz w:val="21"/>
              </w:rPr>
              <w:t>2.5</w:t>
            </w:r>
          </w:p>
        </w:tc>
        <w:tc>
          <w:tcPr>
            <w:tcW w:w="2116" w:type="dxa"/>
          </w:tcPr>
          <w:p>
            <w:pPr>
              <w:pStyle w:val="TableParagraph"/>
              <w:spacing w:before="102"/>
              <w:ind w:left="268"/>
              <w:rPr>
                <w:b/>
                <w:sz w:val="21"/>
              </w:rPr>
            </w:pPr>
            <w:r>
              <w:rPr>
                <w:b/>
                <w:w w:val="95"/>
                <w:sz w:val="21"/>
              </w:rPr>
              <w:t>责任免除</w:t>
            </w:r>
          </w:p>
        </w:tc>
        <w:tc>
          <w:tcPr>
            <w:tcW w:w="6359" w:type="dxa"/>
          </w:tcPr>
          <w:p>
            <w:pPr>
              <w:pStyle w:val="TableParagraph"/>
              <w:spacing w:line="225" w:lineRule="auto" w:before="98"/>
              <w:ind w:left="162" w:right="135"/>
              <w:rPr>
                <w:b/>
                <w:sz w:val="21"/>
              </w:rPr>
            </w:pPr>
            <w:r>
              <w:rPr>
                <w:b/>
                <w:spacing w:val="-5"/>
                <w:sz w:val="21"/>
              </w:rPr>
              <w:t>因下列情形之一导致被保险人发生第 </w:t>
            </w:r>
            <w:r>
              <w:rPr>
                <w:rFonts w:ascii="Times New Roman" w:eastAsia="Times New Roman"/>
                <w:b/>
                <w:sz w:val="21"/>
              </w:rPr>
              <w:t>7 </w:t>
            </w:r>
            <w:r>
              <w:rPr>
                <w:b/>
                <w:spacing w:val="-6"/>
                <w:sz w:val="21"/>
              </w:rPr>
              <w:t>条所约定的重大疾病的，我</w:t>
            </w:r>
            <w:r>
              <w:rPr>
                <w:b/>
                <w:w w:val="95"/>
                <w:sz w:val="21"/>
              </w:rPr>
              <w:t>们不承担给付保险金的责任：</w:t>
            </w:r>
          </w:p>
          <w:p>
            <w:pPr>
              <w:pStyle w:val="TableParagraph"/>
              <w:spacing w:before="20"/>
              <w:ind w:left="162"/>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pStyle w:val="TableParagraph"/>
              <w:spacing w:line="256" w:lineRule="auto" w:before="19"/>
              <w:ind w:left="162" w:right="191"/>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 </w:t>
            </w:r>
            <w:r>
              <w:rPr>
                <w:b/>
                <w:spacing w:val="0"/>
                <w:w w:val="95"/>
                <w:sz w:val="21"/>
              </w:rPr>
              <w:t>措施；</w:t>
            </w:r>
          </w:p>
          <w:p>
            <w:pPr>
              <w:pStyle w:val="TableParagraph"/>
              <w:spacing w:before="26"/>
              <w:ind w:left="162"/>
              <w:rPr>
                <w:b/>
                <w:sz w:val="21"/>
              </w:rPr>
            </w:pPr>
            <w:r>
              <w:rPr>
                <w:b/>
                <w:w w:val="95"/>
                <w:sz w:val="21"/>
              </w:rPr>
              <w:t>（</w:t>
            </w:r>
            <w:r>
              <w:rPr>
                <w:rFonts w:ascii="Times New Roman" w:eastAsia="Times New Roman"/>
                <w:b/>
                <w:w w:val="95"/>
                <w:sz w:val="21"/>
              </w:rPr>
              <w:t>3</w:t>
            </w:r>
            <w:r>
              <w:rPr>
                <w:b/>
                <w:w w:val="95"/>
                <w:sz w:val="21"/>
              </w:rPr>
              <w:t>）被保险人服用、吸食或注射毒品；</w:t>
            </w:r>
          </w:p>
          <w:p>
            <w:pPr>
              <w:pStyle w:val="TableParagraph"/>
              <w:spacing w:line="256" w:lineRule="auto" w:before="18"/>
              <w:ind w:left="162" w:right="191"/>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 行驶证的机动车；</w:t>
            </w:r>
          </w:p>
          <w:p>
            <w:pPr>
              <w:pStyle w:val="TableParagraph"/>
              <w:spacing w:before="27"/>
              <w:ind w:left="162"/>
              <w:jc w:val="both"/>
              <w:rPr>
                <w:b/>
                <w:sz w:val="21"/>
              </w:rPr>
            </w:pPr>
            <w:r>
              <w:rPr>
                <w:b/>
                <w:spacing w:val="6"/>
                <w:w w:val="99"/>
                <w:sz w:val="21"/>
              </w:rPr>
              <w:t>（</w:t>
            </w:r>
            <w:r>
              <w:rPr>
                <w:rFonts w:ascii="Times New Roman" w:eastAsia="Times New Roman"/>
                <w:b/>
                <w:spacing w:val="-4"/>
                <w:w w:val="99"/>
                <w:sz w:val="21"/>
              </w:rPr>
              <w:t>5</w:t>
            </w:r>
            <w:r>
              <w:rPr>
                <w:b/>
                <w:w w:val="99"/>
                <w:sz w:val="21"/>
              </w:rPr>
              <w:t>）被保险人感染艾滋病病毒或患艾滋病（</w:t>
            </w:r>
            <w:r>
              <w:rPr>
                <w:rFonts w:ascii="Times New Roman" w:eastAsia="Times New Roman"/>
                <w:b/>
                <w:spacing w:val="2"/>
                <w:w w:val="99"/>
                <w:sz w:val="21"/>
              </w:rPr>
              <w:t>8</w:t>
            </w:r>
            <w:r>
              <w:rPr>
                <w:rFonts w:ascii="Times New Roman" w:eastAsia="Times New Roman"/>
                <w:b/>
                <w:spacing w:val="-2"/>
                <w:w w:val="99"/>
                <w:sz w:val="21"/>
              </w:rPr>
              <w:t>.</w:t>
            </w:r>
            <w:r>
              <w:rPr>
                <w:rFonts w:ascii="Times New Roman" w:eastAsia="Times New Roman"/>
                <w:b/>
                <w:spacing w:val="2"/>
                <w:w w:val="99"/>
                <w:sz w:val="21"/>
              </w:rPr>
              <w:t>4</w:t>
            </w:r>
            <w:r>
              <w:rPr>
                <w:b/>
                <w:spacing w:val="-108"/>
                <w:w w:val="99"/>
                <w:sz w:val="21"/>
              </w:rPr>
              <w:t>）</w:t>
            </w:r>
            <w:r>
              <w:rPr>
                <w:b/>
                <w:w w:val="99"/>
                <w:sz w:val="21"/>
              </w:rPr>
              <w:t>；</w:t>
            </w:r>
          </w:p>
          <w:p>
            <w:pPr>
              <w:pStyle w:val="TableParagraph"/>
              <w:spacing w:before="18"/>
              <w:ind w:left="162"/>
              <w:jc w:val="both"/>
              <w:rPr>
                <w:b/>
                <w:sz w:val="21"/>
              </w:rPr>
            </w:pPr>
            <w:r>
              <w:rPr>
                <w:b/>
                <w:w w:val="95"/>
                <w:sz w:val="21"/>
              </w:rPr>
              <w:t>（</w:t>
            </w:r>
            <w:r>
              <w:rPr>
                <w:rFonts w:ascii="Times New Roman" w:eastAsia="Times New Roman"/>
                <w:b/>
                <w:w w:val="95"/>
                <w:sz w:val="21"/>
              </w:rPr>
              <w:t>6</w:t>
            </w:r>
            <w:r>
              <w:rPr>
                <w:b/>
                <w:w w:val="95"/>
                <w:sz w:val="21"/>
              </w:rPr>
              <w:t>）战争、军事冲突、暴乱或武装叛乱；</w:t>
            </w:r>
          </w:p>
          <w:p>
            <w:pPr>
              <w:pStyle w:val="TableParagraph"/>
              <w:spacing w:before="18"/>
              <w:ind w:left="162"/>
              <w:jc w:val="both"/>
              <w:rPr>
                <w:b/>
                <w:sz w:val="21"/>
              </w:rPr>
            </w:pPr>
            <w:r>
              <w:rPr>
                <w:b/>
                <w:w w:val="95"/>
                <w:sz w:val="21"/>
              </w:rPr>
              <w:t>（</w:t>
            </w:r>
            <w:r>
              <w:rPr>
                <w:rFonts w:ascii="Times New Roman" w:eastAsia="Times New Roman"/>
                <w:b/>
                <w:w w:val="95"/>
                <w:sz w:val="21"/>
              </w:rPr>
              <w:t>7</w:t>
            </w:r>
            <w:r>
              <w:rPr>
                <w:b/>
                <w:w w:val="95"/>
                <w:sz w:val="21"/>
              </w:rPr>
              <w:t>）核爆炸、核辐射或核污染；</w:t>
            </w:r>
          </w:p>
          <w:p>
            <w:pPr>
              <w:pStyle w:val="TableParagraph"/>
              <w:spacing w:before="4"/>
              <w:ind w:left="162"/>
              <w:jc w:val="both"/>
              <w:rPr>
                <w:b/>
                <w:sz w:val="21"/>
              </w:rPr>
            </w:pPr>
            <w:r>
              <w:rPr>
                <w:b/>
                <w:spacing w:val="6"/>
                <w:w w:val="99"/>
                <w:sz w:val="21"/>
              </w:rPr>
              <w:t>（</w:t>
            </w:r>
            <w:r>
              <w:rPr>
                <w:rFonts w:ascii="Times New Roman" w:eastAsia="Times New Roman"/>
                <w:b/>
                <w:spacing w:val="-4"/>
                <w:w w:val="99"/>
                <w:sz w:val="21"/>
              </w:rPr>
              <w:t>8</w:t>
            </w:r>
            <w:r>
              <w:rPr>
                <w:b/>
                <w:w w:val="99"/>
                <w:sz w:val="21"/>
              </w:rPr>
              <w:t>）</w:t>
            </w:r>
            <w:r>
              <w:rPr>
                <w:b/>
                <w:spacing w:val="0"/>
                <w:w w:val="99"/>
                <w:sz w:val="21"/>
              </w:rPr>
              <w:t>遗传性疾病</w:t>
            </w:r>
            <w:r>
              <w:rPr>
                <w:b/>
                <w:w w:val="99"/>
                <w:sz w:val="21"/>
              </w:rPr>
              <w:t>（</w:t>
            </w:r>
            <w:r>
              <w:rPr>
                <w:rFonts w:ascii="Times New Roman" w:eastAsia="Times New Roman"/>
                <w:b/>
                <w:spacing w:val="2"/>
                <w:w w:val="99"/>
                <w:sz w:val="21"/>
              </w:rPr>
              <w:t>8</w:t>
            </w:r>
            <w:r>
              <w:rPr>
                <w:rFonts w:ascii="Times New Roman" w:eastAsia="Times New Roman"/>
                <w:b/>
                <w:spacing w:val="-2"/>
                <w:w w:val="99"/>
                <w:sz w:val="21"/>
              </w:rPr>
              <w:t>.</w:t>
            </w:r>
            <w:r>
              <w:rPr>
                <w:rFonts w:ascii="Times New Roman" w:eastAsia="Times New Roman"/>
                <w:b/>
                <w:spacing w:val="2"/>
                <w:w w:val="99"/>
                <w:sz w:val="21"/>
              </w:rPr>
              <w:t>5</w:t>
            </w:r>
            <w:r>
              <w:rPr>
                <w:b/>
                <w:spacing w:val="-108"/>
                <w:w w:val="99"/>
                <w:sz w:val="21"/>
              </w:rPr>
              <w:t>）</w:t>
            </w:r>
            <w:r>
              <w:rPr>
                <w:b/>
                <w:w w:val="99"/>
                <w:sz w:val="21"/>
              </w:rPr>
              <w:t>、先天性畸形、变形或染色体异常</w:t>
            </w:r>
            <w:r>
              <w:rPr>
                <w:b/>
                <w:spacing w:val="6"/>
                <w:w w:val="99"/>
                <w:sz w:val="21"/>
              </w:rPr>
              <w:t>（</w:t>
            </w:r>
            <w:r>
              <w:rPr>
                <w:rFonts w:ascii="Times New Roman" w:eastAsia="Times New Roman"/>
                <w:b/>
                <w:spacing w:val="2"/>
                <w:w w:val="99"/>
                <w:sz w:val="21"/>
              </w:rPr>
              <w:t>8</w:t>
            </w:r>
            <w:r>
              <w:rPr>
                <w:rFonts w:ascii="Times New Roman" w:eastAsia="Times New Roman"/>
                <w:b/>
                <w:spacing w:val="-2"/>
                <w:w w:val="99"/>
                <w:sz w:val="21"/>
              </w:rPr>
              <w:t>.</w:t>
            </w:r>
            <w:r>
              <w:rPr>
                <w:rFonts w:ascii="Times New Roman" w:eastAsia="Times New Roman"/>
                <w:b/>
                <w:spacing w:val="-4"/>
                <w:w w:val="99"/>
                <w:sz w:val="21"/>
              </w:rPr>
              <w:t>6</w:t>
            </w:r>
            <w:r>
              <w:rPr>
                <w:b/>
                <w:spacing w:val="-101"/>
                <w:w w:val="99"/>
                <w:sz w:val="21"/>
              </w:rPr>
              <w:t>）</w:t>
            </w:r>
            <w:r>
              <w:rPr>
                <w:b/>
                <w:w w:val="99"/>
                <w:sz w:val="21"/>
              </w:rPr>
              <w:t>。</w:t>
            </w:r>
          </w:p>
          <w:p>
            <w:pPr>
              <w:pStyle w:val="TableParagraph"/>
              <w:spacing w:before="3"/>
              <w:ind w:left="0"/>
              <w:rPr>
                <w:rFonts w:ascii="Times New Roman"/>
                <w:sz w:val="27"/>
              </w:rPr>
            </w:pPr>
          </w:p>
          <w:p>
            <w:pPr>
              <w:pStyle w:val="TableParagraph"/>
              <w:spacing w:line="266" w:lineRule="auto"/>
              <w:ind w:left="162" w:right="78"/>
              <w:jc w:val="both"/>
              <w:rPr>
                <w:b/>
                <w:sz w:val="21"/>
              </w:rPr>
            </w:pPr>
            <w:r>
              <w:rPr>
                <w:b/>
                <w:spacing w:val="-10"/>
                <w:sz w:val="21"/>
              </w:rPr>
              <w:t>发生上述第 </w:t>
            </w:r>
            <w:r>
              <w:rPr>
                <w:rFonts w:ascii="Times New Roman" w:eastAsia="Times New Roman"/>
                <w:b/>
                <w:sz w:val="21"/>
              </w:rPr>
              <w:t>1 </w:t>
            </w:r>
            <w:r>
              <w:rPr>
                <w:b/>
                <w:spacing w:val="-5"/>
                <w:sz w:val="21"/>
              </w:rPr>
              <w:t>项情形导致被保险人患有第 </w:t>
            </w:r>
            <w:r>
              <w:rPr>
                <w:rFonts w:ascii="Times New Roman" w:eastAsia="Times New Roman"/>
                <w:b/>
                <w:sz w:val="21"/>
              </w:rPr>
              <w:t>7 </w:t>
            </w:r>
            <w:r>
              <w:rPr>
                <w:b/>
                <w:sz w:val="21"/>
              </w:rPr>
              <w:t>条约定的重大疾病的， </w:t>
            </w:r>
            <w:r>
              <w:rPr>
                <w:b/>
                <w:spacing w:val="3"/>
                <w:sz w:val="21"/>
              </w:rPr>
              <w:t>本附加合同效力终止，我们向被保险人退还本附加合同的现金价</w:t>
            </w:r>
            <w:r>
              <w:rPr>
                <w:b/>
                <w:spacing w:val="5"/>
                <w:w w:val="95"/>
                <w:sz w:val="21"/>
              </w:rPr>
              <w:t>值。</w:t>
            </w:r>
          </w:p>
          <w:p>
            <w:pPr>
              <w:pStyle w:val="TableParagraph"/>
              <w:spacing w:line="256" w:lineRule="auto" w:before="11"/>
              <w:ind w:left="162" w:right="135"/>
              <w:rPr>
                <w:b/>
                <w:sz w:val="21"/>
              </w:rPr>
            </w:pPr>
            <w:r>
              <w:rPr>
                <w:b/>
                <w:spacing w:val="-4"/>
                <w:sz w:val="21"/>
              </w:rPr>
              <w:t>发生上述其他情形导致被保险人患有第 </w:t>
            </w:r>
            <w:r>
              <w:rPr>
                <w:rFonts w:ascii="Times New Roman" w:eastAsia="Times New Roman"/>
                <w:b/>
                <w:sz w:val="21"/>
              </w:rPr>
              <w:t>7 </w:t>
            </w:r>
            <w:r>
              <w:rPr>
                <w:b/>
                <w:spacing w:val="-6"/>
                <w:sz w:val="21"/>
              </w:rPr>
              <w:t>条约定的重大疾病的，本</w:t>
            </w:r>
            <w:r>
              <w:rPr>
                <w:b/>
                <w:w w:val="95"/>
                <w:sz w:val="21"/>
              </w:rPr>
              <w:t>附加合同效力终止，我们向您退还本附加合同的现金价值。</w:t>
            </w:r>
          </w:p>
        </w:tc>
      </w:tr>
      <w:tr>
        <w:trPr>
          <w:trHeight w:val="435" w:hRule="atLeast"/>
        </w:trPr>
        <w:tc>
          <w:tcPr>
            <w:tcW w:w="798" w:type="dxa"/>
            <w:tcBorders>
              <w:bottom w:val="single" w:sz="4" w:space="0" w:color="000000"/>
            </w:tcBorders>
          </w:tcPr>
          <w:p>
            <w:pPr>
              <w:pStyle w:val="TableParagraph"/>
              <w:spacing w:before="78"/>
              <w:ind w:left="115"/>
              <w:rPr>
                <w:rFonts w:ascii="Times New Roman"/>
                <w:b/>
                <w:sz w:val="23"/>
              </w:rPr>
            </w:pPr>
            <w:r>
              <w:rPr>
                <w:rFonts w:ascii="Times New Roman"/>
                <w:b/>
                <w:w w:val="103"/>
                <w:sz w:val="23"/>
              </w:rPr>
              <w:t>3</w:t>
            </w:r>
          </w:p>
        </w:tc>
        <w:tc>
          <w:tcPr>
            <w:tcW w:w="2116" w:type="dxa"/>
            <w:tcBorders>
              <w:bottom w:val="single" w:sz="4" w:space="0" w:color="000000"/>
            </w:tcBorders>
          </w:tcPr>
          <w:p>
            <w:pPr>
              <w:pStyle w:val="TableParagraph"/>
              <w:spacing w:before="17"/>
              <w:ind w:left="268"/>
              <w:rPr>
                <w:b/>
                <w:sz w:val="23"/>
              </w:rPr>
            </w:pPr>
            <w:r>
              <w:rPr>
                <w:b/>
                <w:sz w:val="23"/>
              </w:rPr>
              <w:t>保险金的申请</w:t>
            </w:r>
          </w:p>
        </w:tc>
        <w:tc>
          <w:tcPr>
            <w:tcW w:w="6359" w:type="dxa"/>
            <w:tcBorders>
              <w:bottom w:val="single" w:sz="4" w:space="0" w:color="000000"/>
            </w:tcBorders>
          </w:tcPr>
          <w:p>
            <w:pPr>
              <w:pStyle w:val="TableParagraph"/>
              <w:ind w:left="0"/>
              <w:rPr>
                <w:rFonts w:ascii="Times New Roman"/>
                <w:sz w:val="20"/>
              </w:rPr>
            </w:pPr>
          </w:p>
        </w:tc>
      </w:tr>
      <w:tr>
        <w:trPr>
          <w:trHeight w:val="1340" w:hRule="atLeast"/>
        </w:trPr>
        <w:tc>
          <w:tcPr>
            <w:tcW w:w="798" w:type="dxa"/>
            <w:tcBorders>
              <w:top w:val="single" w:sz="4" w:space="0" w:color="000000"/>
            </w:tcBorders>
          </w:tcPr>
          <w:p>
            <w:pPr>
              <w:pStyle w:val="TableParagraph"/>
              <w:spacing w:before="33"/>
              <w:ind w:left="115"/>
              <w:rPr>
                <w:rFonts w:ascii="Times New Roman"/>
                <w:sz w:val="21"/>
              </w:rPr>
            </w:pPr>
            <w:r>
              <w:rPr>
                <w:rFonts w:ascii="Times New Roman"/>
                <w:sz w:val="21"/>
              </w:rPr>
              <w:t>3.1</w:t>
            </w:r>
          </w:p>
        </w:tc>
        <w:tc>
          <w:tcPr>
            <w:tcW w:w="2116" w:type="dxa"/>
            <w:tcBorders>
              <w:top w:val="single" w:sz="4" w:space="0" w:color="000000"/>
            </w:tcBorders>
          </w:tcPr>
          <w:p>
            <w:pPr>
              <w:pStyle w:val="TableParagraph"/>
              <w:spacing w:line="259" w:lineRule="exact"/>
              <w:ind w:left="268"/>
              <w:rPr>
                <w:b/>
                <w:sz w:val="21"/>
              </w:rPr>
            </w:pPr>
            <w:r>
              <w:rPr>
                <w:b/>
                <w:w w:val="95"/>
                <w:sz w:val="21"/>
              </w:rPr>
              <w:t>保险金申请</w:t>
            </w:r>
          </w:p>
        </w:tc>
        <w:tc>
          <w:tcPr>
            <w:tcW w:w="6359" w:type="dxa"/>
            <w:tcBorders>
              <w:top w:val="single" w:sz="4" w:space="0" w:color="000000"/>
            </w:tcBorders>
          </w:tcPr>
          <w:p>
            <w:pPr>
              <w:pStyle w:val="TableParagraph"/>
              <w:spacing w:line="236" w:lineRule="exact"/>
              <w:ind w:left="162"/>
              <w:rPr>
                <w:sz w:val="21"/>
              </w:rPr>
            </w:pPr>
            <w:r>
              <w:rPr>
                <w:w w:val="95"/>
                <w:sz w:val="21"/>
              </w:rPr>
              <w:t>申请保险金时，申请人须填写保险金申请书，并须提供下列证明和</w:t>
            </w:r>
          </w:p>
          <w:p>
            <w:pPr>
              <w:pStyle w:val="TableParagraph"/>
              <w:spacing w:line="274" w:lineRule="exact"/>
              <w:ind w:left="162"/>
              <w:rPr>
                <w:sz w:val="21"/>
              </w:rPr>
            </w:pPr>
            <w:r>
              <w:rPr>
                <w:w w:val="95"/>
                <w:sz w:val="21"/>
              </w:rPr>
              <w:t>资料：</w:t>
            </w:r>
          </w:p>
          <w:p>
            <w:pPr>
              <w:pStyle w:val="TableParagraph"/>
              <w:spacing w:line="282" w:lineRule="exact"/>
              <w:ind w:left="162"/>
              <w:rPr>
                <w:sz w:val="21"/>
              </w:rPr>
            </w:pPr>
            <w:r>
              <w:rPr>
                <w:w w:val="95"/>
                <w:sz w:val="21"/>
              </w:rPr>
              <w:t>（</w:t>
            </w:r>
            <w:r>
              <w:rPr>
                <w:rFonts w:ascii="Times New Roman" w:eastAsia="Times New Roman"/>
                <w:w w:val="95"/>
                <w:sz w:val="21"/>
              </w:rPr>
              <w:t>1</w:t>
            </w:r>
            <w:r>
              <w:rPr>
                <w:w w:val="95"/>
                <w:sz w:val="21"/>
              </w:rPr>
              <w:t>）保险合同；</w:t>
            </w:r>
          </w:p>
          <w:p>
            <w:pPr>
              <w:pStyle w:val="TableParagraph"/>
              <w:spacing w:line="270" w:lineRule="exact"/>
              <w:ind w:left="162"/>
              <w:rPr>
                <w:sz w:val="21"/>
              </w:rPr>
            </w:pPr>
            <w:r>
              <w:rPr>
                <w:w w:val="95"/>
                <w:sz w:val="21"/>
              </w:rPr>
              <w:t>（</w:t>
            </w:r>
            <w:r>
              <w:rPr>
                <w:rFonts w:ascii="Times New Roman" w:eastAsia="Times New Roman"/>
                <w:w w:val="95"/>
                <w:sz w:val="21"/>
              </w:rPr>
              <w:t>2</w:t>
            </w:r>
            <w:r>
              <w:rPr>
                <w:w w:val="95"/>
                <w:sz w:val="21"/>
              </w:rPr>
              <w:t>）被保险人或其他有权领取保险金的人的有效身份证件；</w:t>
            </w:r>
          </w:p>
          <w:p>
            <w:pPr>
              <w:pStyle w:val="TableParagraph"/>
              <w:spacing w:line="258" w:lineRule="exact"/>
              <w:ind w:left="162"/>
              <w:rPr>
                <w:sz w:val="21"/>
              </w:rPr>
            </w:pPr>
            <w:r>
              <w:rPr>
                <w:w w:val="95"/>
                <w:sz w:val="21"/>
              </w:rPr>
              <w:t>（</w:t>
            </w:r>
            <w:r>
              <w:rPr>
                <w:rFonts w:ascii="Times New Roman" w:eastAsia="Times New Roman"/>
                <w:w w:val="95"/>
                <w:sz w:val="21"/>
              </w:rPr>
              <w:t>3</w:t>
            </w:r>
            <w:r>
              <w:rPr>
                <w:w w:val="95"/>
                <w:sz w:val="21"/>
              </w:rPr>
              <w:t>）医院出具的诊断证明、病历及检查报告；</w:t>
            </w:r>
          </w:p>
        </w:tc>
      </w:tr>
    </w:tbl>
    <w:p>
      <w:pPr>
        <w:spacing w:after="0" w:line="258" w:lineRule="exact"/>
        <w:rPr>
          <w:sz w:val="21"/>
        </w:rPr>
        <w:sectPr>
          <w:pgSz w:w="11910" w:h="16850"/>
          <w:pgMar w:header="0" w:footer="773" w:top="1600" w:bottom="960" w:left="940" w:right="14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1986"/>
        <w:gridCol w:w="6568"/>
      </w:tblGrid>
      <w:tr>
        <w:trPr>
          <w:trHeight w:val="1310" w:hRule="atLeast"/>
        </w:trPr>
        <w:tc>
          <w:tcPr>
            <w:tcW w:w="718" w:type="dxa"/>
          </w:tcPr>
          <w:p>
            <w:pPr>
              <w:pStyle w:val="TableParagraph"/>
              <w:ind w:left="0"/>
              <w:rPr>
                <w:rFonts w:ascii="Times New Roman"/>
                <w:sz w:val="20"/>
              </w:rPr>
            </w:pPr>
          </w:p>
        </w:tc>
        <w:tc>
          <w:tcPr>
            <w:tcW w:w="1986" w:type="dxa"/>
          </w:tcPr>
          <w:p>
            <w:pPr>
              <w:pStyle w:val="TableParagraph"/>
              <w:ind w:left="0"/>
              <w:rPr>
                <w:rFonts w:ascii="Times New Roman"/>
                <w:sz w:val="20"/>
              </w:rPr>
            </w:pPr>
          </w:p>
        </w:tc>
        <w:tc>
          <w:tcPr>
            <w:tcW w:w="6568" w:type="dxa"/>
          </w:tcPr>
          <w:p>
            <w:pPr>
              <w:pStyle w:val="TableParagraph"/>
              <w:spacing w:line="226" w:lineRule="exact"/>
              <w:ind w:left="372"/>
              <w:rPr>
                <w:sz w:val="21"/>
              </w:rPr>
            </w:pPr>
            <w:r>
              <w:rPr>
                <w:w w:val="95"/>
                <w:sz w:val="21"/>
              </w:rPr>
              <w:t>（</w:t>
            </w:r>
            <w:r>
              <w:rPr>
                <w:rFonts w:ascii="Times New Roman" w:eastAsia="Times New Roman"/>
                <w:w w:val="95"/>
                <w:sz w:val="21"/>
              </w:rPr>
              <w:t>4</w:t>
            </w:r>
            <w:r>
              <w:rPr>
                <w:w w:val="95"/>
                <w:sz w:val="21"/>
              </w:rPr>
              <w:t>）所能提供的与确认保险事故的性质、原因等有关的其他证明</w:t>
            </w:r>
          </w:p>
          <w:p>
            <w:pPr>
              <w:pStyle w:val="TableParagraph"/>
              <w:spacing w:before="26"/>
              <w:ind w:left="372"/>
              <w:rPr>
                <w:sz w:val="21"/>
              </w:rPr>
            </w:pPr>
            <w:r>
              <w:rPr>
                <w:w w:val="95"/>
                <w:sz w:val="21"/>
              </w:rPr>
              <w:t>和资料。</w:t>
            </w:r>
          </w:p>
          <w:p>
            <w:pPr>
              <w:pStyle w:val="TableParagraph"/>
              <w:spacing w:line="271" w:lineRule="auto" w:before="34"/>
              <w:ind w:left="372" w:right="117"/>
              <w:rPr>
                <w:sz w:val="21"/>
              </w:rPr>
            </w:pPr>
            <w:r>
              <w:rPr>
                <w:w w:val="95"/>
                <w:sz w:val="21"/>
              </w:rPr>
              <w:t>以上申请资料和证明不完整的，我们将及时一次性通知申请人补充 提供有关资料和证明。</w:t>
            </w:r>
          </w:p>
        </w:tc>
      </w:tr>
      <w:tr>
        <w:trPr>
          <w:trHeight w:val="4498" w:hRule="atLeast"/>
        </w:trPr>
        <w:tc>
          <w:tcPr>
            <w:tcW w:w="718" w:type="dxa"/>
          </w:tcPr>
          <w:p>
            <w:pPr>
              <w:pStyle w:val="TableParagraph"/>
              <w:spacing w:before="165"/>
              <w:ind w:left="115"/>
              <w:rPr>
                <w:rFonts w:ascii="Times New Roman"/>
                <w:sz w:val="21"/>
              </w:rPr>
            </w:pPr>
            <w:r>
              <w:rPr>
                <w:rFonts w:ascii="Times New Roman"/>
                <w:sz w:val="21"/>
              </w:rPr>
              <w:t>3.2</w:t>
            </w:r>
          </w:p>
        </w:tc>
        <w:tc>
          <w:tcPr>
            <w:tcW w:w="1986" w:type="dxa"/>
          </w:tcPr>
          <w:p>
            <w:pPr>
              <w:pStyle w:val="TableParagraph"/>
              <w:spacing w:before="115"/>
              <w:ind w:left="348"/>
              <w:rPr>
                <w:b/>
                <w:sz w:val="21"/>
              </w:rPr>
            </w:pPr>
            <w:r>
              <w:rPr>
                <w:b/>
                <w:w w:val="95"/>
                <w:sz w:val="21"/>
              </w:rPr>
              <w:t>保险金给付</w:t>
            </w:r>
          </w:p>
        </w:tc>
        <w:tc>
          <w:tcPr>
            <w:tcW w:w="6568" w:type="dxa"/>
          </w:tcPr>
          <w:p>
            <w:pPr>
              <w:pStyle w:val="TableParagraph"/>
              <w:spacing w:line="282" w:lineRule="exact" w:before="94"/>
              <w:ind w:left="372"/>
              <w:jc w:val="both"/>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p>
            <w:pPr>
              <w:pStyle w:val="TableParagraph"/>
              <w:spacing w:line="274" w:lineRule="exact"/>
              <w:ind w:left="372"/>
              <w:jc w:val="both"/>
              <w:rPr>
                <w:sz w:val="21"/>
              </w:rPr>
            </w:pPr>
            <w:r>
              <w:rPr>
                <w:sz w:val="21"/>
              </w:rPr>
              <w:t>日内作出核定；情形复杂的，在 </w:t>
            </w:r>
            <w:r>
              <w:rPr>
                <w:rFonts w:ascii="Times New Roman" w:eastAsia="Times New Roman"/>
                <w:sz w:val="21"/>
              </w:rPr>
              <w:t>30 </w:t>
            </w:r>
            <w:r>
              <w:rPr>
                <w:sz w:val="21"/>
              </w:rPr>
              <w:t>日内作出核定。</w:t>
            </w:r>
          </w:p>
          <w:p>
            <w:pPr>
              <w:pStyle w:val="TableParagraph"/>
              <w:spacing w:line="274" w:lineRule="exact"/>
              <w:ind w:left="372"/>
              <w:jc w:val="both"/>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p>
            <w:pPr>
              <w:pStyle w:val="TableParagraph"/>
              <w:spacing w:line="266" w:lineRule="exact"/>
              <w:ind w:left="372"/>
              <w:jc w:val="both"/>
              <w:rPr>
                <w:sz w:val="21"/>
              </w:rPr>
            </w:pPr>
            <w:r>
              <w:rPr>
                <w:w w:val="95"/>
                <w:sz w:val="21"/>
              </w:rPr>
              <w:t>日内，履行给付保险金义务。</w:t>
            </w:r>
          </w:p>
          <w:p>
            <w:pPr>
              <w:pStyle w:val="TableParagraph"/>
              <w:spacing w:line="237" w:lineRule="auto" w:before="2"/>
              <w:ind w:left="372" w:right="105"/>
              <w:jc w:val="both"/>
              <w:rPr>
                <w:sz w:val="21"/>
              </w:rPr>
            </w:pPr>
            <w:r>
              <w:rPr>
                <w:spacing w:val="-7"/>
                <w:sz w:val="21"/>
              </w:rPr>
              <w:t>我们未及时履行前款规定义务的，除支付保险金外，我们将从第 </w:t>
            </w:r>
            <w:r>
              <w:rPr>
                <w:sz w:val="21"/>
              </w:rPr>
              <w:t>31 </w:t>
            </w:r>
            <w:r>
              <w:rPr>
                <w:spacing w:val="-1"/>
                <w:w w:val="95"/>
                <w:sz w:val="21"/>
              </w:rPr>
              <w:t>日起按超过天数赔偿受益人因此受到的利息损失。利息按照中国人 民银行公布的同期金融机构人民币一年期定期存款利率单利计算。 </w:t>
            </w:r>
            <w:r>
              <w:rPr>
                <w:spacing w:val="-2"/>
                <w:w w:val="95"/>
                <w:sz w:val="21"/>
              </w:rPr>
              <w:t>若我们要求投保人、被保险人或者受益人补充提供有关证明和资料 </w:t>
            </w:r>
            <w:r>
              <w:rPr>
                <w:spacing w:val="-12"/>
                <w:sz w:val="21"/>
              </w:rPr>
              <w:t>的，则上述的 </w:t>
            </w:r>
            <w:r>
              <w:rPr>
                <w:sz w:val="21"/>
              </w:rPr>
              <w:t>30</w:t>
            </w:r>
            <w:r>
              <w:rPr>
                <w:spacing w:val="-7"/>
                <w:sz w:val="21"/>
              </w:rPr>
              <w:t> 日不包括补充提供有关证明和资料的期间。</w:t>
            </w:r>
          </w:p>
          <w:p>
            <w:pPr>
              <w:pStyle w:val="TableParagraph"/>
              <w:spacing w:line="225" w:lineRule="auto" w:before="15"/>
              <w:ind w:left="372" w:right="114"/>
              <w:jc w:val="both"/>
              <w:rPr>
                <w:sz w:val="21"/>
              </w:rPr>
            </w:pPr>
            <w:r>
              <w:rPr>
                <w:spacing w:val="-4"/>
                <w:sz w:val="21"/>
              </w:rPr>
              <w:t>对不属于保险责任的，我们自作出核定之日起 </w:t>
            </w:r>
            <w:r>
              <w:rPr>
                <w:rFonts w:ascii="Times New Roman" w:eastAsia="Times New Roman"/>
                <w:sz w:val="21"/>
              </w:rPr>
              <w:t>3 </w:t>
            </w:r>
            <w:r>
              <w:rPr>
                <w:sz w:val="21"/>
              </w:rPr>
              <w:t>日内向受益人发出</w:t>
            </w:r>
            <w:r>
              <w:rPr>
                <w:w w:val="95"/>
                <w:sz w:val="21"/>
              </w:rPr>
              <w:t>拒绝给付保险金通知书并说明理由。</w:t>
            </w:r>
          </w:p>
          <w:p>
            <w:pPr>
              <w:pStyle w:val="TableParagraph"/>
              <w:spacing w:line="266" w:lineRule="auto" w:before="12"/>
              <w:ind w:left="372" w:right="113"/>
              <w:jc w:val="both"/>
              <w:rPr>
                <w:sz w:val="21"/>
              </w:rPr>
            </w:pPr>
            <w:r>
              <w:rPr>
                <w:spacing w:val="-1"/>
                <w:sz w:val="21"/>
              </w:rPr>
              <w:t>我们在收到保险金给付申请书及有关证明和资料之日起 </w:t>
            </w:r>
            <w:r>
              <w:rPr>
                <w:rFonts w:ascii="Times New Roman" w:eastAsia="Times New Roman"/>
                <w:sz w:val="21"/>
              </w:rPr>
              <w:t>60 </w:t>
            </w:r>
            <w:r>
              <w:rPr>
                <w:sz w:val="21"/>
              </w:rPr>
              <w:t>日内， </w:t>
            </w:r>
            <w:r>
              <w:rPr>
                <w:spacing w:val="-1"/>
                <w:w w:val="95"/>
                <w:sz w:val="21"/>
              </w:rPr>
              <w:t>对给付保险金的数额不能确定的，根据已有证明和资料可以确定的 数额先予支付；我们最终确定给付保险金的数额后，将支付相应的 差额。</w:t>
            </w:r>
          </w:p>
        </w:tc>
      </w:tr>
      <w:tr>
        <w:trPr>
          <w:trHeight w:val="942" w:hRule="atLeast"/>
        </w:trPr>
        <w:tc>
          <w:tcPr>
            <w:tcW w:w="718" w:type="dxa"/>
          </w:tcPr>
          <w:p>
            <w:pPr>
              <w:pStyle w:val="TableParagraph"/>
              <w:spacing w:before="154"/>
              <w:ind w:left="115"/>
              <w:rPr>
                <w:rFonts w:ascii="Times New Roman"/>
                <w:sz w:val="21"/>
              </w:rPr>
            </w:pPr>
            <w:r>
              <w:rPr>
                <w:rFonts w:ascii="Times New Roman"/>
                <w:sz w:val="21"/>
              </w:rPr>
              <w:t>3.3</w:t>
            </w:r>
          </w:p>
        </w:tc>
        <w:tc>
          <w:tcPr>
            <w:tcW w:w="1986" w:type="dxa"/>
          </w:tcPr>
          <w:p>
            <w:pPr>
              <w:pStyle w:val="TableParagraph"/>
              <w:spacing w:before="105"/>
              <w:ind w:left="348"/>
              <w:rPr>
                <w:b/>
                <w:sz w:val="21"/>
              </w:rPr>
            </w:pPr>
            <w:r>
              <w:rPr>
                <w:b/>
                <w:w w:val="95"/>
                <w:sz w:val="21"/>
              </w:rPr>
              <w:t>诉讼时效</w:t>
            </w:r>
          </w:p>
        </w:tc>
        <w:tc>
          <w:tcPr>
            <w:tcW w:w="6568" w:type="dxa"/>
          </w:tcPr>
          <w:p>
            <w:pPr>
              <w:pStyle w:val="TableParagraph"/>
              <w:spacing w:line="276" w:lineRule="auto" w:before="105"/>
              <w:ind w:left="372" w:right="9"/>
              <w:rPr>
                <w:sz w:val="21"/>
              </w:rPr>
            </w:pPr>
            <w:r>
              <w:rPr>
                <w:sz w:val="21"/>
              </w:rPr>
              <w:t>受益人及其他有权领取保险金的人向我们请求给付保险金的诉讼 </w:t>
            </w:r>
            <w:r>
              <w:rPr>
                <w:w w:val="95"/>
                <w:sz w:val="21"/>
              </w:rPr>
              <w:t>时效期间为</w:t>
            </w:r>
            <w:r>
              <w:rPr>
                <w:rFonts w:ascii="Times New Roman" w:eastAsia="Times New Roman"/>
                <w:w w:val="95"/>
                <w:sz w:val="21"/>
              </w:rPr>
              <w:t>2</w:t>
            </w:r>
            <w:r>
              <w:rPr>
                <w:w w:val="95"/>
                <w:sz w:val="21"/>
              </w:rPr>
              <w:t>年，自其知道或者应当知道保险事故发生之日起计算。</w:t>
            </w:r>
          </w:p>
        </w:tc>
      </w:tr>
      <w:tr>
        <w:trPr>
          <w:trHeight w:val="571" w:hRule="atLeast"/>
        </w:trPr>
        <w:tc>
          <w:tcPr>
            <w:tcW w:w="718" w:type="dxa"/>
            <w:tcBorders>
              <w:bottom w:val="single" w:sz="4" w:space="0" w:color="000000"/>
            </w:tcBorders>
          </w:tcPr>
          <w:p>
            <w:pPr>
              <w:pStyle w:val="TableParagraph"/>
              <w:spacing w:before="216"/>
              <w:ind w:left="115"/>
              <w:rPr>
                <w:rFonts w:ascii="Times New Roman"/>
                <w:b/>
                <w:sz w:val="23"/>
              </w:rPr>
            </w:pPr>
            <w:r>
              <w:rPr>
                <w:rFonts w:ascii="Times New Roman"/>
                <w:b/>
                <w:w w:val="103"/>
                <w:sz w:val="23"/>
              </w:rPr>
              <w:t>4</w:t>
            </w:r>
          </w:p>
        </w:tc>
        <w:tc>
          <w:tcPr>
            <w:tcW w:w="1986" w:type="dxa"/>
            <w:tcBorders>
              <w:bottom w:val="single" w:sz="4" w:space="0" w:color="000000"/>
            </w:tcBorders>
          </w:tcPr>
          <w:p>
            <w:pPr>
              <w:pStyle w:val="TableParagraph"/>
              <w:spacing w:before="154"/>
              <w:ind w:left="348"/>
              <w:rPr>
                <w:b/>
                <w:sz w:val="21"/>
              </w:rPr>
            </w:pPr>
            <w:r>
              <w:rPr>
                <w:b/>
                <w:sz w:val="23"/>
              </w:rPr>
              <w:t>保险费的</w:t>
            </w:r>
            <w:r>
              <w:rPr>
                <w:b/>
                <w:sz w:val="21"/>
              </w:rPr>
              <w:t>支付</w:t>
            </w:r>
          </w:p>
        </w:tc>
        <w:tc>
          <w:tcPr>
            <w:tcW w:w="6568" w:type="dxa"/>
            <w:tcBorders>
              <w:bottom w:val="single" w:sz="4" w:space="0" w:color="000000"/>
            </w:tcBorders>
          </w:tcPr>
          <w:p>
            <w:pPr>
              <w:pStyle w:val="TableParagraph"/>
              <w:ind w:left="0"/>
              <w:rPr>
                <w:rFonts w:ascii="Times New Roman"/>
                <w:sz w:val="20"/>
              </w:rPr>
            </w:pPr>
          </w:p>
        </w:tc>
      </w:tr>
      <w:tr>
        <w:trPr>
          <w:trHeight w:val="1252" w:hRule="atLeast"/>
        </w:trPr>
        <w:tc>
          <w:tcPr>
            <w:tcW w:w="718" w:type="dxa"/>
            <w:tcBorders>
              <w:top w:val="single" w:sz="4" w:space="0" w:color="000000"/>
            </w:tcBorders>
          </w:tcPr>
          <w:p>
            <w:pPr>
              <w:pStyle w:val="TableParagraph"/>
              <w:spacing w:before="34"/>
              <w:ind w:left="115"/>
              <w:rPr>
                <w:rFonts w:ascii="Times New Roman"/>
                <w:sz w:val="21"/>
              </w:rPr>
            </w:pPr>
            <w:r>
              <w:rPr>
                <w:rFonts w:ascii="Times New Roman"/>
                <w:sz w:val="21"/>
              </w:rPr>
              <w:t>4.1</w:t>
            </w:r>
          </w:p>
        </w:tc>
        <w:tc>
          <w:tcPr>
            <w:tcW w:w="1986" w:type="dxa"/>
            <w:tcBorders>
              <w:top w:val="single" w:sz="4" w:space="0" w:color="000000"/>
            </w:tcBorders>
          </w:tcPr>
          <w:p>
            <w:pPr>
              <w:pStyle w:val="TableParagraph"/>
              <w:spacing w:line="260" w:lineRule="exact"/>
              <w:ind w:left="348"/>
              <w:rPr>
                <w:b/>
                <w:sz w:val="21"/>
              </w:rPr>
            </w:pPr>
            <w:r>
              <w:rPr>
                <w:b/>
                <w:w w:val="95"/>
                <w:sz w:val="21"/>
              </w:rPr>
              <w:t>保险费支付</w:t>
            </w:r>
          </w:p>
        </w:tc>
        <w:tc>
          <w:tcPr>
            <w:tcW w:w="6568" w:type="dxa"/>
            <w:tcBorders>
              <w:top w:val="single" w:sz="4" w:space="0" w:color="000000"/>
            </w:tcBorders>
          </w:tcPr>
          <w:p>
            <w:pPr>
              <w:pStyle w:val="TableParagraph"/>
              <w:spacing w:line="238" w:lineRule="exact"/>
              <w:ind w:left="372"/>
              <w:rPr>
                <w:sz w:val="21"/>
              </w:rPr>
            </w:pPr>
            <w:r>
              <w:rPr>
                <w:w w:val="95"/>
                <w:sz w:val="21"/>
              </w:rPr>
              <w:t>本附加合同保险费的支付方式和支付期限由您和我们约定并在保</w:t>
            </w:r>
          </w:p>
          <w:p>
            <w:pPr>
              <w:pStyle w:val="TableParagraph"/>
              <w:spacing w:line="270" w:lineRule="exact"/>
              <w:ind w:left="372"/>
              <w:rPr>
                <w:sz w:val="21"/>
              </w:rPr>
            </w:pPr>
            <w:r>
              <w:rPr>
                <w:w w:val="95"/>
                <w:sz w:val="21"/>
              </w:rPr>
              <w:t>险单上载明。</w:t>
            </w:r>
          </w:p>
          <w:p>
            <w:pPr>
              <w:pStyle w:val="TableParagraph"/>
              <w:ind w:left="372" w:right="116"/>
              <w:rPr>
                <w:sz w:val="21"/>
              </w:rPr>
            </w:pPr>
            <w:r>
              <w:rPr>
                <w:w w:val="95"/>
                <w:sz w:val="21"/>
              </w:rPr>
              <w:t>分期支付的保险费，在支付首期保险费后，您应当在每个保险费约 定支付日或之前支付当期保险费。</w:t>
            </w:r>
          </w:p>
        </w:tc>
      </w:tr>
      <w:tr>
        <w:trPr>
          <w:trHeight w:val="2066" w:hRule="atLeast"/>
        </w:trPr>
        <w:tc>
          <w:tcPr>
            <w:tcW w:w="718" w:type="dxa"/>
          </w:tcPr>
          <w:p>
            <w:pPr>
              <w:pStyle w:val="TableParagraph"/>
              <w:spacing w:before="179"/>
              <w:ind w:left="115"/>
              <w:rPr>
                <w:rFonts w:ascii="Times New Roman"/>
                <w:sz w:val="21"/>
              </w:rPr>
            </w:pPr>
            <w:r>
              <w:rPr>
                <w:rFonts w:ascii="Times New Roman"/>
                <w:sz w:val="21"/>
              </w:rPr>
              <w:t>4.2</w:t>
            </w:r>
          </w:p>
        </w:tc>
        <w:tc>
          <w:tcPr>
            <w:tcW w:w="1986" w:type="dxa"/>
          </w:tcPr>
          <w:p>
            <w:pPr>
              <w:pStyle w:val="TableParagraph"/>
              <w:spacing w:before="130"/>
              <w:ind w:left="348"/>
              <w:rPr>
                <w:b/>
                <w:sz w:val="21"/>
              </w:rPr>
            </w:pPr>
            <w:r>
              <w:rPr>
                <w:b/>
                <w:w w:val="95"/>
                <w:sz w:val="21"/>
              </w:rPr>
              <w:t>宽限期</w:t>
            </w:r>
          </w:p>
        </w:tc>
        <w:tc>
          <w:tcPr>
            <w:tcW w:w="6568" w:type="dxa"/>
          </w:tcPr>
          <w:p>
            <w:pPr>
              <w:pStyle w:val="TableParagraph"/>
              <w:spacing w:line="276" w:lineRule="auto" w:before="130"/>
              <w:ind w:left="372" w:right="114"/>
              <w:rPr>
                <w:sz w:val="21"/>
              </w:rPr>
            </w:pPr>
            <w:r>
              <w:rPr>
                <w:w w:val="95"/>
                <w:sz w:val="21"/>
              </w:rPr>
              <w:t>分期支付保险费的，您支付首期保险费后，除本附加合同另有约定 外，如果您到期未支付保险费，自保险费约定支付日的次日零时起</w:t>
            </w:r>
          </w:p>
          <w:p>
            <w:pPr>
              <w:pStyle w:val="TableParagraph"/>
              <w:spacing w:line="256" w:lineRule="auto" w:before="3"/>
              <w:ind w:left="372" w:right="10"/>
              <w:rPr>
                <w:sz w:val="21"/>
              </w:rPr>
            </w:pPr>
            <w:r>
              <w:rPr>
                <w:rFonts w:ascii="Times New Roman" w:eastAsia="Times New Roman"/>
                <w:spacing w:val="-4"/>
                <w:w w:val="95"/>
                <w:sz w:val="21"/>
              </w:rPr>
              <w:t>60</w:t>
            </w:r>
            <w:r>
              <w:rPr>
                <w:spacing w:val="-9"/>
                <w:w w:val="95"/>
                <w:sz w:val="21"/>
              </w:rPr>
              <w:t>日为宽限期。宽限期内发生的保险事故，我们仍会承担保险责任， </w:t>
            </w:r>
            <w:r>
              <w:rPr>
                <w:spacing w:val="-8"/>
                <w:w w:val="95"/>
                <w:sz w:val="21"/>
              </w:rPr>
              <w:t>但在给付保险金时会扣减您欠付的保险费。</w:t>
            </w:r>
          </w:p>
          <w:p>
            <w:pPr>
              <w:pStyle w:val="TableParagraph"/>
              <w:spacing w:before="5"/>
              <w:ind w:left="372" w:right="72"/>
              <w:rPr>
                <w:sz w:val="21"/>
              </w:rPr>
            </w:pPr>
            <w:r>
              <w:rPr>
                <w:w w:val="95"/>
                <w:sz w:val="21"/>
              </w:rPr>
              <w:t>如果您宽限期结束之后仍未支付保险费，则本附加合同自宽限期满 的次日零时起效力中止。</w:t>
            </w:r>
          </w:p>
        </w:tc>
      </w:tr>
      <w:tr>
        <w:trPr>
          <w:trHeight w:val="2458" w:hRule="atLeast"/>
        </w:trPr>
        <w:tc>
          <w:tcPr>
            <w:tcW w:w="718" w:type="dxa"/>
          </w:tcPr>
          <w:p>
            <w:pPr>
              <w:pStyle w:val="TableParagraph"/>
              <w:spacing w:before="150"/>
              <w:ind w:left="115"/>
              <w:rPr>
                <w:rFonts w:ascii="Times New Roman"/>
                <w:sz w:val="21"/>
              </w:rPr>
            </w:pPr>
            <w:r>
              <w:rPr>
                <w:rFonts w:ascii="Times New Roman"/>
                <w:sz w:val="21"/>
              </w:rPr>
              <w:t>4.3</w:t>
            </w:r>
          </w:p>
        </w:tc>
        <w:tc>
          <w:tcPr>
            <w:tcW w:w="1986" w:type="dxa"/>
          </w:tcPr>
          <w:p>
            <w:pPr>
              <w:pStyle w:val="TableParagraph"/>
              <w:spacing w:before="101"/>
              <w:ind w:left="348"/>
              <w:rPr>
                <w:b/>
                <w:sz w:val="21"/>
              </w:rPr>
            </w:pPr>
            <w:r>
              <w:rPr>
                <w:b/>
                <w:w w:val="95"/>
                <w:sz w:val="21"/>
              </w:rPr>
              <w:t>减额交清保险</w:t>
            </w:r>
          </w:p>
        </w:tc>
        <w:tc>
          <w:tcPr>
            <w:tcW w:w="6568" w:type="dxa"/>
          </w:tcPr>
          <w:p>
            <w:pPr>
              <w:pStyle w:val="TableParagraph"/>
              <w:spacing w:line="237" w:lineRule="auto" w:before="82"/>
              <w:ind w:left="372" w:right="113"/>
              <w:jc w:val="both"/>
              <w:rPr>
                <w:sz w:val="21"/>
              </w:rPr>
            </w:pPr>
            <w:r>
              <w:rPr>
                <w:w w:val="95"/>
                <w:sz w:val="21"/>
              </w:rPr>
              <w:t>分期支付保险费的，在本附加合同有效期内，若您向我们申请将主 合同变更为减额交清保险，且本附加合同有现金价值，则本附加合 同同时变更为减额交清保险，您无需再支付任何保险费，本附加合 同继续有效，其给付条件不变，给付金额以变更为减额交清保险后 </w:t>
            </w:r>
            <w:r>
              <w:rPr>
                <w:spacing w:val="-1"/>
                <w:w w:val="95"/>
                <w:sz w:val="21"/>
              </w:rPr>
              <w:t>的基本保险金额为准。变更为减额交清保险后的基本保险金额以宽 限期开始前一日本附加合同的现金价值余额计算得出。</w:t>
            </w:r>
          </w:p>
          <w:p>
            <w:pPr>
              <w:pStyle w:val="TableParagraph"/>
              <w:ind w:left="372" w:right="319"/>
              <w:rPr>
                <w:sz w:val="21"/>
              </w:rPr>
            </w:pPr>
            <w:r>
              <w:rPr>
                <w:w w:val="95"/>
                <w:sz w:val="21"/>
              </w:rPr>
              <w:t>变更为减额交清保险后的基本保险金额不得低于我们当时规定的 最低保险金额。</w:t>
            </w:r>
          </w:p>
        </w:tc>
      </w:tr>
      <w:tr>
        <w:trPr>
          <w:trHeight w:val="536" w:hRule="atLeast"/>
        </w:trPr>
        <w:tc>
          <w:tcPr>
            <w:tcW w:w="718" w:type="dxa"/>
            <w:tcBorders>
              <w:bottom w:val="single" w:sz="4" w:space="0" w:color="000000"/>
            </w:tcBorders>
          </w:tcPr>
          <w:p>
            <w:pPr>
              <w:pStyle w:val="TableParagraph"/>
              <w:spacing w:before="180"/>
              <w:ind w:left="115"/>
              <w:rPr>
                <w:rFonts w:ascii="Times New Roman"/>
                <w:b/>
                <w:sz w:val="23"/>
              </w:rPr>
            </w:pPr>
            <w:r>
              <w:rPr>
                <w:rFonts w:ascii="Times New Roman"/>
                <w:b/>
                <w:w w:val="103"/>
                <w:sz w:val="23"/>
              </w:rPr>
              <w:t>5</w:t>
            </w:r>
          </w:p>
        </w:tc>
        <w:tc>
          <w:tcPr>
            <w:tcW w:w="1986" w:type="dxa"/>
            <w:tcBorders>
              <w:bottom w:val="single" w:sz="4" w:space="0" w:color="000000"/>
            </w:tcBorders>
          </w:tcPr>
          <w:p>
            <w:pPr>
              <w:pStyle w:val="TableParagraph"/>
              <w:spacing w:before="119"/>
              <w:ind w:left="348"/>
              <w:rPr>
                <w:b/>
                <w:sz w:val="23"/>
              </w:rPr>
            </w:pPr>
            <w:r>
              <w:rPr>
                <w:b/>
                <w:sz w:val="23"/>
              </w:rPr>
              <w:t>现金价值权益</w:t>
            </w:r>
          </w:p>
        </w:tc>
        <w:tc>
          <w:tcPr>
            <w:tcW w:w="6568" w:type="dxa"/>
            <w:tcBorders>
              <w:bottom w:val="single" w:sz="4" w:space="0" w:color="000000"/>
            </w:tcBorders>
          </w:tcPr>
          <w:p>
            <w:pPr>
              <w:pStyle w:val="TableParagraph"/>
              <w:ind w:left="0"/>
              <w:rPr>
                <w:rFonts w:ascii="Times New Roman"/>
                <w:sz w:val="20"/>
              </w:rPr>
            </w:pPr>
          </w:p>
        </w:tc>
      </w:tr>
      <w:tr>
        <w:trPr>
          <w:trHeight w:val="281" w:hRule="atLeast"/>
        </w:trPr>
        <w:tc>
          <w:tcPr>
            <w:tcW w:w="718" w:type="dxa"/>
            <w:tcBorders>
              <w:top w:val="single" w:sz="4" w:space="0" w:color="000000"/>
            </w:tcBorders>
          </w:tcPr>
          <w:p>
            <w:pPr>
              <w:pStyle w:val="TableParagraph"/>
              <w:spacing w:line="227" w:lineRule="exact" w:before="34"/>
              <w:ind w:left="115"/>
              <w:rPr>
                <w:rFonts w:ascii="Times New Roman"/>
                <w:sz w:val="21"/>
              </w:rPr>
            </w:pPr>
            <w:r>
              <w:rPr>
                <w:rFonts w:ascii="Times New Roman"/>
                <w:sz w:val="21"/>
              </w:rPr>
              <w:t>5.1</w:t>
            </w:r>
          </w:p>
        </w:tc>
        <w:tc>
          <w:tcPr>
            <w:tcW w:w="1986" w:type="dxa"/>
            <w:tcBorders>
              <w:top w:val="single" w:sz="4" w:space="0" w:color="000000"/>
            </w:tcBorders>
          </w:tcPr>
          <w:p>
            <w:pPr>
              <w:pStyle w:val="TableParagraph"/>
              <w:spacing w:line="260" w:lineRule="exact"/>
              <w:ind w:left="348"/>
              <w:rPr>
                <w:b/>
                <w:sz w:val="21"/>
              </w:rPr>
            </w:pPr>
            <w:r>
              <w:rPr>
                <w:b/>
                <w:w w:val="95"/>
                <w:sz w:val="21"/>
              </w:rPr>
              <w:t>现金价值</w:t>
            </w:r>
          </w:p>
        </w:tc>
        <w:tc>
          <w:tcPr>
            <w:tcW w:w="6568" w:type="dxa"/>
            <w:tcBorders>
              <w:top w:val="single" w:sz="4" w:space="0" w:color="000000"/>
            </w:tcBorders>
          </w:tcPr>
          <w:p>
            <w:pPr>
              <w:pStyle w:val="TableParagraph"/>
              <w:spacing w:line="238" w:lineRule="exact"/>
              <w:ind w:left="372"/>
              <w:rPr>
                <w:sz w:val="21"/>
              </w:rPr>
            </w:pPr>
            <w:r>
              <w:rPr>
                <w:w w:val="95"/>
                <w:sz w:val="21"/>
              </w:rPr>
              <w:t>本附加合同的每个保单年度末的现金价值会在保险单上载明。</w:t>
            </w:r>
          </w:p>
        </w:tc>
      </w:tr>
    </w:tbl>
    <w:p>
      <w:pPr>
        <w:spacing w:after="0" w:line="238" w:lineRule="exact"/>
        <w:rPr>
          <w:sz w:val="21"/>
        </w:rPr>
        <w:sectPr>
          <w:pgSz w:w="11910" w:h="16850"/>
          <w:pgMar w:header="0" w:footer="773" w:top="1180" w:bottom="960" w:left="1500" w:right="9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2252"/>
        <w:gridCol w:w="6302"/>
      </w:tblGrid>
      <w:tr>
        <w:trPr>
          <w:trHeight w:val="354" w:hRule="atLeast"/>
        </w:trPr>
        <w:tc>
          <w:tcPr>
            <w:tcW w:w="719" w:type="dxa"/>
            <w:tcBorders>
              <w:bottom w:val="single" w:sz="4" w:space="0" w:color="000000"/>
            </w:tcBorders>
          </w:tcPr>
          <w:p>
            <w:pPr>
              <w:pStyle w:val="TableParagraph"/>
              <w:spacing w:line="257" w:lineRule="exact"/>
              <w:ind w:left="115"/>
              <w:rPr>
                <w:rFonts w:ascii="Times New Roman"/>
                <w:b/>
                <w:sz w:val="23"/>
              </w:rPr>
            </w:pPr>
            <w:r>
              <w:rPr>
                <w:rFonts w:ascii="Times New Roman"/>
                <w:b/>
                <w:w w:val="103"/>
                <w:sz w:val="23"/>
              </w:rPr>
              <w:t>6</w:t>
            </w:r>
          </w:p>
        </w:tc>
        <w:tc>
          <w:tcPr>
            <w:tcW w:w="8554" w:type="dxa"/>
            <w:gridSpan w:val="2"/>
            <w:tcBorders>
              <w:bottom w:val="single" w:sz="4" w:space="0" w:color="000000"/>
            </w:tcBorders>
          </w:tcPr>
          <w:p>
            <w:pPr>
              <w:pStyle w:val="TableParagraph"/>
              <w:spacing w:line="232" w:lineRule="exact"/>
              <w:ind w:left="347"/>
              <w:rPr>
                <w:b/>
                <w:sz w:val="23"/>
              </w:rPr>
            </w:pPr>
            <w:r>
              <w:rPr>
                <w:b/>
                <w:sz w:val="23"/>
              </w:rPr>
              <w:t>合同解除及效力终止</w:t>
            </w:r>
          </w:p>
        </w:tc>
      </w:tr>
      <w:tr>
        <w:trPr>
          <w:trHeight w:val="2639" w:hRule="atLeast"/>
        </w:trPr>
        <w:tc>
          <w:tcPr>
            <w:tcW w:w="719" w:type="dxa"/>
            <w:tcBorders>
              <w:top w:val="single" w:sz="4" w:space="0" w:color="000000"/>
            </w:tcBorders>
          </w:tcPr>
          <w:p>
            <w:pPr>
              <w:pStyle w:val="TableParagraph"/>
              <w:spacing w:before="28"/>
              <w:ind w:left="115"/>
              <w:rPr>
                <w:rFonts w:ascii="Times New Roman"/>
                <w:sz w:val="21"/>
              </w:rPr>
            </w:pPr>
            <w:r>
              <w:rPr>
                <w:rFonts w:ascii="Times New Roman"/>
                <w:sz w:val="21"/>
              </w:rPr>
              <w:t>6.1</w:t>
            </w:r>
          </w:p>
        </w:tc>
        <w:tc>
          <w:tcPr>
            <w:tcW w:w="2252" w:type="dxa"/>
            <w:tcBorders>
              <w:top w:val="single" w:sz="4" w:space="0" w:color="000000"/>
            </w:tcBorders>
          </w:tcPr>
          <w:p>
            <w:pPr>
              <w:pStyle w:val="TableParagraph"/>
              <w:spacing w:line="254" w:lineRule="exact"/>
              <w:ind w:left="347"/>
              <w:rPr>
                <w:b/>
                <w:sz w:val="21"/>
              </w:rPr>
            </w:pPr>
            <w:r>
              <w:rPr>
                <w:b/>
                <w:w w:val="95"/>
                <w:sz w:val="21"/>
              </w:rPr>
              <w:t>解除合同的手续及</w:t>
            </w:r>
          </w:p>
          <w:p>
            <w:pPr>
              <w:pStyle w:val="TableParagraph"/>
              <w:spacing w:before="34"/>
              <w:ind w:left="347"/>
              <w:rPr>
                <w:b/>
                <w:sz w:val="21"/>
              </w:rPr>
            </w:pPr>
            <w:r>
              <w:rPr>
                <w:b/>
                <w:w w:val="95"/>
                <w:sz w:val="21"/>
              </w:rPr>
              <w:t>风险</w:t>
            </w:r>
          </w:p>
        </w:tc>
        <w:tc>
          <w:tcPr>
            <w:tcW w:w="6302" w:type="dxa"/>
            <w:tcBorders>
              <w:top w:val="single" w:sz="4" w:space="0" w:color="000000"/>
            </w:tcBorders>
          </w:tcPr>
          <w:p>
            <w:pPr>
              <w:pStyle w:val="TableParagraph"/>
              <w:spacing w:line="254" w:lineRule="exact"/>
              <w:jc w:val="both"/>
              <w:rPr>
                <w:sz w:val="21"/>
              </w:rPr>
            </w:pPr>
            <w:r>
              <w:rPr>
                <w:w w:val="95"/>
                <w:sz w:val="21"/>
              </w:rPr>
              <w:t>如您在犹豫期后申请解除本附加合同，请填写解除合同申请书并向</w:t>
            </w:r>
          </w:p>
          <w:p>
            <w:pPr>
              <w:pStyle w:val="TableParagraph"/>
              <w:spacing w:before="34"/>
              <w:jc w:val="both"/>
              <w:rPr>
                <w:sz w:val="21"/>
              </w:rPr>
            </w:pPr>
            <w:r>
              <w:rPr>
                <w:w w:val="95"/>
                <w:sz w:val="21"/>
              </w:rPr>
              <w:t>我们提供下列资料：</w:t>
            </w:r>
          </w:p>
          <w:p>
            <w:pPr>
              <w:pStyle w:val="TableParagraph"/>
              <w:spacing w:before="41"/>
              <w:jc w:val="both"/>
              <w:rPr>
                <w:sz w:val="21"/>
              </w:rPr>
            </w:pPr>
            <w:r>
              <w:rPr>
                <w:w w:val="95"/>
                <w:sz w:val="21"/>
              </w:rPr>
              <w:t>（</w:t>
            </w:r>
            <w:r>
              <w:rPr>
                <w:rFonts w:ascii="Times New Roman" w:eastAsia="Times New Roman"/>
                <w:w w:val="95"/>
                <w:sz w:val="21"/>
              </w:rPr>
              <w:t>1</w:t>
            </w:r>
            <w:r>
              <w:rPr>
                <w:w w:val="95"/>
                <w:sz w:val="21"/>
              </w:rPr>
              <w:t>）保险合同；</w:t>
            </w:r>
          </w:p>
          <w:p>
            <w:pPr>
              <w:pStyle w:val="TableParagraph"/>
              <w:spacing w:before="19"/>
              <w:jc w:val="both"/>
              <w:rPr>
                <w:sz w:val="21"/>
              </w:rPr>
            </w:pPr>
            <w:r>
              <w:rPr>
                <w:w w:val="95"/>
                <w:sz w:val="21"/>
              </w:rPr>
              <w:t>（</w:t>
            </w:r>
            <w:r>
              <w:rPr>
                <w:rFonts w:ascii="Times New Roman" w:eastAsia="Times New Roman"/>
                <w:w w:val="95"/>
                <w:sz w:val="21"/>
              </w:rPr>
              <w:t>2</w:t>
            </w:r>
            <w:r>
              <w:rPr>
                <w:w w:val="95"/>
                <w:sz w:val="21"/>
              </w:rPr>
              <w:t>）您的有效身份证件。</w:t>
            </w:r>
          </w:p>
          <w:p>
            <w:pPr>
              <w:pStyle w:val="TableParagraph"/>
              <w:spacing w:line="266" w:lineRule="auto" w:before="19"/>
              <w:ind w:right="114"/>
              <w:jc w:val="both"/>
              <w:rPr>
                <w:sz w:val="21"/>
              </w:rPr>
            </w:pPr>
            <w:r>
              <w:rPr>
                <w:w w:val="95"/>
                <w:sz w:val="21"/>
              </w:rPr>
              <w:t>自我们收到解除合同申请书时起，本附加合同效力终止。我们自收 </w:t>
            </w:r>
            <w:r>
              <w:rPr>
                <w:spacing w:val="-2"/>
                <w:sz w:val="21"/>
              </w:rPr>
              <w:t>到解除合同申请书之日起 </w:t>
            </w:r>
            <w:r>
              <w:rPr>
                <w:rFonts w:ascii="Times New Roman" w:eastAsia="Times New Roman"/>
                <w:sz w:val="21"/>
              </w:rPr>
              <w:t>30</w:t>
            </w:r>
            <w:r>
              <w:rPr>
                <w:rFonts w:ascii="Times New Roman" w:eastAsia="Times New Roman"/>
                <w:spacing w:val="28"/>
                <w:sz w:val="21"/>
              </w:rPr>
              <w:t> </w:t>
            </w:r>
            <w:r>
              <w:rPr>
                <w:sz w:val="21"/>
              </w:rPr>
              <w:t>日内向您退还本附加合同现金价值扣</w:t>
            </w:r>
            <w:r>
              <w:rPr>
                <w:w w:val="95"/>
                <w:sz w:val="21"/>
              </w:rPr>
              <w:t>除您尚未偿还的各项欠款之后的余额。</w:t>
            </w:r>
          </w:p>
          <w:p>
            <w:pPr>
              <w:pStyle w:val="TableParagraph"/>
              <w:spacing w:before="12"/>
              <w:jc w:val="both"/>
              <w:rPr>
                <w:sz w:val="21"/>
              </w:rPr>
            </w:pPr>
            <w:r>
              <w:rPr>
                <w:w w:val="95"/>
                <w:sz w:val="21"/>
              </w:rPr>
              <w:t>您犹豫期后解除合同会遭受一定损失。</w:t>
            </w:r>
          </w:p>
        </w:tc>
      </w:tr>
      <w:tr>
        <w:trPr>
          <w:trHeight w:val="1695" w:hRule="atLeast"/>
        </w:trPr>
        <w:tc>
          <w:tcPr>
            <w:tcW w:w="719" w:type="dxa"/>
          </w:tcPr>
          <w:p>
            <w:pPr>
              <w:pStyle w:val="TableParagraph"/>
              <w:spacing w:before="2"/>
              <w:ind w:left="0"/>
              <w:rPr>
                <w:rFonts w:ascii="Times New Roman"/>
                <w:sz w:val="17"/>
              </w:rPr>
            </w:pPr>
          </w:p>
          <w:p>
            <w:pPr>
              <w:pStyle w:val="TableParagraph"/>
              <w:ind w:left="115"/>
              <w:rPr>
                <w:rFonts w:ascii="Times New Roman"/>
                <w:sz w:val="21"/>
              </w:rPr>
            </w:pPr>
            <w:r>
              <w:rPr>
                <w:rFonts w:ascii="Times New Roman"/>
                <w:sz w:val="21"/>
              </w:rPr>
              <w:t>6.2</w:t>
            </w:r>
          </w:p>
        </w:tc>
        <w:tc>
          <w:tcPr>
            <w:tcW w:w="2252" w:type="dxa"/>
          </w:tcPr>
          <w:p>
            <w:pPr>
              <w:pStyle w:val="TableParagraph"/>
              <w:spacing w:line="271" w:lineRule="auto" w:before="149"/>
              <w:ind w:left="347" w:right="218"/>
              <w:rPr>
                <w:b/>
                <w:sz w:val="21"/>
              </w:rPr>
            </w:pPr>
            <w:r>
              <w:rPr>
                <w:b/>
                <w:w w:val="95"/>
                <w:sz w:val="21"/>
              </w:rPr>
              <w:t>附加合同效力的终</w:t>
            </w:r>
            <w:r>
              <w:rPr>
                <w:b/>
                <w:sz w:val="21"/>
              </w:rPr>
              <w:t>止</w:t>
            </w:r>
          </w:p>
        </w:tc>
        <w:tc>
          <w:tcPr>
            <w:tcW w:w="6302" w:type="dxa"/>
          </w:tcPr>
          <w:p>
            <w:pPr>
              <w:pStyle w:val="TableParagraph"/>
              <w:spacing w:line="274" w:lineRule="exact" w:before="127"/>
              <w:rPr>
                <w:sz w:val="21"/>
              </w:rPr>
            </w:pPr>
            <w:r>
              <w:rPr>
                <w:w w:val="95"/>
                <w:sz w:val="21"/>
              </w:rPr>
              <w:t>发生下列情况之一时，本附加合同自动终止：</w:t>
            </w:r>
          </w:p>
          <w:p>
            <w:pPr>
              <w:pStyle w:val="TableParagraph"/>
              <w:spacing w:line="282" w:lineRule="exact"/>
              <w:rPr>
                <w:sz w:val="21"/>
              </w:rPr>
            </w:pPr>
            <w:r>
              <w:rPr>
                <w:w w:val="95"/>
                <w:sz w:val="21"/>
              </w:rPr>
              <w:t>（</w:t>
            </w:r>
            <w:r>
              <w:rPr>
                <w:rFonts w:ascii="Times New Roman" w:eastAsia="Times New Roman"/>
                <w:w w:val="95"/>
                <w:sz w:val="21"/>
              </w:rPr>
              <w:t>1</w:t>
            </w:r>
            <w:r>
              <w:rPr>
                <w:w w:val="95"/>
                <w:sz w:val="21"/>
              </w:rPr>
              <w:t>）被保险人身故；</w:t>
            </w:r>
          </w:p>
          <w:p>
            <w:pPr>
              <w:pStyle w:val="TableParagraph"/>
              <w:spacing w:line="270" w:lineRule="exact"/>
              <w:rPr>
                <w:sz w:val="21"/>
              </w:rPr>
            </w:pPr>
            <w:r>
              <w:rPr>
                <w:w w:val="95"/>
                <w:sz w:val="21"/>
              </w:rPr>
              <w:t>（</w:t>
            </w:r>
            <w:r>
              <w:rPr>
                <w:rFonts w:ascii="Times New Roman" w:eastAsia="Times New Roman"/>
                <w:w w:val="95"/>
                <w:sz w:val="21"/>
              </w:rPr>
              <w:t>2</w:t>
            </w:r>
            <w:r>
              <w:rPr>
                <w:w w:val="95"/>
                <w:sz w:val="21"/>
              </w:rPr>
              <w:t>）我们收到解除合同申请书；</w:t>
            </w:r>
          </w:p>
          <w:p>
            <w:pPr>
              <w:pStyle w:val="TableParagraph"/>
              <w:spacing w:line="270" w:lineRule="exact"/>
              <w:rPr>
                <w:sz w:val="21"/>
              </w:rPr>
            </w:pPr>
            <w:r>
              <w:rPr>
                <w:w w:val="95"/>
                <w:sz w:val="21"/>
              </w:rPr>
              <w:t>（</w:t>
            </w:r>
            <w:r>
              <w:rPr>
                <w:rFonts w:ascii="Times New Roman" w:eastAsia="Times New Roman"/>
                <w:w w:val="95"/>
                <w:sz w:val="21"/>
              </w:rPr>
              <w:t>3</w:t>
            </w:r>
            <w:r>
              <w:rPr>
                <w:w w:val="95"/>
                <w:sz w:val="21"/>
              </w:rPr>
              <w:t>）主合同终止；</w:t>
            </w:r>
          </w:p>
          <w:p>
            <w:pPr>
              <w:pStyle w:val="TableParagraph"/>
              <w:spacing w:line="282" w:lineRule="exact"/>
              <w:rPr>
                <w:sz w:val="21"/>
              </w:rPr>
            </w:pPr>
            <w:r>
              <w:rPr>
                <w:w w:val="95"/>
                <w:sz w:val="21"/>
              </w:rPr>
              <w:t>（</w:t>
            </w:r>
            <w:r>
              <w:rPr>
                <w:rFonts w:ascii="Times New Roman" w:eastAsia="Times New Roman"/>
                <w:w w:val="95"/>
                <w:sz w:val="21"/>
              </w:rPr>
              <w:t>4</w:t>
            </w:r>
            <w:r>
              <w:rPr>
                <w:w w:val="95"/>
                <w:sz w:val="21"/>
              </w:rPr>
              <w:t>）因主合同或本附加合同其他条款所列情况而效力终止。</w:t>
            </w:r>
          </w:p>
        </w:tc>
      </w:tr>
      <w:tr>
        <w:trPr>
          <w:trHeight w:val="539" w:hRule="atLeast"/>
        </w:trPr>
        <w:tc>
          <w:tcPr>
            <w:tcW w:w="719" w:type="dxa"/>
            <w:tcBorders>
              <w:bottom w:val="single" w:sz="4" w:space="0" w:color="000000"/>
            </w:tcBorders>
          </w:tcPr>
          <w:p>
            <w:pPr>
              <w:pStyle w:val="TableParagraph"/>
              <w:spacing w:before="177"/>
              <w:ind w:left="115"/>
              <w:rPr>
                <w:rFonts w:ascii="Times New Roman"/>
                <w:b/>
                <w:sz w:val="23"/>
              </w:rPr>
            </w:pPr>
            <w:r>
              <w:rPr>
                <w:rFonts w:ascii="Times New Roman"/>
                <w:b/>
                <w:w w:val="103"/>
                <w:sz w:val="23"/>
              </w:rPr>
              <w:t>7</w:t>
            </w:r>
          </w:p>
        </w:tc>
        <w:tc>
          <w:tcPr>
            <w:tcW w:w="8554" w:type="dxa"/>
            <w:gridSpan w:val="2"/>
            <w:tcBorders>
              <w:bottom w:val="single" w:sz="4" w:space="0" w:color="000000"/>
            </w:tcBorders>
          </w:tcPr>
          <w:p>
            <w:pPr>
              <w:pStyle w:val="TableParagraph"/>
              <w:spacing w:before="116"/>
              <w:ind w:left="347"/>
              <w:rPr>
                <w:b/>
                <w:sz w:val="23"/>
              </w:rPr>
            </w:pPr>
            <w:r>
              <w:rPr>
                <w:b/>
                <w:sz w:val="23"/>
              </w:rPr>
              <w:t>重大疾病的定义及范围</w:t>
            </w:r>
          </w:p>
        </w:tc>
      </w:tr>
      <w:tr>
        <w:trPr>
          <w:trHeight w:val="773" w:hRule="atLeast"/>
        </w:trPr>
        <w:tc>
          <w:tcPr>
            <w:tcW w:w="9273" w:type="dxa"/>
            <w:gridSpan w:val="3"/>
            <w:tcBorders>
              <w:top w:val="single" w:sz="4" w:space="0" w:color="000000"/>
            </w:tcBorders>
          </w:tcPr>
          <w:p>
            <w:pPr>
              <w:pStyle w:val="TableParagraph"/>
              <w:spacing w:line="254" w:lineRule="exact"/>
              <w:ind w:left="1066"/>
              <w:rPr>
                <w:sz w:val="21"/>
              </w:rPr>
            </w:pPr>
            <w:r>
              <w:rPr>
                <w:w w:val="95"/>
                <w:sz w:val="21"/>
              </w:rPr>
              <w:t>本合同所指重大疾病，是被保险人发生符合以下定义所述条件的疾病、疾病状态或手术，</w:t>
            </w:r>
          </w:p>
          <w:p>
            <w:pPr>
              <w:pStyle w:val="TableParagraph"/>
              <w:spacing w:before="34"/>
              <w:ind w:left="1066"/>
              <w:rPr>
                <w:sz w:val="21"/>
              </w:rPr>
            </w:pPr>
            <w:r>
              <w:rPr>
                <w:w w:val="95"/>
                <w:sz w:val="21"/>
              </w:rPr>
              <w:t>应当由专科医生明确诊断。</w:t>
            </w:r>
          </w:p>
        </w:tc>
      </w:tr>
      <w:tr>
        <w:trPr>
          <w:trHeight w:val="3753" w:hRule="atLeast"/>
        </w:trPr>
        <w:tc>
          <w:tcPr>
            <w:tcW w:w="719" w:type="dxa"/>
          </w:tcPr>
          <w:p>
            <w:pPr>
              <w:pStyle w:val="TableParagraph"/>
              <w:spacing w:before="191"/>
              <w:ind w:left="115"/>
              <w:rPr>
                <w:rFonts w:ascii="Times New Roman"/>
                <w:sz w:val="21"/>
              </w:rPr>
            </w:pPr>
            <w:r>
              <w:rPr>
                <w:rFonts w:ascii="Times New Roman"/>
                <w:sz w:val="21"/>
              </w:rPr>
              <w:t>7.1</w:t>
            </w:r>
          </w:p>
        </w:tc>
        <w:tc>
          <w:tcPr>
            <w:tcW w:w="2252" w:type="dxa"/>
          </w:tcPr>
          <w:p>
            <w:pPr>
              <w:pStyle w:val="TableParagraph"/>
              <w:spacing w:before="141"/>
              <w:ind w:left="347"/>
              <w:rPr>
                <w:b/>
                <w:sz w:val="21"/>
              </w:rPr>
            </w:pPr>
            <w:r>
              <w:rPr>
                <w:b/>
                <w:w w:val="95"/>
                <w:sz w:val="21"/>
              </w:rPr>
              <w:t>恶性肿瘤</w:t>
            </w:r>
          </w:p>
        </w:tc>
        <w:tc>
          <w:tcPr>
            <w:tcW w:w="6302" w:type="dxa"/>
          </w:tcPr>
          <w:p>
            <w:pPr>
              <w:pStyle w:val="TableParagraph"/>
              <w:spacing w:line="273" w:lineRule="auto" w:before="141"/>
              <w:ind w:right="110"/>
              <w:jc w:val="both"/>
              <w:rPr>
                <w:sz w:val="21"/>
              </w:rPr>
            </w:pPr>
            <w:r>
              <w:rPr>
                <w:w w:val="95"/>
                <w:sz w:val="21"/>
              </w:rPr>
              <w:t>指恶性细胞不受控制的进行性增长和扩散，浸润和破坏周围正常组 织，可以经血管、淋巴管和体腔扩散转移到身体其它部位的疾病。 经病理学检查结果明确诊断，临床诊断属于世界卫生组织《疾病和 有关健康问题的国际统计分类》（</w:t>
            </w:r>
            <w:r>
              <w:rPr>
                <w:rFonts w:ascii="Times New Roman" w:eastAsia="Times New Roman"/>
                <w:w w:val="95"/>
                <w:sz w:val="21"/>
              </w:rPr>
              <w:t>ICD-10</w:t>
            </w:r>
            <w:r>
              <w:rPr>
                <w:w w:val="95"/>
                <w:sz w:val="21"/>
              </w:rPr>
              <w:t>）的恶性肿瘤范畴。</w:t>
            </w:r>
          </w:p>
          <w:p>
            <w:pPr>
              <w:pStyle w:val="TableParagraph"/>
              <w:spacing w:line="261" w:lineRule="exact"/>
              <w:jc w:val="both"/>
              <w:rPr>
                <w:b/>
                <w:sz w:val="21"/>
              </w:rPr>
            </w:pPr>
            <w:r>
              <w:rPr>
                <w:b/>
                <w:w w:val="95"/>
                <w:sz w:val="21"/>
              </w:rPr>
              <w:t>下列疾病不在保障范围内：</w:t>
            </w:r>
          </w:p>
          <w:p>
            <w:pPr>
              <w:pStyle w:val="TableParagraph"/>
              <w:spacing w:before="42"/>
              <w:jc w:val="both"/>
              <w:rPr>
                <w:b/>
                <w:sz w:val="21"/>
              </w:rPr>
            </w:pPr>
            <w:r>
              <w:rPr>
                <w:b/>
                <w:w w:val="95"/>
                <w:sz w:val="21"/>
              </w:rPr>
              <w:t>（</w:t>
            </w:r>
            <w:r>
              <w:rPr>
                <w:rFonts w:ascii="Times New Roman" w:eastAsia="Times New Roman"/>
                <w:b/>
                <w:w w:val="95"/>
                <w:sz w:val="21"/>
              </w:rPr>
              <w:t>1</w:t>
            </w:r>
            <w:r>
              <w:rPr>
                <w:b/>
                <w:w w:val="95"/>
                <w:sz w:val="21"/>
              </w:rPr>
              <w:t>）原位癌；</w:t>
            </w:r>
          </w:p>
          <w:p>
            <w:pPr>
              <w:pStyle w:val="TableParagraph"/>
              <w:spacing w:before="19"/>
              <w:jc w:val="both"/>
              <w:rPr>
                <w:b/>
                <w:sz w:val="21"/>
              </w:rPr>
            </w:pPr>
            <w:r>
              <w:rPr>
                <w:b/>
                <w:w w:val="95"/>
                <w:sz w:val="21"/>
              </w:rPr>
              <w:t>（</w:t>
            </w:r>
            <w:r>
              <w:rPr>
                <w:rFonts w:ascii="Times New Roman" w:eastAsia="Times New Roman"/>
                <w:b/>
                <w:w w:val="95"/>
                <w:sz w:val="21"/>
              </w:rPr>
              <w:t>2</w:t>
            </w:r>
            <w:r>
              <w:rPr>
                <w:b/>
                <w:w w:val="95"/>
                <w:sz w:val="21"/>
              </w:rPr>
              <w:t>）相当于</w:t>
            </w:r>
            <w:r>
              <w:rPr>
                <w:rFonts w:ascii="Times New Roman" w:eastAsia="Times New Roman"/>
                <w:b/>
                <w:w w:val="95"/>
                <w:sz w:val="21"/>
              </w:rPr>
              <w:t>Binet</w:t>
            </w:r>
            <w:r>
              <w:rPr>
                <w:b/>
                <w:w w:val="95"/>
                <w:sz w:val="21"/>
              </w:rPr>
              <w:t>分期方案</w:t>
            </w:r>
            <w:r>
              <w:rPr>
                <w:rFonts w:ascii="Times New Roman" w:eastAsia="Times New Roman"/>
                <w:b/>
                <w:w w:val="95"/>
                <w:sz w:val="21"/>
              </w:rPr>
              <w:t>A</w:t>
            </w:r>
            <w:r>
              <w:rPr>
                <w:b/>
                <w:w w:val="95"/>
                <w:sz w:val="21"/>
              </w:rPr>
              <w:t>期程度的慢性淋巴细胞白血病；</w:t>
            </w:r>
          </w:p>
          <w:p>
            <w:pPr>
              <w:pStyle w:val="TableParagraph"/>
              <w:spacing w:before="19"/>
              <w:jc w:val="both"/>
              <w:rPr>
                <w:b/>
                <w:sz w:val="21"/>
              </w:rPr>
            </w:pPr>
            <w:r>
              <w:rPr>
                <w:b/>
                <w:w w:val="95"/>
                <w:sz w:val="21"/>
              </w:rPr>
              <w:t>（</w:t>
            </w:r>
            <w:r>
              <w:rPr>
                <w:rFonts w:ascii="Times New Roman" w:eastAsia="Times New Roman"/>
                <w:b/>
                <w:w w:val="95"/>
                <w:sz w:val="21"/>
              </w:rPr>
              <w:t>3</w:t>
            </w:r>
            <w:r>
              <w:rPr>
                <w:b/>
                <w:w w:val="95"/>
                <w:sz w:val="21"/>
              </w:rPr>
              <w:t>）相当于</w:t>
            </w:r>
            <w:r>
              <w:rPr>
                <w:rFonts w:ascii="Times New Roman" w:eastAsia="Times New Roman"/>
                <w:b/>
                <w:w w:val="95"/>
                <w:sz w:val="21"/>
              </w:rPr>
              <w:t>Ann     Arbor</w:t>
            </w:r>
            <w:r>
              <w:rPr>
                <w:b/>
                <w:w w:val="95"/>
                <w:sz w:val="21"/>
              </w:rPr>
              <w:t>分期方案</w:t>
            </w:r>
            <w:r>
              <w:rPr>
                <w:rFonts w:ascii="Times New Roman" w:eastAsia="Times New Roman"/>
                <w:b/>
                <w:w w:val="95"/>
                <w:sz w:val="21"/>
              </w:rPr>
              <w:t>I</w:t>
            </w:r>
            <w:r>
              <w:rPr>
                <w:b/>
                <w:w w:val="95"/>
                <w:sz w:val="21"/>
              </w:rPr>
              <w:t>期程度的何杰金氏病；</w:t>
            </w:r>
          </w:p>
          <w:p>
            <w:pPr>
              <w:pStyle w:val="TableParagraph"/>
              <w:spacing w:before="26"/>
              <w:jc w:val="both"/>
              <w:rPr>
                <w:b/>
                <w:sz w:val="21"/>
              </w:rPr>
            </w:pPr>
            <w:r>
              <w:rPr>
                <w:b/>
                <w:spacing w:val="6"/>
                <w:w w:val="99"/>
                <w:sz w:val="21"/>
              </w:rPr>
              <w:t>（</w:t>
            </w:r>
            <w:r>
              <w:rPr>
                <w:rFonts w:ascii="Times New Roman" w:eastAsia="Times New Roman"/>
                <w:b/>
                <w:spacing w:val="-4"/>
                <w:w w:val="99"/>
                <w:sz w:val="21"/>
              </w:rPr>
              <w:t>4</w:t>
            </w:r>
            <w:r>
              <w:rPr>
                <w:b/>
                <w:w w:val="99"/>
                <w:sz w:val="21"/>
              </w:rPr>
              <w:t>）皮肤癌</w:t>
            </w:r>
            <w:r>
              <w:rPr>
                <w:b/>
                <w:spacing w:val="5"/>
                <w:w w:val="99"/>
                <w:sz w:val="21"/>
              </w:rPr>
              <w:t>（</w:t>
            </w:r>
            <w:r>
              <w:rPr>
                <w:b/>
                <w:w w:val="99"/>
                <w:sz w:val="21"/>
              </w:rPr>
              <w:t>不包括恶性黑色素瘤及已发生转移的皮肤癌</w:t>
            </w:r>
            <w:r>
              <w:rPr>
                <w:b/>
                <w:spacing w:val="-108"/>
                <w:w w:val="99"/>
                <w:sz w:val="21"/>
              </w:rPr>
              <w:t>）</w:t>
            </w:r>
            <w:r>
              <w:rPr>
                <w:b/>
                <w:w w:val="99"/>
                <w:sz w:val="21"/>
              </w:rPr>
              <w:t>；</w:t>
            </w:r>
          </w:p>
          <w:p>
            <w:pPr>
              <w:pStyle w:val="TableParagraph"/>
              <w:spacing w:before="19"/>
              <w:jc w:val="both"/>
              <w:rPr>
                <w:b/>
                <w:sz w:val="21"/>
              </w:rPr>
            </w:pPr>
            <w:r>
              <w:rPr>
                <w:b/>
                <w:w w:val="95"/>
                <w:sz w:val="21"/>
              </w:rPr>
              <w:t>（</w:t>
            </w:r>
            <w:r>
              <w:rPr>
                <w:rFonts w:ascii="Times New Roman" w:eastAsia="Times New Roman"/>
                <w:b/>
                <w:w w:val="95"/>
                <w:sz w:val="21"/>
              </w:rPr>
              <w:t>5</w:t>
            </w:r>
            <w:r>
              <w:rPr>
                <w:b/>
                <w:w w:val="95"/>
                <w:sz w:val="21"/>
              </w:rPr>
              <w:t>）</w:t>
            </w:r>
            <w:r>
              <w:rPr>
                <w:rFonts w:ascii="Times New Roman" w:eastAsia="Times New Roman"/>
                <w:b/>
                <w:w w:val="95"/>
                <w:sz w:val="21"/>
              </w:rPr>
              <w:t>TNM</w:t>
            </w:r>
            <w:r>
              <w:rPr>
                <w:b/>
                <w:w w:val="95"/>
                <w:sz w:val="21"/>
              </w:rPr>
              <w:t>分期为</w:t>
            </w:r>
            <w:r>
              <w:rPr>
                <w:rFonts w:ascii="Times New Roman" w:eastAsia="Times New Roman"/>
                <w:b/>
                <w:w w:val="95"/>
                <w:sz w:val="21"/>
              </w:rPr>
              <w:t>T</w:t>
            </w:r>
            <w:r>
              <w:rPr>
                <w:rFonts w:ascii="Times New Roman" w:eastAsia="Times New Roman"/>
                <w:b/>
                <w:w w:val="95"/>
                <w:sz w:val="21"/>
                <w:vertAlign w:val="subscript"/>
              </w:rPr>
              <w:t>1</w:t>
            </w:r>
            <w:r>
              <w:rPr>
                <w:rFonts w:ascii="Times New Roman" w:eastAsia="Times New Roman"/>
                <w:b/>
                <w:w w:val="95"/>
                <w:sz w:val="21"/>
                <w:vertAlign w:val="baseline"/>
              </w:rPr>
              <w:t>N</w:t>
            </w:r>
            <w:r>
              <w:rPr>
                <w:rFonts w:ascii="Times New Roman" w:eastAsia="Times New Roman"/>
                <w:b/>
                <w:w w:val="95"/>
                <w:sz w:val="21"/>
                <w:vertAlign w:val="subscript"/>
              </w:rPr>
              <w:t>0</w:t>
            </w:r>
            <w:r>
              <w:rPr>
                <w:rFonts w:ascii="Times New Roman" w:eastAsia="Times New Roman"/>
                <w:b/>
                <w:w w:val="95"/>
                <w:sz w:val="21"/>
                <w:vertAlign w:val="baseline"/>
              </w:rPr>
              <w:t>M</w:t>
            </w:r>
            <w:r>
              <w:rPr>
                <w:rFonts w:ascii="Times New Roman" w:eastAsia="Times New Roman"/>
                <w:b/>
                <w:w w:val="95"/>
                <w:sz w:val="21"/>
                <w:vertAlign w:val="subscript"/>
              </w:rPr>
              <w:t>0</w:t>
            </w:r>
            <w:r>
              <w:rPr>
                <w:rFonts w:ascii="Times New Roman" w:eastAsia="Times New Roman"/>
                <w:b/>
                <w:w w:val="95"/>
                <w:sz w:val="21"/>
                <w:vertAlign w:val="baseline"/>
              </w:rPr>
            </w:r>
            <w:r>
              <w:rPr>
                <w:b/>
                <w:w w:val="95"/>
                <w:sz w:val="21"/>
                <w:vertAlign w:val="baseline"/>
              </w:rPr>
              <w:t>期或更轻分期的前列腺癌；</w:t>
            </w:r>
          </w:p>
          <w:p>
            <w:pPr>
              <w:pStyle w:val="TableParagraph"/>
              <w:spacing w:before="18"/>
              <w:jc w:val="both"/>
              <w:rPr>
                <w:b/>
                <w:sz w:val="21"/>
              </w:rPr>
            </w:pPr>
            <w:r>
              <w:rPr>
                <w:b/>
                <w:w w:val="95"/>
                <w:sz w:val="21"/>
              </w:rPr>
              <w:t>（</w:t>
            </w:r>
            <w:r>
              <w:rPr>
                <w:rFonts w:ascii="Times New Roman" w:eastAsia="Times New Roman"/>
                <w:b/>
                <w:w w:val="95"/>
                <w:sz w:val="21"/>
              </w:rPr>
              <w:t>6</w:t>
            </w:r>
            <w:r>
              <w:rPr>
                <w:b/>
                <w:w w:val="95"/>
                <w:sz w:val="21"/>
              </w:rPr>
              <w:t>）感染艾滋病病毒或患艾滋病期间所患恶性肿瘤。</w:t>
            </w:r>
          </w:p>
        </w:tc>
      </w:tr>
      <w:tr>
        <w:trPr>
          <w:trHeight w:val="2773" w:hRule="atLeast"/>
        </w:trPr>
        <w:tc>
          <w:tcPr>
            <w:tcW w:w="719" w:type="dxa"/>
          </w:tcPr>
          <w:p>
            <w:pPr>
              <w:pStyle w:val="TableParagraph"/>
              <w:spacing w:before="182"/>
              <w:ind w:left="115"/>
              <w:rPr>
                <w:rFonts w:ascii="Times New Roman"/>
                <w:sz w:val="21"/>
              </w:rPr>
            </w:pPr>
            <w:r>
              <w:rPr>
                <w:rFonts w:ascii="Times New Roman"/>
                <w:sz w:val="21"/>
              </w:rPr>
              <w:t>7.2</w:t>
            </w:r>
          </w:p>
        </w:tc>
        <w:tc>
          <w:tcPr>
            <w:tcW w:w="2252" w:type="dxa"/>
          </w:tcPr>
          <w:p>
            <w:pPr>
              <w:pStyle w:val="TableParagraph"/>
              <w:spacing w:before="133"/>
              <w:ind w:left="347"/>
              <w:rPr>
                <w:b/>
                <w:sz w:val="21"/>
              </w:rPr>
            </w:pPr>
            <w:r>
              <w:rPr>
                <w:b/>
                <w:w w:val="95"/>
                <w:sz w:val="21"/>
              </w:rPr>
              <w:t>急性心肌梗塞</w:t>
            </w:r>
          </w:p>
        </w:tc>
        <w:tc>
          <w:tcPr>
            <w:tcW w:w="6302" w:type="dxa"/>
          </w:tcPr>
          <w:p>
            <w:pPr>
              <w:pStyle w:val="TableParagraph"/>
              <w:spacing w:line="271" w:lineRule="auto" w:before="133"/>
              <w:ind w:right="75"/>
              <w:rPr>
                <w:sz w:val="21"/>
              </w:rPr>
            </w:pPr>
            <w:r>
              <w:rPr>
                <w:w w:val="95"/>
                <w:sz w:val="21"/>
              </w:rPr>
              <w:t>指因冠状动脉阻塞导致的相应区域供血不足造成部分心肌坏死。须 满足下列至少三项条件：</w:t>
            </w:r>
          </w:p>
          <w:p>
            <w:pPr>
              <w:pStyle w:val="TableParagraph"/>
              <w:spacing w:before="14"/>
              <w:rPr>
                <w:sz w:val="21"/>
              </w:rPr>
            </w:pPr>
            <w:r>
              <w:rPr>
                <w:w w:val="95"/>
                <w:sz w:val="21"/>
              </w:rPr>
              <w:t>（</w:t>
            </w:r>
            <w:r>
              <w:rPr>
                <w:rFonts w:ascii="Times New Roman" w:eastAsia="Times New Roman"/>
                <w:w w:val="95"/>
                <w:sz w:val="21"/>
              </w:rPr>
              <w:t>1</w:t>
            </w:r>
            <w:r>
              <w:rPr>
                <w:w w:val="95"/>
                <w:sz w:val="21"/>
              </w:rPr>
              <w:t>）典型临床表现，例如急性胸痛等；</w:t>
            </w:r>
          </w:p>
          <w:p>
            <w:pPr>
              <w:pStyle w:val="TableParagraph"/>
              <w:spacing w:before="18"/>
              <w:rPr>
                <w:sz w:val="21"/>
              </w:rPr>
            </w:pPr>
            <w:r>
              <w:rPr>
                <w:w w:val="95"/>
                <w:sz w:val="21"/>
              </w:rPr>
              <w:t>（</w:t>
            </w:r>
            <w:r>
              <w:rPr>
                <w:rFonts w:ascii="Times New Roman" w:eastAsia="Times New Roman"/>
                <w:w w:val="95"/>
                <w:sz w:val="21"/>
              </w:rPr>
              <w:t>2</w:t>
            </w:r>
            <w:r>
              <w:rPr>
                <w:w w:val="95"/>
                <w:sz w:val="21"/>
              </w:rPr>
              <w:t>）新近的心电图改变提示急性心肌梗塞；</w:t>
            </w:r>
          </w:p>
          <w:p>
            <w:pPr>
              <w:pStyle w:val="TableParagraph"/>
              <w:spacing w:line="261" w:lineRule="auto" w:before="19"/>
              <w:ind w:right="122"/>
              <w:rPr>
                <w:sz w:val="21"/>
              </w:rPr>
            </w:pPr>
            <w:r>
              <w:rPr>
                <w:spacing w:val="1"/>
                <w:w w:val="95"/>
                <w:sz w:val="21"/>
              </w:rPr>
              <w:t>（</w:t>
            </w:r>
            <w:r>
              <w:rPr>
                <w:rFonts w:ascii="Times New Roman" w:eastAsia="Times New Roman"/>
                <w:spacing w:val="1"/>
                <w:w w:val="95"/>
                <w:sz w:val="21"/>
              </w:rPr>
              <w:t>3</w:t>
            </w:r>
            <w:r>
              <w:rPr>
                <w:spacing w:val="1"/>
                <w:w w:val="95"/>
                <w:sz w:val="21"/>
              </w:rPr>
              <w:t>）</w:t>
            </w:r>
            <w:r>
              <w:rPr>
                <w:w w:val="95"/>
                <w:sz w:val="21"/>
              </w:rPr>
              <w:t>心肌酶或肌钙蛋白有诊断意义的升高，或呈符合急性心肌梗  塞的动态性变化；</w:t>
            </w:r>
          </w:p>
          <w:p>
            <w:pPr>
              <w:pStyle w:val="TableParagraph"/>
              <w:spacing w:line="256" w:lineRule="auto" w:before="16"/>
              <w:ind w:right="121"/>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w:t>
            </w:r>
            <w:r>
              <w:rPr>
                <w:w w:val="95"/>
                <w:sz w:val="21"/>
              </w:rPr>
              <w:t>数低于</w:t>
            </w:r>
            <w:r>
              <w:rPr>
                <w:rFonts w:ascii="Times New Roman" w:eastAsia="Times New Roman"/>
                <w:w w:val="95"/>
                <w:sz w:val="21"/>
              </w:rPr>
              <w:t>50%</w:t>
            </w:r>
            <w:r>
              <w:rPr>
                <w:w w:val="95"/>
                <w:sz w:val="21"/>
              </w:rPr>
              <w:t>。</w:t>
            </w:r>
          </w:p>
        </w:tc>
      </w:tr>
      <w:tr>
        <w:trPr>
          <w:trHeight w:val="1646" w:hRule="atLeast"/>
        </w:trPr>
        <w:tc>
          <w:tcPr>
            <w:tcW w:w="719" w:type="dxa"/>
          </w:tcPr>
          <w:p>
            <w:pPr>
              <w:pStyle w:val="TableParagraph"/>
              <w:spacing w:before="147"/>
              <w:ind w:left="115"/>
              <w:rPr>
                <w:rFonts w:ascii="Times New Roman"/>
                <w:sz w:val="21"/>
              </w:rPr>
            </w:pPr>
            <w:r>
              <w:rPr>
                <w:rFonts w:ascii="Times New Roman"/>
                <w:sz w:val="21"/>
              </w:rPr>
              <w:t>7.3</w:t>
            </w:r>
          </w:p>
        </w:tc>
        <w:tc>
          <w:tcPr>
            <w:tcW w:w="2252" w:type="dxa"/>
          </w:tcPr>
          <w:p>
            <w:pPr>
              <w:pStyle w:val="TableParagraph"/>
              <w:spacing w:before="97"/>
              <w:ind w:left="347"/>
              <w:rPr>
                <w:b/>
                <w:sz w:val="21"/>
              </w:rPr>
            </w:pPr>
            <w:r>
              <w:rPr>
                <w:b/>
                <w:w w:val="95"/>
                <w:sz w:val="21"/>
              </w:rPr>
              <w:t>脑中风后遗症</w:t>
            </w:r>
          </w:p>
        </w:tc>
        <w:tc>
          <w:tcPr>
            <w:tcW w:w="6302" w:type="dxa"/>
          </w:tcPr>
          <w:p>
            <w:pPr>
              <w:pStyle w:val="TableParagraph"/>
              <w:spacing w:line="276" w:lineRule="auto" w:before="97"/>
              <w:ind w:right="118"/>
              <w:rPr>
                <w:sz w:val="21"/>
              </w:rPr>
            </w:pPr>
            <w:r>
              <w:rPr>
                <w:w w:val="95"/>
                <w:sz w:val="21"/>
              </w:rPr>
              <w:t>指因脑血管的突发病变引起脑血管出血、栓塞或梗塞，并导致神经 系统永久性的功能障碍。神经系统永久性的功能障碍，指疾病确诊</w:t>
            </w:r>
          </w:p>
          <w:p>
            <w:pPr>
              <w:pStyle w:val="TableParagraph"/>
              <w:spacing w:before="2"/>
              <w:rPr>
                <w:sz w:val="21"/>
              </w:rPr>
            </w:pPr>
            <w:r>
              <w:rPr>
                <w:rFonts w:ascii="Times New Roman" w:eastAsia="Times New Roman"/>
                <w:sz w:val="21"/>
              </w:rPr>
              <w:t>180 </w:t>
            </w:r>
            <w:r>
              <w:rPr>
                <w:sz w:val="21"/>
              </w:rPr>
              <w:t>天后，仍遗留下列一种或一种以上障碍：</w:t>
            </w:r>
          </w:p>
          <w:p>
            <w:pPr>
              <w:pStyle w:val="TableParagraph"/>
              <w:spacing w:before="18"/>
              <w:rPr>
                <w:sz w:val="21"/>
              </w:rPr>
            </w:pPr>
            <w:r>
              <w:rPr>
                <w:w w:val="99"/>
                <w:sz w:val="21"/>
              </w:rPr>
              <w:t>（</w:t>
            </w:r>
            <w:r>
              <w:rPr>
                <w:rFonts w:ascii="Times New Roman" w:eastAsia="Times New Roman"/>
                <w:spacing w:val="-4"/>
                <w:w w:val="99"/>
                <w:sz w:val="21"/>
              </w:rPr>
              <w:t>1</w:t>
            </w:r>
            <w:r>
              <w:rPr>
                <w:w w:val="99"/>
                <w:sz w:val="21"/>
              </w:rPr>
              <w:t>）一肢或一肢以上</w:t>
            </w:r>
            <w:r>
              <w:rPr>
                <w:b/>
                <w:spacing w:val="0"/>
                <w:w w:val="99"/>
                <w:sz w:val="21"/>
              </w:rPr>
              <w:t>肢体机能完全丧失</w:t>
            </w:r>
            <w:r>
              <w:rPr>
                <w:b/>
                <w:w w:val="99"/>
                <w:sz w:val="21"/>
              </w:rPr>
              <w:t>（</w:t>
            </w:r>
            <w:r>
              <w:rPr>
                <w:rFonts w:ascii="Times New Roman" w:eastAsia="Times New Roman"/>
                <w:b/>
                <w:spacing w:val="2"/>
                <w:w w:val="99"/>
                <w:sz w:val="21"/>
              </w:rPr>
              <w:t>8</w:t>
            </w:r>
            <w:r>
              <w:rPr>
                <w:rFonts w:ascii="Times New Roman" w:eastAsia="Times New Roman"/>
                <w:b/>
                <w:spacing w:val="-2"/>
                <w:w w:val="99"/>
                <w:sz w:val="21"/>
              </w:rPr>
              <w:t>.</w:t>
            </w:r>
            <w:r>
              <w:rPr>
                <w:rFonts w:ascii="Times New Roman" w:eastAsia="Times New Roman"/>
                <w:b/>
                <w:spacing w:val="3"/>
                <w:w w:val="99"/>
                <w:sz w:val="21"/>
              </w:rPr>
              <w:t>7</w:t>
            </w:r>
            <w:r>
              <w:rPr>
                <w:b/>
                <w:spacing w:val="-101"/>
                <w:w w:val="99"/>
                <w:sz w:val="21"/>
              </w:rPr>
              <w:t>）</w:t>
            </w:r>
            <w:r>
              <w:rPr>
                <w:w w:val="99"/>
                <w:sz w:val="21"/>
              </w:rPr>
              <w:t>；</w:t>
            </w:r>
          </w:p>
          <w:p>
            <w:pPr>
              <w:pStyle w:val="TableParagraph"/>
              <w:spacing w:line="275" w:lineRule="exact" w:before="25"/>
              <w:rPr>
                <w:sz w:val="21"/>
              </w:rPr>
            </w:pPr>
            <w:r>
              <w:rPr>
                <w:w w:val="99"/>
                <w:sz w:val="21"/>
              </w:rPr>
              <w:t>（</w:t>
            </w:r>
            <w:r>
              <w:rPr>
                <w:rFonts w:ascii="Times New Roman" w:eastAsia="Times New Roman"/>
                <w:spacing w:val="-4"/>
                <w:w w:val="99"/>
                <w:sz w:val="21"/>
              </w:rPr>
              <w:t>2</w:t>
            </w:r>
            <w:r>
              <w:rPr>
                <w:w w:val="99"/>
                <w:sz w:val="21"/>
              </w:rPr>
              <w:t>）</w:t>
            </w:r>
            <w:r>
              <w:rPr>
                <w:b/>
                <w:w w:val="99"/>
                <w:sz w:val="21"/>
              </w:rPr>
              <w:t>语言能力或咀嚼吞咽能力完全丧失</w:t>
            </w:r>
            <w:r>
              <w:rPr>
                <w:b/>
                <w:spacing w:val="6"/>
                <w:w w:val="99"/>
                <w:sz w:val="21"/>
              </w:rPr>
              <w:t>（</w:t>
            </w:r>
            <w:r>
              <w:rPr>
                <w:rFonts w:ascii="Times New Roman" w:eastAsia="Times New Roman"/>
                <w:b/>
                <w:spacing w:val="2"/>
                <w:w w:val="99"/>
                <w:sz w:val="21"/>
              </w:rPr>
              <w:t>8</w:t>
            </w:r>
            <w:r>
              <w:rPr>
                <w:rFonts w:ascii="Times New Roman" w:eastAsia="Times New Roman"/>
                <w:b/>
                <w:spacing w:val="-2"/>
                <w:w w:val="99"/>
                <w:sz w:val="21"/>
              </w:rPr>
              <w:t>.</w:t>
            </w:r>
            <w:r>
              <w:rPr>
                <w:rFonts w:ascii="Times New Roman" w:eastAsia="Times New Roman"/>
                <w:b/>
                <w:spacing w:val="-3"/>
                <w:w w:val="99"/>
                <w:sz w:val="21"/>
              </w:rPr>
              <w:t>8</w:t>
            </w:r>
            <w:r>
              <w:rPr>
                <w:b/>
                <w:spacing w:val="-101"/>
                <w:w w:val="99"/>
                <w:sz w:val="21"/>
              </w:rPr>
              <w:t>）</w:t>
            </w:r>
            <w:r>
              <w:rPr>
                <w:w w:val="99"/>
                <w:sz w:val="21"/>
              </w:rPr>
              <w:t>；</w:t>
            </w:r>
          </w:p>
        </w:tc>
      </w:tr>
    </w:tbl>
    <w:p>
      <w:pPr>
        <w:spacing w:after="0" w:line="275" w:lineRule="exact"/>
        <w:rPr>
          <w:sz w:val="21"/>
        </w:rPr>
        <w:sectPr>
          <w:pgSz w:w="11910" w:h="16850"/>
          <w:pgMar w:header="0" w:footer="773" w:top="1240" w:bottom="960" w:left="940" w:right="14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2197"/>
        <w:gridCol w:w="6495"/>
      </w:tblGrid>
      <w:tr>
        <w:trPr>
          <w:trHeight w:val="710" w:hRule="atLeast"/>
        </w:trPr>
        <w:tc>
          <w:tcPr>
            <w:tcW w:w="859" w:type="dxa"/>
          </w:tcPr>
          <w:p>
            <w:pPr>
              <w:pStyle w:val="TableParagraph"/>
              <w:ind w:left="0"/>
              <w:rPr>
                <w:rFonts w:ascii="Times New Roman"/>
                <w:sz w:val="20"/>
              </w:rPr>
            </w:pPr>
          </w:p>
        </w:tc>
        <w:tc>
          <w:tcPr>
            <w:tcW w:w="2197" w:type="dxa"/>
          </w:tcPr>
          <w:p>
            <w:pPr>
              <w:pStyle w:val="TableParagraph"/>
              <w:ind w:left="0"/>
              <w:rPr>
                <w:rFonts w:ascii="Times New Roman"/>
                <w:sz w:val="20"/>
              </w:rPr>
            </w:pPr>
          </w:p>
        </w:tc>
        <w:tc>
          <w:tcPr>
            <w:tcW w:w="6495" w:type="dxa"/>
          </w:tcPr>
          <w:p>
            <w:pPr>
              <w:pStyle w:val="TableParagraph"/>
              <w:spacing w:line="226" w:lineRule="exact"/>
              <w:rPr>
                <w:b/>
                <w:sz w:val="21"/>
              </w:rPr>
            </w:pPr>
            <w:r>
              <w:rPr>
                <w:w w:val="95"/>
                <w:sz w:val="21"/>
              </w:rPr>
              <w:t>（</w:t>
            </w:r>
            <w:r>
              <w:rPr>
                <w:rFonts w:ascii="Times New Roman" w:eastAsia="Times New Roman"/>
                <w:w w:val="95"/>
                <w:sz w:val="21"/>
              </w:rPr>
              <w:t>3</w:t>
            </w:r>
            <w:r>
              <w:rPr>
                <w:w w:val="95"/>
                <w:sz w:val="21"/>
              </w:rPr>
              <w:t>）自主生活能力完全丧失，无法独立完成</w:t>
            </w:r>
            <w:r>
              <w:rPr>
                <w:b/>
                <w:w w:val="95"/>
                <w:sz w:val="21"/>
              </w:rPr>
              <w:t>六项基本日常生活活</w:t>
            </w:r>
          </w:p>
          <w:p>
            <w:pPr>
              <w:pStyle w:val="TableParagraph"/>
              <w:spacing w:before="26"/>
              <w:rPr>
                <w:sz w:val="21"/>
              </w:rPr>
            </w:pPr>
            <w:r>
              <w:rPr>
                <w:b/>
                <w:w w:val="95"/>
                <w:sz w:val="21"/>
              </w:rPr>
              <w:t>动（</w:t>
            </w:r>
            <w:r>
              <w:rPr>
                <w:rFonts w:ascii="Times New Roman" w:eastAsia="Times New Roman"/>
                <w:b/>
                <w:w w:val="95"/>
                <w:sz w:val="21"/>
              </w:rPr>
              <w:t>8.9</w:t>
            </w:r>
            <w:r>
              <w:rPr>
                <w:b/>
                <w:w w:val="95"/>
                <w:sz w:val="21"/>
              </w:rPr>
              <w:t>）</w:t>
            </w:r>
            <w:r>
              <w:rPr>
                <w:w w:val="95"/>
                <w:sz w:val="21"/>
              </w:rPr>
              <w:t>中的三项或三项以上。</w:t>
            </w:r>
          </w:p>
        </w:tc>
      </w:tr>
      <w:tr>
        <w:trPr>
          <w:trHeight w:val="1792" w:hRule="atLeast"/>
        </w:trPr>
        <w:tc>
          <w:tcPr>
            <w:tcW w:w="859" w:type="dxa"/>
          </w:tcPr>
          <w:p>
            <w:pPr>
              <w:pStyle w:val="TableParagraph"/>
              <w:spacing w:before="146"/>
              <w:ind w:left="200"/>
              <w:rPr>
                <w:rFonts w:ascii="Times New Roman"/>
                <w:sz w:val="21"/>
              </w:rPr>
            </w:pPr>
            <w:r>
              <w:rPr>
                <w:rFonts w:ascii="Times New Roman"/>
                <w:sz w:val="21"/>
              </w:rPr>
              <w:t>7.4</w:t>
            </w:r>
          </w:p>
        </w:tc>
        <w:tc>
          <w:tcPr>
            <w:tcW w:w="2197" w:type="dxa"/>
          </w:tcPr>
          <w:p>
            <w:pPr>
              <w:pStyle w:val="TableParagraph"/>
              <w:spacing w:line="271" w:lineRule="auto" w:before="96"/>
              <w:ind w:left="291" w:right="218"/>
              <w:rPr>
                <w:b/>
                <w:sz w:val="21"/>
              </w:rPr>
            </w:pPr>
            <w:r>
              <w:rPr>
                <w:b/>
                <w:w w:val="95"/>
                <w:sz w:val="21"/>
              </w:rPr>
              <w:t>重大器官移植术或造血干细胞移植术</w:t>
            </w:r>
          </w:p>
        </w:tc>
        <w:tc>
          <w:tcPr>
            <w:tcW w:w="6495" w:type="dxa"/>
          </w:tcPr>
          <w:p>
            <w:pPr>
              <w:pStyle w:val="TableParagraph"/>
              <w:spacing w:line="271" w:lineRule="auto" w:before="96"/>
              <w:ind w:right="204"/>
              <w:rPr>
                <w:sz w:val="21"/>
              </w:rPr>
            </w:pPr>
            <w:r>
              <w:rPr>
                <w:spacing w:val="-8"/>
                <w:w w:val="95"/>
                <w:sz w:val="21"/>
              </w:rPr>
              <w:t>重大器官移植术，指因相应器官功能衰竭，已经实施了肾脏、肝脏、 </w:t>
            </w:r>
            <w:r>
              <w:rPr>
                <w:spacing w:val="-7"/>
                <w:w w:val="95"/>
                <w:sz w:val="21"/>
              </w:rPr>
              <w:t>心脏或肺脏的异体移植手术。</w:t>
            </w:r>
          </w:p>
          <w:p>
            <w:pPr>
              <w:pStyle w:val="TableParagraph"/>
              <w:spacing w:line="273" w:lineRule="auto" w:before="7"/>
              <w:ind w:right="312"/>
              <w:jc w:val="both"/>
              <w:rPr>
                <w:sz w:val="21"/>
              </w:rPr>
            </w:pPr>
            <w:r>
              <w:rPr>
                <w:w w:val="95"/>
                <w:sz w:val="21"/>
              </w:rPr>
              <w:t>造血干细胞移植术，指因造血功能损害或造血系统恶性肿瘤，已经 实施了造血干细胞（包括骨髓造血干细胞、外周血造血干细胞和脐 血造血干细胞）的异体移植手术。</w:t>
            </w:r>
          </w:p>
        </w:tc>
      </w:tr>
      <w:tr>
        <w:trPr>
          <w:trHeight w:val="1491" w:hRule="atLeast"/>
        </w:trPr>
        <w:tc>
          <w:tcPr>
            <w:tcW w:w="859" w:type="dxa"/>
          </w:tcPr>
          <w:p>
            <w:pPr>
              <w:pStyle w:val="TableParagraph"/>
              <w:spacing w:before="154"/>
              <w:ind w:left="200"/>
              <w:rPr>
                <w:rFonts w:ascii="Times New Roman"/>
                <w:sz w:val="21"/>
              </w:rPr>
            </w:pPr>
            <w:r>
              <w:rPr>
                <w:rFonts w:ascii="Times New Roman"/>
                <w:sz w:val="21"/>
              </w:rPr>
              <w:t>7.5</w:t>
            </w:r>
          </w:p>
        </w:tc>
        <w:tc>
          <w:tcPr>
            <w:tcW w:w="2197" w:type="dxa"/>
          </w:tcPr>
          <w:p>
            <w:pPr>
              <w:pStyle w:val="TableParagraph"/>
              <w:spacing w:line="273" w:lineRule="auto" w:before="105"/>
              <w:ind w:left="291" w:right="63"/>
              <w:rPr>
                <w:b/>
                <w:sz w:val="21"/>
              </w:rPr>
            </w:pPr>
            <w:r>
              <w:rPr>
                <w:b/>
                <w:w w:val="95"/>
                <w:sz w:val="21"/>
              </w:rPr>
              <w:t>冠状动脉搭桥术（或</w:t>
            </w:r>
            <w:r>
              <w:rPr>
                <w:b/>
                <w:sz w:val="21"/>
              </w:rPr>
              <w:t>称冠状动脉旁路移</w:t>
            </w:r>
            <w:r>
              <w:rPr>
                <w:b/>
                <w:w w:val="95"/>
                <w:sz w:val="21"/>
              </w:rPr>
              <w:t>植术）</w:t>
            </w:r>
          </w:p>
        </w:tc>
        <w:tc>
          <w:tcPr>
            <w:tcW w:w="6495" w:type="dxa"/>
          </w:tcPr>
          <w:p>
            <w:pPr>
              <w:pStyle w:val="TableParagraph"/>
              <w:spacing w:line="271" w:lineRule="auto" w:before="105"/>
              <w:ind w:right="268"/>
              <w:rPr>
                <w:sz w:val="21"/>
              </w:rPr>
            </w:pPr>
            <w:r>
              <w:rPr>
                <w:w w:val="95"/>
                <w:sz w:val="21"/>
              </w:rPr>
              <w:t>指为治疗严重的冠心病，实际实施了开胸进行的冠状动脉血管旁路 移植的手术。</w:t>
            </w:r>
          </w:p>
          <w:p>
            <w:pPr>
              <w:pStyle w:val="TableParagraph"/>
              <w:spacing w:line="271" w:lineRule="auto" w:before="14"/>
              <w:ind w:right="312"/>
              <w:rPr>
                <w:sz w:val="21"/>
              </w:rPr>
            </w:pPr>
            <w:r>
              <w:rPr>
                <w:w w:val="95"/>
                <w:sz w:val="21"/>
              </w:rPr>
              <w:t>冠状动脉支架植入术、心导管球囊扩张术、激光射频技术及其它非 开胸的介入手术、腔镜手术不在保障范围内。</w:t>
            </w:r>
          </w:p>
        </w:tc>
      </w:tr>
      <w:tr>
        <w:trPr>
          <w:trHeight w:val="1209" w:hRule="atLeast"/>
        </w:trPr>
        <w:tc>
          <w:tcPr>
            <w:tcW w:w="859" w:type="dxa"/>
          </w:tcPr>
          <w:p>
            <w:pPr>
              <w:pStyle w:val="TableParagraph"/>
              <w:spacing w:before="154"/>
              <w:ind w:left="200"/>
              <w:rPr>
                <w:rFonts w:ascii="Times New Roman"/>
                <w:sz w:val="21"/>
              </w:rPr>
            </w:pPr>
            <w:r>
              <w:rPr>
                <w:rFonts w:ascii="Times New Roman"/>
                <w:sz w:val="21"/>
              </w:rPr>
              <w:t>7.6</w:t>
            </w:r>
          </w:p>
        </w:tc>
        <w:tc>
          <w:tcPr>
            <w:tcW w:w="2197" w:type="dxa"/>
          </w:tcPr>
          <w:p>
            <w:pPr>
              <w:pStyle w:val="TableParagraph"/>
              <w:spacing w:line="271" w:lineRule="auto" w:before="104"/>
              <w:ind w:left="291" w:right="61"/>
              <w:rPr>
                <w:b/>
                <w:sz w:val="21"/>
              </w:rPr>
            </w:pPr>
            <w:r>
              <w:rPr>
                <w:b/>
                <w:w w:val="95"/>
                <w:sz w:val="21"/>
              </w:rPr>
              <w:t>终末期肾病（或称慢</w:t>
            </w:r>
            <w:r>
              <w:rPr>
                <w:b/>
                <w:sz w:val="21"/>
              </w:rPr>
              <w:t>性肾功能衰竭尿毒</w:t>
            </w:r>
            <w:r>
              <w:rPr>
                <w:b/>
                <w:w w:val="95"/>
                <w:sz w:val="21"/>
              </w:rPr>
              <w:t>症期）</w:t>
            </w:r>
          </w:p>
        </w:tc>
        <w:tc>
          <w:tcPr>
            <w:tcW w:w="6495" w:type="dxa"/>
          </w:tcPr>
          <w:p>
            <w:pPr>
              <w:pStyle w:val="TableParagraph"/>
              <w:spacing w:line="271" w:lineRule="auto" w:before="104"/>
              <w:ind w:right="312"/>
              <w:rPr>
                <w:sz w:val="21"/>
              </w:rPr>
            </w:pPr>
            <w:r>
              <w:rPr>
                <w:w w:val="95"/>
                <w:sz w:val="21"/>
              </w:rPr>
              <w:t>指双肾功能慢性不可逆性衰竭，达到尿毒症期，经诊断后已经进行 </w:t>
            </w:r>
            <w:r>
              <w:rPr>
                <w:spacing w:val="-17"/>
                <w:sz w:val="21"/>
              </w:rPr>
              <w:t>了至少 </w:t>
            </w:r>
            <w:r>
              <w:rPr>
                <w:rFonts w:ascii="Times New Roman" w:eastAsia="Times New Roman"/>
                <w:sz w:val="21"/>
              </w:rPr>
              <w:t>90</w:t>
            </w:r>
            <w:r>
              <w:rPr>
                <w:rFonts w:ascii="Times New Roman" w:eastAsia="Times New Roman"/>
                <w:spacing w:val="-17"/>
                <w:sz w:val="21"/>
              </w:rPr>
              <w:t> </w:t>
            </w:r>
            <w:r>
              <w:rPr>
                <w:sz w:val="21"/>
              </w:rPr>
              <w:t>天的规律性透析治疗或实施了肾脏移植手术。</w:t>
            </w:r>
          </w:p>
        </w:tc>
      </w:tr>
      <w:tr>
        <w:trPr>
          <w:trHeight w:val="936" w:hRule="atLeast"/>
        </w:trPr>
        <w:tc>
          <w:tcPr>
            <w:tcW w:w="859" w:type="dxa"/>
          </w:tcPr>
          <w:p>
            <w:pPr>
              <w:pStyle w:val="TableParagraph"/>
              <w:spacing w:before="190"/>
              <w:ind w:left="200"/>
              <w:rPr>
                <w:rFonts w:ascii="Times New Roman"/>
                <w:sz w:val="21"/>
              </w:rPr>
            </w:pPr>
            <w:r>
              <w:rPr>
                <w:rFonts w:ascii="Times New Roman"/>
                <w:sz w:val="21"/>
              </w:rPr>
              <w:t>7.7</w:t>
            </w:r>
          </w:p>
        </w:tc>
        <w:tc>
          <w:tcPr>
            <w:tcW w:w="2197" w:type="dxa"/>
          </w:tcPr>
          <w:p>
            <w:pPr>
              <w:pStyle w:val="TableParagraph"/>
              <w:spacing w:before="140"/>
              <w:ind w:left="291"/>
              <w:rPr>
                <w:b/>
                <w:sz w:val="21"/>
              </w:rPr>
            </w:pPr>
            <w:r>
              <w:rPr>
                <w:b/>
                <w:w w:val="95"/>
                <w:sz w:val="21"/>
              </w:rPr>
              <w:t>多个肢体缺失</w:t>
            </w:r>
          </w:p>
        </w:tc>
        <w:tc>
          <w:tcPr>
            <w:tcW w:w="6495" w:type="dxa"/>
          </w:tcPr>
          <w:p>
            <w:pPr>
              <w:pStyle w:val="TableParagraph"/>
              <w:spacing w:line="271" w:lineRule="auto" w:before="140"/>
              <w:ind w:right="318"/>
              <w:rPr>
                <w:sz w:val="21"/>
              </w:rPr>
            </w:pPr>
            <w:r>
              <w:rPr>
                <w:sz w:val="21"/>
              </w:rPr>
              <w:t>指因疾病或意外伤害导致两个或两个以上肢体自腕关节或踝关节</w:t>
            </w:r>
            <w:r>
              <w:rPr>
                <w:w w:val="95"/>
                <w:sz w:val="21"/>
              </w:rPr>
              <w:t>近端（靠近躯干端）以上完全性断离。</w:t>
            </w:r>
          </w:p>
        </w:tc>
      </w:tr>
      <w:tr>
        <w:trPr>
          <w:trHeight w:val="2161" w:hRule="atLeast"/>
        </w:trPr>
        <w:tc>
          <w:tcPr>
            <w:tcW w:w="859" w:type="dxa"/>
          </w:tcPr>
          <w:p>
            <w:pPr>
              <w:pStyle w:val="TableParagraph"/>
              <w:spacing w:before="190"/>
              <w:ind w:left="200"/>
              <w:rPr>
                <w:rFonts w:ascii="Times New Roman"/>
                <w:sz w:val="21"/>
              </w:rPr>
            </w:pPr>
            <w:r>
              <w:rPr>
                <w:rFonts w:ascii="Times New Roman"/>
                <w:sz w:val="21"/>
              </w:rPr>
              <w:t>7.8</w:t>
            </w:r>
          </w:p>
        </w:tc>
        <w:tc>
          <w:tcPr>
            <w:tcW w:w="2197" w:type="dxa"/>
          </w:tcPr>
          <w:p>
            <w:pPr>
              <w:pStyle w:val="TableParagraph"/>
              <w:spacing w:line="271" w:lineRule="auto" w:before="141"/>
              <w:ind w:left="291" w:right="218"/>
              <w:rPr>
                <w:b/>
                <w:sz w:val="21"/>
              </w:rPr>
            </w:pPr>
            <w:r>
              <w:rPr>
                <w:b/>
                <w:w w:val="95"/>
                <w:sz w:val="21"/>
              </w:rPr>
              <w:t>急性或亚急性重症肝炎</w:t>
            </w:r>
          </w:p>
        </w:tc>
        <w:tc>
          <w:tcPr>
            <w:tcW w:w="6495" w:type="dxa"/>
          </w:tcPr>
          <w:p>
            <w:pPr>
              <w:pStyle w:val="TableParagraph"/>
              <w:spacing w:line="271" w:lineRule="auto" w:before="141"/>
              <w:ind w:right="318"/>
              <w:rPr>
                <w:sz w:val="21"/>
              </w:rPr>
            </w:pPr>
            <w:r>
              <w:rPr>
                <w:sz w:val="21"/>
              </w:rPr>
              <w:t>指因肝炎病毒感染引起肝脏组织弥漫性坏死，导致急性肝功能衰</w:t>
            </w:r>
            <w:r>
              <w:rPr>
                <w:w w:val="95"/>
                <w:sz w:val="21"/>
              </w:rPr>
              <w:t>竭，且经血清学或病毒学检查证实，并须满足下列全部条件：</w:t>
            </w:r>
          </w:p>
          <w:p>
            <w:pPr>
              <w:pStyle w:val="TableParagraph"/>
              <w:spacing w:before="15"/>
              <w:rPr>
                <w:sz w:val="21"/>
              </w:rPr>
            </w:pPr>
            <w:r>
              <w:rPr>
                <w:w w:val="95"/>
                <w:sz w:val="21"/>
              </w:rPr>
              <w:t>（</w:t>
            </w:r>
            <w:r>
              <w:rPr>
                <w:rFonts w:ascii="Times New Roman" w:eastAsia="Times New Roman"/>
                <w:w w:val="95"/>
                <w:sz w:val="21"/>
              </w:rPr>
              <w:t>1</w:t>
            </w:r>
            <w:r>
              <w:rPr>
                <w:w w:val="95"/>
                <w:sz w:val="21"/>
              </w:rPr>
              <w:t>）重度黄疸或黄疸迅速加重；</w:t>
            </w:r>
          </w:p>
          <w:p>
            <w:pPr>
              <w:pStyle w:val="TableParagraph"/>
              <w:spacing w:before="18"/>
              <w:rPr>
                <w:sz w:val="21"/>
              </w:rPr>
            </w:pPr>
            <w:r>
              <w:rPr>
                <w:w w:val="95"/>
                <w:sz w:val="21"/>
              </w:rPr>
              <w:t>（</w:t>
            </w:r>
            <w:r>
              <w:rPr>
                <w:rFonts w:ascii="Times New Roman" w:eastAsia="Times New Roman"/>
                <w:w w:val="95"/>
                <w:sz w:val="21"/>
              </w:rPr>
              <w:t>2</w:t>
            </w:r>
            <w:r>
              <w:rPr>
                <w:w w:val="95"/>
                <w:sz w:val="21"/>
              </w:rPr>
              <w:t>）肝性脑病；</w:t>
            </w:r>
          </w:p>
          <w:p>
            <w:pPr>
              <w:pStyle w:val="TableParagraph"/>
              <w:spacing w:before="1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6"/>
              <w:rPr>
                <w:sz w:val="21"/>
              </w:rPr>
            </w:pPr>
            <w:r>
              <w:rPr>
                <w:w w:val="95"/>
                <w:sz w:val="21"/>
              </w:rPr>
              <w:t>（</w:t>
            </w:r>
            <w:r>
              <w:rPr>
                <w:rFonts w:ascii="Times New Roman" w:eastAsia="Times New Roman"/>
                <w:w w:val="95"/>
                <w:sz w:val="21"/>
              </w:rPr>
              <w:t>4</w:t>
            </w:r>
            <w:r>
              <w:rPr>
                <w:w w:val="95"/>
                <w:sz w:val="21"/>
              </w:rPr>
              <w:t>）肝功能指标进行性恶化。</w:t>
            </w:r>
          </w:p>
        </w:tc>
      </w:tr>
      <w:tr>
        <w:trPr>
          <w:trHeight w:val="2451" w:hRule="atLeast"/>
        </w:trPr>
        <w:tc>
          <w:tcPr>
            <w:tcW w:w="859" w:type="dxa"/>
          </w:tcPr>
          <w:p>
            <w:pPr>
              <w:pStyle w:val="TableParagraph"/>
              <w:spacing w:before="146"/>
              <w:ind w:left="200"/>
              <w:rPr>
                <w:rFonts w:ascii="Times New Roman"/>
                <w:sz w:val="21"/>
              </w:rPr>
            </w:pPr>
            <w:r>
              <w:rPr>
                <w:rFonts w:ascii="Times New Roman"/>
                <w:sz w:val="21"/>
              </w:rPr>
              <w:t>7.9</w:t>
            </w:r>
          </w:p>
        </w:tc>
        <w:tc>
          <w:tcPr>
            <w:tcW w:w="2197" w:type="dxa"/>
          </w:tcPr>
          <w:p>
            <w:pPr>
              <w:pStyle w:val="TableParagraph"/>
              <w:spacing w:before="97"/>
              <w:ind w:left="291"/>
              <w:rPr>
                <w:b/>
                <w:sz w:val="21"/>
              </w:rPr>
            </w:pPr>
            <w:r>
              <w:rPr>
                <w:b/>
                <w:w w:val="95"/>
                <w:sz w:val="21"/>
              </w:rPr>
              <w:t>良性脑肿瘤</w:t>
            </w:r>
          </w:p>
        </w:tc>
        <w:tc>
          <w:tcPr>
            <w:tcW w:w="6495" w:type="dxa"/>
          </w:tcPr>
          <w:p>
            <w:pPr>
              <w:pStyle w:val="TableParagraph"/>
              <w:spacing w:line="266" w:lineRule="auto" w:before="97"/>
              <w:ind w:right="199"/>
              <w:rPr>
                <w:sz w:val="21"/>
              </w:rPr>
            </w:pPr>
            <w:r>
              <w:rPr>
                <w:sz w:val="21"/>
              </w:rPr>
              <w:t>指脑的良性肿瘤，已经引起颅内压增高，临床表现为视神经乳头水肿、精神症状、癫痫及运动感觉障碍等，并危及生命。须由头颅断</w:t>
            </w:r>
            <w:r>
              <w:rPr>
                <w:spacing w:val="-15"/>
                <w:w w:val="99"/>
                <w:sz w:val="21"/>
              </w:rPr>
              <w:t>层扫描</w:t>
            </w:r>
            <w:r>
              <w:rPr>
                <w:w w:val="99"/>
                <w:sz w:val="21"/>
              </w:rPr>
              <w:t>（</w:t>
            </w:r>
            <w:r>
              <w:rPr>
                <w:rFonts w:ascii="Times New Roman" w:eastAsia="Times New Roman"/>
                <w:spacing w:val="-3"/>
                <w:w w:val="99"/>
                <w:sz w:val="21"/>
              </w:rPr>
              <w:t>C</w:t>
            </w:r>
            <w:r>
              <w:rPr>
                <w:rFonts w:ascii="Times New Roman" w:eastAsia="Times New Roman"/>
                <w:spacing w:val="8"/>
                <w:w w:val="99"/>
                <w:sz w:val="21"/>
              </w:rPr>
              <w:t>T</w:t>
            </w:r>
            <w:r>
              <w:rPr>
                <w:spacing w:val="-108"/>
                <w:w w:val="99"/>
                <w:sz w:val="21"/>
              </w:rPr>
              <w:t>）</w:t>
            </w:r>
            <w:r>
              <w:rPr>
                <w:spacing w:val="-12"/>
                <w:w w:val="99"/>
                <w:sz w:val="21"/>
              </w:rPr>
              <w:t>、核磁共振检查</w:t>
            </w:r>
            <w:r>
              <w:rPr>
                <w:spacing w:val="0"/>
                <w:w w:val="99"/>
                <w:sz w:val="21"/>
              </w:rPr>
              <w:t>（</w:t>
            </w:r>
            <w:r>
              <w:rPr>
                <w:rFonts w:ascii="Times New Roman" w:eastAsia="Times New Roman"/>
                <w:spacing w:val="0"/>
                <w:w w:val="99"/>
                <w:sz w:val="21"/>
              </w:rPr>
              <w:t>M</w:t>
            </w:r>
            <w:r>
              <w:rPr>
                <w:rFonts w:ascii="Times New Roman" w:eastAsia="Times New Roman"/>
                <w:spacing w:val="-3"/>
                <w:w w:val="99"/>
                <w:sz w:val="21"/>
              </w:rPr>
              <w:t>R</w:t>
            </w:r>
            <w:r>
              <w:rPr>
                <w:rFonts w:ascii="Times New Roman" w:eastAsia="Times New Roman"/>
                <w:spacing w:val="1"/>
                <w:w w:val="99"/>
                <w:sz w:val="21"/>
              </w:rPr>
              <w:t>I</w:t>
            </w:r>
            <w:r>
              <w:rPr>
                <w:spacing w:val="-44"/>
                <w:w w:val="99"/>
                <w:sz w:val="21"/>
              </w:rPr>
              <w:t>）</w:t>
            </w:r>
            <w:r>
              <w:rPr>
                <w:spacing w:val="-5"/>
                <w:w w:val="99"/>
                <w:sz w:val="21"/>
              </w:rPr>
              <w:t>或正电子发射断层扫描</w:t>
            </w:r>
            <w:r>
              <w:rPr>
                <w:spacing w:val="8"/>
                <w:w w:val="99"/>
                <w:sz w:val="21"/>
              </w:rPr>
              <w:t>（</w:t>
            </w:r>
            <w:r>
              <w:rPr>
                <w:rFonts w:ascii="Times New Roman" w:eastAsia="Times New Roman"/>
                <w:spacing w:val="-1"/>
                <w:w w:val="99"/>
                <w:sz w:val="21"/>
              </w:rPr>
              <w:t>P</w:t>
            </w:r>
            <w:r>
              <w:rPr>
                <w:rFonts w:ascii="Times New Roman" w:eastAsia="Times New Roman"/>
                <w:spacing w:val="1"/>
                <w:w w:val="99"/>
                <w:sz w:val="21"/>
              </w:rPr>
              <w:t>E</w:t>
            </w:r>
            <w:r>
              <w:rPr>
                <w:rFonts w:ascii="Times New Roman" w:eastAsia="Times New Roman"/>
                <w:spacing w:val="1"/>
                <w:w w:val="99"/>
                <w:sz w:val="21"/>
              </w:rPr>
              <w:t>T</w:t>
            </w:r>
            <w:r>
              <w:rPr>
                <w:w w:val="99"/>
                <w:sz w:val="21"/>
              </w:rPr>
              <w:t>）</w:t>
            </w:r>
            <w:r>
              <w:rPr>
                <w:w w:val="95"/>
                <w:sz w:val="21"/>
              </w:rPr>
              <w:t>等影像学检查证实，并须满足下列至少一项条件：</w:t>
            </w:r>
          </w:p>
          <w:p>
            <w:pPr>
              <w:pStyle w:val="TableParagraph"/>
              <w:spacing w:before="11"/>
              <w:rPr>
                <w:sz w:val="21"/>
              </w:rPr>
            </w:pPr>
            <w:r>
              <w:rPr>
                <w:w w:val="95"/>
                <w:sz w:val="21"/>
              </w:rPr>
              <w:t>（</w:t>
            </w:r>
            <w:r>
              <w:rPr>
                <w:rFonts w:ascii="Times New Roman" w:eastAsia="Times New Roman"/>
                <w:w w:val="95"/>
                <w:sz w:val="21"/>
              </w:rPr>
              <w:t>1</w:t>
            </w:r>
            <w:r>
              <w:rPr>
                <w:w w:val="95"/>
                <w:sz w:val="21"/>
              </w:rPr>
              <w:t>）实际实施了开颅进行的脑肿瘤完全切除或部分切除的手术；</w:t>
            </w:r>
          </w:p>
          <w:p>
            <w:pPr>
              <w:pStyle w:val="TableParagraph"/>
              <w:spacing w:before="18"/>
              <w:rPr>
                <w:sz w:val="21"/>
              </w:rPr>
            </w:pPr>
            <w:r>
              <w:rPr>
                <w:w w:val="95"/>
                <w:sz w:val="21"/>
              </w:rPr>
              <w:t>（</w:t>
            </w:r>
            <w:r>
              <w:rPr>
                <w:rFonts w:ascii="Times New Roman" w:eastAsia="Times New Roman"/>
                <w:w w:val="95"/>
                <w:sz w:val="21"/>
              </w:rPr>
              <w:t>2</w:t>
            </w:r>
            <w:r>
              <w:rPr>
                <w:w w:val="95"/>
                <w:sz w:val="21"/>
              </w:rPr>
              <w:t>）实际实施了对脑肿瘤进行的放射治疗。</w:t>
            </w:r>
          </w:p>
          <w:p>
            <w:pPr>
              <w:pStyle w:val="TableParagraph"/>
              <w:spacing w:before="26"/>
              <w:rPr>
                <w:sz w:val="21"/>
              </w:rPr>
            </w:pPr>
            <w:r>
              <w:rPr>
                <w:w w:val="95"/>
                <w:sz w:val="21"/>
              </w:rPr>
              <w:t>脑垂体瘤、脑囊肿、脑血管性疾病不在保障范围内。</w:t>
            </w:r>
          </w:p>
        </w:tc>
      </w:tr>
      <w:tr>
        <w:trPr>
          <w:trHeight w:val="2150" w:hRule="atLeast"/>
        </w:trPr>
        <w:tc>
          <w:tcPr>
            <w:tcW w:w="859" w:type="dxa"/>
          </w:tcPr>
          <w:p>
            <w:pPr>
              <w:pStyle w:val="TableParagraph"/>
              <w:spacing w:before="186"/>
              <w:ind w:left="200"/>
              <w:rPr>
                <w:rFonts w:ascii="Times New Roman"/>
                <w:sz w:val="21"/>
              </w:rPr>
            </w:pPr>
            <w:r>
              <w:rPr>
                <w:rFonts w:ascii="Times New Roman"/>
                <w:sz w:val="21"/>
              </w:rPr>
              <w:t>7.10</w:t>
            </w:r>
          </w:p>
        </w:tc>
        <w:tc>
          <w:tcPr>
            <w:tcW w:w="2197" w:type="dxa"/>
          </w:tcPr>
          <w:p>
            <w:pPr>
              <w:pStyle w:val="TableParagraph"/>
              <w:spacing w:line="278" w:lineRule="auto" w:before="137"/>
              <w:ind w:left="291" w:right="218"/>
              <w:rPr>
                <w:b/>
                <w:sz w:val="21"/>
              </w:rPr>
            </w:pPr>
            <w:r>
              <w:rPr>
                <w:b/>
                <w:w w:val="95"/>
                <w:sz w:val="21"/>
              </w:rPr>
              <w:t>慢性肝功能衰竭失代偿期</w:t>
            </w:r>
          </w:p>
        </w:tc>
        <w:tc>
          <w:tcPr>
            <w:tcW w:w="6495" w:type="dxa"/>
          </w:tcPr>
          <w:p>
            <w:pPr>
              <w:pStyle w:val="TableParagraph"/>
              <w:spacing w:before="137"/>
              <w:rPr>
                <w:sz w:val="21"/>
              </w:rPr>
            </w:pPr>
            <w:r>
              <w:rPr>
                <w:w w:val="95"/>
                <w:sz w:val="21"/>
              </w:rPr>
              <w:t>指因慢性肝脏疾病导致肝功能衰竭。须满足下列全部条件：</w:t>
            </w:r>
          </w:p>
          <w:p>
            <w:pPr>
              <w:pStyle w:val="TableParagraph"/>
              <w:spacing w:before="42"/>
              <w:rPr>
                <w:sz w:val="21"/>
              </w:rPr>
            </w:pPr>
            <w:r>
              <w:rPr>
                <w:w w:val="95"/>
                <w:sz w:val="21"/>
              </w:rPr>
              <w:t>（</w:t>
            </w:r>
            <w:r>
              <w:rPr>
                <w:rFonts w:ascii="Times New Roman" w:eastAsia="Times New Roman"/>
                <w:w w:val="95"/>
                <w:sz w:val="21"/>
              </w:rPr>
              <w:t>1</w:t>
            </w:r>
            <w:r>
              <w:rPr>
                <w:w w:val="95"/>
                <w:sz w:val="21"/>
              </w:rPr>
              <w:t>）持续性黄疸；</w:t>
            </w:r>
          </w:p>
          <w:p>
            <w:pPr>
              <w:pStyle w:val="TableParagraph"/>
              <w:spacing w:before="18"/>
              <w:rPr>
                <w:sz w:val="21"/>
              </w:rPr>
            </w:pPr>
            <w:r>
              <w:rPr>
                <w:w w:val="95"/>
                <w:sz w:val="21"/>
              </w:rPr>
              <w:t>（</w:t>
            </w:r>
            <w:r>
              <w:rPr>
                <w:rFonts w:ascii="Times New Roman" w:eastAsia="Times New Roman"/>
                <w:w w:val="95"/>
                <w:sz w:val="21"/>
              </w:rPr>
              <w:t>2</w:t>
            </w:r>
            <w:r>
              <w:rPr>
                <w:w w:val="95"/>
                <w:sz w:val="21"/>
              </w:rPr>
              <w:t>）腹水；</w:t>
            </w:r>
          </w:p>
          <w:p>
            <w:pPr>
              <w:pStyle w:val="TableParagraph"/>
              <w:spacing w:before="18"/>
              <w:rPr>
                <w:sz w:val="21"/>
              </w:rPr>
            </w:pPr>
            <w:r>
              <w:rPr>
                <w:w w:val="95"/>
                <w:sz w:val="21"/>
              </w:rPr>
              <w:t>（</w:t>
            </w:r>
            <w:r>
              <w:rPr>
                <w:rFonts w:ascii="Times New Roman" w:eastAsia="Times New Roman"/>
                <w:w w:val="95"/>
                <w:sz w:val="21"/>
              </w:rPr>
              <w:t>3</w:t>
            </w:r>
            <w:r>
              <w:rPr>
                <w:w w:val="95"/>
                <w:sz w:val="21"/>
              </w:rPr>
              <w:t>）肝性脑病；</w:t>
            </w:r>
          </w:p>
          <w:p>
            <w:pPr>
              <w:pStyle w:val="TableParagraph"/>
              <w:spacing w:line="256" w:lineRule="auto" w:before="25"/>
              <w:ind w:right="1255"/>
              <w:rPr>
                <w:sz w:val="21"/>
              </w:rPr>
            </w:pPr>
            <w:r>
              <w:rPr>
                <w:w w:val="95"/>
                <w:sz w:val="21"/>
              </w:rPr>
              <w:t>（</w:t>
            </w:r>
            <w:r>
              <w:rPr>
                <w:rFonts w:ascii="Times New Roman" w:eastAsia="Times New Roman"/>
                <w:w w:val="95"/>
                <w:sz w:val="21"/>
              </w:rPr>
              <w:t>4</w:t>
            </w:r>
            <w:r>
              <w:rPr>
                <w:w w:val="95"/>
                <w:sz w:val="21"/>
              </w:rPr>
              <w:t>）充血性脾肿大伴脾功能亢进或食管胃底静脉曲张。 因酗酒或药物滥用导致的肝功能衰竭不在保障范围内。</w:t>
            </w:r>
          </w:p>
        </w:tc>
      </w:tr>
      <w:tr>
        <w:trPr>
          <w:trHeight w:val="1337" w:hRule="atLeast"/>
        </w:trPr>
        <w:tc>
          <w:tcPr>
            <w:tcW w:w="859" w:type="dxa"/>
          </w:tcPr>
          <w:p>
            <w:pPr>
              <w:pStyle w:val="TableParagraph"/>
              <w:spacing w:before="154"/>
              <w:ind w:left="200"/>
              <w:rPr>
                <w:rFonts w:ascii="Times New Roman"/>
                <w:sz w:val="21"/>
              </w:rPr>
            </w:pPr>
            <w:r>
              <w:rPr>
                <w:rFonts w:ascii="Times New Roman"/>
                <w:sz w:val="21"/>
              </w:rPr>
              <w:t>7.11</w:t>
            </w:r>
          </w:p>
        </w:tc>
        <w:tc>
          <w:tcPr>
            <w:tcW w:w="2197" w:type="dxa"/>
          </w:tcPr>
          <w:p>
            <w:pPr>
              <w:pStyle w:val="TableParagraph"/>
              <w:spacing w:line="271" w:lineRule="auto" w:before="104"/>
              <w:ind w:left="291" w:right="218"/>
              <w:rPr>
                <w:b/>
                <w:sz w:val="21"/>
              </w:rPr>
            </w:pPr>
            <w:r>
              <w:rPr>
                <w:b/>
                <w:w w:val="95"/>
                <w:sz w:val="21"/>
              </w:rPr>
              <w:t>脑炎后遗症或脑膜炎后遗症</w:t>
            </w:r>
          </w:p>
        </w:tc>
        <w:tc>
          <w:tcPr>
            <w:tcW w:w="6495" w:type="dxa"/>
          </w:tcPr>
          <w:p>
            <w:pPr>
              <w:pStyle w:val="TableParagraph"/>
              <w:spacing w:line="266" w:lineRule="auto" w:before="104"/>
              <w:ind w:right="309"/>
              <w:jc w:val="both"/>
              <w:rPr>
                <w:sz w:val="21"/>
              </w:rPr>
            </w:pPr>
            <w:r>
              <w:rPr>
                <w:spacing w:val="-1"/>
                <w:w w:val="95"/>
                <w:sz w:val="21"/>
              </w:rPr>
              <w:t>指因患脑炎或脑膜炎导致的神经系统永久性的功能障碍。神经系统 </w:t>
            </w:r>
            <w:r>
              <w:rPr>
                <w:spacing w:val="-6"/>
                <w:sz w:val="21"/>
              </w:rPr>
              <w:t>永久性的功能障碍，指疾病确诊 </w:t>
            </w:r>
            <w:r>
              <w:rPr>
                <w:rFonts w:ascii="Times New Roman" w:eastAsia="Times New Roman"/>
                <w:sz w:val="21"/>
              </w:rPr>
              <w:t>180 </w:t>
            </w:r>
            <w:r>
              <w:rPr>
                <w:sz w:val="21"/>
              </w:rPr>
              <w:t>天后，仍遗留下列一种或一种</w:t>
            </w:r>
            <w:r>
              <w:rPr>
                <w:w w:val="95"/>
                <w:sz w:val="21"/>
              </w:rPr>
              <w:t>以上障碍：</w:t>
            </w:r>
          </w:p>
          <w:p>
            <w:pPr>
              <w:pStyle w:val="TableParagraph"/>
              <w:spacing w:line="276" w:lineRule="exact" w:before="11"/>
              <w:jc w:val="both"/>
              <w:rPr>
                <w:sz w:val="21"/>
              </w:rPr>
            </w:pPr>
            <w:r>
              <w:rPr>
                <w:w w:val="95"/>
                <w:sz w:val="21"/>
              </w:rPr>
              <w:t>（</w:t>
            </w:r>
            <w:r>
              <w:rPr>
                <w:rFonts w:ascii="Times New Roman" w:eastAsia="Times New Roman"/>
                <w:w w:val="95"/>
                <w:sz w:val="21"/>
              </w:rPr>
              <w:t>1</w:t>
            </w:r>
            <w:r>
              <w:rPr>
                <w:w w:val="95"/>
                <w:sz w:val="21"/>
              </w:rPr>
              <w:t>）一肢或一肢以上肢体机能完全丧失；</w:t>
            </w:r>
          </w:p>
        </w:tc>
      </w:tr>
    </w:tbl>
    <w:p>
      <w:pPr>
        <w:spacing w:after="0" w:line="276" w:lineRule="exact"/>
        <w:jc w:val="both"/>
        <w:rPr>
          <w:sz w:val="21"/>
        </w:rPr>
        <w:sectPr>
          <w:pgSz w:w="11910" w:h="16850"/>
          <w:pgMar w:header="0" w:footer="773" w:top="1180" w:bottom="960" w:left="1420" w:right="7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2139"/>
        <w:gridCol w:w="6552"/>
      </w:tblGrid>
      <w:tr>
        <w:trPr>
          <w:trHeight w:val="1011" w:hRule="atLeast"/>
        </w:trPr>
        <w:tc>
          <w:tcPr>
            <w:tcW w:w="860" w:type="dxa"/>
          </w:tcPr>
          <w:p>
            <w:pPr>
              <w:pStyle w:val="TableParagraph"/>
              <w:ind w:left="0"/>
              <w:rPr>
                <w:rFonts w:ascii="Times New Roman"/>
                <w:sz w:val="20"/>
              </w:rPr>
            </w:pPr>
          </w:p>
        </w:tc>
        <w:tc>
          <w:tcPr>
            <w:tcW w:w="2139" w:type="dxa"/>
          </w:tcPr>
          <w:p>
            <w:pPr>
              <w:pStyle w:val="TableParagraph"/>
              <w:ind w:left="0"/>
              <w:rPr>
                <w:rFonts w:ascii="Times New Roman"/>
                <w:sz w:val="20"/>
              </w:rPr>
            </w:pPr>
          </w:p>
        </w:tc>
        <w:tc>
          <w:tcPr>
            <w:tcW w:w="6552" w:type="dxa"/>
          </w:tcPr>
          <w:p>
            <w:pPr>
              <w:pStyle w:val="TableParagraph"/>
              <w:spacing w:line="226" w:lineRule="exact"/>
              <w:ind w:left="162"/>
              <w:rPr>
                <w:sz w:val="21"/>
              </w:rPr>
            </w:pPr>
            <w:r>
              <w:rPr>
                <w:w w:val="95"/>
                <w:sz w:val="21"/>
              </w:rPr>
              <w:t>（</w:t>
            </w:r>
            <w:r>
              <w:rPr>
                <w:rFonts w:ascii="Times New Roman" w:eastAsia="Times New Roman"/>
                <w:w w:val="95"/>
                <w:sz w:val="21"/>
              </w:rPr>
              <w:t>2</w:t>
            </w:r>
            <w:r>
              <w:rPr>
                <w:w w:val="95"/>
                <w:sz w:val="21"/>
              </w:rPr>
              <w:t>）语言能力或咀嚼吞咽能力完全丧失；</w:t>
            </w:r>
          </w:p>
          <w:p>
            <w:pPr>
              <w:pStyle w:val="TableParagraph"/>
              <w:spacing w:line="256" w:lineRule="auto" w:before="26"/>
              <w:ind w:left="162" w:right="315"/>
              <w:rPr>
                <w:sz w:val="21"/>
              </w:rPr>
            </w:pPr>
            <w:r>
              <w:rPr>
                <w:spacing w:val="1"/>
                <w:w w:val="95"/>
                <w:sz w:val="21"/>
              </w:rPr>
              <w:t>（</w:t>
            </w:r>
            <w:r>
              <w:rPr>
                <w:rFonts w:ascii="Times New Roman" w:eastAsia="Times New Roman"/>
                <w:spacing w:val="1"/>
                <w:w w:val="95"/>
                <w:sz w:val="21"/>
              </w:rPr>
              <w:t>3</w:t>
            </w:r>
            <w:r>
              <w:rPr>
                <w:spacing w:val="1"/>
                <w:w w:val="95"/>
                <w:sz w:val="21"/>
              </w:rPr>
              <w:t>）</w:t>
            </w:r>
            <w:r>
              <w:rPr>
                <w:w w:val="95"/>
                <w:sz w:val="21"/>
              </w:rPr>
              <w:t>自主生活能力完全丧失，无法独立完成六项基本日常生活活  动中的三项或三项以上。</w:t>
            </w:r>
          </w:p>
        </w:tc>
      </w:tr>
      <w:tr>
        <w:trPr>
          <w:trHeight w:val="1800" w:hRule="atLeast"/>
        </w:trPr>
        <w:tc>
          <w:tcPr>
            <w:tcW w:w="860" w:type="dxa"/>
          </w:tcPr>
          <w:p>
            <w:pPr>
              <w:pStyle w:val="TableParagraph"/>
              <w:spacing w:before="154"/>
              <w:ind w:left="200"/>
              <w:rPr>
                <w:rFonts w:ascii="Times New Roman"/>
                <w:sz w:val="21"/>
              </w:rPr>
            </w:pPr>
            <w:r>
              <w:rPr>
                <w:rFonts w:ascii="Times New Roman"/>
                <w:sz w:val="21"/>
              </w:rPr>
              <w:t>7.12</w:t>
            </w:r>
          </w:p>
        </w:tc>
        <w:tc>
          <w:tcPr>
            <w:tcW w:w="2139" w:type="dxa"/>
          </w:tcPr>
          <w:p>
            <w:pPr>
              <w:pStyle w:val="TableParagraph"/>
              <w:spacing w:before="104"/>
              <w:ind w:left="291"/>
              <w:rPr>
                <w:b/>
                <w:sz w:val="21"/>
              </w:rPr>
            </w:pPr>
            <w:r>
              <w:rPr>
                <w:b/>
                <w:w w:val="95"/>
                <w:sz w:val="21"/>
              </w:rPr>
              <w:t>深度昏迷</w:t>
            </w:r>
          </w:p>
        </w:tc>
        <w:tc>
          <w:tcPr>
            <w:tcW w:w="6552" w:type="dxa"/>
          </w:tcPr>
          <w:p>
            <w:pPr>
              <w:pStyle w:val="TableParagraph"/>
              <w:spacing w:line="256" w:lineRule="auto" w:before="104"/>
              <w:ind w:left="162" w:right="297"/>
              <w:jc w:val="both"/>
              <w:rPr>
                <w:sz w:val="21"/>
              </w:rPr>
            </w:pPr>
            <w:r>
              <w:rPr>
                <w:spacing w:val="5"/>
                <w:sz w:val="21"/>
              </w:rPr>
              <w:t>指因疾病或意外伤害导致意识丧失</w:t>
            </w:r>
            <w:r>
              <w:rPr>
                <w:rFonts w:ascii="Times New Roman" w:eastAsia="Times New Roman"/>
                <w:spacing w:val="5"/>
                <w:sz w:val="21"/>
              </w:rPr>
              <w:t>,</w:t>
            </w:r>
            <w:r>
              <w:rPr>
                <w:spacing w:val="0"/>
                <w:sz w:val="21"/>
              </w:rPr>
              <w:t>对外界刺激和体内需求均无反应</w:t>
            </w:r>
            <w:r>
              <w:rPr>
                <w:rFonts w:ascii="Times New Roman" w:eastAsia="Times New Roman"/>
                <w:spacing w:val="0"/>
                <w:sz w:val="21"/>
              </w:rPr>
              <w:t>,</w:t>
            </w:r>
            <w:r>
              <w:rPr>
                <w:spacing w:val="-3"/>
                <w:sz w:val="21"/>
              </w:rPr>
              <w:t>昏迷程度按照格拉斯哥昏迷分级</w:t>
            </w:r>
            <w:r>
              <w:rPr>
                <w:sz w:val="21"/>
              </w:rPr>
              <w:t>（</w:t>
            </w:r>
            <w:r>
              <w:rPr>
                <w:rFonts w:ascii="Times New Roman" w:eastAsia="Times New Roman"/>
                <w:sz w:val="21"/>
              </w:rPr>
              <w:t>Glasgow coma </w:t>
            </w:r>
            <w:r>
              <w:rPr>
                <w:rFonts w:ascii="Times New Roman" w:eastAsia="Times New Roman"/>
                <w:spacing w:val="-4"/>
                <w:sz w:val="21"/>
              </w:rPr>
              <w:t>scale</w:t>
            </w:r>
            <w:r>
              <w:rPr>
                <w:spacing w:val="-4"/>
                <w:sz w:val="21"/>
              </w:rPr>
              <w:t>）</w:t>
            </w:r>
            <w:r>
              <w:rPr>
                <w:spacing w:val="-14"/>
                <w:sz w:val="21"/>
              </w:rPr>
              <w:t>结果为 </w:t>
            </w:r>
            <w:r>
              <w:rPr>
                <w:rFonts w:ascii="Times New Roman" w:eastAsia="Times New Roman"/>
                <w:sz w:val="21"/>
              </w:rPr>
              <w:t>5 </w:t>
            </w:r>
            <w:r>
              <w:rPr>
                <w:spacing w:val="-11"/>
                <w:sz w:val="21"/>
              </w:rPr>
              <w:t>分或 </w:t>
            </w:r>
            <w:r>
              <w:rPr>
                <w:rFonts w:ascii="Times New Roman" w:eastAsia="Times New Roman"/>
                <w:sz w:val="21"/>
              </w:rPr>
              <w:t>5 </w:t>
            </w:r>
            <w:r>
              <w:rPr>
                <w:spacing w:val="-2"/>
                <w:sz w:val="21"/>
              </w:rPr>
              <w:t>分以下，且已经持续使用呼吸机及其它生命维持系统 </w:t>
            </w:r>
            <w:r>
              <w:rPr>
                <w:rFonts w:ascii="Times New Roman" w:eastAsia="Times New Roman"/>
                <w:sz w:val="21"/>
              </w:rPr>
              <w:t>96 </w:t>
            </w:r>
            <w:r>
              <w:rPr>
                <w:sz w:val="21"/>
              </w:rPr>
              <w:t>小</w:t>
            </w:r>
            <w:r>
              <w:rPr>
                <w:w w:val="95"/>
                <w:sz w:val="21"/>
              </w:rPr>
              <w:t>时以上。</w:t>
            </w:r>
          </w:p>
          <w:p>
            <w:pPr>
              <w:pStyle w:val="TableParagraph"/>
              <w:spacing w:before="19"/>
              <w:ind w:left="162"/>
              <w:jc w:val="both"/>
              <w:rPr>
                <w:sz w:val="21"/>
              </w:rPr>
            </w:pPr>
            <w:r>
              <w:rPr>
                <w:w w:val="95"/>
                <w:sz w:val="21"/>
              </w:rPr>
              <w:t>因酗酒或药物滥用导致的深度昏迷不在保障范围内。</w:t>
            </w:r>
          </w:p>
        </w:tc>
      </w:tr>
      <w:tr>
        <w:trPr>
          <w:trHeight w:val="2279" w:hRule="atLeast"/>
        </w:trPr>
        <w:tc>
          <w:tcPr>
            <w:tcW w:w="860" w:type="dxa"/>
          </w:tcPr>
          <w:p>
            <w:pPr>
              <w:pStyle w:val="TableParagraph"/>
              <w:spacing w:before="154"/>
              <w:ind w:left="200"/>
              <w:rPr>
                <w:rFonts w:ascii="Times New Roman"/>
                <w:sz w:val="21"/>
              </w:rPr>
            </w:pPr>
            <w:r>
              <w:rPr>
                <w:rFonts w:ascii="Times New Roman"/>
                <w:sz w:val="21"/>
              </w:rPr>
              <w:t>7.13</w:t>
            </w:r>
          </w:p>
        </w:tc>
        <w:tc>
          <w:tcPr>
            <w:tcW w:w="2139" w:type="dxa"/>
          </w:tcPr>
          <w:p>
            <w:pPr>
              <w:pStyle w:val="TableParagraph"/>
              <w:spacing w:before="105"/>
              <w:ind w:left="291"/>
              <w:rPr>
                <w:b/>
                <w:sz w:val="21"/>
              </w:rPr>
            </w:pPr>
            <w:r>
              <w:rPr>
                <w:b/>
                <w:w w:val="95"/>
                <w:sz w:val="21"/>
              </w:rPr>
              <w:t>双耳失聪</w:t>
            </w:r>
          </w:p>
        </w:tc>
        <w:tc>
          <w:tcPr>
            <w:tcW w:w="6552" w:type="dxa"/>
          </w:tcPr>
          <w:p>
            <w:pPr>
              <w:pStyle w:val="TableParagraph"/>
              <w:spacing w:before="105"/>
              <w:ind w:left="162"/>
              <w:rPr>
                <w:sz w:val="21"/>
              </w:rPr>
            </w:pPr>
            <w:r>
              <w:rPr>
                <w:w w:val="95"/>
                <w:sz w:val="21"/>
              </w:rPr>
              <w:t>指因疾病或意外伤害导致双耳听力</w:t>
            </w:r>
            <w:r>
              <w:rPr>
                <w:b/>
                <w:w w:val="95"/>
                <w:sz w:val="21"/>
              </w:rPr>
              <w:t>永久不可逆（</w:t>
            </w:r>
            <w:r>
              <w:rPr>
                <w:rFonts w:ascii="Times New Roman" w:eastAsia="Times New Roman"/>
                <w:b/>
                <w:w w:val="95"/>
                <w:sz w:val="21"/>
              </w:rPr>
              <w:t>8.10</w:t>
            </w:r>
            <w:r>
              <w:rPr>
                <w:b/>
                <w:w w:val="95"/>
                <w:sz w:val="21"/>
              </w:rPr>
              <w:t>）</w:t>
            </w:r>
            <w:r>
              <w:rPr>
                <w:w w:val="95"/>
                <w:sz w:val="21"/>
              </w:rPr>
              <w:t>性丧失，在</w:t>
            </w:r>
          </w:p>
          <w:p>
            <w:pPr>
              <w:pStyle w:val="TableParagraph"/>
              <w:spacing w:line="244" w:lineRule="auto" w:before="26"/>
              <w:ind w:left="162" w:right="305"/>
              <w:jc w:val="both"/>
              <w:rPr>
                <w:sz w:val="21"/>
              </w:rPr>
            </w:pPr>
            <w:r>
              <w:rPr>
                <w:rFonts w:ascii="Times New Roman" w:eastAsia="Times New Roman"/>
                <w:sz w:val="21"/>
              </w:rPr>
              <w:t>500</w:t>
            </w:r>
            <w:r>
              <w:rPr>
                <w:rFonts w:ascii="Times New Roman" w:eastAsia="Times New Roman"/>
                <w:spacing w:val="-10"/>
                <w:sz w:val="21"/>
              </w:rPr>
              <w:t> </w:t>
            </w:r>
            <w:r>
              <w:rPr>
                <w:spacing w:val="0"/>
                <w:sz w:val="21"/>
              </w:rPr>
              <w:t>赫兹、</w:t>
            </w:r>
            <w:r>
              <w:rPr>
                <w:rFonts w:ascii="Times New Roman" w:eastAsia="Times New Roman"/>
                <w:sz w:val="21"/>
              </w:rPr>
              <w:t>1000</w:t>
            </w:r>
            <w:r>
              <w:rPr>
                <w:rFonts w:ascii="Times New Roman" w:eastAsia="Times New Roman"/>
                <w:spacing w:val="-10"/>
                <w:sz w:val="21"/>
              </w:rPr>
              <w:t> </w:t>
            </w:r>
            <w:r>
              <w:rPr>
                <w:spacing w:val="-13"/>
                <w:sz w:val="21"/>
              </w:rPr>
              <w:t>赫兹和 </w:t>
            </w:r>
            <w:r>
              <w:rPr>
                <w:rFonts w:ascii="Times New Roman" w:eastAsia="Times New Roman"/>
                <w:sz w:val="21"/>
              </w:rPr>
              <w:t>2000</w:t>
            </w:r>
            <w:r>
              <w:rPr>
                <w:rFonts w:ascii="Times New Roman" w:eastAsia="Times New Roman"/>
                <w:spacing w:val="-9"/>
                <w:sz w:val="21"/>
              </w:rPr>
              <w:t> </w:t>
            </w:r>
            <w:r>
              <w:rPr>
                <w:spacing w:val="-4"/>
                <w:sz w:val="21"/>
              </w:rPr>
              <w:t>赫兹语音频率下，平均听阈大于 </w:t>
            </w:r>
            <w:r>
              <w:rPr>
                <w:rFonts w:ascii="Times New Roman" w:eastAsia="Times New Roman"/>
                <w:sz w:val="21"/>
              </w:rPr>
              <w:t>90</w:t>
            </w:r>
            <w:r>
              <w:rPr>
                <w:rFonts w:ascii="Times New Roman" w:eastAsia="Times New Roman"/>
                <w:spacing w:val="-10"/>
                <w:sz w:val="21"/>
              </w:rPr>
              <w:t> </w:t>
            </w:r>
            <w:r>
              <w:rPr>
                <w:sz w:val="21"/>
              </w:rPr>
              <w:t>分</w:t>
            </w:r>
            <w:r>
              <w:rPr>
                <w:w w:val="95"/>
                <w:sz w:val="21"/>
              </w:rPr>
              <w:t>贝，且经纯音听力测试、声导抗检测或听觉诱发电位检测等证实。 特别声明：我们将在被保险人年龄在三周岁或以上时受理理赔，并 </w:t>
            </w:r>
            <w:r>
              <w:rPr>
                <w:spacing w:val="3"/>
                <w:sz w:val="21"/>
              </w:rPr>
              <w:t>且保险金申请人必须提供理赔受理当时的听力丧失诊断及检查证</w:t>
            </w:r>
            <w:r>
              <w:rPr>
                <w:w w:val="95"/>
                <w:sz w:val="21"/>
              </w:rPr>
              <w:t>据。若被保险人发病时不足三周岁，我们将延期到被保险人年满三 周岁后予以受理和评估。</w:t>
            </w:r>
          </w:p>
        </w:tc>
      </w:tr>
      <w:tr>
        <w:trPr>
          <w:trHeight w:val="3205" w:hRule="atLeast"/>
        </w:trPr>
        <w:tc>
          <w:tcPr>
            <w:tcW w:w="860" w:type="dxa"/>
          </w:tcPr>
          <w:p>
            <w:pPr>
              <w:pStyle w:val="TableParagraph"/>
              <w:spacing w:before="143"/>
              <w:ind w:left="200"/>
              <w:rPr>
                <w:rFonts w:ascii="Times New Roman"/>
                <w:sz w:val="21"/>
              </w:rPr>
            </w:pPr>
            <w:r>
              <w:rPr>
                <w:rFonts w:ascii="Times New Roman"/>
                <w:sz w:val="21"/>
              </w:rPr>
              <w:t>7.14</w:t>
            </w:r>
          </w:p>
        </w:tc>
        <w:tc>
          <w:tcPr>
            <w:tcW w:w="2139" w:type="dxa"/>
          </w:tcPr>
          <w:p>
            <w:pPr>
              <w:pStyle w:val="TableParagraph"/>
              <w:spacing w:before="94"/>
              <w:ind w:left="291"/>
              <w:rPr>
                <w:b/>
                <w:sz w:val="21"/>
              </w:rPr>
            </w:pPr>
            <w:r>
              <w:rPr>
                <w:b/>
                <w:w w:val="95"/>
                <w:sz w:val="21"/>
              </w:rPr>
              <w:t>双目失明</w:t>
            </w:r>
          </w:p>
        </w:tc>
        <w:tc>
          <w:tcPr>
            <w:tcW w:w="6552" w:type="dxa"/>
          </w:tcPr>
          <w:p>
            <w:pPr>
              <w:pStyle w:val="TableParagraph"/>
              <w:spacing w:line="271" w:lineRule="auto" w:before="94"/>
              <w:ind w:left="162" w:right="268"/>
              <w:rPr>
                <w:sz w:val="21"/>
              </w:rPr>
            </w:pPr>
            <w:r>
              <w:rPr>
                <w:w w:val="95"/>
                <w:sz w:val="21"/>
              </w:rPr>
              <w:t>指因疾病或意外伤害导致双眼视力永久不可逆性丧失，双眼中较好 眼须满足下列至少一项条件：</w:t>
            </w:r>
          </w:p>
          <w:p>
            <w:pPr>
              <w:pStyle w:val="TableParagraph"/>
              <w:spacing w:before="15"/>
              <w:ind w:left="162"/>
              <w:rPr>
                <w:sz w:val="21"/>
              </w:rPr>
            </w:pPr>
            <w:r>
              <w:rPr>
                <w:w w:val="95"/>
                <w:sz w:val="21"/>
              </w:rPr>
              <w:t>（</w:t>
            </w:r>
            <w:r>
              <w:rPr>
                <w:rFonts w:ascii="Times New Roman" w:eastAsia="Times New Roman"/>
                <w:w w:val="95"/>
                <w:sz w:val="21"/>
              </w:rPr>
              <w:t>1</w:t>
            </w:r>
            <w:r>
              <w:rPr>
                <w:w w:val="95"/>
                <w:sz w:val="21"/>
              </w:rPr>
              <w:t>）眼球缺失或摘除；</w:t>
            </w:r>
          </w:p>
          <w:p>
            <w:pPr>
              <w:pStyle w:val="TableParagraph"/>
              <w:spacing w:line="256" w:lineRule="auto" w:before="18"/>
              <w:ind w:left="162" w:right="311"/>
              <w:rPr>
                <w:sz w:val="21"/>
              </w:rPr>
            </w:pPr>
            <w:r>
              <w:rPr>
                <w:sz w:val="21"/>
              </w:rPr>
              <w:t>（</w:t>
            </w:r>
            <w:r>
              <w:rPr>
                <w:rFonts w:ascii="Times New Roman" w:eastAsia="Times New Roman"/>
                <w:sz w:val="21"/>
              </w:rPr>
              <w:t>2</w:t>
            </w:r>
            <w:r>
              <w:rPr>
                <w:sz w:val="21"/>
              </w:rPr>
              <w:t>）</w:t>
            </w:r>
            <w:r>
              <w:rPr>
                <w:spacing w:val="-2"/>
                <w:sz w:val="21"/>
              </w:rPr>
              <w:t>矫正视力低于 </w:t>
            </w:r>
            <w:r>
              <w:rPr>
                <w:rFonts w:ascii="Times New Roman" w:eastAsia="Times New Roman"/>
                <w:sz w:val="21"/>
              </w:rPr>
              <w:t>0.02</w:t>
            </w:r>
            <w:r>
              <w:rPr>
                <w:sz w:val="21"/>
              </w:rPr>
              <w:t>（采用国际标准视力表，如果使用其它视</w:t>
            </w:r>
            <w:r>
              <w:rPr>
                <w:w w:val="99"/>
                <w:sz w:val="21"/>
              </w:rPr>
              <w:t>力表应进行换算</w:t>
            </w:r>
            <w:r>
              <w:rPr>
                <w:spacing w:val="-108"/>
                <w:w w:val="99"/>
                <w:sz w:val="21"/>
              </w:rPr>
              <w:t>）</w:t>
            </w:r>
            <w:r>
              <w:rPr>
                <w:w w:val="99"/>
                <w:sz w:val="21"/>
              </w:rPr>
              <w:t>；</w:t>
            </w:r>
          </w:p>
          <w:p>
            <w:pPr>
              <w:pStyle w:val="TableParagraph"/>
              <w:spacing w:line="290" w:lineRule="exact" w:before="27"/>
              <w:ind w:left="16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ind w:left="162" w:right="312"/>
              <w:jc w:val="both"/>
              <w:rPr>
                <w:sz w:val="21"/>
              </w:rPr>
            </w:pPr>
            <w:r>
              <w:rPr>
                <w:w w:val="95"/>
                <w:sz w:val="21"/>
              </w:rPr>
              <w:t>特别声明：我们将在被保险人年龄在三周岁或以上时受理理赔，并 </w:t>
            </w:r>
            <w:r>
              <w:rPr>
                <w:spacing w:val="3"/>
                <w:sz w:val="21"/>
              </w:rPr>
              <w:t>且保险金申请人必须提供理赔受理当时的视力丧失诊断及检查证</w:t>
            </w:r>
            <w:r>
              <w:rPr>
                <w:w w:val="95"/>
                <w:sz w:val="21"/>
              </w:rPr>
              <w:t>据。若被保险人发病时不足三周岁，我们将延期到被保险人年满三 周岁后予以受理和评估。</w:t>
            </w:r>
          </w:p>
        </w:tc>
      </w:tr>
      <w:tr>
        <w:trPr>
          <w:trHeight w:val="1480" w:hRule="atLeast"/>
        </w:trPr>
        <w:tc>
          <w:tcPr>
            <w:tcW w:w="860" w:type="dxa"/>
          </w:tcPr>
          <w:p>
            <w:pPr>
              <w:pStyle w:val="TableParagraph"/>
              <w:spacing w:before="143"/>
              <w:ind w:left="200"/>
              <w:rPr>
                <w:rFonts w:ascii="Times New Roman"/>
                <w:sz w:val="21"/>
              </w:rPr>
            </w:pPr>
            <w:r>
              <w:rPr>
                <w:rFonts w:ascii="Times New Roman"/>
                <w:sz w:val="21"/>
              </w:rPr>
              <w:t>7.15</w:t>
            </w:r>
          </w:p>
        </w:tc>
        <w:tc>
          <w:tcPr>
            <w:tcW w:w="2139" w:type="dxa"/>
          </w:tcPr>
          <w:p>
            <w:pPr>
              <w:pStyle w:val="TableParagraph"/>
              <w:spacing w:before="94"/>
              <w:ind w:left="291"/>
              <w:rPr>
                <w:b/>
                <w:sz w:val="21"/>
              </w:rPr>
            </w:pPr>
            <w:r>
              <w:rPr>
                <w:b/>
                <w:w w:val="95"/>
                <w:sz w:val="21"/>
              </w:rPr>
              <w:t>瘫痪</w:t>
            </w:r>
          </w:p>
        </w:tc>
        <w:tc>
          <w:tcPr>
            <w:tcW w:w="6552" w:type="dxa"/>
          </w:tcPr>
          <w:p>
            <w:pPr>
              <w:pStyle w:val="TableParagraph"/>
              <w:spacing w:line="266" w:lineRule="auto" w:before="94"/>
              <w:ind w:left="162" w:right="305"/>
              <w:jc w:val="both"/>
              <w:rPr>
                <w:sz w:val="21"/>
              </w:rPr>
            </w:pPr>
            <w:r>
              <w:rPr>
                <w:w w:val="95"/>
                <w:sz w:val="21"/>
              </w:rPr>
              <w:t>指因疾病或意外伤害导致两肢或两肢以上肢体机能永久完全丧失。 </w:t>
            </w:r>
            <w:r>
              <w:rPr>
                <w:spacing w:val="-4"/>
                <w:sz w:val="21"/>
              </w:rPr>
              <w:t>肢体机能永久完全丧失，指疾病确诊 </w:t>
            </w:r>
            <w:r>
              <w:rPr>
                <w:rFonts w:ascii="Times New Roman" w:eastAsia="Times New Roman"/>
                <w:sz w:val="21"/>
              </w:rPr>
              <w:t>180</w:t>
            </w:r>
            <w:r>
              <w:rPr>
                <w:rFonts w:ascii="Times New Roman" w:eastAsia="Times New Roman"/>
                <w:spacing w:val="-12"/>
                <w:sz w:val="21"/>
              </w:rPr>
              <w:t> </w:t>
            </w:r>
            <w:r>
              <w:rPr>
                <w:spacing w:val="-6"/>
                <w:sz w:val="21"/>
              </w:rPr>
              <w:t>天后或意外伤害发生 </w:t>
            </w:r>
            <w:r>
              <w:rPr>
                <w:rFonts w:ascii="Times New Roman" w:eastAsia="Times New Roman"/>
                <w:sz w:val="21"/>
              </w:rPr>
              <w:t>180 </w:t>
            </w:r>
            <w:r>
              <w:rPr>
                <w:w w:val="95"/>
                <w:sz w:val="21"/>
              </w:rPr>
              <w:t>天后，每肢三大关节中的两大关节仍然完全僵硬，或不能随意识活 动。</w:t>
            </w:r>
          </w:p>
        </w:tc>
      </w:tr>
      <w:tr>
        <w:trPr>
          <w:trHeight w:val="947" w:hRule="atLeast"/>
        </w:trPr>
        <w:tc>
          <w:tcPr>
            <w:tcW w:w="860" w:type="dxa"/>
          </w:tcPr>
          <w:p>
            <w:pPr>
              <w:pStyle w:val="TableParagraph"/>
              <w:spacing w:before="154"/>
              <w:ind w:left="200"/>
              <w:rPr>
                <w:rFonts w:ascii="Times New Roman"/>
                <w:sz w:val="21"/>
              </w:rPr>
            </w:pPr>
            <w:r>
              <w:rPr>
                <w:rFonts w:ascii="Times New Roman"/>
                <w:sz w:val="21"/>
              </w:rPr>
              <w:t>7.16</w:t>
            </w:r>
          </w:p>
        </w:tc>
        <w:tc>
          <w:tcPr>
            <w:tcW w:w="2139" w:type="dxa"/>
          </w:tcPr>
          <w:p>
            <w:pPr>
              <w:pStyle w:val="TableParagraph"/>
              <w:spacing w:before="104"/>
              <w:ind w:left="291"/>
              <w:rPr>
                <w:b/>
                <w:sz w:val="21"/>
              </w:rPr>
            </w:pPr>
            <w:r>
              <w:rPr>
                <w:b/>
                <w:w w:val="95"/>
                <w:sz w:val="21"/>
              </w:rPr>
              <w:t>心脏瓣膜手术</w:t>
            </w:r>
          </w:p>
        </w:tc>
        <w:tc>
          <w:tcPr>
            <w:tcW w:w="6552" w:type="dxa"/>
          </w:tcPr>
          <w:p>
            <w:pPr>
              <w:pStyle w:val="TableParagraph"/>
              <w:spacing w:line="271" w:lineRule="auto" w:before="104"/>
              <w:ind w:left="162" w:right="268"/>
              <w:rPr>
                <w:sz w:val="21"/>
              </w:rPr>
            </w:pPr>
            <w:r>
              <w:rPr>
                <w:w w:val="95"/>
                <w:sz w:val="21"/>
              </w:rPr>
              <w:t>指为治疗心脏瓣膜疾病，实际实施了开胸进行的心脏瓣膜置换或修 复的手术。</w:t>
            </w:r>
          </w:p>
        </w:tc>
      </w:tr>
      <w:tr>
        <w:trPr>
          <w:trHeight w:val="2510" w:hRule="atLeast"/>
        </w:trPr>
        <w:tc>
          <w:tcPr>
            <w:tcW w:w="860" w:type="dxa"/>
          </w:tcPr>
          <w:p>
            <w:pPr>
              <w:pStyle w:val="TableParagraph"/>
              <w:spacing w:before="6"/>
              <w:ind w:left="0"/>
              <w:rPr>
                <w:rFonts w:ascii="Times New Roman"/>
                <w:sz w:val="20"/>
              </w:rPr>
            </w:pPr>
          </w:p>
          <w:p>
            <w:pPr>
              <w:pStyle w:val="TableParagraph"/>
              <w:ind w:left="200"/>
              <w:rPr>
                <w:rFonts w:ascii="Times New Roman"/>
                <w:sz w:val="21"/>
              </w:rPr>
            </w:pPr>
            <w:r>
              <w:rPr>
                <w:rFonts w:ascii="Times New Roman"/>
                <w:sz w:val="21"/>
              </w:rPr>
              <w:t>7.17</w:t>
            </w:r>
          </w:p>
        </w:tc>
        <w:tc>
          <w:tcPr>
            <w:tcW w:w="2139" w:type="dxa"/>
          </w:tcPr>
          <w:p>
            <w:pPr>
              <w:pStyle w:val="TableParagraph"/>
              <w:spacing w:before="3"/>
              <w:ind w:left="0"/>
              <w:rPr>
                <w:rFonts w:ascii="Times New Roman"/>
                <w:sz w:val="16"/>
              </w:rPr>
            </w:pPr>
          </w:p>
          <w:p>
            <w:pPr>
              <w:pStyle w:val="TableParagraph"/>
              <w:ind w:left="291"/>
              <w:rPr>
                <w:b/>
                <w:sz w:val="21"/>
              </w:rPr>
            </w:pPr>
            <w:r>
              <w:rPr>
                <w:b/>
                <w:w w:val="95"/>
                <w:sz w:val="21"/>
              </w:rPr>
              <w:t>严重阿尔茨海默病</w:t>
            </w:r>
          </w:p>
        </w:tc>
        <w:tc>
          <w:tcPr>
            <w:tcW w:w="6552" w:type="dxa"/>
          </w:tcPr>
          <w:p>
            <w:pPr>
              <w:pStyle w:val="TableParagraph"/>
              <w:spacing w:line="273" w:lineRule="auto" w:before="187"/>
              <w:ind w:left="162" w:right="312"/>
              <w:jc w:val="both"/>
              <w:rPr>
                <w:sz w:val="21"/>
              </w:rPr>
            </w:pPr>
            <w:r>
              <w:rPr>
                <w:w w:val="95"/>
                <w:sz w:val="21"/>
              </w:rPr>
              <w:t>指因大脑进行性、不可逆性改变导致智能严重衰退或丧失，临床表 现为明显的认知能力障碍、行为异常和社交能力减退，其日常生活</w:t>
            </w:r>
            <w:r>
              <w:rPr>
                <w:w w:val="99"/>
                <w:sz w:val="21"/>
              </w:rPr>
              <w:t>必须持续受到他人监护。须由头颅断层扫描</w:t>
            </w:r>
            <w:r>
              <w:rPr>
                <w:spacing w:val="10"/>
                <w:w w:val="99"/>
                <w:sz w:val="21"/>
              </w:rPr>
              <w:t>（</w:t>
            </w:r>
            <w:r>
              <w:rPr>
                <w:rFonts w:ascii="Times New Roman" w:eastAsia="Times New Roman"/>
                <w:spacing w:val="-3"/>
                <w:w w:val="99"/>
                <w:sz w:val="21"/>
              </w:rPr>
              <w:t>C</w:t>
            </w:r>
            <w:r>
              <w:rPr>
                <w:rFonts w:ascii="Times New Roman" w:eastAsia="Times New Roman"/>
                <w:spacing w:val="1"/>
                <w:w w:val="99"/>
                <w:sz w:val="21"/>
              </w:rPr>
              <w:t>T</w:t>
            </w:r>
            <w:r>
              <w:rPr>
                <w:spacing w:val="-108"/>
                <w:w w:val="99"/>
                <w:sz w:val="21"/>
              </w:rPr>
              <w:t>）</w:t>
            </w:r>
            <w:r>
              <w:rPr>
                <w:w w:val="99"/>
                <w:sz w:val="21"/>
              </w:rPr>
              <w:t>、核磁共振检查</w:t>
            </w:r>
          </w:p>
          <w:p>
            <w:pPr>
              <w:pStyle w:val="TableParagraph"/>
              <w:spacing w:line="277" w:lineRule="exact"/>
              <w:ind w:left="162"/>
              <w:rPr>
                <w:sz w:val="21"/>
              </w:rPr>
            </w:pPr>
            <w:r>
              <w:rPr>
                <w:w w:val="95"/>
                <w:sz w:val="21"/>
              </w:rPr>
              <w:t>（</w:t>
            </w:r>
            <w:r>
              <w:rPr>
                <w:rFonts w:ascii="Times New Roman" w:eastAsia="Times New Roman"/>
                <w:w w:val="95"/>
                <w:sz w:val="21"/>
              </w:rPr>
              <w:t>MRI</w:t>
            </w:r>
            <w:r>
              <w:rPr>
                <w:w w:val="95"/>
                <w:sz w:val="21"/>
              </w:rPr>
              <w:t>）或正电子发射断层扫描（</w:t>
            </w:r>
            <w:r>
              <w:rPr>
                <w:rFonts w:ascii="Times New Roman" w:eastAsia="Times New Roman"/>
                <w:w w:val="95"/>
                <w:sz w:val="21"/>
              </w:rPr>
              <w:t>PET</w:t>
            </w:r>
            <w:r>
              <w:rPr>
                <w:w w:val="95"/>
                <w:sz w:val="21"/>
              </w:rPr>
              <w:t>）等影像学检查证实，且自</w:t>
            </w:r>
          </w:p>
          <w:p>
            <w:pPr>
              <w:pStyle w:val="TableParagraph"/>
              <w:spacing w:line="271" w:lineRule="auto" w:before="26"/>
              <w:ind w:left="162" w:right="311"/>
              <w:jc w:val="both"/>
              <w:rPr>
                <w:sz w:val="21"/>
              </w:rPr>
            </w:pPr>
            <w:r>
              <w:rPr>
                <w:spacing w:val="-1"/>
                <w:w w:val="95"/>
                <w:sz w:val="21"/>
              </w:rPr>
              <w:t>主生活能力完全丧失，无法独立完成六项基本日常生活活动中的三 项或三项以上。</w:t>
            </w:r>
          </w:p>
          <w:p>
            <w:pPr>
              <w:pStyle w:val="TableParagraph"/>
              <w:spacing w:before="7"/>
              <w:ind w:left="162"/>
              <w:jc w:val="both"/>
              <w:rPr>
                <w:sz w:val="21"/>
              </w:rPr>
            </w:pPr>
            <w:r>
              <w:rPr>
                <w:w w:val="95"/>
                <w:sz w:val="21"/>
              </w:rPr>
              <w:t>神经官能症和精神疾病不在保障范围内。</w:t>
            </w:r>
          </w:p>
        </w:tc>
      </w:tr>
      <w:tr>
        <w:trPr>
          <w:trHeight w:val="1027" w:hRule="atLeast"/>
        </w:trPr>
        <w:tc>
          <w:tcPr>
            <w:tcW w:w="860" w:type="dxa"/>
          </w:tcPr>
          <w:p>
            <w:pPr>
              <w:pStyle w:val="TableParagraph"/>
              <w:spacing w:before="154"/>
              <w:ind w:left="200"/>
              <w:rPr>
                <w:rFonts w:ascii="Times New Roman"/>
                <w:sz w:val="21"/>
              </w:rPr>
            </w:pPr>
            <w:r>
              <w:rPr>
                <w:rFonts w:ascii="Times New Roman"/>
                <w:sz w:val="21"/>
              </w:rPr>
              <w:t>7.18</w:t>
            </w:r>
          </w:p>
        </w:tc>
        <w:tc>
          <w:tcPr>
            <w:tcW w:w="2139" w:type="dxa"/>
          </w:tcPr>
          <w:p>
            <w:pPr>
              <w:pStyle w:val="TableParagraph"/>
              <w:spacing w:before="104"/>
              <w:ind w:left="291"/>
              <w:rPr>
                <w:b/>
                <w:sz w:val="21"/>
              </w:rPr>
            </w:pPr>
            <w:r>
              <w:rPr>
                <w:b/>
                <w:w w:val="95"/>
                <w:sz w:val="21"/>
              </w:rPr>
              <w:t>严重脑损伤</w:t>
            </w:r>
          </w:p>
        </w:tc>
        <w:tc>
          <w:tcPr>
            <w:tcW w:w="6552" w:type="dxa"/>
          </w:tcPr>
          <w:p>
            <w:pPr>
              <w:pStyle w:val="TableParagraph"/>
              <w:spacing w:before="104"/>
              <w:ind w:left="162"/>
              <w:rPr>
                <w:sz w:val="21"/>
              </w:rPr>
            </w:pPr>
            <w:r>
              <w:rPr>
                <w:w w:val="95"/>
                <w:sz w:val="21"/>
              </w:rPr>
              <w:t>指因头部遭受机械性外力，引起脑重要部位损伤，导致神经系统永</w:t>
            </w:r>
          </w:p>
          <w:p>
            <w:pPr>
              <w:pStyle w:val="TableParagraph"/>
              <w:spacing w:line="310" w:lineRule="atLeast" w:before="22"/>
              <w:ind w:left="162" w:right="199"/>
              <w:rPr>
                <w:sz w:val="21"/>
              </w:rPr>
            </w:pPr>
            <w:r>
              <w:rPr>
                <w:spacing w:val="-2"/>
                <w:w w:val="99"/>
                <w:sz w:val="21"/>
              </w:rPr>
              <w:t>久性的功能障碍。须由头颅断层扫描</w:t>
            </w:r>
            <w:r>
              <w:rPr>
                <w:spacing w:val="1"/>
                <w:w w:val="99"/>
                <w:sz w:val="21"/>
              </w:rPr>
              <w:t>（</w:t>
            </w:r>
            <w:r>
              <w:rPr>
                <w:rFonts w:ascii="Times New Roman" w:eastAsia="Times New Roman"/>
                <w:spacing w:val="-3"/>
                <w:w w:val="99"/>
                <w:sz w:val="21"/>
              </w:rPr>
              <w:t>C</w:t>
            </w:r>
            <w:r>
              <w:rPr>
                <w:rFonts w:ascii="Times New Roman" w:eastAsia="Times New Roman"/>
                <w:spacing w:val="8"/>
                <w:w w:val="99"/>
                <w:sz w:val="21"/>
              </w:rPr>
              <w:t>T</w:t>
            </w:r>
            <w:r>
              <w:rPr>
                <w:spacing w:val="-108"/>
                <w:w w:val="99"/>
                <w:sz w:val="21"/>
              </w:rPr>
              <w:t>）</w:t>
            </w:r>
            <w:r>
              <w:rPr>
                <w:spacing w:val="-4"/>
                <w:w w:val="99"/>
                <w:sz w:val="21"/>
              </w:rPr>
              <w:t>、核磁共振检查</w:t>
            </w:r>
            <w:r>
              <w:rPr>
                <w:spacing w:val="0"/>
                <w:w w:val="99"/>
                <w:sz w:val="21"/>
              </w:rPr>
              <w:t>（</w:t>
            </w:r>
            <w:r>
              <w:rPr>
                <w:rFonts w:ascii="Times New Roman" w:eastAsia="Times New Roman"/>
                <w:spacing w:val="0"/>
                <w:w w:val="99"/>
                <w:sz w:val="21"/>
              </w:rPr>
              <w:t>M</w:t>
            </w:r>
            <w:r>
              <w:rPr>
                <w:rFonts w:ascii="Times New Roman" w:eastAsia="Times New Roman"/>
                <w:spacing w:val="-3"/>
                <w:w w:val="99"/>
                <w:sz w:val="21"/>
              </w:rPr>
              <w:t>R</w:t>
            </w:r>
            <w:r>
              <w:rPr>
                <w:rFonts w:ascii="Times New Roman" w:eastAsia="Times New Roman"/>
                <w:spacing w:val="8"/>
                <w:w w:val="99"/>
                <w:sz w:val="21"/>
              </w:rPr>
              <w:t>I</w:t>
            </w:r>
            <w:r>
              <w:rPr>
                <w:w w:val="99"/>
                <w:sz w:val="21"/>
              </w:rPr>
              <w:t>）</w:t>
            </w:r>
            <w:r>
              <w:rPr>
                <w:w w:val="95"/>
                <w:sz w:val="21"/>
              </w:rPr>
              <w:t>或正电子发射断层扫描（</w:t>
            </w:r>
            <w:r>
              <w:rPr>
                <w:rFonts w:ascii="Times New Roman" w:eastAsia="Times New Roman"/>
                <w:w w:val="95"/>
                <w:sz w:val="21"/>
              </w:rPr>
              <w:t>PET</w:t>
            </w:r>
            <w:r>
              <w:rPr>
                <w:w w:val="95"/>
                <w:sz w:val="21"/>
              </w:rPr>
              <w:t>）等影像学检查证实。神经系统永久</w:t>
            </w:r>
          </w:p>
        </w:tc>
      </w:tr>
    </w:tbl>
    <w:p>
      <w:pPr>
        <w:spacing w:after="0" w:line="310" w:lineRule="atLeast"/>
        <w:rPr>
          <w:sz w:val="21"/>
        </w:rPr>
        <w:sectPr>
          <w:pgSz w:w="11910" w:h="16850"/>
          <w:pgMar w:header="0" w:footer="773" w:top="1180" w:bottom="960" w:left="840" w:right="12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2139"/>
        <w:gridCol w:w="6451"/>
      </w:tblGrid>
      <w:tr>
        <w:trPr>
          <w:trHeight w:val="1948" w:hRule="atLeast"/>
        </w:trPr>
        <w:tc>
          <w:tcPr>
            <w:tcW w:w="859" w:type="dxa"/>
          </w:tcPr>
          <w:p>
            <w:pPr>
              <w:pStyle w:val="TableParagraph"/>
              <w:ind w:left="0"/>
              <w:rPr>
                <w:rFonts w:ascii="Times New Roman"/>
                <w:sz w:val="20"/>
              </w:rPr>
            </w:pPr>
          </w:p>
        </w:tc>
        <w:tc>
          <w:tcPr>
            <w:tcW w:w="2139" w:type="dxa"/>
          </w:tcPr>
          <w:p>
            <w:pPr>
              <w:pStyle w:val="TableParagraph"/>
              <w:ind w:left="0"/>
              <w:rPr>
                <w:rFonts w:ascii="Times New Roman"/>
                <w:sz w:val="20"/>
              </w:rPr>
            </w:pPr>
          </w:p>
        </w:tc>
        <w:tc>
          <w:tcPr>
            <w:tcW w:w="6451" w:type="dxa"/>
          </w:tcPr>
          <w:p>
            <w:pPr>
              <w:pStyle w:val="TableParagraph"/>
              <w:spacing w:line="226" w:lineRule="exact"/>
              <w:ind w:left="163"/>
              <w:rPr>
                <w:sz w:val="21"/>
              </w:rPr>
            </w:pPr>
            <w:r>
              <w:rPr>
                <w:sz w:val="21"/>
              </w:rPr>
              <w:t>性的功能障碍，指脑损伤 </w:t>
            </w:r>
            <w:r>
              <w:rPr>
                <w:rFonts w:ascii="Times New Roman" w:eastAsia="Times New Roman"/>
                <w:sz w:val="21"/>
              </w:rPr>
              <w:t>180 </w:t>
            </w:r>
            <w:r>
              <w:rPr>
                <w:sz w:val="21"/>
              </w:rPr>
              <w:t>天后，仍遗留下列一种或一种以上障</w:t>
            </w:r>
          </w:p>
          <w:p>
            <w:pPr>
              <w:pStyle w:val="TableParagraph"/>
              <w:spacing w:before="26"/>
              <w:ind w:left="163"/>
              <w:rPr>
                <w:sz w:val="21"/>
              </w:rPr>
            </w:pPr>
            <w:r>
              <w:rPr>
                <w:w w:val="95"/>
                <w:sz w:val="21"/>
              </w:rPr>
              <w:t>碍：</w:t>
            </w:r>
          </w:p>
          <w:p>
            <w:pPr>
              <w:pStyle w:val="TableParagraph"/>
              <w:spacing w:before="34"/>
              <w:ind w:left="163"/>
              <w:rPr>
                <w:sz w:val="21"/>
              </w:rPr>
            </w:pPr>
            <w:r>
              <w:rPr>
                <w:w w:val="95"/>
                <w:sz w:val="21"/>
              </w:rPr>
              <w:t>（</w:t>
            </w:r>
            <w:r>
              <w:rPr>
                <w:rFonts w:ascii="Times New Roman" w:eastAsia="Times New Roman"/>
                <w:w w:val="95"/>
                <w:sz w:val="21"/>
              </w:rPr>
              <w:t>1</w:t>
            </w:r>
            <w:r>
              <w:rPr>
                <w:w w:val="95"/>
                <w:sz w:val="21"/>
              </w:rPr>
              <w:t>）一肢或一肢以上肢体机能完全丧失；</w:t>
            </w:r>
          </w:p>
          <w:p>
            <w:pPr>
              <w:pStyle w:val="TableParagraph"/>
              <w:spacing w:before="19"/>
              <w:ind w:left="163"/>
              <w:rPr>
                <w:sz w:val="21"/>
              </w:rPr>
            </w:pPr>
            <w:r>
              <w:rPr>
                <w:w w:val="95"/>
                <w:sz w:val="21"/>
              </w:rPr>
              <w:t>（</w:t>
            </w:r>
            <w:r>
              <w:rPr>
                <w:rFonts w:ascii="Times New Roman" w:eastAsia="Times New Roman"/>
                <w:w w:val="95"/>
                <w:sz w:val="21"/>
              </w:rPr>
              <w:t>2</w:t>
            </w:r>
            <w:r>
              <w:rPr>
                <w:w w:val="95"/>
                <w:sz w:val="21"/>
              </w:rPr>
              <w:t>）语言能力或咀嚼吞咽能力完全丧失；</w:t>
            </w:r>
          </w:p>
          <w:p>
            <w:pPr>
              <w:pStyle w:val="TableParagraph"/>
              <w:spacing w:line="256" w:lineRule="auto" w:before="26"/>
              <w:ind w:left="163" w:right="307"/>
              <w:rPr>
                <w:sz w:val="21"/>
              </w:rPr>
            </w:pPr>
            <w:r>
              <w:rPr>
                <w:w w:val="95"/>
                <w:sz w:val="21"/>
              </w:rPr>
              <w:t>（</w:t>
            </w:r>
            <w:r>
              <w:rPr>
                <w:rFonts w:ascii="Times New Roman" w:eastAsia="Times New Roman"/>
                <w:w w:val="95"/>
                <w:sz w:val="21"/>
              </w:rPr>
              <w:t>3</w:t>
            </w:r>
            <w:r>
              <w:rPr>
                <w:w w:val="95"/>
                <w:sz w:val="21"/>
              </w:rPr>
              <w:t>）自主生活能力完全丧失，无法独立完成六项基本日常生活活 动中的三项或三项以上。</w:t>
            </w:r>
          </w:p>
        </w:tc>
      </w:tr>
      <w:tr>
        <w:trPr>
          <w:trHeight w:val="2117" w:hRule="atLeast"/>
        </w:trPr>
        <w:tc>
          <w:tcPr>
            <w:tcW w:w="859" w:type="dxa"/>
          </w:tcPr>
          <w:p>
            <w:pPr>
              <w:pStyle w:val="TableParagraph"/>
              <w:spacing w:before="154"/>
              <w:ind w:left="200"/>
              <w:rPr>
                <w:rFonts w:ascii="Times New Roman"/>
                <w:sz w:val="21"/>
              </w:rPr>
            </w:pPr>
            <w:r>
              <w:rPr>
                <w:rFonts w:ascii="Times New Roman"/>
                <w:sz w:val="21"/>
              </w:rPr>
              <w:t>7.19</w:t>
            </w:r>
          </w:p>
        </w:tc>
        <w:tc>
          <w:tcPr>
            <w:tcW w:w="2139" w:type="dxa"/>
          </w:tcPr>
          <w:p>
            <w:pPr>
              <w:pStyle w:val="TableParagraph"/>
              <w:spacing w:before="104"/>
              <w:ind w:left="291"/>
              <w:rPr>
                <w:b/>
                <w:sz w:val="21"/>
              </w:rPr>
            </w:pPr>
            <w:r>
              <w:rPr>
                <w:b/>
                <w:w w:val="95"/>
                <w:sz w:val="21"/>
              </w:rPr>
              <w:t>严重帕金森病</w:t>
            </w:r>
          </w:p>
        </w:tc>
        <w:tc>
          <w:tcPr>
            <w:tcW w:w="6451" w:type="dxa"/>
          </w:tcPr>
          <w:p>
            <w:pPr>
              <w:pStyle w:val="TableParagraph"/>
              <w:spacing w:line="271" w:lineRule="auto" w:before="104"/>
              <w:ind w:left="163" w:right="210"/>
              <w:rPr>
                <w:sz w:val="21"/>
              </w:rPr>
            </w:pPr>
            <w:r>
              <w:rPr>
                <w:w w:val="95"/>
                <w:sz w:val="21"/>
              </w:rPr>
              <w:t>是一种中枢神经系统的退行性疾病，临床表现为震颤麻痹、共济失 调等。须满足下列全部条件：</w:t>
            </w:r>
          </w:p>
          <w:p>
            <w:pPr>
              <w:pStyle w:val="TableParagraph"/>
              <w:spacing w:before="14"/>
              <w:ind w:left="163"/>
              <w:rPr>
                <w:sz w:val="21"/>
              </w:rPr>
            </w:pPr>
            <w:r>
              <w:rPr>
                <w:w w:val="95"/>
                <w:sz w:val="21"/>
              </w:rPr>
              <w:t>（</w:t>
            </w:r>
            <w:r>
              <w:rPr>
                <w:rFonts w:ascii="Times New Roman" w:eastAsia="Times New Roman"/>
                <w:w w:val="95"/>
                <w:sz w:val="21"/>
              </w:rPr>
              <w:t>1</w:t>
            </w:r>
            <w:r>
              <w:rPr>
                <w:w w:val="95"/>
                <w:sz w:val="21"/>
              </w:rPr>
              <w:t>）药物治疗无法控制病情；</w:t>
            </w:r>
          </w:p>
          <w:p>
            <w:pPr>
              <w:pStyle w:val="TableParagraph"/>
              <w:spacing w:line="256" w:lineRule="auto" w:before="18"/>
              <w:ind w:left="163" w:right="214"/>
              <w:rPr>
                <w:sz w:val="21"/>
              </w:rPr>
            </w:pPr>
            <w:r>
              <w:rPr>
                <w:spacing w:val="1"/>
                <w:w w:val="95"/>
                <w:sz w:val="21"/>
              </w:rPr>
              <w:t>（</w:t>
            </w:r>
            <w:r>
              <w:rPr>
                <w:rFonts w:ascii="Times New Roman" w:eastAsia="Times New Roman"/>
                <w:spacing w:val="1"/>
                <w:w w:val="95"/>
                <w:sz w:val="21"/>
              </w:rPr>
              <w:t>2</w:t>
            </w:r>
            <w:r>
              <w:rPr>
                <w:spacing w:val="1"/>
                <w:w w:val="95"/>
                <w:sz w:val="21"/>
              </w:rPr>
              <w:t>）</w:t>
            </w:r>
            <w:r>
              <w:rPr>
                <w:w w:val="95"/>
                <w:sz w:val="21"/>
              </w:rPr>
              <w:t>自主生活能力完全丧失，无法独立完成六项基本日常生活活  动中的三项或三项以上。</w:t>
            </w:r>
          </w:p>
          <w:p>
            <w:pPr>
              <w:pStyle w:val="TableParagraph"/>
              <w:spacing w:before="27"/>
              <w:ind w:left="163"/>
              <w:rPr>
                <w:sz w:val="21"/>
              </w:rPr>
            </w:pPr>
            <w:r>
              <w:rPr>
                <w:w w:val="95"/>
                <w:sz w:val="21"/>
              </w:rPr>
              <w:t>继发性帕金森综合征不在保障范围内。</w:t>
            </w:r>
          </w:p>
        </w:tc>
      </w:tr>
      <w:tr>
        <w:trPr>
          <w:trHeight w:val="872" w:hRule="atLeast"/>
        </w:trPr>
        <w:tc>
          <w:tcPr>
            <w:tcW w:w="859" w:type="dxa"/>
          </w:tcPr>
          <w:p>
            <w:pPr>
              <w:pStyle w:val="TableParagraph"/>
              <w:spacing w:before="154"/>
              <w:ind w:left="200"/>
              <w:rPr>
                <w:rFonts w:ascii="Times New Roman"/>
                <w:sz w:val="21"/>
              </w:rPr>
            </w:pPr>
            <w:r>
              <w:rPr>
                <w:rFonts w:ascii="Times New Roman"/>
                <w:sz w:val="21"/>
              </w:rPr>
              <w:t>7.20</w:t>
            </w:r>
          </w:p>
        </w:tc>
        <w:tc>
          <w:tcPr>
            <w:tcW w:w="2139" w:type="dxa"/>
          </w:tcPr>
          <w:p>
            <w:pPr>
              <w:pStyle w:val="TableParagraph"/>
              <w:spacing w:before="104"/>
              <w:ind w:left="291"/>
              <w:rPr>
                <w:b/>
                <w:sz w:val="21"/>
              </w:rPr>
            </w:pPr>
            <w:r>
              <w:rPr>
                <w:b/>
                <w:w w:val="95"/>
                <w:sz w:val="21"/>
              </w:rPr>
              <w:t>严重Ⅲ度烧伤</w:t>
            </w:r>
          </w:p>
        </w:tc>
        <w:tc>
          <w:tcPr>
            <w:tcW w:w="6451" w:type="dxa"/>
          </w:tcPr>
          <w:p>
            <w:pPr>
              <w:pStyle w:val="TableParagraph"/>
              <w:spacing w:line="256" w:lineRule="auto" w:before="104"/>
              <w:ind w:left="163" w:right="289"/>
              <w:rPr>
                <w:sz w:val="21"/>
              </w:rPr>
            </w:pPr>
            <w:r>
              <w:rPr>
                <w:sz w:val="21"/>
              </w:rPr>
              <w:t>指烧伤程度为Ⅲ度，且Ⅲ度烧伤的面积达到全身体表面积的 </w:t>
            </w:r>
            <w:r>
              <w:rPr>
                <w:rFonts w:ascii="Times New Roman" w:hAnsi="Times New Roman" w:eastAsia="Times New Roman"/>
                <w:sz w:val="21"/>
              </w:rPr>
              <w:t>20</w:t>
            </w:r>
            <w:r>
              <w:rPr>
                <w:sz w:val="21"/>
              </w:rPr>
              <w:t>％ 或 </w:t>
            </w:r>
            <w:r>
              <w:rPr>
                <w:rFonts w:ascii="Times New Roman" w:hAnsi="Times New Roman" w:eastAsia="Times New Roman"/>
                <w:sz w:val="21"/>
              </w:rPr>
              <w:t>20</w:t>
            </w:r>
            <w:r>
              <w:rPr>
                <w:sz w:val="21"/>
              </w:rPr>
              <w:t>％以上。体表面积根据《中国新九分法》计算。</w:t>
            </w:r>
          </w:p>
        </w:tc>
      </w:tr>
      <w:tr>
        <w:trPr>
          <w:trHeight w:val="1491" w:hRule="atLeast"/>
        </w:trPr>
        <w:tc>
          <w:tcPr>
            <w:tcW w:w="859" w:type="dxa"/>
          </w:tcPr>
          <w:p>
            <w:pPr>
              <w:pStyle w:val="TableParagraph"/>
              <w:spacing w:before="146"/>
              <w:ind w:left="200"/>
              <w:rPr>
                <w:rFonts w:ascii="Times New Roman"/>
                <w:sz w:val="21"/>
              </w:rPr>
            </w:pPr>
            <w:r>
              <w:rPr>
                <w:rFonts w:ascii="Times New Roman"/>
                <w:sz w:val="21"/>
              </w:rPr>
              <w:t>7.21</w:t>
            </w:r>
          </w:p>
        </w:tc>
        <w:tc>
          <w:tcPr>
            <w:tcW w:w="2139" w:type="dxa"/>
          </w:tcPr>
          <w:p>
            <w:pPr>
              <w:pStyle w:val="TableParagraph"/>
              <w:spacing w:line="271" w:lineRule="auto" w:before="97"/>
              <w:ind w:left="291" w:right="160"/>
              <w:rPr>
                <w:b/>
                <w:sz w:val="21"/>
              </w:rPr>
            </w:pPr>
            <w:r>
              <w:rPr>
                <w:b/>
                <w:w w:val="95"/>
                <w:sz w:val="21"/>
              </w:rPr>
              <w:t>严重原发性肺动脉高压</w:t>
            </w:r>
          </w:p>
        </w:tc>
        <w:tc>
          <w:tcPr>
            <w:tcW w:w="6451" w:type="dxa"/>
          </w:tcPr>
          <w:p>
            <w:pPr>
              <w:pStyle w:val="TableParagraph"/>
              <w:spacing w:line="266" w:lineRule="auto" w:before="97"/>
              <w:ind w:left="163" w:right="199"/>
              <w:jc w:val="both"/>
              <w:rPr>
                <w:sz w:val="21"/>
              </w:rPr>
            </w:pPr>
            <w:r>
              <w:rPr>
                <w:spacing w:val="-1"/>
                <w:w w:val="95"/>
                <w:sz w:val="21"/>
              </w:rPr>
              <w:t>指不明原因的肺动脉压力持续性增高，进行性发展而导致的慢性疾 </w:t>
            </w:r>
            <w:r>
              <w:rPr>
                <w:spacing w:val="-3"/>
                <w:w w:val="95"/>
                <w:sz w:val="21"/>
              </w:rPr>
              <w:t>病，已经造成永久不可逆性的体力活动能力受限，达到</w:t>
            </w:r>
            <w:r>
              <w:rPr>
                <w:b/>
                <w:spacing w:val="1"/>
                <w:w w:val="95"/>
                <w:sz w:val="21"/>
              </w:rPr>
              <w:t>美国纽约心</w:t>
            </w:r>
            <w:r>
              <w:rPr>
                <w:b/>
                <w:spacing w:val="5"/>
                <w:w w:val="99"/>
                <w:sz w:val="21"/>
              </w:rPr>
              <w:t>脏</w:t>
            </w:r>
            <w:r>
              <w:rPr>
                <w:b/>
                <w:spacing w:val="-3"/>
                <w:w w:val="99"/>
                <w:sz w:val="21"/>
              </w:rPr>
              <w:t>病学会心功能状态分级Ⅳ级</w:t>
            </w:r>
            <w:r>
              <w:rPr>
                <w:b/>
                <w:w w:val="99"/>
                <w:sz w:val="21"/>
              </w:rPr>
              <w:t>（</w:t>
            </w:r>
            <w:r>
              <w:rPr>
                <w:rFonts w:ascii="Times New Roman" w:hAnsi="Times New Roman" w:eastAsia="Times New Roman"/>
                <w:b/>
                <w:spacing w:val="2"/>
                <w:w w:val="99"/>
                <w:sz w:val="21"/>
              </w:rPr>
              <w:t>8</w:t>
            </w:r>
            <w:r>
              <w:rPr>
                <w:rFonts w:ascii="Times New Roman" w:hAnsi="Times New Roman" w:eastAsia="Times New Roman"/>
                <w:b/>
                <w:spacing w:val="-2"/>
                <w:w w:val="99"/>
                <w:sz w:val="21"/>
              </w:rPr>
              <w:t>.</w:t>
            </w:r>
            <w:r>
              <w:rPr>
                <w:rFonts w:ascii="Times New Roman" w:hAnsi="Times New Roman" w:eastAsia="Times New Roman"/>
                <w:b/>
                <w:spacing w:val="-11"/>
                <w:w w:val="99"/>
                <w:sz w:val="21"/>
              </w:rPr>
              <w:t>1</w:t>
            </w:r>
            <w:r>
              <w:rPr>
                <w:rFonts w:ascii="Times New Roman" w:hAnsi="Times New Roman" w:eastAsia="Times New Roman"/>
                <w:b/>
                <w:spacing w:val="2"/>
                <w:w w:val="99"/>
                <w:sz w:val="21"/>
              </w:rPr>
              <w:t>1</w:t>
            </w:r>
            <w:r>
              <w:rPr>
                <w:b/>
                <w:spacing w:val="-101"/>
                <w:w w:val="99"/>
                <w:sz w:val="21"/>
              </w:rPr>
              <w:t>）</w:t>
            </w:r>
            <w:r>
              <w:rPr>
                <w:spacing w:val="-6"/>
                <w:w w:val="99"/>
                <w:sz w:val="21"/>
              </w:rPr>
              <w:t>，且静息状态下肺动脉平均压</w:t>
            </w:r>
            <w:r>
              <w:rPr>
                <w:sz w:val="21"/>
              </w:rPr>
              <w:t>超</w:t>
            </w:r>
            <w:r>
              <w:rPr>
                <w:spacing w:val="-32"/>
                <w:sz w:val="21"/>
              </w:rPr>
              <w:t>过 </w:t>
            </w:r>
            <w:r>
              <w:rPr>
                <w:rFonts w:ascii="Times New Roman" w:hAnsi="Times New Roman" w:eastAsia="Times New Roman"/>
                <w:sz w:val="21"/>
              </w:rPr>
              <w:t>30mmHg</w:t>
            </w:r>
            <w:r>
              <w:rPr>
                <w:sz w:val="21"/>
              </w:rPr>
              <w:t>。</w:t>
            </w:r>
          </w:p>
        </w:tc>
      </w:tr>
      <w:tr>
        <w:trPr>
          <w:trHeight w:val="1515" w:hRule="atLeast"/>
        </w:trPr>
        <w:tc>
          <w:tcPr>
            <w:tcW w:w="859" w:type="dxa"/>
          </w:tcPr>
          <w:p>
            <w:pPr>
              <w:pStyle w:val="TableParagraph"/>
              <w:spacing w:before="146"/>
              <w:ind w:left="200"/>
              <w:rPr>
                <w:rFonts w:ascii="Times New Roman"/>
                <w:sz w:val="21"/>
              </w:rPr>
            </w:pPr>
            <w:r>
              <w:rPr>
                <w:rFonts w:ascii="Times New Roman"/>
                <w:sz w:val="21"/>
              </w:rPr>
              <w:t>7.22</w:t>
            </w:r>
          </w:p>
        </w:tc>
        <w:tc>
          <w:tcPr>
            <w:tcW w:w="2139" w:type="dxa"/>
          </w:tcPr>
          <w:p>
            <w:pPr>
              <w:pStyle w:val="TableParagraph"/>
              <w:spacing w:before="96"/>
              <w:ind w:left="291"/>
              <w:rPr>
                <w:b/>
                <w:sz w:val="21"/>
              </w:rPr>
            </w:pPr>
            <w:r>
              <w:rPr>
                <w:b/>
                <w:w w:val="95"/>
                <w:sz w:val="21"/>
              </w:rPr>
              <w:t>严重运动神经元病</w:t>
            </w:r>
          </w:p>
        </w:tc>
        <w:tc>
          <w:tcPr>
            <w:tcW w:w="6451" w:type="dxa"/>
          </w:tcPr>
          <w:p>
            <w:pPr>
              <w:pStyle w:val="TableParagraph"/>
              <w:spacing w:line="273" w:lineRule="auto" w:before="96"/>
              <w:ind w:left="163" w:right="210"/>
              <w:jc w:val="both"/>
              <w:rPr>
                <w:sz w:val="21"/>
              </w:rPr>
            </w:pPr>
            <w:r>
              <w:rPr>
                <w:spacing w:val="-1"/>
                <w:w w:val="95"/>
                <w:sz w:val="21"/>
              </w:rPr>
              <w:t>是一组中枢神经系统运动神经元的进行性变性疾病，包括进行性脊 肌萎缩症、进行性延髓麻痹症、原发性侧索硬化症、肌萎缩性侧索 硬化症。须满足自主生活能力完全丧失，无法独立完成六项基本日 常生活活动中的三项或三项以上的条件。</w:t>
            </w:r>
          </w:p>
        </w:tc>
      </w:tr>
      <w:tr>
        <w:trPr>
          <w:trHeight w:val="2621" w:hRule="atLeast"/>
        </w:trPr>
        <w:tc>
          <w:tcPr>
            <w:tcW w:w="859" w:type="dxa"/>
          </w:tcPr>
          <w:p>
            <w:pPr>
              <w:pStyle w:val="TableParagraph"/>
              <w:spacing w:before="186"/>
              <w:ind w:left="200"/>
              <w:rPr>
                <w:rFonts w:ascii="Times New Roman"/>
                <w:sz w:val="21"/>
              </w:rPr>
            </w:pPr>
            <w:r>
              <w:rPr>
                <w:rFonts w:ascii="Times New Roman"/>
                <w:sz w:val="21"/>
              </w:rPr>
              <w:t>7.23</w:t>
            </w:r>
          </w:p>
        </w:tc>
        <w:tc>
          <w:tcPr>
            <w:tcW w:w="2139" w:type="dxa"/>
          </w:tcPr>
          <w:p>
            <w:pPr>
              <w:pStyle w:val="TableParagraph"/>
              <w:spacing w:before="137"/>
              <w:ind w:left="291"/>
              <w:rPr>
                <w:b/>
                <w:sz w:val="21"/>
              </w:rPr>
            </w:pPr>
            <w:r>
              <w:rPr>
                <w:b/>
                <w:w w:val="95"/>
                <w:sz w:val="21"/>
              </w:rPr>
              <w:t>语言能力丧失</w:t>
            </w:r>
          </w:p>
        </w:tc>
        <w:tc>
          <w:tcPr>
            <w:tcW w:w="6451" w:type="dxa"/>
          </w:tcPr>
          <w:p>
            <w:pPr>
              <w:pStyle w:val="TableParagraph"/>
              <w:spacing w:line="266" w:lineRule="auto" w:before="137"/>
              <w:ind w:left="163" w:right="197"/>
              <w:jc w:val="both"/>
              <w:rPr>
                <w:sz w:val="21"/>
              </w:rPr>
            </w:pPr>
            <w:r>
              <w:rPr>
                <w:spacing w:val="-6"/>
                <w:sz w:val="21"/>
              </w:rPr>
              <w:t>指因疾病或意外伤害导致完全丧失语言能力，经过积极治疗至少 </w:t>
            </w:r>
            <w:r>
              <w:rPr>
                <w:rFonts w:ascii="Times New Roman" w:eastAsia="Times New Roman"/>
                <w:sz w:val="21"/>
              </w:rPr>
              <w:t>12 </w:t>
            </w:r>
            <w:r>
              <w:rPr>
                <w:spacing w:val="0"/>
                <w:w w:val="99"/>
                <w:sz w:val="21"/>
              </w:rPr>
              <w:t>个月</w:t>
            </w:r>
            <w:r>
              <w:rPr>
                <w:spacing w:val="5"/>
                <w:w w:val="99"/>
                <w:sz w:val="21"/>
              </w:rPr>
              <w:t>（</w:t>
            </w:r>
            <w:r>
              <w:rPr>
                <w:w w:val="99"/>
                <w:sz w:val="21"/>
              </w:rPr>
              <w:t>声带完全切除不受此时间限制</w:t>
            </w:r>
            <w:r>
              <w:rPr>
                <w:spacing w:val="-101"/>
                <w:w w:val="99"/>
                <w:sz w:val="21"/>
              </w:rPr>
              <w:t>）</w:t>
            </w:r>
            <w:r>
              <w:rPr>
                <w:w w:val="99"/>
                <w:sz w:val="21"/>
              </w:rPr>
              <w:t>，仍无法通过现有医疗手段</w:t>
            </w:r>
            <w:r>
              <w:rPr>
                <w:w w:val="95"/>
                <w:sz w:val="21"/>
              </w:rPr>
              <w:t>恢复。</w:t>
            </w:r>
          </w:p>
          <w:p>
            <w:pPr>
              <w:pStyle w:val="TableParagraph"/>
              <w:spacing w:before="11"/>
              <w:ind w:left="163"/>
              <w:rPr>
                <w:sz w:val="21"/>
              </w:rPr>
            </w:pPr>
            <w:r>
              <w:rPr>
                <w:w w:val="95"/>
                <w:sz w:val="21"/>
              </w:rPr>
              <w:t>精神心理因素所致的语言能力丧失不在保障范围内。</w:t>
            </w:r>
          </w:p>
          <w:p>
            <w:pPr>
              <w:pStyle w:val="TableParagraph"/>
              <w:spacing w:line="237" w:lineRule="auto" w:before="22"/>
              <w:ind w:left="163" w:right="210"/>
              <w:jc w:val="both"/>
              <w:rPr>
                <w:sz w:val="21"/>
              </w:rPr>
            </w:pPr>
            <w:r>
              <w:rPr>
                <w:w w:val="95"/>
                <w:sz w:val="21"/>
              </w:rPr>
              <w:t>特别声明：我们将在被保险人年龄在三周岁或以上时受理理赔，并 </w:t>
            </w:r>
            <w:r>
              <w:rPr>
                <w:spacing w:val="3"/>
                <w:sz w:val="21"/>
              </w:rPr>
              <w:t>且保险金申请人必须提供理赔受理当时的语言能力丧失诊断及检</w:t>
            </w:r>
            <w:r>
              <w:rPr>
                <w:w w:val="95"/>
                <w:sz w:val="21"/>
              </w:rPr>
              <w:t>查证据。若被保险人发病时不足三周岁，我们将延期到被保险人年 满三周岁后予以受理和评估。</w:t>
            </w:r>
          </w:p>
        </w:tc>
      </w:tr>
      <w:tr>
        <w:trPr>
          <w:trHeight w:val="2424" w:hRule="atLeast"/>
        </w:trPr>
        <w:tc>
          <w:tcPr>
            <w:tcW w:w="859" w:type="dxa"/>
          </w:tcPr>
          <w:p>
            <w:pPr>
              <w:pStyle w:val="TableParagraph"/>
              <w:spacing w:before="143"/>
              <w:ind w:left="200"/>
              <w:rPr>
                <w:rFonts w:ascii="Times New Roman"/>
                <w:sz w:val="21"/>
              </w:rPr>
            </w:pPr>
            <w:r>
              <w:rPr>
                <w:rFonts w:ascii="Times New Roman"/>
                <w:sz w:val="21"/>
              </w:rPr>
              <w:t>7.24</w:t>
            </w:r>
          </w:p>
        </w:tc>
        <w:tc>
          <w:tcPr>
            <w:tcW w:w="2139" w:type="dxa"/>
          </w:tcPr>
          <w:p>
            <w:pPr>
              <w:pStyle w:val="TableParagraph"/>
              <w:spacing w:line="276" w:lineRule="auto" w:before="94"/>
              <w:ind w:left="291" w:right="160"/>
              <w:rPr>
                <w:b/>
                <w:sz w:val="21"/>
              </w:rPr>
            </w:pPr>
            <w:r>
              <w:rPr>
                <w:b/>
                <w:w w:val="95"/>
                <w:sz w:val="21"/>
              </w:rPr>
              <w:t>重型再生障碍性贫</w:t>
            </w:r>
            <w:r>
              <w:rPr>
                <w:b/>
                <w:sz w:val="21"/>
              </w:rPr>
              <w:t>血</w:t>
            </w:r>
          </w:p>
        </w:tc>
        <w:tc>
          <w:tcPr>
            <w:tcW w:w="6451" w:type="dxa"/>
          </w:tcPr>
          <w:p>
            <w:pPr>
              <w:pStyle w:val="TableParagraph"/>
              <w:spacing w:line="276" w:lineRule="auto" w:before="94"/>
              <w:ind w:left="163" w:right="166"/>
              <w:rPr>
                <w:sz w:val="21"/>
              </w:rPr>
            </w:pPr>
            <w:r>
              <w:rPr>
                <w:w w:val="95"/>
                <w:sz w:val="21"/>
              </w:rPr>
              <w:t>指因骨髓造血功能慢性持续性衰竭导致的贫血、中性粒细胞减少及 血小板减少。须满足下列全部条件：</w:t>
            </w:r>
          </w:p>
          <w:p>
            <w:pPr>
              <w:pStyle w:val="TableParagraph"/>
              <w:spacing w:before="4"/>
              <w:ind w:left="163"/>
              <w:rPr>
                <w:sz w:val="21"/>
              </w:rPr>
            </w:pPr>
            <w:r>
              <w:rPr>
                <w:w w:val="95"/>
                <w:sz w:val="21"/>
              </w:rPr>
              <w:t>（</w:t>
            </w:r>
            <w:r>
              <w:rPr>
                <w:rFonts w:ascii="Times New Roman" w:eastAsia="Times New Roman"/>
                <w:w w:val="95"/>
                <w:sz w:val="21"/>
              </w:rPr>
              <w:t>1</w:t>
            </w:r>
            <w:r>
              <w:rPr>
                <w:w w:val="95"/>
                <w:sz w:val="21"/>
              </w:rPr>
              <w:t>）骨髓穿刺检查或骨髓活检结果支持诊断；</w:t>
            </w:r>
          </w:p>
          <w:p>
            <w:pPr>
              <w:pStyle w:val="TableParagraph"/>
              <w:spacing w:before="19"/>
              <w:ind w:left="163"/>
              <w:rPr>
                <w:sz w:val="21"/>
              </w:rPr>
            </w:pPr>
            <w:r>
              <w:rPr>
                <w:w w:val="95"/>
                <w:sz w:val="21"/>
              </w:rPr>
              <w:t>（</w:t>
            </w:r>
            <w:r>
              <w:rPr>
                <w:rFonts w:ascii="Times New Roman" w:eastAsia="Times New Roman"/>
                <w:w w:val="95"/>
                <w:sz w:val="21"/>
              </w:rPr>
              <w:t>2</w:t>
            </w:r>
            <w:r>
              <w:rPr>
                <w:w w:val="95"/>
                <w:sz w:val="21"/>
              </w:rPr>
              <w:t>）外周血象须具备以下三项条件：</w:t>
            </w:r>
          </w:p>
          <w:p>
            <w:pPr>
              <w:pStyle w:val="TableParagraph"/>
              <w:spacing w:before="26"/>
              <w:ind w:left="271"/>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18"/>
              <w:ind w:left="271"/>
              <w:rPr>
                <w:sz w:val="21"/>
              </w:rPr>
            </w:pPr>
            <w:r>
              <w:rPr>
                <w:sz w:val="21"/>
              </w:rPr>
              <w:t>② 网织红细胞＜</w:t>
            </w:r>
            <w:r>
              <w:rPr>
                <w:rFonts w:ascii="Times New Roman" w:hAnsi="Times New Roman" w:eastAsia="Times New Roman"/>
                <w:sz w:val="21"/>
              </w:rPr>
              <w:t>1%</w:t>
            </w:r>
            <w:r>
              <w:rPr>
                <w:sz w:val="21"/>
              </w:rPr>
              <w:t>；</w:t>
            </w:r>
          </w:p>
          <w:p>
            <w:pPr>
              <w:pStyle w:val="TableParagraph"/>
              <w:spacing w:before="18"/>
              <w:ind w:left="271"/>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13" w:hRule="atLeast"/>
        </w:trPr>
        <w:tc>
          <w:tcPr>
            <w:tcW w:w="859" w:type="dxa"/>
          </w:tcPr>
          <w:p>
            <w:pPr>
              <w:pStyle w:val="TableParagraph"/>
              <w:spacing w:before="146"/>
              <w:ind w:left="200"/>
              <w:rPr>
                <w:rFonts w:ascii="Times New Roman"/>
                <w:sz w:val="21"/>
              </w:rPr>
            </w:pPr>
            <w:r>
              <w:rPr>
                <w:rFonts w:ascii="Times New Roman"/>
                <w:sz w:val="21"/>
              </w:rPr>
              <w:t>7.25</w:t>
            </w:r>
          </w:p>
        </w:tc>
        <w:tc>
          <w:tcPr>
            <w:tcW w:w="2139" w:type="dxa"/>
          </w:tcPr>
          <w:p>
            <w:pPr>
              <w:pStyle w:val="TableParagraph"/>
              <w:spacing w:before="96"/>
              <w:ind w:left="291"/>
              <w:rPr>
                <w:b/>
                <w:sz w:val="21"/>
              </w:rPr>
            </w:pPr>
            <w:r>
              <w:rPr>
                <w:b/>
                <w:w w:val="95"/>
                <w:sz w:val="21"/>
              </w:rPr>
              <w:t>主动脉手术</w:t>
            </w:r>
          </w:p>
        </w:tc>
        <w:tc>
          <w:tcPr>
            <w:tcW w:w="6451" w:type="dxa"/>
          </w:tcPr>
          <w:p>
            <w:pPr>
              <w:pStyle w:val="TableParagraph"/>
              <w:spacing w:line="273" w:lineRule="auto" w:before="96"/>
              <w:ind w:left="163" w:right="203"/>
              <w:jc w:val="both"/>
              <w:rPr>
                <w:sz w:val="21"/>
              </w:rPr>
            </w:pPr>
            <w:r>
              <w:rPr>
                <w:w w:val="95"/>
                <w:sz w:val="21"/>
              </w:rPr>
              <w:t>指为治疗主动脉疾病，实际实施了开胸或开腹进行的切除、置换、 修补病损主动脉血管的手术。主动脉指胸主动脉和腹主动脉，不包 括胸主动脉和腹主动脉的分支血管。</w:t>
            </w:r>
          </w:p>
          <w:p>
            <w:pPr>
              <w:pStyle w:val="TableParagraph"/>
              <w:spacing w:line="260" w:lineRule="exact" w:before="4"/>
              <w:ind w:left="163"/>
              <w:jc w:val="both"/>
              <w:rPr>
                <w:sz w:val="21"/>
              </w:rPr>
            </w:pPr>
            <w:r>
              <w:rPr>
                <w:w w:val="95"/>
                <w:sz w:val="21"/>
              </w:rPr>
              <w:t>动脉内血管成形术不在保障范围内。</w:t>
            </w:r>
          </w:p>
        </w:tc>
      </w:tr>
    </w:tbl>
    <w:p>
      <w:pPr>
        <w:spacing w:after="0" w:line="260" w:lineRule="exact"/>
        <w:jc w:val="both"/>
        <w:rPr>
          <w:sz w:val="21"/>
        </w:rPr>
        <w:sectPr>
          <w:pgSz w:w="11910" w:h="16850"/>
          <w:pgMar w:header="0" w:footer="773" w:top="1180" w:bottom="960" w:left="1420" w:right="820"/>
        </w:sectPr>
      </w:pPr>
    </w:p>
    <w:p>
      <w:pPr>
        <w:pStyle w:val="ListParagraph"/>
        <w:numPr>
          <w:ilvl w:val="1"/>
          <w:numId w:val="2"/>
        </w:numPr>
        <w:tabs>
          <w:tab w:pos="1070" w:val="left" w:leader="none"/>
          <w:tab w:pos="1071" w:val="left" w:leader="none"/>
          <w:tab w:pos="3080" w:val="left" w:leader="none"/>
        </w:tabs>
        <w:spacing w:line="240" w:lineRule="auto" w:before="19" w:after="0"/>
        <w:ind w:left="1071" w:right="0" w:hanging="952"/>
        <w:jc w:val="left"/>
        <w:rPr>
          <w:sz w:val="21"/>
        </w:rPr>
      </w:pPr>
      <w:r>
        <w:rPr>
          <w:b/>
          <w:spacing w:val="5"/>
          <w:sz w:val="21"/>
        </w:rPr>
        <w:t>严</w:t>
      </w:r>
      <w:r>
        <w:rPr>
          <w:b/>
          <w:sz w:val="21"/>
        </w:rPr>
        <w:t>重心肌病</w:t>
        <w:tab/>
      </w:r>
      <w:r>
        <w:rPr>
          <w:spacing w:val="5"/>
          <w:w w:val="95"/>
          <w:sz w:val="21"/>
        </w:rPr>
        <w:t>指被保险人因</w:t>
      </w:r>
      <w:r>
        <w:rPr>
          <w:spacing w:val="12"/>
          <w:w w:val="95"/>
          <w:sz w:val="21"/>
        </w:rPr>
        <w:t>心</w:t>
      </w:r>
      <w:r>
        <w:rPr>
          <w:spacing w:val="5"/>
          <w:w w:val="95"/>
          <w:sz w:val="21"/>
        </w:rPr>
        <w:t>肌病导</w:t>
      </w:r>
      <w:r>
        <w:rPr>
          <w:spacing w:val="12"/>
          <w:w w:val="95"/>
          <w:sz w:val="21"/>
        </w:rPr>
        <w:t>致</w:t>
      </w:r>
      <w:r>
        <w:rPr>
          <w:spacing w:val="5"/>
          <w:w w:val="95"/>
          <w:sz w:val="21"/>
        </w:rPr>
        <w:t>慢性心功</w:t>
      </w:r>
      <w:r>
        <w:rPr>
          <w:spacing w:val="12"/>
          <w:w w:val="95"/>
          <w:sz w:val="21"/>
        </w:rPr>
        <w:t>能</w:t>
      </w:r>
      <w:r>
        <w:rPr>
          <w:spacing w:val="5"/>
          <w:w w:val="95"/>
          <w:sz w:val="21"/>
        </w:rPr>
        <w:t>损害造成</w:t>
      </w:r>
      <w:r>
        <w:rPr>
          <w:spacing w:val="12"/>
          <w:w w:val="95"/>
          <w:sz w:val="21"/>
        </w:rPr>
        <w:t>永</w:t>
      </w:r>
      <w:r>
        <w:rPr>
          <w:spacing w:val="5"/>
          <w:w w:val="95"/>
          <w:sz w:val="21"/>
        </w:rPr>
        <w:t>久不可逆</w:t>
      </w:r>
      <w:r>
        <w:rPr>
          <w:spacing w:val="12"/>
          <w:w w:val="95"/>
          <w:sz w:val="21"/>
        </w:rPr>
        <w:t>性</w:t>
      </w:r>
      <w:r>
        <w:rPr>
          <w:spacing w:val="5"/>
          <w:w w:val="95"/>
          <w:sz w:val="21"/>
        </w:rPr>
        <w:t>的</w:t>
      </w:r>
      <w:r>
        <w:rPr>
          <w:w w:val="95"/>
          <w:sz w:val="21"/>
        </w:rPr>
        <w:t>体</w:t>
      </w:r>
    </w:p>
    <w:p>
      <w:pPr>
        <w:pStyle w:val="BodyText"/>
        <w:spacing w:line="256" w:lineRule="auto" w:before="25"/>
        <w:ind w:left="3080" w:right="111"/>
      </w:pPr>
      <w:r>
        <w:rPr>
          <w:w w:val="95"/>
        </w:rPr>
        <w:t>力活动能力受限，达到美国纽约心脏病学会心功能状态分级</w:t>
      </w:r>
      <w:r>
        <w:rPr>
          <w:rFonts w:ascii="Times New Roman" w:eastAsia="Times New Roman"/>
          <w:w w:val="95"/>
        </w:rPr>
        <w:t>IV</w:t>
      </w:r>
      <w:r>
        <w:rPr>
          <w:w w:val="95"/>
        </w:rPr>
        <w:t>级。 心肌病必须经医院的超声心动图检查来确认。</w:t>
      </w:r>
    </w:p>
    <w:p>
      <w:pPr>
        <w:pStyle w:val="BodyText"/>
        <w:spacing w:before="19"/>
        <w:ind w:left="3080"/>
      </w:pPr>
      <w:r>
        <w:rPr>
          <w:w w:val="95"/>
        </w:rPr>
        <w:t>因酗酒或药物滥用导致的心肌病不在保障范围内。</w:t>
      </w:r>
    </w:p>
    <w:p>
      <w:pPr>
        <w:pStyle w:val="BodyText"/>
        <w:spacing w:before="2"/>
        <w:rPr>
          <w:sz w:val="25"/>
        </w:rPr>
      </w:pPr>
    </w:p>
    <w:p>
      <w:pPr>
        <w:pStyle w:val="ListParagraph"/>
        <w:numPr>
          <w:ilvl w:val="1"/>
          <w:numId w:val="2"/>
        </w:numPr>
        <w:tabs>
          <w:tab w:pos="1070" w:val="left" w:leader="none"/>
          <w:tab w:pos="1071" w:val="left" w:leader="none"/>
          <w:tab w:pos="3080" w:val="left" w:leader="none"/>
        </w:tabs>
        <w:spacing w:line="292" w:lineRule="exact" w:before="0" w:after="0"/>
        <w:ind w:left="1071" w:right="0" w:hanging="952"/>
        <w:jc w:val="left"/>
        <w:rPr>
          <w:sz w:val="21"/>
        </w:rPr>
      </w:pPr>
      <w:r>
        <w:rPr>
          <w:b/>
          <w:spacing w:val="5"/>
          <w:position w:val="-1"/>
          <w:sz w:val="21"/>
        </w:rPr>
        <w:t>慢</w:t>
      </w:r>
      <w:r>
        <w:rPr>
          <w:b/>
          <w:position w:val="-1"/>
          <w:sz w:val="21"/>
        </w:rPr>
        <w:t>性肺功</w:t>
      </w:r>
      <w:r>
        <w:rPr>
          <w:b/>
          <w:spacing w:val="5"/>
          <w:position w:val="-1"/>
          <w:sz w:val="21"/>
        </w:rPr>
        <w:t>能</w:t>
      </w:r>
      <w:r>
        <w:rPr>
          <w:b/>
          <w:position w:val="-1"/>
          <w:sz w:val="21"/>
        </w:rPr>
        <w:t>衰竭</w:t>
        <w:tab/>
      </w:r>
      <w:r>
        <w:rPr>
          <w:w w:val="95"/>
          <w:sz w:val="21"/>
        </w:rPr>
        <w:t>慢性肺部疾病导致</w:t>
      </w:r>
      <w:r>
        <w:rPr>
          <w:spacing w:val="5"/>
          <w:w w:val="95"/>
          <w:sz w:val="21"/>
        </w:rPr>
        <w:t>永</w:t>
      </w:r>
      <w:r>
        <w:rPr>
          <w:w w:val="95"/>
          <w:sz w:val="21"/>
        </w:rPr>
        <w:t>久不可逆性</w:t>
      </w:r>
      <w:r>
        <w:rPr>
          <w:spacing w:val="5"/>
          <w:w w:val="95"/>
          <w:sz w:val="21"/>
        </w:rPr>
        <w:t>的</w:t>
      </w:r>
      <w:r>
        <w:rPr>
          <w:w w:val="95"/>
          <w:sz w:val="21"/>
        </w:rPr>
        <w:t>慢性呼吸功</w:t>
      </w:r>
      <w:r>
        <w:rPr>
          <w:spacing w:val="5"/>
          <w:w w:val="95"/>
          <w:sz w:val="21"/>
        </w:rPr>
        <w:t>能</w:t>
      </w:r>
      <w:r>
        <w:rPr>
          <w:w w:val="95"/>
          <w:sz w:val="21"/>
        </w:rPr>
        <w:t>衰竭</w:t>
      </w:r>
      <w:r>
        <w:rPr>
          <w:spacing w:val="-8"/>
          <w:w w:val="95"/>
          <w:sz w:val="21"/>
        </w:rPr>
        <w:t>，</w:t>
      </w:r>
      <w:r>
        <w:rPr>
          <w:w w:val="95"/>
          <w:sz w:val="21"/>
        </w:rPr>
        <w:t>必</w:t>
      </w:r>
      <w:r>
        <w:rPr>
          <w:spacing w:val="5"/>
          <w:w w:val="95"/>
          <w:sz w:val="21"/>
        </w:rPr>
        <w:t>须</w:t>
      </w:r>
      <w:r>
        <w:rPr>
          <w:w w:val="95"/>
          <w:sz w:val="21"/>
        </w:rPr>
        <w:t>符合下</w:t>
      </w:r>
    </w:p>
    <w:p>
      <w:pPr>
        <w:pStyle w:val="BodyText"/>
        <w:spacing w:line="256" w:lineRule="exact"/>
        <w:ind w:left="3080"/>
      </w:pPr>
      <w:r>
        <w:rPr>
          <w:w w:val="95"/>
        </w:rPr>
        <w:t>列所有条件：</w:t>
      </w:r>
    </w:p>
    <w:p>
      <w:pPr>
        <w:pStyle w:val="ListParagraph"/>
        <w:numPr>
          <w:ilvl w:val="2"/>
          <w:numId w:val="2"/>
        </w:numPr>
        <w:tabs>
          <w:tab w:pos="3427" w:val="left" w:leader="none"/>
        </w:tabs>
        <w:spacing w:line="282" w:lineRule="exact" w:before="0" w:after="0"/>
        <w:ind w:left="3426" w:right="0" w:hanging="346"/>
        <w:jc w:val="left"/>
        <w:rPr>
          <w:sz w:val="21"/>
        </w:rPr>
      </w:pPr>
      <w:r>
        <w:rPr>
          <w:w w:val="95"/>
          <w:sz w:val="21"/>
        </w:rPr>
        <w:t>休息时出现呼吸困难；</w:t>
      </w:r>
    </w:p>
    <w:p>
      <w:pPr>
        <w:pStyle w:val="ListParagraph"/>
        <w:numPr>
          <w:ilvl w:val="2"/>
          <w:numId w:val="2"/>
        </w:numPr>
        <w:tabs>
          <w:tab w:pos="3427" w:val="left" w:leader="none"/>
        </w:tabs>
        <w:spacing w:line="270" w:lineRule="exact" w:before="0" w:after="0"/>
        <w:ind w:left="3426" w:right="0" w:hanging="346"/>
        <w:jc w:val="left"/>
        <w:rPr>
          <w:sz w:val="21"/>
        </w:rPr>
      </w:pP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pacing w:val="-4"/>
          <w:sz w:val="21"/>
          <w:vertAlign w:val="baseline"/>
        </w:rPr>
        <w:t>&lt; </w:t>
      </w:r>
      <w:r>
        <w:rPr>
          <w:rFonts w:ascii="Times New Roman" w:eastAsia="Times New Roman"/>
          <w:sz w:val="21"/>
          <w:vertAlign w:val="baseline"/>
        </w:rPr>
        <w:t>50mmHg</w:t>
      </w:r>
      <w:r>
        <w:rPr>
          <w:sz w:val="21"/>
          <w:vertAlign w:val="baseline"/>
        </w:rPr>
        <w:t>；</w:t>
      </w:r>
    </w:p>
    <w:p>
      <w:pPr>
        <w:pStyle w:val="ListParagraph"/>
        <w:numPr>
          <w:ilvl w:val="2"/>
          <w:numId w:val="2"/>
        </w:numPr>
        <w:tabs>
          <w:tab w:pos="3427" w:val="left" w:leader="none"/>
        </w:tabs>
        <w:spacing w:line="270" w:lineRule="exact" w:before="0" w:after="0"/>
        <w:ind w:left="3426" w:right="0" w:hanging="346"/>
        <w:jc w:val="left"/>
        <w:rPr>
          <w:sz w:val="21"/>
        </w:rPr>
      </w:pP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pacing w:val="-5"/>
          <w:sz w:val="21"/>
          <w:vertAlign w:val="baseline"/>
        </w:rPr>
        <w:t>&lt; </w:t>
      </w:r>
      <w:r>
        <w:rPr>
          <w:rFonts w:ascii="Times New Roman" w:eastAsia="Times New Roman"/>
          <w:sz w:val="21"/>
          <w:vertAlign w:val="baseline"/>
        </w:rPr>
        <w:t>80</w:t>
      </w:r>
      <w:r>
        <w:rPr>
          <w:sz w:val="21"/>
          <w:vertAlign w:val="baseline"/>
        </w:rPr>
        <w:t>％；</w:t>
      </w:r>
    </w:p>
    <w:p>
      <w:pPr>
        <w:pStyle w:val="ListParagraph"/>
        <w:numPr>
          <w:ilvl w:val="2"/>
          <w:numId w:val="2"/>
        </w:numPr>
        <w:tabs>
          <w:tab w:pos="3427" w:val="left" w:leader="none"/>
        </w:tabs>
        <w:spacing w:line="282" w:lineRule="exact" w:before="0" w:after="0"/>
        <w:ind w:left="3426" w:right="0" w:hanging="346"/>
        <w:jc w:val="left"/>
        <w:rPr>
          <w:sz w:val="21"/>
        </w:rPr>
      </w:pPr>
      <w:r>
        <w:rPr>
          <w:w w:val="95"/>
          <w:sz w:val="21"/>
        </w:rPr>
        <w:t>因缺氧必须接受持续的输氧治疗。</w:t>
      </w:r>
    </w:p>
    <w:p>
      <w:pPr>
        <w:pStyle w:val="BodyText"/>
        <w:spacing w:before="6"/>
        <w:rPr>
          <w:sz w:val="17"/>
        </w:rPr>
      </w:pPr>
    </w:p>
    <w:p>
      <w:pPr>
        <w:pStyle w:val="ListParagraph"/>
        <w:numPr>
          <w:ilvl w:val="1"/>
          <w:numId w:val="2"/>
        </w:numPr>
        <w:tabs>
          <w:tab w:pos="1070" w:val="left" w:leader="none"/>
          <w:tab w:pos="1071" w:val="left" w:leader="none"/>
          <w:tab w:pos="3080" w:val="left" w:leader="none"/>
        </w:tabs>
        <w:spacing w:line="281" w:lineRule="exact" w:before="0" w:after="0"/>
        <w:ind w:left="1071" w:right="0" w:hanging="952"/>
        <w:jc w:val="left"/>
        <w:rPr>
          <w:sz w:val="21"/>
        </w:rPr>
      </w:pPr>
      <w:r>
        <w:rPr>
          <w:b/>
          <w:spacing w:val="5"/>
          <w:position w:val="-1"/>
          <w:sz w:val="21"/>
        </w:rPr>
        <w:t>严</w:t>
      </w:r>
      <w:r>
        <w:rPr>
          <w:b/>
          <w:position w:val="-1"/>
          <w:sz w:val="21"/>
        </w:rPr>
        <w:t>重多发</w:t>
      </w:r>
      <w:r>
        <w:rPr>
          <w:b/>
          <w:spacing w:val="5"/>
          <w:position w:val="-1"/>
          <w:sz w:val="21"/>
        </w:rPr>
        <w:t>性</w:t>
      </w:r>
      <w:r>
        <w:rPr>
          <w:b/>
          <w:position w:val="-1"/>
          <w:sz w:val="21"/>
        </w:rPr>
        <w:t>硬化症</w:t>
        <w:tab/>
      </w:r>
      <w:r>
        <w:rPr>
          <w:w w:val="95"/>
          <w:sz w:val="21"/>
        </w:rPr>
        <w:t>多发性硬化为中枢</w:t>
      </w:r>
      <w:r>
        <w:rPr>
          <w:spacing w:val="5"/>
          <w:w w:val="95"/>
          <w:sz w:val="21"/>
        </w:rPr>
        <w:t>神</w:t>
      </w:r>
      <w:r>
        <w:rPr>
          <w:w w:val="95"/>
          <w:sz w:val="21"/>
        </w:rPr>
        <w:t>经系统白质</w:t>
      </w:r>
      <w:r>
        <w:rPr>
          <w:spacing w:val="5"/>
          <w:w w:val="95"/>
          <w:sz w:val="21"/>
        </w:rPr>
        <w:t>多</w:t>
      </w:r>
      <w:r>
        <w:rPr>
          <w:w w:val="95"/>
          <w:sz w:val="21"/>
        </w:rPr>
        <w:t>灶性脱髓鞘</w:t>
      </w:r>
      <w:r>
        <w:rPr>
          <w:spacing w:val="5"/>
          <w:w w:val="95"/>
          <w:sz w:val="21"/>
        </w:rPr>
        <w:t>病</w:t>
      </w:r>
      <w:r>
        <w:rPr>
          <w:w w:val="95"/>
          <w:sz w:val="21"/>
        </w:rPr>
        <w:t>变</w:t>
      </w:r>
      <w:r>
        <w:rPr>
          <w:spacing w:val="-8"/>
          <w:w w:val="95"/>
          <w:sz w:val="21"/>
        </w:rPr>
        <w:t>。</w:t>
      </w:r>
      <w:r>
        <w:rPr>
          <w:w w:val="95"/>
          <w:sz w:val="21"/>
        </w:rPr>
        <w:t>多发</w:t>
      </w:r>
      <w:r>
        <w:rPr>
          <w:spacing w:val="5"/>
          <w:w w:val="95"/>
          <w:sz w:val="21"/>
        </w:rPr>
        <w:t>性</w:t>
      </w:r>
      <w:r>
        <w:rPr>
          <w:w w:val="95"/>
          <w:sz w:val="21"/>
        </w:rPr>
        <w:t>硬化须</w:t>
      </w:r>
    </w:p>
    <w:p>
      <w:pPr>
        <w:pStyle w:val="BodyText"/>
        <w:spacing w:line="225" w:lineRule="auto" w:before="3"/>
        <w:ind w:left="3080" w:right="126"/>
      </w:pPr>
      <w:r>
        <w:rPr>
          <w:w w:val="95"/>
        </w:rPr>
        <w:t>由核磁共振（</w:t>
      </w:r>
      <w:r>
        <w:rPr>
          <w:rFonts w:ascii="Times New Roman" w:eastAsia="Times New Roman"/>
          <w:w w:val="95"/>
        </w:rPr>
        <w:t>MRI</w:t>
      </w:r>
      <w:r>
        <w:rPr>
          <w:w w:val="95"/>
        </w:rPr>
        <w:t>）等影像学检查证实，并且被保险人已永久不可 逆地无法独立完成下列任何一项基本日常生活活动：</w:t>
      </w:r>
    </w:p>
    <w:p>
      <w:pPr>
        <w:pStyle w:val="BodyText"/>
        <w:spacing w:line="281" w:lineRule="exact"/>
        <w:ind w:left="3080"/>
      </w:pPr>
      <w:r>
        <w:rPr>
          <w:w w:val="95"/>
        </w:rPr>
        <w:t>（</w:t>
      </w:r>
      <w:r>
        <w:rPr>
          <w:rFonts w:ascii="Times New Roman" w:eastAsia="Times New Roman"/>
          <w:w w:val="95"/>
        </w:rPr>
        <w:t>1</w:t>
      </w:r>
      <w:r>
        <w:rPr>
          <w:w w:val="95"/>
        </w:rPr>
        <w:t>）移动：自己从一个房间到另一个房间；</w:t>
      </w:r>
    </w:p>
    <w:p>
      <w:pPr>
        <w:pStyle w:val="BodyText"/>
        <w:spacing w:line="282" w:lineRule="exact"/>
        <w:ind w:left="3080"/>
      </w:pPr>
      <w:r>
        <w:rPr>
          <w:w w:val="95"/>
        </w:rPr>
        <w:t>（</w:t>
      </w:r>
      <w:r>
        <w:rPr>
          <w:rFonts w:ascii="Times New Roman" w:eastAsia="Times New Roman"/>
          <w:w w:val="95"/>
        </w:rPr>
        <w:t>2</w:t>
      </w:r>
      <w:r>
        <w:rPr>
          <w:w w:val="95"/>
        </w:rPr>
        <w:t>）进食：自己从已准备好的碗或碟中取食物放入口中。</w:t>
      </w:r>
    </w:p>
    <w:p>
      <w:pPr>
        <w:pStyle w:val="BodyText"/>
        <w:spacing w:before="1"/>
        <w:rPr>
          <w:sz w:val="12"/>
        </w:rPr>
      </w:pPr>
    </w:p>
    <w:p>
      <w:pPr>
        <w:spacing w:after="0"/>
        <w:rPr>
          <w:sz w:val="12"/>
        </w:rPr>
        <w:sectPr>
          <w:pgSz w:w="11910" w:h="16850"/>
          <w:pgMar w:header="0" w:footer="773" w:top="1420" w:bottom="960" w:left="1040" w:right="1580"/>
        </w:sectPr>
      </w:pPr>
    </w:p>
    <w:p>
      <w:pPr>
        <w:pStyle w:val="Heading2"/>
        <w:numPr>
          <w:ilvl w:val="1"/>
          <w:numId w:val="2"/>
        </w:numPr>
        <w:tabs>
          <w:tab w:pos="1070" w:val="left" w:leader="none"/>
          <w:tab w:pos="1071" w:val="left" w:leader="none"/>
        </w:tabs>
        <w:spacing w:line="273" w:lineRule="auto" w:before="84" w:after="0"/>
        <w:ind w:left="1071" w:right="0" w:hanging="952"/>
        <w:jc w:val="left"/>
      </w:pPr>
      <w:r>
        <w:rPr>
          <w:w w:val="95"/>
        </w:rPr>
        <w:t>因职业关系导致的人类免疫缺陷病毒</w:t>
      </w:r>
    </w:p>
    <w:p>
      <w:pPr>
        <w:spacing w:before="6"/>
        <w:ind w:left="1071" w:right="0" w:firstLine="0"/>
        <w:jc w:val="left"/>
        <w:rPr>
          <w:b/>
          <w:sz w:val="21"/>
        </w:rPr>
      </w:pPr>
      <w:r>
        <w:rPr>
          <w:b/>
          <w:w w:val="95"/>
          <w:sz w:val="21"/>
        </w:rPr>
        <w:t>（</w:t>
      </w:r>
      <w:r>
        <w:rPr>
          <w:rFonts w:ascii="Times New Roman" w:eastAsia="Times New Roman"/>
          <w:b/>
          <w:w w:val="95"/>
          <w:sz w:val="21"/>
        </w:rPr>
        <w:t>HIV</w:t>
      </w:r>
      <w:r>
        <w:rPr>
          <w:b/>
          <w:w w:val="95"/>
          <w:sz w:val="21"/>
        </w:rPr>
        <w:t>）感染</w:t>
      </w:r>
    </w:p>
    <w:p>
      <w:pPr>
        <w:pStyle w:val="BodyText"/>
        <w:spacing w:line="276" w:lineRule="auto" w:before="84"/>
        <w:ind w:left="119" w:right="130"/>
      </w:pPr>
      <w:r>
        <w:rPr/>
        <w:br w:type="column"/>
      </w:r>
      <w:r>
        <w:rPr>
          <w:w w:val="95"/>
        </w:rPr>
        <w:t>被保险人在其常规职业工作过程中遭遇外伤，或者职业需要处理血</w:t>
      </w:r>
      <w:r>
        <w:rPr>
          <w:w w:val="99"/>
        </w:rPr>
        <w:t>液或者其他体液时感染上人类免疫缺陷病毒</w:t>
      </w:r>
      <w:r>
        <w:rPr>
          <w:spacing w:val="10"/>
          <w:w w:val="99"/>
        </w:rPr>
        <w:t>（</w:t>
      </w:r>
      <w:r>
        <w:rPr>
          <w:rFonts w:ascii="Times New Roman" w:eastAsia="Times New Roman"/>
          <w:spacing w:val="-7"/>
          <w:w w:val="99"/>
        </w:rPr>
        <w:t>H</w:t>
      </w:r>
      <w:r>
        <w:rPr>
          <w:rFonts w:ascii="Times New Roman" w:eastAsia="Times New Roman"/>
          <w:spacing w:val="1"/>
          <w:w w:val="99"/>
        </w:rPr>
        <w:t>I</w:t>
      </w:r>
      <w:r>
        <w:rPr>
          <w:rFonts w:ascii="Times New Roman" w:eastAsia="Times New Roman"/>
          <w:spacing w:val="6"/>
          <w:w w:val="99"/>
        </w:rPr>
        <w:t>V</w:t>
      </w:r>
      <w:r>
        <w:rPr>
          <w:spacing w:val="-108"/>
          <w:w w:val="99"/>
        </w:rPr>
        <w:t>）。</w:t>
      </w:r>
    </w:p>
    <w:p>
      <w:pPr>
        <w:pStyle w:val="BodyText"/>
        <w:spacing w:line="259" w:lineRule="exact"/>
        <w:ind w:left="119"/>
      </w:pPr>
      <w:r>
        <w:rPr>
          <w:w w:val="95"/>
        </w:rPr>
        <w:t>必须满足下列全部条件：</w:t>
      </w:r>
    </w:p>
    <w:p>
      <w:pPr>
        <w:pStyle w:val="BodyText"/>
        <w:spacing w:line="261" w:lineRule="auto" w:before="34"/>
        <w:ind w:left="119" w:right="134"/>
      </w:pPr>
      <w:r>
        <w:rPr>
          <w:spacing w:val="1"/>
          <w:w w:val="95"/>
        </w:rPr>
        <w:t>（</w:t>
      </w:r>
      <w:r>
        <w:rPr>
          <w:rFonts w:ascii="Times New Roman" w:eastAsia="Times New Roman"/>
          <w:spacing w:val="1"/>
          <w:w w:val="95"/>
        </w:rPr>
        <w:t>1</w:t>
      </w:r>
      <w:r>
        <w:rPr>
          <w:spacing w:val="1"/>
          <w:w w:val="95"/>
        </w:rPr>
        <w:t>）</w:t>
      </w:r>
      <w:r>
        <w:rPr>
          <w:w w:val="95"/>
        </w:rPr>
        <w:t>感染必须是在被保险人正在从事其职业工作中发生，该职业  必须属于以下列表内的职业；</w:t>
      </w:r>
    </w:p>
    <w:p>
      <w:pPr>
        <w:pStyle w:val="BodyText"/>
        <w:spacing w:before="15"/>
        <w:ind w:left="119"/>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59" w:lineRule="auto" w:before="18"/>
        <w:ind w:left="119" w:right="125"/>
        <w:jc w:val="both"/>
      </w:pPr>
      <w:r>
        <w:rPr/>
        <w:t>（</w:t>
      </w:r>
      <w:r>
        <w:rPr>
          <w:rFonts w:ascii="Times New Roman" w:eastAsia="Times New Roman"/>
        </w:rPr>
        <w:t>3</w:t>
      </w:r>
      <w:r>
        <w:rPr/>
        <w:t>）</w:t>
      </w:r>
      <w:r>
        <w:rPr>
          <w:spacing w:val="-1"/>
        </w:rPr>
        <w:t>必须提供被保险人在所报事故发生后的 </w:t>
      </w:r>
      <w:r>
        <w:rPr>
          <w:rFonts w:ascii="Times New Roman" w:eastAsia="Times New Roman"/>
        </w:rPr>
        <w:t>5 </w:t>
      </w:r>
      <w:r>
        <w:rPr/>
        <w:t>天以内进行的检查</w:t>
      </w:r>
      <w:r>
        <w:rPr>
          <w:spacing w:val="-3"/>
        </w:rPr>
        <w:t>报告，该报告必须显示被保险人血液 </w:t>
      </w:r>
      <w:r>
        <w:rPr>
          <w:rFonts w:ascii="Times New Roman" w:eastAsia="Times New Roman"/>
        </w:rPr>
        <w:t>HIV </w:t>
      </w:r>
      <w:r>
        <w:rPr/>
        <w:t>病毒阴性和</w:t>
      </w:r>
      <w:r>
        <w:rPr>
          <w:rFonts w:ascii="Times New Roman" w:eastAsia="Times New Roman"/>
        </w:rPr>
        <w:t>/</w:t>
      </w:r>
      <w:r>
        <w:rPr>
          <w:spacing w:val="-25"/>
        </w:rPr>
        <w:t>或 </w:t>
      </w:r>
      <w:r>
        <w:rPr>
          <w:rFonts w:ascii="Times New Roman" w:eastAsia="Times New Roman"/>
        </w:rPr>
        <w:t>HIV </w:t>
      </w:r>
      <w:r>
        <w:rPr/>
        <w:t>抗体</w:t>
      </w:r>
      <w:r>
        <w:rPr>
          <w:w w:val="95"/>
        </w:rPr>
        <w:t>阴性；</w:t>
      </w:r>
    </w:p>
    <w:p>
      <w:pPr>
        <w:pStyle w:val="BodyText"/>
        <w:spacing w:line="261" w:lineRule="auto" w:before="18"/>
        <w:ind w:left="119" w:right="125"/>
      </w:pPr>
      <w:r>
        <w:rPr>
          <w:spacing w:val="-23"/>
        </w:rPr>
        <w:t>（</w:t>
      </w:r>
      <w:r>
        <w:rPr>
          <w:rFonts w:ascii="Times New Roman" w:eastAsia="Times New Roman"/>
          <w:spacing w:val="-23"/>
        </w:rPr>
        <w:t>4</w:t>
      </w:r>
      <w:r>
        <w:rPr>
          <w:spacing w:val="-23"/>
        </w:rPr>
        <w:t>）</w:t>
      </w:r>
      <w:r>
        <w:rPr>
          <w:spacing w:val="-7"/>
        </w:rPr>
        <w:t>必须在事故发生后的 </w:t>
      </w:r>
      <w:r>
        <w:rPr>
          <w:rFonts w:ascii="Times New Roman" w:eastAsia="Times New Roman"/>
        </w:rPr>
        <w:t>12 </w:t>
      </w:r>
      <w:r>
        <w:rPr>
          <w:spacing w:val="-4"/>
        </w:rPr>
        <w:t>个月内证实被保险人体内存在 </w:t>
      </w:r>
      <w:r>
        <w:rPr>
          <w:rFonts w:ascii="Times New Roman" w:eastAsia="Times New Roman"/>
        </w:rPr>
        <w:t>HIV </w:t>
      </w:r>
      <w:r>
        <w:rPr/>
        <w:t>病</w:t>
      </w:r>
      <w:r>
        <w:rPr>
          <w:spacing w:val="-14"/>
        </w:rPr>
        <w:t>毒或者 </w:t>
      </w:r>
      <w:r>
        <w:rPr>
          <w:rFonts w:ascii="Times New Roman" w:eastAsia="Times New Roman"/>
        </w:rPr>
        <w:t>HIV </w:t>
      </w:r>
      <w:r>
        <w:rPr/>
        <w:t>抗体。</w:t>
      </w:r>
    </w:p>
    <w:p>
      <w:pPr>
        <w:pStyle w:val="BodyText"/>
        <w:spacing w:line="289" w:lineRule="exact"/>
        <w:ind w:left="119"/>
        <w:jc w:val="both"/>
        <w:rPr>
          <w:rFonts w:ascii="Times New Roman" w:eastAsia="Times New Roman"/>
        </w:rPr>
      </w:pPr>
      <w:r>
        <w:rPr>
          <w:w w:val="95"/>
        </w:rPr>
        <w:t>职业限制如下所示</w:t>
      </w:r>
      <w:r>
        <w:rPr>
          <w:rFonts w:ascii="Times New Roman" w:eastAsia="Times New Roman"/>
          <w:w w:val="95"/>
        </w:rPr>
        <w:t>:</w:t>
      </w:r>
    </w:p>
    <w:p>
      <w:pPr>
        <w:spacing w:after="0" w:line="289" w:lineRule="exact"/>
        <w:jc w:val="both"/>
        <w:rPr>
          <w:rFonts w:ascii="Times New Roman" w:eastAsia="Times New Roman"/>
        </w:rPr>
        <w:sectPr>
          <w:type w:val="continuous"/>
          <w:pgSz w:w="11910" w:h="16850"/>
          <w:pgMar w:top="360" w:bottom="280" w:left="1040" w:right="1580"/>
          <w:cols w:num="2" w:equalWidth="0">
            <w:col w:w="2756" w:space="205"/>
            <w:col w:w="6329"/>
          </w:cols>
        </w:sectPr>
      </w:pPr>
    </w:p>
    <w:p>
      <w:pPr>
        <w:pStyle w:val="BodyText"/>
        <w:spacing w:before="10"/>
        <w:rPr>
          <w:rFonts w:ascii="Times New Roman"/>
          <w:sz w:val="2"/>
        </w:rPr>
      </w:pPr>
    </w:p>
    <w:tbl>
      <w:tblPr>
        <w:tblW w:w="0" w:type="auto"/>
        <w:jc w:val="left"/>
        <w:tblInd w:w="3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3"/>
        <w:gridCol w:w="3033"/>
      </w:tblGrid>
      <w:tr>
        <w:trPr>
          <w:trHeight w:val="314" w:hRule="atLeast"/>
        </w:trPr>
        <w:tc>
          <w:tcPr>
            <w:tcW w:w="3033" w:type="dxa"/>
          </w:tcPr>
          <w:p>
            <w:pPr>
              <w:pStyle w:val="TableParagraph"/>
              <w:spacing w:line="282" w:lineRule="exact"/>
              <w:ind w:left="67"/>
              <w:rPr>
                <w:sz w:val="21"/>
              </w:rPr>
            </w:pPr>
            <w:r>
              <w:rPr>
                <w:b/>
                <w:w w:val="95"/>
                <w:sz w:val="21"/>
              </w:rPr>
              <w:t>医师（</w:t>
            </w:r>
            <w:r>
              <w:rPr>
                <w:rFonts w:ascii="Times New Roman" w:eastAsia="Times New Roman"/>
                <w:b/>
                <w:w w:val="95"/>
                <w:sz w:val="21"/>
              </w:rPr>
              <w:t>8.12</w:t>
            </w:r>
            <w:r>
              <w:rPr>
                <w:b/>
                <w:w w:val="95"/>
                <w:sz w:val="21"/>
              </w:rPr>
              <w:t>）</w:t>
            </w:r>
            <w:r>
              <w:rPr>
                <w:w w:val="95"/>
                <w:sz w:val="21"/>
              </w:rPr>
              <w:t>和牙科医师</w:t>
            </w:r>
          </w:p>
        </w:tc>
        <w:tc>
          <w:tcPr>
            <w:tcW w:w="3033" w:type="dxa"/>
          </w:tcPr>
          <w:p>
            <w:pPr>
              <w:pStyle w:val="TableParagraph"/>
              <w:spacing w:line="266" w:lineRule="exact"/>
              <w:ind w:left="74"/>
              <w:rPr>
                <w:sz w:val="21"/>
              </w:rPr>
            </w:pPr>
            <w:r>
              <w:rPr>
                <w:w w:val="95"/>
                <w:sz w:val="21"/>
              </w:rPr>
              <w:t>护士</w:t>
            </w:r>
          </w:p>
        </w:tc>
      </w:tr>
      <w:tr>
        <w:trPr>
          <w:trHeight w:val="314" w:hRule="atLeast"/>
        </w:trPr>
        <w:tc>
          <w:tcPr>
            <w:tcW w:w="3033" w:type="dxa"/>
          </w:tcPr>
          <w:p>
            <w:pPr>
              <w:pStyle w:val="TableParagraph"/>
              <w:spacing w:line="259" w:lineRule="exact"/>
              <w:ind w:left="67"/>
              <w:rPr>
                <w:sz w:val="21"/>
              </w:rPr>
            </w:pPr>
            <w:r>
              <w:rPr>
                <w:w w:val="95"/>
                <w:sz w:val="21"/>
              </w:rPr>
              <w:t>实验室工作人员</w:t>
            </w:r>
          </w:p>
        </w:tc>
        <w:tc>
          <w:tcPr>
            <w:tcW w:w="3033" w:type="dxa"/>
          </w:tcPr>
          <w:p>
            <w:pPr>
              <w:pStyle w:val="TableParagraph"/>
              <w:spacing w:line="259" w:lineRule="exact"/>
              <w:ind w:left="74"/>
              <w:rPr>
                <w:sz w:val="21"/>
              </w:rPr>
            </w:pPr>
            <w:r>
              <w:rPr>
                <w:w w:val="95"/>
                <w:sz w:val="21"/>
              </w:rPr>
              <w:t>医院护工</w:t>
            </w:r>
          </w:p>
        </w:tc>
      </w:tr>
      <w:tr>
        <w:trPr>
          <w:trHeight w:val="306" w:hRule="atLeast"/>
        </w:trPr>
        <w:tc>
          <w:tcPr>
            <w:tcW w:w="3033" w:type="dxa"/>
          </w:tcPr>
          <w:p>
            <w:pPr>
              <w:pStyle w:val="TableParagraph"/>
              <w:spacing w:line="259" w:lineRule="exact"/>
              <w:ind w:left="67"/>
              <w:rPr>
                <w:sz w:val="21"/>
              </w:rPr>
            </w:pPr>
            <w:r>
              <w:rPr>
                <w:w w:val="95"/>
                <w:sz w:val="21"/>
              </w:rPr>
              <w:t>医师助理和牙医助理</w:t>
            </w:r>
          </w:p>
        </w:tc>
        <w:tc>
          <w:tcPr>
            <w:tcW w:w="3033" w:type="dxa"/>
          </w:tcPr>
          <w:p>
            <w:pPr>
              <w:pStyle w:val="TableParagraph"/>
              <w:spacing w:line="259" w:lineRule="exact"/>
              <w:ind w:left="74"/>
              <w:rPr>
                <w:sz w:val="21"/>
              </w:rPr>
            </w:pPr>
            <w:r>
              <w:rPr>
                <w:w w:val="95"/>
                <w:sz w:val="21"/>
              </w:rPr>
              <w:t>救护车工作人员</w:t>
            </w:r>
          </w:p>
        </w:tc>
      </w:tr>
      <w:tr>
        <w:trPr>
          <w:trHeight w:val="321" w:hRule="atLeast"/>
        </w:trPr>
        <w:tc>
          <w:tcPr>
            <w:tcW w:w="3033" w:type="dxa"/>
          </w:tcPr>
          <w:p>
            <w:pPr>
              <w:pStyle w:val="TableParagraph"/>
              <w:spacing w:line="266" w:lineRule="exact"/>
              <w:ind w:left="67"/>
              <w:rPr>
                <w:sz w:val="21"/>
              </w:rPr>
            </w:pPr>
            <w:r>
              <w:rPr>
                <w:w w:val="95"/>
                <w:sz w:val="21"/>
              </w:rPr>
              <w:t>助产士</w:t>
            </w:r>
          </w:p>
        </w:tc>
        <w:tc>
          <w:tcPr>
            <w:tcW w:w="3033" w:type="dxa"/>
          </w:tcPr>
          <w:p>
            <w:pPr>
              <w:pStyle w:val="TableParagraph"/>
              <w:spacing w:line="266" w:lineRule="exact"/>
              <w:ind w:left="74"/>
              <w:rPr>
                <w:sz w:val="21"/>
              </w:rPr>
            </w:pPr>
            <w:r>
              <w:rPr>
                <w:w w:val="95"/>
                <w:sz w:val="21"/>
              </w:rPr>
              <w:t>警察</w:t>
            </w:r>
          </w:p>
        </w:tc>
      </w:tr>
    </w:tbl>
    <w:p>
      <w:pPr>
        <w:pStyle w:val="BodyText"/>
        <w:rPr>
          <w:rFonts w:ascii="Times New Roman"/>
          <w:sz w:val="14"/>
        </w:rPr>
      </w:pPr>
    </w:p>
    <w:p>
      <w:pPr>
        <w:pStyle w:val="ListParagraph"/>
        <w:numPr>
          <w:ilvl w:val="1"/>
          <w:numId w:val="2"/>
        </w:numPr>
        <w:tabs>
          <w:tab w:pos="1070" w:val="left" w:leader="none"/>
          <w:tab w:pos="1071" w:val="left" w:leader="none"/>
          <w:tab w:pos="3080" w:val="left" w:leader="none"/>
        </w:tabs>
        <w:spacing w:line="240" w:lineRule="auto" w:before="84" w:after="0"/>
        <w:ind w:left="1071" w:right="0" w:hanging="952"/>
        <w:jc w:val="left"/>
        <w:rPr>
          <w:sz w:val="21"/>
        </w:rPr>
      </w:pPr>
      <w:r>
        <w:rPr>
          <w:b/>
          <w:spacing w:val="5"/>
          <w:sz w:val="21"/>
        </w:rPr>
        <w:t>严</w:t>
      </w:r>
      <w:r>
        <w:rPr>
          <w:b/>
          <w:sz w:val="21"/>
        </w:rPr>
        <w:t>重溃疡</w:t>
      </w:r>
      <w:r>
        <w:rPr>
          <w:b/>
          <w:spacing w:val="5"/>
          <w:sz w:val="21"/>
        </w:rPr>
        <w:t>性</w:t>
      </w:r>
      <w:r>
        <w:rPr>
          <w:b/>
          <w:sz w:val="21"/>
        </w:rPr>
        <w:t>结肠炎</w:t>
        <w:tab/>
      </w:r>
      <w:r>
        <w:rPr>
          <w:spacing w:val="5"/>
          <w:w w:val="95"/>
          <w:sz w:val="21"/>
        </w:rPr>
        <w:t>本附加合同所</w:t>
      </w:r>
      <w:r>
        <w:rPr>
          <w:spacing w:val="12"/>
          <w:w w:val="95"/>
          <w:sz w:val="21"/>
        </w:rPr>
        <w:t>保</w:t>
      </w:r>
      <w:r>
        <w:rPr>
          <w:spacing w:val="5"/>
          <w:w w:val="95"/>
          <w:sz w:val="21"/>
        </w:rPr>
        <w:t>障的溃</w:t>
      </w:r>
      <w:r>
        <w:rPr>
          <w:spacing w:val="12"/>
          <w:w w:val="95"/>
          <w:sz w:val="21"/>
        </w:rPr>
        <w:t>疡</w:t>
      </w:r>
      <w:r>
        <w:rPr>
          <w:spacing w:val="5"/>
          <w:w w:val="95"/>
          <w:sz w:val="21"/>
        </w:rPr>
        <w:t>性结肠炎</w:t>
      </w:r>
      <w:r>
        <w:rPr>
          <w:spacing w:val="12"/>
          <w:w w:val="95"/>
          <w:sz w:val="21"/>
        </w:rPr>
        <w:t>是</w:t>
      </w:r>
      <w:r>
        <w:rPr>
          <w:spacing w:val="5"/>
          <w:w w:val="95"/>
          <w:sz w:val="21"/>
        </w:rPr>
        <w:t>指伴有致</w:t>
      </w:r>
      <w:r>
        <w:rPr>
          <w:spacing w:val="12"/>
          <w:w w:val="95"/>
          <w:sz w:val="21"/>
        </w:rPr>
        <w:t>命</w:t>
      </w:r>
      <w:r>
        <w:rPr>
          <w:spacing w:val="5"/>
          <w:w w:val="95"/>
          <w:sz w:val="21"/>
        </w:rPr>
        <w:t>性电解质</w:t>
      </w:r>
      <w:r>
        <w:rPr>
          <w:spacing w:val="12"/>
          <w:w w:val="95"/>
          <w:sz w:val="21"/>
        </w:rPr>
        <w:t>紊</w:t>
      </w:r>
      <w:r>
        <w:rPr>
          <w:spacing w:val="5"/>
          <w:w w:val="95"/>
          <w:sz w:val="21"/>
        </w:rPr>
        <w:t>乱</w:t>
      </w:r>
      <w:r>
        <w:rPr>
          <w:w w:val="95"/>
          <w:sz w:val="21"/>
        </w:rPr>
        <w:t>的</w:t>
      </w:r>
    </w:p>
    <w:p>
      <w:pPr>
        <w:pStyle w:val="BodyText"/>
        <w:spacing w:line="273" w:lineRule="auto" w:before="34"/>
        <w:ind w:left="3080" w:right="126"/>
        <w:jc w:val="both"/>
      </w:pPr>
      <w:r>
        <w:rPr>
          <w:w w:val="95"/>
        </w:rPr>
        <w:t>急性暴发性溃疡性结肠炎，病变累及全结肠，表现为严重的血便和 系统性症状体征，治疗通常采取全结肠切除和回肠造瘘术。溃疡性 </w:t>
      </w:r>
      <w:r>
        <w:rPr>
          <w:spacing w:val="-1"/>
          <w:w w:val="95"/>
        </w:rPr>
        <w:t>结肠炎必须根据组织病理学特点诊断，并且被保险人已经接受了结 肠切除和回肠造瘘术。</w:t>
      </w:r>
    </w:p>
    <w:p>
      <w:pPr>
        <w:pStyle w:val="BodyText"/>
        <w:spacing w:before="12"/>
        <w:rPr>
          <w:sz w:val="22"/>
        </w:rPr>
      </w:pPr>
    </w:p>
    <w:p>
      <w:pPr>
        <w:pStyle w:val="ListParagraph"/>
        <w:numPr>
          <w:ilvl w:val="1"/>
          <w:numId w:val="2"/>
        </w:numPr>
        <w:tabs>
          <w:tab w:pos="1070" w:val="left" w:leader="none"/>
          <w:tab w:pos="1071" w:val="left" w:leader="none"/>
          <w:tab w:pos="3080" w:val="left" w:leader="none"/>
        </w:tabs>
        <w:spacing w:line="284" w:lineRule="exact" w:before="0" w:after="0"/>
        <w:ind w:left="1071" w:right="0" w:hanging="952"/>
        <w:jc w:val="left"/>
        <w:rPr>
          <w:sz w:val="21"/>
        </w:rPr>
      </w:pPr>
      <w:r>
        <w:rPr>
          <w:b/>
          <w:spacing w:val="5"/>
          <w:position w:val="-1"/>
          <w:sz w:val="21"/>
        </w:rPr>
        <w:t>全</w:t>
      </w:r>
      <w:r>
        <w:rPr>
          <w:b/>
          <w:position w:val="-1"/>
          <w:sz w:val="21"/>
        </w:rPr>
        <w:t>身性重</w:t>
      </w:r>
      <w:r>
        <w:rPr>
          <w:b/>
          <w:spacing w:val="5"/>
          <w:position w:val="-1"/>
          <w:sz w:val="21"/>
        </w:rPr>
        <w:t>症</w:t>
      </w:r>
      <w:r>
        <w:rPr>
          <w:b/>
          <w:position w:val="-1"/>
          <w:sz w:val="21"/>
        </w:rPr>
        <w:t>肌无力</w:t>
        <w:tab/>
      </w:r>
      <w:r>
        <w:rPr>
          <w:w w:val="95"/>
          <w:sz w:val="21"/>
        </w:rPr>
        <w:t>重症肌无力是一种</w:t>
      </w:r>
      <w:r>
        <w:rPr>
          <w:spacing w:val="5"/>
          <w:w w:val="95"/>
          <w:sz w:val="21"/>
        </w:rPr>
        <w:t>神</w:t>
      </w:r>
      <w:r>
        <w:rPr>
          <w:w w:val="95"/>
          <w:sz w:val="21"/>
        </w:rPr>
        <w:t>经肌肉接头</w:t>
      </w:r>
      <w:r>
        <w:rPr>
          <w:spacing w:val="5"/>
          <w:w w:val="95"/>
          <w:sz w:val="21"/>
        </w:rPr>
        <w:t>传</w:t>
      </w:r>
      <w:r>
        <w:rPr>
          <w:w w:val="95"/>
          <w:sz w:val="21"/>
        </w:rPr>
        <w:t>递障碍所致</w:t>
      </w:r>
      <w:r>
        <w:rPr>
          <w:spacing w:val="5"/>
          <w:w w:val="95"/>
          <w:sz w:val="21"/>
        </w:rPr>
        <w:t>的</w:t>
      </w:r>
      <w:r>
        <w:rPr>
          <w:w w:val="95"/>
          <w:sz w:val="21"/>
        </w:rPr>
        <w:t>疾病</w:t>
      </w:r>
      <w:r>
        <w:rPr>
          <w:spacing w:val="-8"/>
          <w:w w:val="95"/>
          <w:sz w:val="21"/>
        </w:rPr>
        <w:t>，</w:t>
      </w:r>
      <w:r>
        <w:rPr>
          <w:w w:val="95"/>
          <w:sz w:val="21"/>
        </w:rPr>
        <w:t>表现为局部</w:t>
      </w:r>
    </w:p>
    <w:p>
      <w:pPr>
        <w:pStyle w:val="BodyText"/>
        <w:spacing w:line="232" w:lineRule="auto"/>
        <w:ind w:left="3080" w:right="123"/>
        <w:jc w:val="both"/>
      </w:pPr>
      <w:r>
        <w:rPr>
          <w:w w:val="95"/>
        </w:rPr>
        <w:t>或全身骨骼肌（特别是眼外肌）极易疲劳。疾病可以累及呼吸肌、 上肢或下肢的近端肌群或全身肌肉。必须满足下列全部条件：</w:t>
      </w:r>
    </w:p>
    <w:p>
      <w:pPr>
        <w:pStyle w:val="BodyText"/>
        <w:spacing w:before="23"/>
        <w:ind w:left="3080"/>
      </w:pPr>
      <w:r>
        <w:rPr>
          <w:w w:val="95"/>
        </w:rPr>
        <w:t>（</w:t>
      </w:r>
      <w:r>
        <w:rPr>
          <w:rFonts w:ascii="Times New Roman" w:eastAsia="Times New Roman"/>
          <w:w w:val="95"/>
        </w:rPr>
        <w:t>1</w:t>
      </w:r>
      <w:r>
        <w:rPr>
          <w:w w:val="95"/>
        </w:rPr>
        <w:t>）经药物治疗和胸腺切除治疗一年以上仍无法控制病情；</w:t>
      </w:r>
    </w:p>
    <w:p>
      <w:pPr>
        <w:pStyle w:val="BodyText"/>
        <w:spacing w:line="256" w:lineRule="auto" w:before="26"/>
        <w:ind w:left="3080" w:right="134"/>
        <w:jc w:val="both"/>
      </w:pPr>
      <w:r>
        <w:rPr>
          <w:spacing w:val="1"/>
          <w:w w:val="95"/>
        </w:rPr>
        <w:t>（</w:t>
      </w:r>
      <w:r>
        <w:rPr>
          <w:rFonts w:ascii="Times New Roman" w:eastAsia="Times New Roman"/>
          <w:spacing w:val="1"/>
          <w:w w:val="95"/>
        </w:rPr>
        <w:t>2</w:t>
      </w:r>
      <w:r>
        <w:rPr>
          <w:spacing w:val="1"/>
          <w:w w:val="95"/>
        </w:rPr>
        <w:t>）</w:t>
      </w:r>
      <w:r>
        <w:rPr>
          <w:w w:val="95"/>
        </w:rPr>
        <w:t>自主生活能力完全丧失，无法独立完成六项基本日常生活活  动中的三项或三项以上。</w:t>
      </w:r>
    </w:p>
    <w:p>
      <w:pPr>
        <w:spacing w:after="0" w:line="256" w:lineRule="auto"/>
        <w:jc w:val="both"/>
        <w:sectPr>
          <w:type w:val="continuous"/>
          <w:pgSz w:w="11910" w:h="16850"/>
          <w:pgMar w:top="360" w:bottom="280" w:left="1040" w:right="15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2198"/>
        <w:gridCol w:w="6301"/>
      </w:tblGrid>
      <w:tr>
        <w:trPr>
          <w:trHeight w:val="3148" w:hRule="atLeast"/>
        </w:trPr>
        <w:tc>
          <w:tcPr>
            <w:tcW w:w="772" w:type="dxa"/>
          </w:tcPr>
          <w:p>
            <w:pPr>
              <w:pStyle w:val="TableParagraph"/>
              <w:spacing w:line="227" w:lineRule="exact"/>
              <w:ind w:left="115"/>
              <w:rPr>
                <w:rFonts w:ascii="Times New Roman"/>
                <w:sz w:val="21"/>
              </w:rPr>
            </w:pPr>
            <w:r>
              <w:rPr>
                <w:rFonts w:ascii="Times New Roman"/>
                <w:sz w:val="21"/>
              </w:rPr>
              <w:t>7.32</w:t>
            </w:r>
          </w:p>
        </w:tc>
        <w:tc>
          <w:tcPr>
            <w:tcW w:w="2198" w:type="dxa"/>
          </w:tcPr>
          <w:p>
            <w:pPr>
              <w:pStyle w:val="TableParagraph"/>
              <w:spacing w:line="255" w:lineRule="exact"/>
              <w:ind w:left="294"/>
              <w:rPr>
                <w:b/>
                <w:sz w:val="21"/>
              </w:rPr>
            </w:pPr>
            <w:r>
              <w:rPr>
                <w:b/>
                <w:w w:val="95"/>
                <w:sz w:val="21"/>
              </w:rPr>
              <w:t>严重类风湿性关节</w:t>
            </w:r>
          </w:p>
          <w:p>
            <w:pPr>
              <w:pStyle w:val="TableParagraph"/>
              <w:spacing w:before="42"/>
              <w:ind w:left="294"/>
              <w:rPr>
                <w:b/>
                <w:sz w:val="21"/>
              </w:rPr>
            </w:pPr>
            <w:r>
              <w:rPr>
                <w:b/>
                <w:w w:val="99"/>
                <w:sz w:val="21"/>
              </w:rPr>
              <w:t>炎</w:t>
            </w:r>
          </w:p>
        </w:tc>
        <w:tc>
          <w:tcPr>
            <w:tcW w:w="6301" w:type="dxa"/>
          </w:tcPr>
          <w:p>
            <w:pPr>
              <w:pStyle w:val="TableParagraph"/>
              <w:spacing w:line="232" w:lineRule="exact"/>
              <w:ind w:left="106"/>
              <w:rPr>
                <w:sz w:val="21"/>
              </w:rPr>
            </w:pPr>
            <w:r>
              <w:rPr>
                <w:w w:val="95"/>
                <w:sz w:val="21"/>
              </w:rPr>
              <w:t>类风湿性关节炎为广泛分布的慢性进行性多关节病变，表现为关节</w:t>
            </w:r>
          </w:p>
          <w:p>
            <w:pPr>
              <w:pStyle w:val="TableParagraph"/>
              <w:spacing w:line="235" w:lineRule="auto" w:before="5"/>
              <w:ind w:left="106" w:right="111"/>
              <w:jc w:val="both"/>
              <w:rPr>
                <w:sz w:val="21"/>
              </w:rPr>
            </w:pPr>
            <w:r>
              <w:rPr>
                <w:w w:val="95"/>
                <w:sz w:val="21"/>
              </w:rPr>
              <w:t>严重变形，侵犯至少三个主要关节或关节组，如：双手（</w:t>
            </w:r>
            <w:r>
              <w:rPr>
                <w:spacing w:val="0"/>
                <w:w w:val="95"/>
                <w:sz w:val="21"/>
              </w:rPr>
              <w:t>多手指</w:t>
            </w:r>
            <w:r>
              <w:rPr>
                <w:w w:val="95"/>
                <w:sz w:val="21"/>
              </w:rPr>
              <w:t>） 关节、双足（多足趾）关节、双腕关节、双膝关节和双髋关节。类 </w:t>
            </w:r>
            <w:r>
              <w:rPr>
                <w:spacing w:val="3"/>
                <w:sz w:val="21"/>
              </w:rPr>
              <w:t>风湿性关节炎必须明确诊断并且已经达到类风湿性关节炎功能分</w:t>
            </w:r>
            <w:r>
              <w:rPr>
                <w:spacing w:val="-11"/>
                <w:sz w:val="21"/>
              </w:rPr>
              <w:t>类 </w:t>
            </w:r>
            <w:r>
              <w:rPr>
                <w:rFonts w:ascii="Times New Roman" w:eastAsia="Times New Roman"/>
                <w:sz w:val="21"/>
              </w:rPr>
              <w:t>IV</w:t>
            </w:r>
            <w:r>
              <w:rPr>
                <w:rFonts w:ascii="Times New Roman" w:eastAsia="Times New Roman"/>
                <w:spacing w:val="27"/>
                <w:sz w:val="21"/>
              </w:rPr>
              <w:t> </w:t>
            </w:r>
            <w:r>
              <w:rPr>
                <w:sz w:val="21"/>
              </w:rPr>
              <w:t>级的永久不可逆性关节功能障碍（生活不能自理，且丧失工</w:t>
            </w:r>
            <w:r>
              <w:rPr>
                <w:w w:val="95"/>
                <w:sz w:val="21"/>
              </w:rPr>
              <w:t>作能力）并且满足下列全部条件：</w:t>
            </w:r>
          </w:p>
          <w:p>
            <w:pPr>
              <w:pStyle w:val="TableParagraph"/>
              <w:spacing w:line="274" w:lineRule="exact"/>
              <w:ind w:left="106"/>
              <w:jc w:val="both"/>
              <w:rPr>
                <w:sz w:val="21"/>
              </w:rPr>
            </w:pPr>
            <w:r>
              <w:rPr>
                <w:w w:val="95"/>
                <w:sz w:val="21"/>
              </w:rPr>
              <w:t>（</w:t>
            </w:r>
            <w:r>
              <w:rPr>
                <w:rFonts w:ascii="Times New Roman" w:eastAsia="Times New Roman"/>
                <w:w w:val="95"/>
                <w:sz w:val="21"/>
              </w:rPr>
              <w:t>1</w:t>
            </w:r>
            <w:r>
              <w:rPr>
                <w:w w:val="95"/>
                <w:sz w:val="21"/>
              </w:rPr>
              <w:t>）晨僵；</w:t>
            </w:r>
          </w:p>
          <w:p>
            <w:pPr>
              <w:pStyle w:val="TableParagraph"/>
              <w:spacing w:line="274" w:lineRule="exact"/>
              <w:ind w:left="106"/>
              <w:jc w:val="both"/>
              <w:rPr>
                <w:sz w:val="21"/>
              </w:rPr>
            </w:pPr>
            <w:r>
              <w:rPr>
                <w:w w:val="95"/>
                <w:sz w:val="21"/>
              </w:rPr>
              <w:t>（</w:t>
            </w:r>
            <w:r>
              <w:rPr>
                <w:rFonts w:ascii="Times New Roman" w:eastAsia="Times New Roman"/>
                <w:w w:val="95"/>
                <w:sz w:val="21"/>
              </w:rPr>
              <w:t>2</w:t>
            </w:r>
            <w:r>
              <w:rPr>
                <w:w w:val="95"/>
                <w:sz w:val="21"/>
              </w:rPr>
              <w:t>）对称性关节炎；</w:t>
            </w:r>
          </w:p>
          <w:p>
            <w:pPr>
              <w:pStyle w:val="TableParagraph"/>
              <w:spacing w:line="274" w:lineRule="exact"/>
              <w:ind w:left="106"/>
              <w:jc w:val="both"/>
              <w:rPr>
                <w:sz w:val="21"/>
              </w:rPr>
            </w:pPr>
            <w:r>
              <w:rPr>
                <w:w w:val="95"/>
                <w:sz w:val="21"/>
              </w:rPr>
              <w:t>（</w:t>
            </w:r>
            <w:r>
              <w:rPr>
                <w:rFonts w:ascii="Times New Roman" w:eastAsia="Times New Roman"/>
                <w:w w:val="95"/>
                <w:sz w:val="21"/>
              </w:rPr>
              <w:t>3</w:t>
            </w:r>
            <w:r>
              <w:rPr>
                <w:w w:val="95"/>
                <w:sz w:val="21"/>
              </w:rPr>
              <w:t>）类风湿性皮下结节；</w:t>
            </w:r>
          </w:p>
          <w:p>
            <w:pPr>
              <w:pStyle w:val="TableParagraph"/>
              <w:spacing w:line="274" w:lineRule="exact"/>
              <w:ind w:left="106"/>
              <w:jc w:val="both"/>
              <w:rPr>
                <w:sz w:val="21"/>
              </w:rPr>
            </w:pPr>
            <w:r>
              <w:rPr>
                <w:w w:val="95"/>
                <w:sz w:val="21"/>
              </w:rPr>
              <w:t>（</w:t>
            </w:r>
            <w:r>
              <w:rPr>
                <w:rFonts w:ascii="Times New Roman" w:eastAsia="Times New Roman"/>
                <w:w w:val="95"/>
                <w:sz w:val="21"/>
              </w:rPr>
              <w:t>4</w:t>
            </w:r>
            <w:r>
              <w:rPr>
                <w:w w:val="95"/>
                <w:sz w:val="21"/>
              </w:rPr>
              <w:t>）类风湿因子滴度升高；</w:t>
            </w:r>
          </w:p>
          <w:p>
            <w:pPr>
              <w:pStyle w:val="TableParagraph"/>
              <w:spacing w:line="282" w:lineRule="exact"/>
              <w:ind w:left="106"/>
              <w:jc w:val="both"/>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tc>
      </w:tr>
      <w:tr>
        <w:trPr>
          <w:trHeight w:val="1936" w:hRule="atLeast"/>
        </w:trPr>
        <w:tc>
          <w:tcPr>
            <w:tcW w:w="772" w:type="dxa"/>
          </w:tcPr>
          <w:p>
            <w:pPr>
              <w:pStyle w:val="TableParagraph"/>
              <w:spacing w:before="150"/>
              <w:ind w:left="115"/>
              <w:rPr>
                <w:rFonts w:ascii="Times New Roman"/>
                <w:sz w:val="21"/>
              </w:rPr>
            </w:pPr>
            <w:r>
              <w:rPr>
                <w:rFonts w:ascii="Times New Roman"/>
                <w:sz w:val="21"/>
              </w:rPr>
              <w:t>7.33</w:t>
            </w:r>
          </w:p>
        </w:tc>
        <w:tc>
          <w:tcPr>
            <w:tcW w:w="2198" w:type="dxa"/>
          </w:tcPr>
          <w:p>
            <w:pPr>
              <w:pStyle w:val="TableParagraph"/>
              <w:spacing w:before="144"/>
              <w:ind w:left="294"/>
              <w:rPr>
                <w:b/>
                <w:sz w:val="21"/>
              </w:rPr>
            </w:pPr>
            <w:r>
              <w:rPr>
                <w:b/>
                <w:w w:val="95"/>
                <w:sz w:val="21"/>
              </w:rPr>
              <w:t>脊髓灰质炎</w:t>
            </w:r>
          </w:p>
        </w:tc>
        <w:tc>
          <w:tcPr>
            <w:tcW w:w="6301" w:type="dxa"/>
          </w:tcPr>
          <w:p>
            <w:pPr>
              <w:pStyle w:val="TableParagraph"/>
              <w:spacing w:line="235" w:lineRule="auto" w:before="128"/>
              <w:ind w:left="106" w:right="112"/>
              <w:jc w:val="both"/>
              <w:rPr>
                <w:sz w:val="21"/>
              </w:rPr>
            </w:pPr>
            <w:r>
              <w:rPr>
                <w:spacing w:val="-1"/>
                <w:w w:val="95"/>
                <w:sz w:val="21"/>
              </w:rPr>
              <w:t>脊髓灰质炎是由于脊髓灰质炎病毒感染所致的瘫痪性疾病，临床表 现为运动功能损害或呼吸无力。脊髓灰质炎必须明确诊断。本附加 </w:t>
            </w:r>
            <w:r>
              <w:rPr>
                <w:spacing w:val="3"/>
                <w:sz w:val="21"/>
              </w:rPr>
              <w:t>合同仅对脊髓灰质炎造成的神经系统功能损害导致被保险人一肢</w:t>
            </w:r>
            <w:r>
              <w:rPr>
                <w:spacing w:val="-1"/>
                <w:w w:val="95"/>
                <w:sz w:val="21"/>
              </w:rPr>
              <w:t>或一肢以上肢体机能永久完全丧失的情况予以理赔。肢体机能永久 </w:t>
            </w:r>
            <w:r>
              <w:rPr>
                <w:spacing w:val="-7"/>
                <w:sz w:val="21"/>
              </w:rPr>
              <w:t>完全丧失，指疾病确诊 </w:t>
            </w:r>
            <w:r>
              <w:rPr>
                <w:rFonts w:ascii="Times New Roman" w:eastAsia="Times New Roman"/>
                <w:sz w:val="21"/>
              </w:rPr>
              <w:t>180 </w:t>
            </w:r>
            <w:r>
              <w:rPr>
                <w:sz w:val="21"/>
              </w:rPr>
              <w:t>天后，每肢三大关节中的两大关节仍然</w:t>
            </w:r>
            <w:r>
              <w:rPr>
                <w:w w:val="95"/>
                <w:sz w:val="21"/>
              </w:rPr>
              <w:t>完全僵硬，或不能随意识活动。</w:t>
            </w:r>
          </w:p>
        </w:tc>
      </w:tr>
      <w:tr>
        <w:trPr>
          <w:trHeight w:val="3731" w:hRule="atLeast"/>
        </w:trPr>
        <w:tc>
          <w:tcPr>
            <w:tcW w:w="772" w:type="dxa"/>
          </w:tcPr>
          <w:p>
            <w:pPr>
              <w:pStyle w:val="TableParagraph"/>
              <w:spacing w:before="158"/>
              <w:ind w:left="115"/>
              <w:rPr>
                <w:rFonts w:ascii="Times New Roman"/>
                <w:sz w:val="21"/>
              </w:rPr>
            </w:pPr>
            <w:r>
              <w:rPr>
                <w:rFonts w:ascii="Times New Roman"/>
                <w:sz w:val="21"/>
              </w:rPr>
              <w:t>7.34</w:t>
            </w:r>
          </w:p>
        </w:tc>
        <w:tc>
          <w:tcPr>
            <w:tcW w:w="2198" w:type="dxa"/>
          </w:tcPr>
          <w:p>
            <w:pPr>
              <w:pStyle w:val="TableParagraph"/>
              <w:spacing w:line="278" w:lineRule="auto" w:before="152"/>
              <w:ind w:left="294" w:right="103"/>
              <w:rPr>
                <w:b/>
                <w:sz w:val="21"/>
              </w:rPr>
            </w:pPr>
            <w:r>
              <w:rPr>
                <w:b/>
                <w:w w:val="95"/>
                <w:sz w:val="21"/>
              </w:rPr>
              <w:t>经输血导致的人类</w:t>
            </w:r>
            <w:r>
              <w:rPr>
                <w:b/>
                <w:sz w:val="21"/>
              </w:rPr>
              <w:t>免 疫 缺 陷 病 毒</w:t>
            </w:r>
          </w:p>
          <w:p>
            <w:pPr>
              <w:pStyle w:val="TableParagraph"/>
              <w:spacing w:before="1"/>
              <w:ind w:left="294"/>
              <w:rPr>
                <w:b/>
                <w:sz w:val="21"/>
              </w:rPr>
            </w:pPr>
            <w:r>
              <w:rPr>
                <w:b/>
                <w:w w:val="95"/>
                <w:sz w:val="21"/>
              </w:rPr>
              <w:t>（</w:t>
            </w:r>
            <w:r>
              <w:rPr>
                <w:rFonts w:ascii="Times New Roman" w:eastAsia="Times New Roman"/>
                <w:b/>
                <w:w w:val="95"/>
                <w:sz w:val="21"/>
              </w:rPr>
              <w:t>HIV</w:t>
            </w:r>
            <w:r>
              <w:rPr>
                <w:b/>
                <w:w w:val="95"/>
                <w:sz w:val="21"/>
              </w:rPr>
              <w:t>）感染</w:t>
            </w:r>
          </w:p>
        </w:tc>
        <w:tc>
          <w:tcPr>
            <w:tcW w:w="6301" w:type="dxa"/>
          </w:tcPr>
          <w:p>
            <w:pPr>
              <w:pStyle w:val="TableParagraph"/>
              <w:spacing w:line="282" w:lineRule="exact" w:before="130"/>
              <w:ind w:left="106"/>
              <w:rPr>
                <w:sz w:val="21"/>
              </w:rPr>
            </w:pPr>
            <w:r>
              <w:rPr>
                <w:w w:val="95"/>
                <w:sz w:val="21"/>
              </w:rPr>
              <w:t>被保险人感染上人类免疫缺陷病毒（</w:t>
            </w:r>
            <w:r>
              <w:rPr>
                <w:rFonts w:ascii="Times New Roman" w:eastAsia="Times New Roman"/>
                <w:w w:val="95"/>
                <w:sz w:val="21"/>
              </w:rPr>
              <w:t>HIV</w:t>
            </w:r>
            <w:r>
              <w:rPr>
                <w:w w:val="95"/>
                <w:sz w:val="21"/>
              </w:rPr>
              <w:t>）并且满足下列全部条件：</w:t>
            </w:r>
          </w:p>
          <w:p>
            <w:pPr>
              <w:pStyle w:val="TableParagraph"/>
              <w:spacing w:line="274" w:lineRule="exact"/>
              <w:ind w:left="106"/>
              <w:rPr>
                <w:sz w:val="21"/>
              </w:rPr>
            </w:pPr>
            <w:r>
              <w:rPr>
                <w:sz w:val="21"/>
              </w:rPr>
              <w:t>（</w:t>
            </w:r>
            <w:r>
              <w:rPr>
                <w:rFonts w:ascii="Times New Roman" w:eastAsia="Times New Roman"/>
                <w:sz w:val="21"/>
              </w:rPr>
              <w:t>1</w:t>
            </w:r>
            <w:r>
              <w:rPr>
                <w:sz w:val="21"/>
              </w:rPr>
              <w:t>）在保障起始日或复效日之后，被保险人因输血而感染 </w:t>
            </w:r>
            <w:r>
              <w:rPr>
                <w:rFonts w:ascii="Times New Roman" w:eastAsia="Times New Roman"/>
                <w:sz w:val="21"/>
              </w:rPr>
              <w:t>HIV</w:t>
            </w:r>
            <w:r>
              <w:rPr>
                <w:sz w:val="21"/>
              </w:rPr>
              <w:t>；</w:t>
            </w:r>
          </w:p>
          <w:p>
            <w:pPr>
              <w:pStyle w:val="TableParagraph"/>
              <w:spacing w:line="225" w:lineRule="auto" w:before="9"/>
              <w:ind w:left="106" w:right="119"/>
              <w:jc w:val="both"/>
              <w:rPr>
                <w:sz w:val="21"/>
              </w:rPr>
            </w:pPr>
            <w:r>
              <w:rPr>
                <w:spacing w:val="1"/>
                <w:w w:val="95"/>
                <w:sz w:val="21"/>
              </w:rPr>
              <w:t>（</w:t>
            </w:r>
            <w:r>
              <w:rPr>
                <w:rFonts w:ascii="Times New Roman" w:eastAsia="Times New Roman"/>
                <w:spacing w:val="1"/>
                <w:w w:val="95"/>
                <w:sz w:val="21"/>
              </w:rPr>
              <w:t>2</w:t>
            </w:r>
            <w:r>
              <w:rPr>
                <w:spacing w:val="1"/>
                <w:w w:val="95"/>
                <w:sz w:val="21"/>
              </w:rPr>
              <w:t>）</w:t>
            </w:r>
            <w:r>
              <w:rPr>
                <w:w w:val="95"/>
                <w:sz w:val="21"/>
              </w:rPr>
              <w:t>提供输血治疗的输血中心或医院出具该项输血感染属医疗责  任事故的报告，或者法院终审裁定为医疗责任并且不准上诉；</w:t>
            </w:r>
          </w:p>
          <w:p>
            <w:pPr>
              <w:pStyle w:val="TableParagraph"/>
              <w:spacing w:line="278" w:lineRule="exact"/>
              <w:ind w:left="106"/>
              <w:rPr>
                <w:sz w:val="21"/>
              </w:rPr>
            </w:pPr>
            <w:r>
              <w:rPr>
                <w:w w:val="95"/>
                <w:sz w:val="21"/>
              </w:rPr>
              <w:t>（</w:t>
            </w:r>
            <w:r>
              <w:rPr>
                <w:rFonts w:ascii="Times New Roman" w:eastAsia="Times New Roman"/>
                <w:w w:val="95"/>
                <w:sz w:val="21"/>
              </w:rPr>
              <w:t>3</w:t>
            </w:r>
            <w:r>
              <w:rPr>
                <w:w w:val="95"/>
                <w:sz w:val="21"/>
              </w:rPr>
              <w:t>）受感染的被保险人不是血友病患者。</w:t>
            </w:r>
          </w:p>
          <w:p>
            <w:pPr>
              <w:pStyle w:val="TableParagraph"/>
              <w:spacing w:line="225" w:lineRule="auto" w:before="6"/>
              <w:ind w:left="106" w:right="112"/>
              <w:jc w:val="both"/>
              <w:rPr>
                <w:sz w:val="21"/>
              </w:rPr>
            </w:pPr>
            <w:r>
              <w:rPr>
                <w:sz w:val="21"/>
              </w:rPr>
              <w:t>在任何治愈艾滋病（</w:t>
            </w:r>
            <w:r>
              <w:rPr>
                <w:rFonts w:ascii="Times New Roman" w:eastAsia="Times New Roman"/>
                <w:sz w:val="21"/>
              </w:rPr>
              <w:t>AIDS</w:t>
            </w:r>
            <w:r>
              <w:rPr>
                <w:sz w:val="21"/>
              </w:rPr>
              <w:t>）</w:t>
            </w:r>
            <w:r>
              <w:rPr>
                <w:spacing w:val="-6"/>
                <w:sz w:val="21"/>
              </w:rPr>
              <w:t>或阻止 </w:t>
            </w:r>
            <w:r>
              <w:rPr>
                <w:rFonts w:ascii="Times New Roman" w:eastAsia="Times New Roman"/>
                <w:sz w:val="21"/>
              </w:rPr>
              <w:t>HIV </w:t>
            </w:r>
            <w:r>
              <w:rPr>
                <w:sz w:val="21"/>
              </w:rPr>
              <w:t>病毒作用的疗法被发现以</w:t>
            </w:r>
            <w:r>
              <w:rPr>
                <w:spacing w:val="-7"/>
                <w:sz w:val="21"/>
              </w:rPr>
              <w:t>后，或能防止 </w:t>
            </w:r>
            <w:r>
              <w:rPr>
                <w:rFonts w:ascii="Times New Roman" w:eastAsia="Times New Roman"/>
                <w:sz w:val="21"/>
              </w:rPr>
              <w:t>AIDS </w:t>
            </w:r>
            <w:r>
              <w:rPr>
                <w:sz w:val="21"/>
              </w:rPr>
              <w:t>发生的医疗方法被研究出来以后，本附加合同</w:t>
            </w:r>
            <w:r>
              <w:rPr>
                <w:w w:val="95"/>
                <w:sz w:val="21"/>
              </w:rPr>
              <w:t>将不再予以赔付。</w:t>
            </w:r>
          </w:p>
          <w:p>
            <w:pPr>
              <w:pStyle w:val="TableParagraph"/>
              <w:spacing w:line="266" w:lineRule="auto" w:before="20"/>
              <w:ind w:left="106" w:right="113"/>
              <w:jc w:val="both"/>
              <w:rPr>
                <w:sz w:val="21"/>
              </w:rPr>
            </w:pPr>
            <w:r>
              <w:rPr>
                <w:sz w:val="21"/>
              </w:rPr>
              <w:t>任何因其他传播方式（</w:t>
            </w:r>
            <w:r>
              <w:rPr>
                <w:spacing w:val="-1"/>
                <w:sz w:val="21"/>
              </w:rPr>
              <w:t>包括：性传播或静脉注射毒品</w:t>
            </w:r>
            <w:r>
              <w:rPr>
                <w:spacing w:val="-8"/>
                <w:sz w:val="21"/>
              </w:rPr>
              <w:t>）</w:t>
            </w:r>
            <w:r>
              <w:rPr>
                <w:spacing w:val="-19"/>
                <w:sz w:val="21"/>
              </w:rPr>
              <w:t>导致的 </w:t>
            </w:r>
            <w:r>
              <w:rPr>
                <w:rFonts w:ascii="Times New Roman" w:eastAsia="Times New Roman"/>
                <w:sz w:val="21"/>
              </w:rPr>
              <w:t>HIV </w:t>
            </w:r>
            <w:r>
              <w:rPr>
                <w:spacing w:val="-1"/>
                <w:w w:val="95"/>
                <w:sz w:val="21"/>
              </w:rPr>
              <w:t>感染不在本附加合同保障范围内。保险公司必须拥有获得使用被保 </w:t>
            </w:r>
            <w:r>
              <w:rPr>
                <w:spacing w:val="3"/>
                <w:sz w:val="21"/>
              </w:rPr>
              <w:t>险人的所有血液样本的权利和能够对这些样本进行独立检验的权</w:t>
            </w:r>
            <w:r>
              <w:rPr>
                <w:spacing w:val="3"/>
                <w:w w:val="95"/>
                <w:sz w:val="21"/>
              </w:rPr>
              <w:t>利。</w:t>
            </w:r>
          </w:p>
        </w:tc>
      </w:tr>
      <w:tr>
        <w:trPr>
          <w:trHeight w:val="1139" w:hRule="atLeast"/>
        </w:trPr>
        <w:tc>
          <w:tcPr>
            <w:tcW w:w="772" w:type="dxa"/>
          </w:tcPr>
          <w:p>
            <w:pPr>
              <w:pStyle w:val="TableParagraph"/>
              <w:spacing w:before="165"/>
              <w:ind w:left="115"/>
              <w:rPr>
                <w:rFonts w:ascii="Times New Roman"/>
                <w:sz w:val="21"/>
              </w:rPr>
            </w:pPr>
            <w:r>
              <w:rPr>
                <w:rFonts w:ascii="Times New Roman"/>
                <w:sz w:val="21"/>
              </w:rPr>
              <w:t>7.35</w:t>
            </w:r>
          </w:p>
        </w:tc>
        <w:tc>
          <w:tcPr>
            <w:tcW w:w="2198" w:type="dxa"/>
          </w:tcPr>
          <w:p>
            <w:pPr>
              <w:pStyle w:val="TableParagraph"/>
              <w:spacing w:before="159"/>
              <w:ind w:left="294"/>
              <w:rPr>
                <w:b/>
                <w:sz w:val="21"/>
              </w:rPr>
            </w:pPr>
            <w:r>
              <w:rPr>
                <w:b/>
                <w:w w:val="95"/>
                <w:sz w:val="21"/>
              </w:rPr>
              <w:t>严重克隆病</w:t>
            </w:r>
          </w:p>
        </w:tc>
        <w:tc>
          <w:tcPr>
            <w:tcW w:w="6301" w:type="dxa"/>
          </w:tcPr>
          <w:p>
            <w:pPr>
              <w:pStyle w:val="TableParagraph"/>
              <w:spacing w:line="273" w:lineRule="auto" w:before="159"/>
              <w:ind w:left="106" w:right="116"/>
              <w:jc w:val="both"/>
              <w:rPr>
                <w:sz w:val="21"/>
              </w:rPr>
            </w:pPr>
            <w:r>
              <w:rPr>
                <w:spacing w:val="-1"/>
                <w:w w:val="95"/>
                <w:sz w:val="21"/>
              </w:rPr>
              <w:t>克隆病是一种慢性肉芽肿性肠炎，具有特征性的克隆病病理组织学 变化。诊断必须由病理检查结果证实。被保险人所患的克隆病必须 已经造成瘘管形成并伴有肠梗阻或肠穿孔。</w:t>
            </w:r>
          </w:p>
        </w:tc>
      </w:tr>
      <w:tr>
        <w:trPr>
          <w:trHeight w:val="413" w:hRule="atLeast"/>
        </w:trPr>
        <w:tc>
          <w:tcPr>
            <w:tcW w:w="772" w:type="dxa"/>
            <w:tcBorders>
              <w:bottom w:val="single" w:sz="4" w:space="0" w:color="000000"/>
            </w:tcBorders>
          </w:tcPr>
          <w:p>
            <w:pPr>
              <w:pStyle w:val="TableParagraph"/>
              <w:spacing w:before="66"/>
              <w:ind w:left="115"/>
              <w:rPr>
                <w:rFonts w:ascii="Times New Roman"/>
                <w:b/>
                <w:sz w:val="23"/>
              </w:rPr>
            </w:pPr>
            <w:r>
              <w:rPr>
                <w:rFonts w:ascii="Times New Roman"/>
                <w:b/>
                <w:w w:val="103"/>
                <w:sz w:val="23"/>
              </w:rPr>
              <w:t>8</w:t>
            </w:r>
          </w:p>
        </w:tc>
        <w:tc>
          <w:tcPr>
            <w:tcW w:w="2198" w:type="dxa"/>
            <w:tcBorders>
              <w:bottom w:val="single" w:sz="4" w:space="0" w:color="000000"/>
            </w:tcBorders>
          </w:tcPr>
          <w:p>
            <w:pPr>
              <w:pStyle w:val="TableParagraph"/>
              <w:spacing w:before="5"/>
              <w:ind w:left="294"/>
              <w:rPr>
                <w:b/>
                <w:sz w:val="23"/>
              </w:rPr>
            </w:pPr>
            <w:r>
              <w:rPr>
                <w:b/>
                <w:sz w:val="23"/>
              </w:rPr>
              <w:t>释义</w:t>
            </w:r>
          </w:p>
        </w:tc>
        <w:tc>
          <w:tcPr>
            <w:tcW w:w="6301" w:type="dxa"/>
            <w:tcBorders>
              <w:bottom w:val="single" w:sz="4" w:space="0" w:color="000000"/>
            </w:tcBorders>
          </w:tcPr>
          <w:p>
            <w:pPr>
              <w:pStyle w:val="TableParagraph"/>
              <w:ind w:left="0"/>
              <w:rPr>
                <w:rFonts w:ascii="Times New Roman"/>
                <w:sz w:val="20"/>
              </w:rPr>
            </w:pPr>
          </w:p>
        </w:tc>
      </w:tr>
      <w:tr>
        <w:trPr>
          <w:trHeight w:val="935" w:hRule="atLeast"/>
        </w:trPr>
        <w:tc>
          <w:tcPr>
            <w:tcW w:w="772" w:type="dxa"/>
            <w:tcBorders>
              <w:top w:val="single" w:sz="4" w:space="0" w:color="000000"/>
            </w:tcBorders>
          </w:tcPr>
          <w:p>
            <w:pPr>
              <w:pStyle w:val="TableParagraph"/>
              <w:spacing w:before="28"/>
              <w:ind w:left="115"/>
              <w:rPr>
                <w:rFonts w:ascii="Times New Roman"/>
                <w:sz w:val="21"/>
              </w:rPr>
            </w:pPr>
            <w:r>
              <w:rPr>
                <w:rFonts w:ascii="Times New Roman"/>
                <w:sz w:val="21"/>
              </w:rPr>
              <w:t>8.1</w:t>
            </w:r>
          </w:p>
        </w:tc>
        <w:tc>
          <w:tcPr>
            <w:tcW w:w="2198" w:type="dxa"/>
            <w:tcBorders>
              <w:top w:val="single" w:sz="4" w:space="0" w:color="000000"/>
            </w:tcBorders>
          </w:tcPr>
          <w:p>
            <w:pPr>
              <w:pStyle w:val="TableParagraph"/>
              <w:spacing w:line="254" w:lineRule="exact"/>
              <w:ind w:left="294"/>
              <w:rPr>
                <w:b/>
                <w:sz w:val="21"/>
              </w:rPr>
            </w:pPr>
            <w:r>
              <w:rPr>
                <w:b/>
                <w:w w:val="95"/>
                <w:sz w:val="21"/>
              </w:rPr>
              <w:t>发病</w:t>
            </w:r>
          </w:p>
        </w:tc>
        <w:tc>
          <w:tcPr>
            <w:tcW w:w="6301" w:type="dxa"/>
            <w:tcBorders>
              <w:top w:val="single" w:sz="4" w:space="0" w:color="000000"/>
            </w:tcBorders>
          </w:tcPr>
          <w:p>
            <w:pPr>
              <w:pStyle w:val="TableParagraph"/>
              <w:spacing w:line="239" w:lineRule="exact"/>
              <w:ind w:left="106"/>
              <w:rPr>
                <w:sz w:val="21"/>
              </w:rPr>
            </w:pPr>
            <w:r>
              <w:rPr>
                <w:sz w:val="21"/>
              </w:rPr>
              <w:t>发病是指出现第 </w:t>
            </w:r>
            <w:r>
              <w:rPr>
                <w:rFonts w:ascii="Times New Roman" w:eastAsia="Times New Roman"/>
                <w:sz w:val="21"/>
              </w:rPr>
              <w:t>7 </w:t>
            </w:r>
            <w:r>
              <w:rPr>
                <w:sz w:val="21"/>
              </w:rPr>
              <w:t>条约定的疾病前兆或异常身体状况，该疾病前兆</w:t>
            </w:r>
          </w:p>
          <w:p>
            <w:pPr>
              <w:pStyle w:val="TableParagraph"/>
              <w:ind w:left="106" w:right="123"/>
              <w:rPr>
                <w:sz w:val="21"/>
              </w:rPr>
            </w:pPr>
            <w:r>
              <w:rPr>
                <w:sz w:val="21"/>
              </w:rPr>
              <w:t>或异常身体状况按常识足以引起或应当引起被保险人或被保险人</w:t>
            </w:r>
            <w:r>
              <w:rPr>
                <w:w w:val="95"/>
                <w:sz w:val="21"/>
              </w:rPr>
              <w:t>的监护人注意并寻求检查、诊断、治疗或护理。</w:t>
            </w:r>
          </w:p>
        </w:tc>
      </w:tr>
      <w:tr>
        <w:trPr>
          <w:trHeight w:val="828" w:hRule="atLeast"/>
        </w:trPr>
        <w:tc>
          <w:tcPr>
            <w:tcW w:w="772" w:type="dxa"/>
          </w:tcPr>
          <w:p>
            <w:pPr>
              <w:pStyle w:val="TableParagraph"/>
              <w:spacing w:before="151"/>
              <w:ind w:left="115"/>
              <w:rPr>
                <w:rFonts w:ascii="Times New Roman"/>
                <w:sz w:val="21"/>
              </w:rPr>
            </w:pPr>
            <w:r>
              <w:rPr>
                <w:rFonts w:ascii="Times New Roman"/>
                <w:sz w:val="21"/>
              </w:rPr>
              <w:t>8.2</w:t>
            </w:r>
          </w:p>
        </w:tc>
        <w:tc>
          <w:tcPr>
            <w:tcW w:w="2198" w:type="dxa"/>
          </w:tcPr>
          <w:p>
            <w:pPr>
              <w:pStyle w:val="TableParagraph"/>
              <w:spacing w:before="102"/>
              <w:ind w:left="294"/>
              <w:rPr>
                <w:b/>
                <w:sz w:val="21"/>
              </w:rPr>
            </w:pPr>
            <w:r>
              <w:rPr>
                <w:b/>
                <w:w w:val="95"/>
                <w:sz w:val="21"/>
              </w:rPr>
              <w:t>意外伤害</w:t>
            </w:r>
          </w:p>
        </w:tc>
        <w:tc>
          <w:tcPr>
            <w:tcW w:w="6301" w:type="dxa"/>
          </w:tcPr>
          <w:p>
            <w:pPr>
              <w:pStyle w:val="TableParagraph"/>
              <w:spacing w:before="80"/>
              <w:ind w:left="106" w:right="112"/>
              <w:rPr>
                <w:sz w:val="21"/>
              </w:rPr>
            </w:pPr>
            <w:r>
              <w:rPr>
                <w:w w:val="95"/>
                <w:sz w:val="21"/>
              </w:rPr>
              <w:t>指遭受外来的、突发的、非本意的、非疾病使身体受到伤害的客观 事件。</w:t>
            </w:r>
          </w:p>
        </w:tc>
      </w:tr>
      <w:tr>
        <w:trPr>
          <w:trHeight w:val="925" w:hRule="atLeast"/>
        </w:trPr>
        <w:tc>
          <w:tcPr>
            <w:tcW w:w="772" w:type="dxa"/>
          </w:tcPr>
          <w:p>
            <w:pPr>
              <w:pStyle w:val="TableParagraph"/>
              <w:spacing w:before="180"/>
              <w:ind w:left="115"/>
              <w:rPr>
                <w:rFonts w:ascii="Times New Roman"/>
                <w:sz w:val="21"/>
              </w:rPr>
            </w:pPr>
            <w:r>
              <w:rPr>
                <w:rFonts w:ascii="Times New Roman"/>
                <w:sz w:val="21"/>
              </w:rPr>
              <w:t>8.3</w:t>
            </w:r>
          </w:p>
        </w:tc>
        <w:tc>
          <w:tcPr>
            <w:tcW w:w="2198" w:type="dxa"/>
          </w:tcPr>
          <w:p>
            <w:pPr>
              <w:pStyle w:val="TableParagraph"/>
              <w:spacing w:before="131"/>
              <w:ind w:left="294"/>
              <w:rPr>
                <w:b/>
                <w:sz w:val="21"/>
              </w:rPr>
            </w:pPr>
            <w:r>
              <w:rPr>
                <w:b/>
                <w:w w:val="95"/>
                <w:sz w:val="21"/>
              </w:rPr>
              <w:t>现金价值</w:t>
            </w:r>
          </w:p>
        </w:tc>
        <w:tc>
          <w:tcPr>
            <w:tcW w:w="6301" w:type="dxa"/>
          </w:tcPr>
          <w:p>
            <w:pPr>
              <w:pStyle w:val="TableParagraph"/>
              <w:spacing w:line="271" w:lineRule="auto" w:before="131"/>
              <w:ind w:left="106" w:right="116"/>
              <w:rPr>
                <w:sz w:val="21"/>
              </w:rPr>
            </w:pPr>
            <w:r>
              <w:rPr>
                <w:w w:val="95"/>
                <w:sz w:val="21"/>
              </w:rPr>
              <w:t>指保险单所具有的价值，通常体现为解除合同时，根据精算原理计 算的，由我们退还的那部分金额。</w:t>
            </w:r>
          </w:p>
        </w:tc>
      </w:tr>
      <w:tr>
        <w:trPr>
          <w:trHeight w:val="1047" w:hRule="atLeast"/>
        </w:trPr>
        <w:tc>
          <w:tcPr>
            <w:tcW w:w="772" w:type="dxa"/>
          </w:tcPr>
          <w:p>
            <w:pPr>
              <w:pStyle w:val="TableParagraph"/>
              <w:spacing w:before="191"/>
              <w:ind w:left="115"/>
              <w:rPr>
                <w:rFonts w:ascii="Times New Roman"/>
                <w:sz w:val="21"/>
              </w:rPr>
            </w:pPr>
            <w:r>
              <w:rPr>
                <w:rFonts w:ascii="Times New Roman"/>
                <w:sz w:val="21"/>
              </w:rPr>
              <w:t>8.4</w:t>
            </w:r>
          </w:p>
        </w:tc>
        <w:tc>
          <w:tcPr>
            <w:tcW w:w="2198" w:type="dxa"/>
          </w:tcPr>
          <w:p>
            <w:pPr>
              <w:pStyle w:val="TableParagraph"/>
              <w:spacing w:line="271" w:lineRule="auto" w:before="141"/>
              <w:ind w:left="294" w:right="217"/>
              <w:rPr>
                <w:b/>
                <w:sz w:val="21"/>
              </w:rPr>
            </w:pPr>
            <w:r>
              <w:rPr>
                <w:b/>
                <w:w w:val="95"/>
                <w:sz w:val="21"/>
              </w:rPr>
              <w:t>感染艾滋病病毒或患艾滋病</w:t>
            </w:r>
          </w:p>
        </w:tc>
        <w:tc>
          <w:tcPr>
            <w:tcW w:w="6301" w:type="dxa"/>
          </w:tcPr>
          <w:p>
            <w:pPr>
              <w:pStyle w:val="TableParagraph"/>
              <w:spacing w:line="256" w:lineRule="auto" w:before="141"/>
              <w:ind w:left="106" w:right="39"/>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60" w:lineRule="exact" w:before="9"/>
              <w:ind w:left="106"/>
              <w:rPr>
                <w:sz w:val="21"/>
              </w:rPr>
            </w:pPr>
            <w:r>
              <w:rPr>
                <w:w w:val="95"/>
                <w:sz w:val="21"/>
              </w:rPr>
              <w:t>在人体血液或其它样本中检测到艾滋病病毒或其抗体呈阳性，没有</w:t>
            </w:r>
          </w:p>
        </w:tc>
      </w:tr>
    </w:tbl>
    <w:p>
      <w:pPr>
        <w:spacing w:after="0" w:line="260" w:lineRule="exact"/>
        <w:rPr>
          <w:sz w:val="21"/>
        </w:rPr>
        <w:sectPr>
          <w:pgSz w:w="11910" w:h="16850"/>
          <w:pgMar w:header="0" w:footer="773" w:top="1460" w:bottom="960" w:left="1500" w:right="9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2197"/>
        <w:gridCol w:w="6302"/>
      </w:tblGrid>
      <w:tr>
        <w:trPr>
          <w:trHeight w:val="695" w:hRule="atLeast"/>
        </w:trPr>
        <w:tc>
          <w:tcPr>
            <w:tcW w:w="775" w:type="dxa"/>
          </w:tcPr>
          <w:p>
            <w:pPr>
              <w:pStyle w:val="TableParagraph"/>
              <w:ind w:left="0"/>
              <w:rPr>
                <w:rFonts w:ascii="Times New Roman"/>
                <w:sz w:val="20"/>
              </w:rPr>
            </w:pPr>
          </w:p>
        </w:tc>
        <w:tc>
          <w:tcPr>
            <w:tcW w:w="2197" w:type="dxa"/>
          </w:tcPr>
          <w:p>
            <w:pPr>
              <w:pStyle w:val="TableParagraph"/>
              <w:ind w:left="0"/>
              <w:rPr>
                <w:rFonts w:ascii="Times New Roman"/>
                <w:sz w:val="20"/>
              </w:rPr>
            </w:pPr>
          </w:p>
        </w:tc>
        <w:tc>
          <w:tcPr>
            <w:tcW w:w="6302" w:type="dxa"/>
          </w:tcPr>
          <w:p>
            <w:pPr>
              <w:pStyle w:val="TableParagraph"/>
              <w:spacing w:line="209" w:lineRule="exact"/>
              <w:ind w:left="104"/>
              <w:rPr>
                <w:sz w:val="21"/>
              </w:rPr>
            </w:pPr>
            <w:r>
              <w:rPr>
                <w:w w:val="95"/>
                <w:sz w:val="21"/>
              </w:rPr>
              <w:t>出现临床症状或体征的，为感染艾滋病病毒；如果同时出现了明显</w:t>
            </w:r>
          </w:p>
          <w:p>
            <w:pPr>
              <w:pStyle w:val="TableParagraph"/>
              <w:spacing w:before="42"/>
              <w:ind w:left="104"/>
              <w:rPr>
                <w:sz w:val="21"/>
              </w:rPr>
            </w:pPr>
            <w:r>
              <w:rPr>
                <w:w w:val="95"/>
                <w:sz w:val="21"/>
              </w:rPr>
              <w:t>临床症状或体征的，为患艾滋病。</w:t>
            </w:r>
          </w:p>
        </w:tc>
      </w:tr>
      <w:tr>
        <w:trPr>
          <w:trHeight w:val="864" w:hRule="atLeast"/>
        </w:trPr>
        <w:tc>
          <w:tcPr>
            <w:tcW w:w="775" w:type="dxa"/>
          </w:tcPr>
          <w:p>
            <w:pPr>
              <w:pStyle w:val="TableParagraph"/>
              <w:spacing w:before="159"/>
              <w:ind w:left="115"/>
              <w:rPr>
                <w:rFonts w:ascii="Times New Roman"/>
                <w:sz w:val="21"/>
              </w:rPr>
            </w:pPr>
            <w:r>
              <w:rPr>
                <w:rFonts w:ascii="Times New Roman"/>
                <w:sz w:val="21"/>
              </w:rPr>
              <w:t>8.5</w:t>
            </w:r>
          </w:p>
        </w:tc>
        <w:tc>
          <w:tcPr>
            <w:tcW w:w="2197" w:type="dxa"/>
          </w:tcPr>
          <w:p>
            <w:pPr>
              <w:pStyle w:val="TableParagraph"/>
              <w:spacing w:before="110"/>
              <w:ind w:left="291"/>
              <w:rPr>
                <w:b/>
                <w:sz w:val="21"/>
              </w:rPr>
            </w:pPr>
            <w:r>
              <w:rPr>
                <w:b/>
                <w:w w:val="95"/>
                <w:sz w:val="21"/>
              </w:rPr>
              <w:t>遗传性疾病</w:t>
            </w:r>
          </w:p>
        </w:tc>
        <w:tc>
          <w:tcPr>
            <w:tcW w:w="6302" w:type="dxa"/>
          </w:tcPr>
          <w:p>
            <w:pPr>
              <w:pStyle w:val="TableParagraph"/>
              <w:spacing w:line="271" w:lineRule="auto" w:before="110"/>
              <w:ind w:left="104" w:right="119"/>
              <w:rPr>
                <w:sz w:val="21"/>
              </w:rPr>
            </w:pPr>
            <w:r>
              <w:rPr>
                <w:w w:val="95"/>
                <w:sz w:val="21"/>
              </w:rPr>
              <w:t>指生殖细胞或受精卵的遗传物质（染色体和基因）发生突变或畸变 所引起的疾病，通常具有由亲代传至后代的垂直传递的特征。</w:t>
            </w:r>
          </w:p>
        </w:tc>
      </w:tr>
      <w:tr>
        <w:trPr>
          <w:trHeight w:val="1214" w:hRule="atLeast"/>
        </w:trPr>
        <w:tc>
          <w:tcPr>
            <w:tcW w:w="775" w:type="dxa"/>
          </w:tcPr>
          <w:p>
            <w:pPr>
              <w:pStyle w:val="TableParagraph"/>
              <w:spacing w:before="159"/>
              <w:ind w:left="115"/>
              <w:rPr>
                <w:rFonts w:ascii="Times New Roman"/>
                <w:sz w:val="21"/>
              </w:rPr>
            </w:pPr>
            <w:r>
              <w:rPr>
                <w:rFonts w:ascii="Times New Roman"/>
                <w:sz w:val="21"/>
              </w:rPr>
              <w:t>8.6</w:t>
            </w:r>
          </w:p>
        </w:tc>
        <w:tc>
          <w:tcPr>
            <w:tcW w:w="2197" w:type="dxa"/>
          </w:tcPr>
          <w:p>
            <w:pPr>
              <w:pStyle w:val="TableParagraph"/>
              <w:spacing w:line="271" w:lineRule="auto" w:before="110"/>
              <w:ind w:left="291" w:right="63"/>
              <w:rPr>
                <w:b/>
                <w:sz w:val="21"/>
              </w:rPr>
            </w:pPr>
            <w:r>
              <w:rPr>
                <w:b/>
                <w:w w:val="95"/>
                <w:sz w:val="21"/>
              </w:rPr>
              <w:t>先天性畸形、变形或染色体异常</w:t>
            </w:r>
          </w:p>
        </w:tc>
        <w:tc>
          <w:tcPr>
            <w:tcW w:w="6302" w:type="dxa"/>
          </w:tcPr>
          <w:p>
            <w:pPr>
              <w:pStyle w:val="TableParagraph"/>
              <w:spacing w:line="273" w:lineRule="auto" w:before="110"/>
              <w:ind w:left="104" w:right="8"/>
              <w:rPr>
                <w:sz w:val="21"/>
              </w:rPr>
            </w:pPr>
            <w:r>
              <w:rPr>
                <w:spacing w:val="-6"/>
                <w:w w:val="95"/>
                <w:sz w:val="21"/>
              </w:rPr>
              <w:t>指被保险人出生时就具有的畸形、变形或染色体异常。先天性畸形、 </w:t>
            </w:r>
            <w:r>
              <w:rPr>
                <w:spacing w:val="-6"/>
                <w:sz w:val="21"/>
              </w:rPr>
              <w:t>变形和染色体异常依照世界卫生组织《疾病和有关健康问题的国际</w:t>
            </w:r>
            <w:r>
              <w:rPr>
                <w:spacing w:val="-27"/>
                <w:w w:val="95"/>
                <w:sz w:val="21"/>
              </w:rPr>
              <w:t>统计分类》</w:t>
            </w:r>
            <w:r>
              <w:rPr>
                <w:w w:val="95"/>
                <w:sz w:val="21"/>
              </w:rPr>
              <w:t>（</w:t>
            </w:r>
            <w:r>
              <w:rPr>
                <w:rFonts w:ascii="Times New Roman" w:eastAsia="Times New Roman"/>
                <w:w w:val="95"/>
                <w:sz w:val="21"/>
              </w:rPr>
              <w:t>ICD-10</w:t>
            </w:r>
            <w:r>
              <w:rPr>
                <w:w w:val="95"/>
                <w:sz w:val="21"/>
              </w:rPr>
              <w:t>）确定。</w:t>
            </w:r>
          </w:p>
        </w:tc>
      </w:tr>
      <w:tr>
        <w:trPr>
          <w:trHeight w:val="828" w:hRule="atLeast"/>
        </w:trPr>
        <w:tc>
          <w:tcPr>
            <w:tcW w:w="775" w:type="dxa"/>
          </w:tcPr>
          <w:p>
            <w:pPr>
              <w:pStyle w:val="TableParagraph"/>
              <w:spacing w:before="191"/>
              <w:ind w:left="115"/>
              <w:rPr>
                <w:rFonts w:ascii="Times New Roman"/>
                <w:sz w:val="21"/>
              </w:rPr>
            </w:pPr>
            <w:r>
              <w:rPr>
                <w:rFonts w:ascii="Times New Roman"/>
                <w:sz w:val="21"/>
              </w:rPr>
              <w:t>8.7</w:t>
            </w:r>
          </w:p>
        </w:tc>
        <w:tc>
          <w:tcPr>
            <w:tcW w:w="2197" w:type="dxa"/>
          </w:tcPr>
          <w:p>
            <w:pPr>
              <w:pStyle w:val="TableParagraph"/>
              <w:spacing w:before="142"/>
              <w:ind w:left="291"/>
              <w:rPr>
                <w:b/>
                <w:sz w:val="21"/>
              </w:rPr>
            </w:pPr>
            <w:r>
              <w:rPr>
                <w:b/>
                <w:w w:val="95"/>
                <w:sz w:val="21"/>
              </w:rPr>
              <w:t>肢体机能完全丧失</w:t>
            </w:r>
          </w:p>
        </w:tc>
        <w:tc>
          <w:tcPr>
            <w:tcW w:w="6302" w:type="dxa"/>
          </w:tcPr>
          <w:p>
            <w:pPr>
              <w:pStyle w:val="TableParagraph"/>
              <w:spacing w:before="121"/>
              <w:ind w:left="104" w:right="119"/>
              <w:rPr>
                <w:sz w:val="21"/>
              </w:rPr>
            </w:pPr>
            <w:r>
              <w:rPr>
                <w:w w:val="95"/>
                <w:sz w:val="21"/>
              </w:rPr>
              <w:t>指肢体的三大关节中的两大关节僵硬，或不能随意识活动。肢体是 指包括肩关节的整个上肢或包括髋关节的整个下肢。</w:t>
            </w:r>
          </w:p>
        </w:tc>
      </w:tr>
      <w:tr>
        <w:trPr>
          <w:trHeight w:val="2106" w:hRule="atLeast"/>
        </w:trPr>
        <w:tc>
          <w:tcPr>
            <w:tcW w:w="775" w:type="dxa"/>
          </w:tcPr>
          <w:p>
            <w:pPr>
              <w:pStyle w:val="TableParagraph"/>
              <w:spacing w:before="149"/>
              <w:ind w:left="115"/>
              <w:rPr>
                <w:rFonts w:ascii="Times New Roman"/>
                <w:sz w:val="21"/>
              </w:rPr>
            </w:pPr>
            <w:r>
              <w:rPr>
                <w:rFonts w:ascii="Times New Roman"/>
                <w:sz w:val="21"/>
              </w:rPr>
              <w:t>8.8</w:t>
            </w:r>
          </w:p>
        </w:tc>
        <w:tc>
          <w:tcPr>
            <w:tcW w:w="2197" w:type="dxa"/>
          </w:tcPr>
          <w:p>
            <w:pPr>
              <w:pStyle w:val="TableParagraph"/>
              <w:spacing w:line="276" w:lineRule="auto" w:before="99"/>
              <w:ind w:left="291" w:right="219"/>
              <w:rPr>
                <w:b/>
                <w:sz w:val="21"/>
              </w:rPr>
            </w:pPr>
            <w:r>
              <w:rPr>
                <w:b/>
                <w:w w:val="95"/>
                <w:sz w:val="21"/>
              </w:rPr>
              <w:t>语言能力或咀嚼吞咽能力完全丧失</w:t>
            </w:r>
          </w:p>
        </w:tc>
        <w:tc>
          <w:tcPr>
            <w:tcW w:w="6302" w:type="dxa"/>
          </w:tcPr>
          <w:p>
            <w:pPr>
              <w:pStyle w:val="TableParagraph"/>
              <w:spacing w:line="273" w:lineRule="auto" w:before="99"/>
              <w:ind w:left="104" w:right="112"/>
              <w:jc w:val="both"/>
              <w:rPr>
                <w:sz w:val="21"/>
              </w:rPr>
            </w:pPr>
            <w:r>
              <w:rPr>
                <w:w w:val="95"/>
                <w:sz w:val="21"/>
              </w:rPr>
              <w:t>语言能力完全丧失，指无法发出四种语音（包括口唇音、齿舌音、 口盖音和喉头音）中的任何三种、或声带全部切除，或因大脑语言 中枢受伤害而患失语症。</w:t>
            </w:r>
          </w:p>
          <w:p>
            <w:pPr>
              <w:pStyle w:val="TableParagraph"/>
              <w:spacing w:line="273" w:lineRule="auto" w:before="5"/>
              <w:ind w:left="104" w:right="118"/>
              <w:jc w:val="both"/>
              <w:rPr>
                <w:sz w:val="21"/>
              </w:rPr>
            </w:pPr>
            <w:r>
              <w:rPr>
                <w:spacing w:val="-1"/>
                <w:w w:val="95"/>
                <w:sz w:val="21"/>
              </w:rPr>
              <w:t>咀嚼吞咽能力完全丧失，指因牙齿以外的原因导致器质障碍或机能 障碍，以致不能作咀嚼吞咽运动，除流质食物外不能摄取或吞咽的 状态。</w:t>
            </w:r>
          </w:p>
        </w:tc>
      </w:tr>
      <w:tr>
        <w:trPr>
          <w:trHeight w:val="2463" w:hRule="atLeast"/>
        </w:trPr>
        <w:tc>
          <w:tcPr>
            <w:tcW w:w="775" w:type="dxa"/>
          </w:tcPr>
          <w:p>
            <w:pPr>
              <w:pStyle w:val="TableParagraph"/>
              <w:spacing w:before="159"/>
              <w:ind w:left="115"/>
              <w:rPr>
                <w:rFonts w:ascii="Times New Roman"/>
                <w:sz w:val="21"/>
              </w:rPr>
            </w:pPr>
            <w:r>
              <w:rPr>
                <w:rFonts w:ascii="Times New Roman"/>
                <w:sz w:val="21"/>
              </w:rPr>
              <w:t>8.9</w:t>
            </w:r>
          </w:p>
        </w:tc>
        <w:tc>
          <w:tcPr>
            <w:tcW w:w="2197" w:type="dxa"/>
          </w:tcPr>
          <w:p>
            <w:pPr>
              <w:pStyle w:val="TableParagraph"/>
              <w:spacing w:line="271" w:lineRule="auto" w:before="110"/>
              <w:ind w:left="291" w:right="219"/>
              <w:rPr>
                <w:b/>
                <w:sz w:val="21"/>
              </w:rPr>
            </w:pPr>
            <w:r>
              <w:rPr>
                <w:b/>
                <w:w w:val="95"/>
                <w:sz w:val="21"/>
              </w:rPr>
              <w:t>六项基本日常生活活动</w:t>
            </w:r>
          </w:p>
        </w:tc>
        <w:tc>
          <w:tcPr>
            <w:tcW w:w="6302" w:type="dxa"/>
          </w:tcPr>
          <w:p>
            <w:pPr>
              <w:pStyle w:val="TableParagraph"/>
              <w:spacing w:before="110"/>
              <w:ind w:left="104"/>
              <w:rPr>
                <w:sz w:val="21"/>
              </w:rPr>
            </w:pPr>
            <w:r>
              <w:rPr>
                <w:w w:val="95"/>
                <w:sz w:val="21"/>
              </w:rPr>
              <w:t>六项基本日常生活活动是指：</w:t>
            </w:r>
          </w:p>
          <w:p>
            <w:pPr>
              <w:pStyle w:val="TableParagraph"/>
              <w:spacing w:before="34"/>
              <w:ind w:left="104"/>
              <w:rPr>
                <w:sz w:val="21"/>
              </w:rPr>
            </w:pPr>
            <w:r>
              <w:rPr>
                <w:w w:val="95"/>
                <w:sz w:val="21"/>
              </w:rPr>
              <w:t>（</w:t>
            </w:r>
            <w:r>
              <w:rPr>
                <w:rFonts w:ascii="Times New Roman" w:eastAsia="Times New Roman"/>
                <w:w w:val="95"/>
                <w:sz w:val="21"/>
              </w:rPr>
              <w:t>1</w:t>
            </w:r>
            <w:r>
              <w:rPr>
                <w:w w:val="95"/>
                <w:sz w:val="21"/>
              </w:rPr>
              <w:t>）穿衣：自己能够穿衣及脱衣；</w:t>
            </w:r>
          </w:p>
          <w:p>
            <w:pPr>
              <w:pStyle w:val="TableParagraph"/>
              <w:spacing w:before="26"/>
              <w:ind w:left="104"/>
              <w:rPr>
                <w:sz w:val="21"/>
              </w:rPr>
            </w:pPr>
            <w:r>
              <w:rPr>
                <w:w w:val="95"/>
                <w:sz w:val="21"/>
              </w:rPr>
              <w:t>（</w:t>
            </w:r>
            <w:r>
              <w:rPr>
                <w:rFonts w:ascii="Times New Roman" w:eastAsia="Times New Roman"/>
                <w:w w:val="95"/>
                <w:sz w:val="21"/>
              </w:rPr>
              <w:t>2</w:t>
            </w:r>
            <w:r>
              <w:rPr>
                <w:w w:val="95"/>
                <w:sz w:val="21"/>
              </w:rPr>
              <w:t>）移动：自己从一个房间到另一个房间；</w:t>
            </w:r>
          </w:p>
          <w:p>
            <w:pPr>
              <w:pStyle w:val="TableParagraph"/>
              <w:spacing w:before="19"/>
              <w:ind w:left="104"/>
              <w:rPr>
                <w:sz w:val="21"/>
              </w:rPr>
            </w:pPr>
            <w:r>
              <w:rPr>
                <w:w w:val="95"/>
                <w:sz w:val="21"/>
              </w:rPr>
              <w:t>（</w:t>
            </w:r>
            <w:r>
              <w:rPr>
                <w:rFonts w:ascii="Times New Roman" w:eastAsia="Times New Roman"/>
                <w:w w:val="95"/>
                <w:sz w:val="21"/>
              </w:rPr>
              <w:t>3</w:t>
            </w:r>
            <w:r>
              <w:rPr>
                <w:w w:val="95"/>
                <w:sz w:val="21"/>
              </w:rPr>
              <w:t>）行动：自己上下床或上下轮椅；</w:t>
            </w:r>
          </w:p>
          <w:p>
            <w:pPr>
              <w:pStyle w:val="TableParagraph"/>
              <w:spacing w:before="19"/>
              <w:ind w:left="104"/>
              <w:rPr>
                <w:sz w:val="21"/>
              </w:rPr>
            </w:pPr>
            <w:r>
              <w:rPr>
                <w:w w:val="95"/>
                <w:sz w:val="21"/>
              </w:rPr>
              <w:t>（</w:t>
            </w:r>
            <w:r>
              <w:rPr>
                <w:rFonts w:ascii="Times New Roman" w:eastAsia="Times New Roman"/>
                <w:w w:val="95"/>
                <w:sz w:val="21"/>
              </w:rPr>
              <w:t>4</w:t>
            </w:r>
            <w:r>
              <w:rPr>
                <w:w w:val="95"/>
                <w:sz w:val="21"/>
              </w:rPr>
              <w:t>）如厕：自己控制进行大小便；</w:t>
            </w:r>
          </w:p>
          <w:p>
            <w:pPr>
              <w:pStyle w:val="TableParagraph"/>
              <w:spacing w:before="26"/>
              <w:ind w:left="104"/>
              <w:rPr>
                <w:sz w:val="21"/>
              </w:rPr>
            </w:pPr>
            <w:r>
              <w:rPr>
                <w:w w:val="95"/>
                <w:sz w:val="21"/>
              </w:rPr>
              <w:t>（</w:t>
            </w:r>
            <w:r>
              <w:rPr>
                <w:rFonts w:ascii="Times New Roman" w:eastAsia="Times New Roman"/>
                <w:w w:val="95"/>
                <w:sz w:val="21"/>
              </w:rPr>
              <w:t>5</w:t>
            </w:r>
            <w:r>
              <w:rPr>
                <w:w w:val="95"/>
                <w:sz w:val="21"/>
              </w:rPr>
              <w:t>）进食：自己从已准备好的碗或碟中取食物放入口中；</w:t>
            </w:r>
          </w:p>
          <w:p>
            <w:pPr>
              <w:pStyle w:val="TableParagraph"/>
              <w:spacing w:before="19"/>
              <w:ind w:left="104"/>
              <w:rPr>
                <w:sz w:val="21"/>
              </w:rPr>
            </w:pPr>
            <w:r>
              <w:rPr>
                <w:w w:val="95"/>
                <w:sz w:val="21"/>
              </w:rPr>
              <w:t>（</w:t>
            </w:r>
            <w:r>
              <w:rPr>
                <w:rFonts w:ascii="Times New Roman" w:eastAsia="Times New Roman"/>
                <w:w w:val="95"/>
                <w:sz w:val="21"/>
              </w:rPr>
              <w:t>6</w:t>
            </w:r>
            <w:r>
              <w:rPr>
                <w:w w:val="95"/>
                <w:sz w:val="21"/>
              </w:rPr>
              <w:t>）洗澡：自己进行淋浴或盆浴。</w:t>
            </w:r>
          </w:p>
        </w:tc>
      </w:tr>
      <w:tr>
        <w:trPr>
          <w:trHeight w:val="900" w:hRule="atLeast"/>
        </w:trPr>
        <w:tc>
          <w:tcPr>
            <w:tcW w:w="775" w:type="dxa"/>
          </w:tcPr>
          <w:p>
            <w:pPr>
              <w:pStyle w:val="TableParagraph"/>
              <w:spacing w:before="195"/>
              <w:ind w:left="115"/>
              <w:rPr>
                <w:rFonts w:ascii="Times New Roman"/>
                <w:sz w:val="21"/>
              </w:rPr>
            </w:pPr>
            <w:r>
              <w:rPr>
                <w:rFonts w:ascii="Times New Roman"/>
                <w:sz w:val="21"/>
              </w:rPr>
              <w:t>8.10</w:t>
            </w:r>
          </w:p>
        </w:tc>
        <w:tc>
          <w:tcPr>
            <w:tcW w:w="2197" w:type="dxa"/>
          </w:tcPr>
          <w:p>
            <w:pPr>
              <w:pStyle w:val="TableParagraph"/>
              <w:spacing w:before="124"/>
              <w:ind w:left="291"/>
              <w:rPr>
                <w:b/>
                <w:sz w:val="21"/>
              </w:rPr>
            </w:pPr>
            <w:r>
              <w:rPr>
                <w:b/>
                <w:w w:val="95"/>
                <w:sz w:val="21"/>
              </w:rPr>
              <w:t>永久不可逆</w:t>
            </w:r>
          </w:p>
        </w:tc>
        <w:tc>
          <w:tcPr>
            <w:tcW w:w="6302" w:type="dxa"/>
          </w:tcPr>
          <w:p>
            <w:pPr>
              <w:pStyle w:val="TableParagraph"/>
              <w:spacing w:line="256" w:lineRule="auto" w:before="146"/>
              <w:ind w:left="104" w:right="45"/>
              <w:rPr>
                <w:sz w:val="21"/>
              </w:rPr>
            </w:pPr>
            <w:r>
              <w:rPr>
                <w:sz w:val="21"/>
              </w:rPr>
              <w:t>指自疾病确诊或意外伤害发生之日起，经过积极治疗 </w:t>
            </w:r>
            <w:r>
              <w:rPr>
                <w:rFonts w:ascii="Times New Roman" w:eastAsia="Times New Roman"/>
                <w:sz w:val="21"/>
              </w:rPr>
              <w:t>180 </w:t>
            </w:r>
            <w:r>
              <w:rPr>
                <w:sz w:val="21"/>
              </w:rPr>
              <w:t>天后，仍</w:t>
            </w:r>
            <w:r>
              <w:rPr>
                <w:w w:val="95"/>
                <w:sz w:val="21"/>
              </w:rPr>
              <w:t>无法通过现有医疗手段恢复。</w:t>
            </w:r>
          </w:p>
        </w:tc>
      </w:tr>
      <w:tr>
        <w:trPr>
          <w:trHeight w:val="1185" w:hRule="atLeast"/>
        </w:trPr>
        <w:tc>
          <w:tcPr>
            <w:tcW w:w="775" w:type="dxa"/>
          </w:tcPr>
          <w:p>
            <w:pPr>
              <w:pStyle w:val="TableParagraph"/>
              <w:spacing w:before="159"/>
              <w:ind w:left="115"/>
              <w:rPr>
                <w:rFonts w:ascii="Times New Roman"/>
                <w:sz w:val="21"/>
              </w:rPr>
            </w:pPr>
            <w:r>
              <w:rPr>
                <w:rFonts w:ascii="Times New Roman"/>
                <w:sz w:val="21"/>
              </w:rPr>
              <w:t>8.11</w:t>
            </w:r>
          </w:p>
        </w:tc>
        <w:tc>
          <w:tcPr>
            <w:tcW w:w="2197" w:type="dxa"/>
          </w:tcPr>
          <w:p>
            <w:pPr>
              <w:pStyle w:val="TableParagraph"/>
              <w:spacing w:line="271" w:lineRule="auto" w:before="110"/>
              <w:ind w:left="291" w:right="218"/>
              <w:rPr>
                <w:b/>
                <w:sz w:val="21"/>
              </w:rPr>
            </w:pPr>
            <w:r>
              <w:rPr>
                <w:b/>
                <w:w w:val="95"/>
                <w:sz w:val="21"/>
              </w:rPr>
              <w:t>美国纽约心脏病学会心功能状态分级</w:t>
            </w:r>
          </w:p>
          <w:p>
            <w:pPr>
              <w:pStyle w:val="TableParagraph"/>
              <w:spacing w:before="14"/>
              <w:ind w:left="291"/>
              <w:rPr>
                <w:b/>
                <w:sz w:val="21"/>
              </w:rPr>
            </w:pPr>
            <w:r>
              <w:rPr>
                <w:rFonts w:ascii="Times New Roman" w:eastAsia="Times New Roman"/>
                <w:b/>
                <w:w w:val="95"/>
                <w:sz w:val="21"/>
              </w:rPr>
              <w:t>IV</w:t>
            </w:r>
            <w:r>
              <w:rPr>
                <w:b/>
                <w:w w:val="95"/>
                <w:sz w:val="21"/>
              </w:rPr>
              <w:t>级</w:t>
            </w:r>
          </w:p>
        </w:tc>
        <w:tc>
          <w:tcPr>
            <w:tcW w:w="6302" w:type="dxa"/>
          </w:tcPr>
          <w:p>
            <w:pPr>
              <w:pStyle w:val="TableParagraph"/>
              <w:spacing w:line="273" w:lineRule="auto" w:before="110"/>
              <w:ind w:left="104" w:right="119"/>
              <w:jc w:val="both"/>
              <w:rPr>
                <w:sz w:val="21"/>
              </w:rPr>
            </w:pPr>
            <w:r>
              <w:rPr>
                <w:spacing w:val="3"/>
                <w:sz w:val="21"/>
              </w:rPr>
              <w:t>心功能状态分级Ⅳ级是指被保险人不能无症状地进行任何体力活</w:t>
            </w:r>
            <w:r>
              <w:rPr>
                <w:w w:val="95"/>
                <w:sz w:val="21"/>
              </w:rPr>
              <w:t>动，休息时也会出现心力衰竭或心绞痛的症状，任何体力活动都会 加重病情。</w:t>
            </w:r>
          </w:p>
        </w:tc>
      </w:tr>
      <w:tr>
        <w:trPr>
          <w:trHeight w:val="1074" w:hRule="atLeast"/>
        </w:trPr>
        <w:tc>
          <w:tcPr>
            <w:tcW w:w="775" w:type="dxa"/>
          </w:tcPr>
          <w:p>
            <w:pPr>
              <w:pStyle w:val="TableParagraph"/>
              <w:spacing w:before="148"/>
              <w:ind w:left="115"/>
              <w:rPr>
                <w:rFonts w:ascii="Times New Roman"/>
                <w:sz w:val="21"/>
              </w:rPr>
            </w:pPr>
            <w:r>
              <w:rPr>
                <w:rFonts w:ascii="Times New Roman"/>
                <w:sz w:val="21"/>
              </w:rPr>
              <w:t>8.12</w:t>
            </w:r>
          </w:p>
        </w:tc>
        <w:tc>
          <w:tcPr>
            <w:tcW w:w="2197" w:type="dxa"/>
          </w:tcPr>
          <w:p>
            <w:pPr>
              <w:pStyle w:val="TableParagraph"/>
              <w:spacing w:before="99"/>
              <w:ind w:left="291"/>
              <w:rPr>
                <w:b/>
                <w:sz w:val="21"/>
              </w:rPr>
            </w:pPr>
            <w:r>
              <w:rPr>
                <w:b/>
                <w:w w:val="95"/>
                <w:sz w:val="21"/>
              </w:rPr>
              <w:t>医师</w:t>
            </w:r>
          </w:p>
        </w:tc>
        <w:tc>
          <w:tcPr>
            <w:tcW w:w="6302" w:type="dxa"/>
          </w:tcPr>
          <w:p>
            <w:pPr>
              <w:pStyle w:val="TableParagraph"/>
              <w:spacing w:line="273" w:lineRule="auto" w:before="99"/>
              <w:ind w:left="104" w:right="112"/>
              <w:jc w:val="both"/>
              <w:rPr>
                <w:sz w:val="21"/>
              </w:rPr>
            </w:pPr>
            <w:r>
              <w:rPr>
                <w:w w:val="95"/>
                <w:sz w:val="21"/>
              </w:rPr>
              <w:t>指在医院内行医并拥有处方权的医师，亦指在被保险人接受诊断、 医疗、处方或手术的地区内合法注册且有行医资格的医师。不包括 投保人、被保险人本人及其近亲属。</w:t>
            </w:r>
          </w:p>
        </w:tc>
      </w:tr>
      <w:tr>
        <w:trPr>
          <w:trHeight w:val="414" w:hRule="atLeast"/>
        </w:trPr>
        <w:tc>
          <w:tcPr>
            <w:tcW w:w="775" w:type="dxa"/>
            <w:tcBorders>
              <w:bottom w:val="single" w:sz="4" w:space="0" w:color="000000"/>
            </w:tcBorders>
          </w:tcPr>
          <w:p>
            <w:pPr>
              <w:pStyle w:val="TableParagraph"/>
              <w:spacing w:before="71"/>
              <w:ind w:left="115"/>
              <w:rPr>
                <w:rFonts w:ascii="Times New Roman"/>
                <w:b/>
                <w:sz w:val="23"/>
              </w:rPr>
            </w:pPr>
            <w:r>
              <w:rPr>
                <w:rFonts w:ascii="Times New Roman"/>
                <w:b/>
                <w:w w:val="103"/>
                <w:sz w:val="23"/>
              </w:rPr>
              <w:t>9</w:t>
            </w:r>
          </w:p>
        </w:tc>
        <w:tc>
          <w:tcPr>
            <w:tcW w:w="2197" w:type="dxa"/>
            <w:tcBorders>
              <w:bottom w:val="single" w:sz="4" w:space="0" w:color="000000"/>
            </w:tcBorders>
          </w:tcPr>
          <w:p>
            <w:pPr>
              <w:pStyle w:val="TableParagraph"/>
              <w:spacing w:before="10"/>
              <w:ind w:left="291"/>
              <w:rPr>
                <w:b/>
                <w:sz w:val="23"/>
              </w:rPr>
            </w:pPr>
            <w:r>
              <w:rPr>
                <w:b/>
                <w:sz w:val="23"/>
              </w:rPr>
              <w:t>特别说明</w:t>
            </w:r>
          </w:p>
        </w:tc>
        <w:tc>
          <w:tcPr>
            <w:tcW w:w="6302" w:type="dxa"/>
            <w:tcBorders>
              <w:bottom w:val="single" w:sz="4" w:space="0" w:color="000000"/>
            </w:tcBorders>
          </w:tcPr>
          <w:p>
            <w:pPr>
              <w:pStyle w:val="TableParagraph"/>
              <w:ind w:left="0"/>
              <w:rPr>
                <w:rFonts w:ascii="Times New Roman"/>
                <w:sz w:val="20"/>
              </w:rPr>
            </w:pPr>
          </w:p>
        </w:tc>
      </w:tr>
      <w:tr>
        <w:trPr>
          <w:trHeight w:val="1620" w:hRule="atLeast"/>
        </w:trPr>
        <w:tc>
          <w:tcPr>
            <w:tcW w:w="775" w:type="dxa"/>
            <w:tcBorders>
              <w:top w:val="single" w:sz="4" w:space="0" w:color="000000"/>
            </w:tcBorders>
          </w:tcPr>
          <w:p>
            <w:pPr>
              <w:pStyle w:val="TableParagraph"/>
              <w:ind w:left="0"/>
              <w:rPr>
                <w:rFonts w:ascii="Times New Roman"/>
                <w:sz w:val="20"/>
              </w:rPr>
            </w:pPr>
          </w:p>
        </w:tc>
        <w:tc>
          <w:tcPr>
            <w:tcW w:w="2197" w:type="dxa"/>
            <w:tcBorders>
              <w:top w:val="single" w:sz="4" w:space="0" w:color="000000"/>
            </w:tcBorders>
          </w:tcPr>
          <w:p>
            <w:pPr>
              <w:pStyle w:val="TableParagraph"/>
              <w:ind w:left="0"/>
              <w:rPr>
                <w:rFonts w:ascii="Times New Roman"/>
                <w:sz w:val="20"/>
              </w:rPr>
            </w:pPr>
          </w:p>
        </w:tc>
        <w:tc>
          <w:tcPr>
            <w:tcW w:w="6302" w:type="dxa"/>
            <w:tcBorders>
              <w:top w:val="single" w:sz="4" w:space="0" w:color="000000"/>
            </w:tcBorders>
          </w:tcPr>
          <w:p>
            <w:pPr>
              <w:pStyle w:val="TableParagraph"/>
              <w:spacing w:line="251" w:lineRule="exact"/>
              <w:ind w:left="104"/>
              <w:rPr>
                <w:sz w:val="21"/>
              </w:rPr>
            </w:pPr>
            <w:r>
              <w:rPr>
                <w:sz w:val="21"/>
              </w:rPr>
              <w:t>（</w:t>
            </w:r>
            <w:r>
              <w:rPr>
                <w:rFonts w:ascii="Times New Roman" w:eastAsia="Times New Roman"/>
                <w:sz w:val="21"/>
              </w:rPr>
              <w:t>1</w:t>
            </w:r>
            <w:r>
              <w:rPr>
                <w:sz w:val="21"/>
              </w:rPr>
              <w:t>）本附加合同第 </w:t>
            </w:r>
            <w:r>
              <w:rPr>
                <w:rFonts w:ascii="Times New Roman" w:eastAsia="Times New Roman"/>
                <w:sz w:val="21"/>
              </w:rPr>
              <w:t>7 </w:t>
            </w:r>
            <w:r>
              <w:rPr>
                <w:sz w:val="21"/>
              </w:rPr>
              <w:t>条 </w:t>
            </w:r>
            <w:r>
              <w:rPr>
                <w:rFonts w:ascii="Times New Roman" w:eastAsia="Times New Roman"/>
                <w:sz w:val="21"/>
              </w:rPr>
              <w:t>7.1 </w:t>
            </w:r>
            <w:r>
              <w:rPr>
                <w:sz w:val="21"/>
              </w:rPr>
              <w:t>至 </w:t>
            </w:r>
            <w:r>
              <w:rPr>
                <w:rFonts w:ascii="Times New Roman" w:eastAsia="Times New Roman"/>
                <w:sz w:val="21"/>
              </w:rPr>
              <w:t>7.25 </w:t>
            </w:r>
            <w:r>
              <w:rPr>
                <w:sz w:val="21"/>
              </w:rPr>
              <w:t>款（除特别声明）使用了中国</w:t>
            </w:r>
          </w:p>
          <w:p>
            <w:pPr>
              <w:pStyle w:val="TableParagraph"/>
              <w:spacing w:line="266" w:lineRule="exact"/>
              <w:ind w:left="104"/>
              <w:rPr>
                <w:sz w:val="21"/>
              </w:rPr>
            </w:pPr>
            <w:r>
              <w:rPr>
                <w:w w:val="95"/>
                <w:sz w:val="21"/>
              </w:rPr>
              <w:t>保险行业协会《重大疾病保险的疾病定义使用规范》（中保协寿</w:t>
            </w:r>
          </w:p>
          <w:p>
            <w:pPr>
              <w:pStyle w:val="TableParagraph"/>
              <w:spacing w:line="278" w:lineRule="exact"/>
              <w:ind w:left="104"/>
              <w:rPr>
                <w:sz w:val="21"/>
              </w:rPr>
            </w:pPr>
            <w:r>
              <w:rPr>
                <w:sz w:val="21"/>
              </w:rPr>
              <w:t>【</w:t>
            </w:r>
            <w:r>
              <w:rPr>
                <w:rFonts w:ascii="Times New Roman" w:eastAsia="Times New Roman"/>
                <w:sz w:val="21"/>
              </w:rPr>
              <w:t>2007</w:t>
            </w:r>
            <w:r>
              <w:rPr>
                <w:sz w:val="21"/>
              </w:rPr>
              <w:t>】</w:t>
            </w:r>
            <w:r>
              <w:rPr>
                <w:rFonts w:ascii="Times New Roman" w:eastAsia="Times New Roman"/>
                <w:sz w:val="21"/>
              </w:rPr>
              <w:t>9 </w:t>
            </w:r>
            <w:r>
              <w:rPr>
                <w:sz w:val="21"/>
              </w:rPr>
              <w:t>号）的疾病名称和疾病定义。</w:t>
            </w:r>
          </w:p>
          <w:p>
            <w:pPr>
              <w:pStyle w:val="TableParagraph"/>
              <w:spacing w:line="225" w:lineRule="auto" w:before="5"/>
              <w:ind w:left="104" w:right="7"/>
              <w:rPr>
                <w:sz w:val="21"/>
              </w:rPr>
            </w:pPr>
            <w:r>
              <w:rPr>
                <w:spacing w:val="-4"/>
                <w:sz w:val="21"/>
              </w:rPr>
              <w:t>（</w:t>
            </w:r>
            <w:r>
              <w:rPr>
                <w:rFonts w:ascii="Times New Roman" w:eastAsia="Times New Roman"/>
                <w:spacing w:val="-4"/>
                <w:sz w:val="21"/>
              </w:rPr>
              <w:t>2</w:t>
            </w:r>
            <w:r>
              <w:rPr>
                <w:spacing w:val="-4"/>
                <w:sz w:val="21"/>
              </w:rPr>
              <w:t>）</w:t>
            </w:r>
            <w:r>
              <w:rPr>
                <w:spacing w:val="-7"/>
                <w:sz w:val="21"/>
              </w:rPr>
              <w:t>本附加合同第 </w:t>
            </w:r>
            <w:r>
              <w:rPr>
                <w:rFonts w:ascii="Times New Roman" w:eastAsia="Times New Roman"/>
                <w:sz w:val="21"/>
              </w:rPr>
              <w:t>8 </w:t>
            </w:r>
            <w:r>
              <w:rPr>
                <w:spacing w:val="-29"/>
                <w:sz w:val="21"/>
              </w:rPr>
              <w:t>条 </w:t>
            </w:r>
            <w:r>
              <w:rPr>
                <w:rFonts w:ascii="Times New Roman" w:eastAsia="Times New Roman"/>
                <w:sz w:val="21"/>
              </w:rPr>
              <w:t>8.3 </w:t>
            </w:r>
            <w:r>
              <w:rPr>
                <w:spacing w:val="-29"/>
                <w:sz w:val="21"/>
              </w:rPr>
              <w:t>至 </w:t>
            </w:r>
            <w:r>
              <w:rPr>
                <w:rFonts w:ascii="Times New Roman" w:eastAsia="Times New Roman"/>
                <w:spacing w:val="1"/>
                <w:sz w:val="21"/>
              </w:rPr>
              <w:t>8.6</w:t>
            </w:r>
            <w:r>
              <w:rPr>
                <w:rFonts w:ascii="Times New Roman" w:eastAsia="Times New Roman"/>
                <w:spacing w:val="0"/>
                <w:sz w:val="21"/>
              </w:rPr>
              <w:t> </w:t>
            </w:r>
            <w:r>
              <w:rPr>
                <w:spacing w:val="-17"/>
                <w:sz w:val="21"/>
              </w:rPr>
              <w:t>款和 </w:t>
            </w:r>
            <w:r>
              <w:rPr>
                <w:rFonts w:ascii="Times New Roman" w:eastAsia="Times New Roman"/>
                <w:sz w:val="21"/>
              </w:rPr>
              <w:t>8.8 </w:t>
            </w:r>
            <w:r>
              <w:rPr>
                <w:spacing w:val="-25"/>
                <w:sz w:val="21"/>
              </w:rPr>
              <w:t>至 </w:t>
            </w:r>
            <w:r>
              <w:rPr>
                <w:rFonts w:ascii="Times New Roman" w:eastAsia="Times New Roman"/>
                <w:sz w:val="21"/>
              </w:rPr>
              <w:t>8.10 </w:t>
            </w:r>
            <w:r>
              <w:rPr>
                <w:sz w:val="21"/>
              </w:rPr>
              <w:t>款使用了中国保</w:t>
            </w:r>
            <w:r>
              <w:rPr>
                <w:spacing w:val="-9"/>
                <w:w w:val="95"/>
                <w:sz w:val="21"/>
              </w:rPr>
              <w:t>险行业协会《重大疾病保险的疾病定义使用规范</w:t>
            </w:r>
            <w:r>
              <w:rPr>
                <w:spacing w:val="-180"/>
                <w:w w:val="95"/>
                <w:sz w:val="21"/>
              </w:rPr>
              <w:t>》</w:t>
            </w:r>
            <w:r>
              <w:rPr>
                <w:w w:val="95"/>
                <w:sz w:val="21"/>
              </w:rPr>
              <w:t>（</w:t>
            </w:r>
            <w:r>
              <w:rPr>
                <w:spacing w:val="-13"/>
                <w:w w:val="95"/>
                <w:sz w:val="21"/>
              </w:rPr>
              <w:t>中保协寿【</w:t>
            </w:r>
            <w:r>
              <w:rPr>
                <w:rFonts w:ascii="Times New Roman" w:eastAsia="Times New Roman"/>
                <w:w w:val="95"/>
                <w:sz w:val="21"/>
              </w:rPr>
              <w:t>2007</w:t>
            </w:r>
            <w:r>
              <w:rPr>
                <w:w w:val="95"/>
                <w:sz w:val="21"/>
              </w:rPr>
              <w:t>】</w:t>
            </w:r>
          </w:p>
          <w:p>
            <w:pPr>
              <w:pStyle w:val="TableParagraph"/>
              <w:spacing w:line="253" w:lineRule="exact"/>
              <w:ind w:left="104"/>
              <w:rPr>
                <w:sz w:val="21"/>
              </w:rPr>
            </w:pPr>
            <w:r>
              <w:rPr>
                <w:rFonts w:ascii="Times New Roman" w:eastAsia="Times New Roman"/>
                <w:sz w:val="21"/>
              </w:rPr>
              <w:t>9 </w:t>
            </w:r>
            <w:r>
              <w:rPr>
                <w:sz w:val="21"/>
              </w:rPr>
              <w:t>号）的术语释义。</w:t>
            </w:r>
          </w:p>
        </w:tc>
      </w:tr>
    </w:tbl>
    <w:p>
      <w:pPr>
        <w:spacing w:after="0" w:line="253" w:lineRule="exact"/>
        <w:rPr>
          <w:sz w:val="21"/>
        </w:rPr>
        <w:sectPr>
          <w:pgSz w:w="11910" w:h="16850"/>
          <w:pgMar w:header="0" w:footer="773" w:top="1180" w:bottom="960" w:left="940" w:right="1480"/>
        </w:sectPr>
      </w:pPr>
    </w:p>
    <w:p>
      <w:pPr>
        <w:pStyle w:val="BodyText"/>
        <w:spacing w:before="15"/>
        <w:ind w:left="4236" w:right="3675"/>
        <w:jc w:val="center"/>
      </w:pPr>
      <w:r>
        <w:rPr>
          <w:w w:val="95"/>
        </w:rPr>
        <w:t>（完）</w:t>
      </w:r>
    </w:p>
    <w:sectPr>
      <w:pgSz w:w="11910" w:h="16850"/>
      <w:pgMar w:header="0" w:footer="773" w:top="110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630005pt;margin-top:788.379944pt;width:11.95pt;height:12pt;mso-position-horizontal-relative:page;mso-position-vertical-relative:page;z-index:-27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70013pt;margin-top:788.379944pt;width:12.65pt;height:12pt;mso-position-horizontal-relative:page;mso-position-vertical-relative:page;z-index:-277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decimal"/>
      <w:lvlText w:val="%1"/>
      <w:lvlJc w:val="left"/>
      <w:pPr>
        <w:ind w:left="1071" w:hanging="952"/>
        <w:jc w:val="left"/>
      </w:pPr>
      <w:rPr>
        <w:rFonts w:hint="default"/>
      </w:rPr>
    </w:lvl>
    <w:lvl w:ilvl="1">
      <w:start w:val="26"/>
      <w:numFmt w:val="decimal"/>
      <w:lvlText w:val="%1.%2"/>
      <w:lvlJc w:val="left"/>
      <w:pPr>
        <w:ind w:left="1071" w:hanging="952"/>
        <w:jc w:val="left"/>
      </w:pPr>
      <w:rPr>
        <w:rFonts w:hint="default" w:ascii="Times New Roman" w:hAnsi="Times New Roman" w:eastAsia="Times New Roman" w:cs="Times New Roman"/>
        <w:spacing w:val="-4"/>
        <w:w w:val="99"/>
        <w:sz w:val="21"/>
        <w:szCs w:val="21"/>
      </w:rPr>
    </w:lvl>
    <w:lvl w:ilvl="2">
      <w:start w:val="1"/>
      <w:numFmt w:val="decimal"/>
      <w:lvlText w:val="(%3)"/>
      <w:lvlJc w:val="left"/>
      <w:pPr>
        <w:ind w:left="3426" w:hanging="346"/>
        <w:jc w:val="left"/>
      </w:pPr>
      <w:rPr>
        <w:rFonts w:hint="default" w:ascii="Times New Roman" w:hAnsi="Times New Roman" w:eastAsia="Times New Roman" w:cs="Times New Roman"/>
        <w:spacing w:val="-4"/>
        <w:w w:val="99"/>
        <w:sz w:val="21"/>
        <w:szCs w:val="21"/>
      </w:rPr>
    </w:lvl>
    <w:lvl w:ilvl="3">
      <w:start w:val="0"/>
      <w:numFmt w:val="bullet"/>
      <w:lvlText w:val="•"/>
      <w:lvlJc w:val="left"/>
      <w:pPr>
        <w:ind w:left="4724" w:hanging="346"/>
      </w:pPr>
      <w:rPr>
        <w:rFonts w:hint="default"/>
      </w:rPr>
    </w:lvl>
    <w:lvl w:ilvl="4">
      <w:start w:val="0"/>
      <w:numFmt w:val="bullet"/>
      <w:lvlText w:val="•"/>
      <w:lvlJc w:val="left"/>
      <w:pPr>
        <w:ind w:left="5376" w:hanging="346"/>
      </w:pPr>
      <w:rPr>
        <w:rFonts w:hint="default"/>
      </w:rPr>
    </w:lvl>
    <w:lvl w:ilvl="5">
      <w:start w:val="0"/>
      <w:numFmt w:val="bullet"/>
      <w:lvlText w:val="•"/>
      <w:lvlJc w:val="left"/>
      <w:pPr>
        <w:ind w:left="6028" w:hanging="346"/>
      </w:pPr>
      <w:rPr>
        <w:rFonts w:hint="default"/>
      </w:rPr>
    </w:lvl>
    <w:lvl w:ilvl="6">
      <w:start w:val="0"/>
      <w:numFmt w:val="bullet"/>
      <w:lvlText w:val="•"/>
      <w:lvlJc w:val="left"/>
      <w:pPr>
        <w:ind w:left="6680" w:hanging="346"/>
      </w:pPr>
      <w:rPr>
        <w:rFonts w:hint="default"/>
      </w:rPr>
    </w:lvl>
    <w:lvl w:ilvl="7">
      <w:start w:val="0"/>
      <w:numFmt w:val="bullet"/>
      <w:lvlText w:val="•"/>
      <w:lvlJc w:val="left"/>
      <w:pPr>
        <w:ind w:left="7332" w:hanging="346"/>
      </w:pPr>
      <w:rPr>
        <w:rFonts w:hint="default"/>
      </w:rPr>
    </w:lvl>
    <w:lvl w:ilvl="8">
      <w:start w:val="0"/>
      <w:numFmt w:val="bullet"/>
      <w:lvlText w:val="•"/>
      <w:lvlJc w:val="left"/>
      <w:pPr>
        <w:ind w:left="7984" w:hanging="346"/>
      </w:pPr>
      <w:rPr>
        <w:rFonts w:hint="default"/>
      </w:rPr>
    </w:lvl>
  </w:abstractNum>
  <w:abstractNum w:abstractNumId="0">
    <w:multiLevelType w:val="hybridMultilevel"/>
    <w:lvl w:ilvl="0">
      <w:start w:val="0"/>
      <w:numFmt w:val="bullet"/>
      <w:lvlText w:val=""/>
      <w:lvlJc w:val="left"/>
      <w:pPr>
        <w:ind w:left="1214" w:hanging="426"/>
      </w:pPr>
      <w:rPr>
        <w:rFonts w:hint="default" w:ascii="Wingdings" w:hAnsi="Wingdings" w:eastAsia="Wingdings" w:cs="Wingdings"/>
        <w:w w:val="99"/>
        <w:sz w:val="21"/>
        <w:szCs w:val="21"/>
      </w:rPr>
    </w:lvl>
    <w:lvl w:ilvl="1">
      <w:start w:val="0"/>
      <w:numFmt w:val="bullet"/>
      <w:lvlText w:val="•"/>
      <w:lvlJc w:val="left"/>
      <w:pPr>
        <w:ind w:left="2078" w:hanging="426"/>
      </w:pPr>
      <w:rPr>
        <w:rFonts w:hint="default"/>
      </w:rPr>
    </w:lvl>
    <w:lvl w:ilvl="2">
      <w:start w:val="0"/>
      <w:numFmt w:val="bullet"/>
      <w:lvlText w:val="•"/>
      <w:lvlJc w:val="left"/>
      <w:pPr>
        <w:ind w:left="2937" w:hanging="426"/>
      </w:pPr>
      <w:rPr>
        <w:rFonts w:hint="default"/>
      </w:rPr>
    </w:lvl>
    <w:lvl w:ilvl="3">
      <w:start w:val="0"/>
      <w:numFmt w:val="bullet"/>
      <w:lvlText w:val="•"/>
      <w:lvlJc w:val="left"/>
      <w:pPr>
        <w:ind w:left="3796" w:hanging="426"/>
      </w:pPr>
      <w:rPr>
        <w:rFonts w:hint="default"/>
      </w:rPr>
    </w:lvl>
    <w:lvl w:ilvl="4">
      <w:start w:val="0"/>
      <w:numFmt w:val="bullet"/>
      <w:lvlText w:val="•"/>
      <w:lvlJc w:val="left"/>
      <w:pPr>
        <w:ind w:left="4655" w:hanging="426"/>
      </w:pPr>
      <w:rPr>
        <w:rFonts w:hint="default"/>
      </w:rPr>
    </w:lvl>
    <w:lvl w:ilvl="5">
      <w:start w:val="0"/>
      <w:numFmt w:val="bullet"/>
      <w:lvlText w:val="•"/>
      <w:lvlJc w:val="left"/>
      <w:pPr>
        <w:ind w:left="5514" w:hanging="426"/>
      </w:pPr>
      <w:rPr>
        <w:rFonts w:hint="default"/>
      </w:rPr>
    </w:lvl>
    <w:lvl w:ilvl="6">
      <w:start w:val="0"/>
      <w:numFmt w:val="bullet"/>
      <w:lvlText w:val="•"/>
      <w:lvlJc w:val="left"/>
      <w:pPr>
        <w:ind w:left="6373" w:hanging="426"/>
      </w:pPr>
      <w:rPr>
        <w:rFonts w:hint="default"/>
      </w:rPr>
    </w:lvl>
    <w:lvl w:ilvl="7">
      <w:start w:val="0"/>
      <w:numFmt w:val="bullet"/>
      <w:lvlText w:val="•"/>
      <w:lvlJc w:val="left"/>
      <w:pPr>
        <w:ind w:left="7232" w:hanging="426"/>
      </w:pPr>
      <w:rPr>
        <w:rFonts w:hint="default"/>
      </w:rPr>
    </w:lvl>
    <w:lvl w:ilvl="8">
      <w:start w:val="0"/>
      <w:numFmt w:val="bullet"/>
      <w:lvlText w:val="•"/>
      <w:lvlJc w:val="left"/>
      <w:pPr>
        <w:ind w:left="8091" w:hanging="42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1"/>
      <w:outlineLvl w:val="1"/>
    </w:pPr>
    <w:rPr>
      <w:rFonts w:ascii="宋体" w:hAnsi="宋体" w:eastAsia="宋体" w:cs="宋体"/>
      <w:b/>
      <w:bCs/>
      <w:sz w:val="31"/>
      <w:szCs w:val="31"/>
    </w:rPr>
  </w:style>
  <w:style w:styleId="Heading2" w:type="paragraph">
    <w:name w:val="Heading 2"/>
    <w:basedOn w:val="Normal"/>
    <w:uiPriority w:val="1"/>
    <w:qFormat/>
    <w:pPr>
      <w:ind w:left="370"/>
      <w:outlineLvl w:val="2"/>
    </w:pPr>
    <w:rPr>
      <w:rFonts w:ascii="宋体" w:hAnsi="宋体" w:eastAsia="宋体" w:cs="宋体"/>
      <w:b/>
      <w:bCs/>
      <w:sz w:val="21"/>
      <w:szCs w:val="21"/>
    </w:rPr>
  </w:style>
  <w:style w:styleId="ListParagraph" w:type="paragraph">
    <w:name w:val="List Paragraph"/>
    <w:basedOn w:val="Normal"/>
    <w:uiPriority w:val="1"/>
    <w:qFormat/>
    <w:pPr>
      <w:ind w:left="1214" w:hanging="426"/>
    </w:pPr>
    <w:rPr>
      <w:rFonts w:ascii="宋体" w:hAnsi="宋体" w:eastAsia="宋体" w:cs="宋体"/>
    </w:rPr>
  </w:style>
  <w:style w:styleId="TableParagraph" w:type="paragraph">
    <w:name w:val="Table Paragraph"/>
    <w:basedOn w:val="Normal"/>
    <w:uiPriority w:val="1"/>
    <w:qFormat/>
    <w:pPr>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2018-10-20T02:48:04Z</dcterms:created>
  <dcterms:modified xsi:type="dcterms:W3CDTF">2018-10-20T02:48:04Z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2014-11-10T00:00:00Z</vt:filetime>
  </property>
  <property fmtid="{D5CDD505-2E9C-101B-9397-08002B2CF9AE}" pid="3" name="Creator">
    <vt:lpwstr>Microsoft® Office Word 2007</vt:lpwstr>
  </property>
  <property fmtid="{D5CDD505-2E9C-101B-9397-08002B2CF9AE}" pid="4" name="LastSaved">
    <vt:filetime>2018-10-19T00:00:00Z</vt:filetime>
  </property>
</Properties>
</file>