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30"/>
        <w:ind w:left="226"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52</w:t>
      </w:r>
    </w:p>
    <w:p>
      <w:pPr>
        <w:pStyle w:val="BodyText"/>
        <w:spacing w:before="6"/>
        <w:ind w:left="226"/>
      </w:pPr>
      <w:r>
        <w:rPr/>
        <w:br w:type="column"/>
      </w:r>
      <w:r>
        <w:rPr/>
        <w:t>中韩人寿〔2015〕疾病保险 012 号</w:t>
      </w:r>
    </w:p>
    <w:p>
      <w:pPr>
        <w:spacing w:after="0"/>
        <w:sectPr>
          <w:type w:val="continuous"/>
          <w:pgSz w:w="11910" w:h="16840"/>
          <w:pgMar w:top="200" w:bottom="280" w:left="1020" w:right="220"/>
          <w:cols w:num="2" w:equalWidth="0">
            <w:col w:w="1266" w:space="5906"/>
            <w:col w:w="3498"/>
          </w:cols>
        </w:sectPr>
      </w:pPr>
    </w:p>
    <w:p>
      <w:pPr>
        <w:pStyle w:val="BodyText"/>
        <w:spacing w:before="10"/>
        <w:rPr>
          <w:sz w:val="17"/>
        </w:rPr>
      </w:pPr>
    </w:p>
    <w:p>
      <w:pPr>
        <w:spacing w:after="0"/>
        <w:rPr>
          <w:sz w:val="17"/>
        </w:rPr>
        <w:sectPr>
          <w:type w:val="continuous"/>
          <w:pgSz w:w="11910" w:h="16840"/>
          <w:pgMar w:top="200" w:bottom="280" w:left="1020" w:right="220"/>
        </w:sectPr>
      </w:pPr>
    </w:p>
    <w:p>
      <w:pPr>
        <w:pStyle w:val="Heading1"/>
        <w:spacing w:before="1"/>
        <w:ind w:left="2314"/>
      </w:pPr>
      <w:r>
        <w:rPr>
          <w:w w:val="95"/>
        </w:rPr>
        <w:t>中韩人寿保险有限公司</w:t>
      </w:r>
    </w:p>
    <w:p>
      <w:pPr>
        <w:spacing w:before="205"/>
        <w:ind w:left="2317" w:right="116" w:firstLine="0"/>
        <w:jc w:val="center"/>
        <w:rPr>
          <w:rFonts w:ascii="黑体" w:eastAsia="黑体" w:hint="eastAsia"/>
          <w:b/>
          <w:sz w:val="32"/>
        </w:rPr>
      </w:pPr>
      <w:r>
        <w:rPr>
          <w:rFonts w:ascii="黑体" w:eastAsia="黑体" w:hint="eastAsia"/>
          <w:b/>
          <w:w w:val="95"/>
          <w:sz w:val="32"/>
        </w:rPr>
        <w:t>中韩附加爱相依少儿重大疾病保险条款</w:t>
      </w:r>
    </w:p>
    <w:p>
      <w:pPr>
        <w:spacing w:before="113"/>
        <w:ind w:left="2317" w:right="113" w:firstLine="0"/>
        <w:jc w:val="center"/>
        <w:rPr>
          <w:rFonts w:ascii="黑体" w:eastAsia="黑体" w:hint="eastAsia"/>
          <w:b/>
          <w:sz w:val="24"/>
        </w:rPr>
      </w:pPr>
      <w:r>
        <w:rPr>
          <w:rFonts w:ascii="黑体" w:eastAsia="黑体" w:hint="eastAsia"/>
          <w:b/>
          <w:sz w:val="24"/>
        </w:rPr>
        <w:t>阅 读 指 引</w:t>
      </w:r>
    </w:p>
    <w:p>
      <w:pPr>
        <w:pStyle w:val="BodyText"/>
        <w:spacing w:before="3"/>
        <w:rPr>
          <w:rFonts w:ascii="黑体"/>
          <w:b/>
          <w:sz w:val="24"/>
        </w:rPr>
      </w:pPr>
      <w:r>
        <w:rPr/>
        <w:br w:type="column"/>
      </w:r>
      <w:r>
        <w:rPr>
          <w:rFonts w:ascii="黑体"/>
          <w:b/>
          <w:sz w:val="24"/>
        </w:rPr>
      </w:r>
    </w:p>
    <w:p>
      <w:pPr>
        <w:pStyle w:val="BodyText"/>
        <w:ind w:left="381"/>
      </w:pPr>
      <w:r>
        <w:rPr/>
        <w:drawing>
          <wp:anchor distT="0" distB="0" distL="0" distR="0" allowOverlap="1" layoutInCell="1" locked="0" behindDoc="0" simplePos="0" relativeHeight="0">
            <wp:simplePos x="0" y="0"/>
            <wp:positionH relativeFrom="page">
              <wp:posOffset>6057900</wp:posOffset>
            </wp:positionH>
            <wp:positionV relativeFrom="paragraph">
              <wp:posOffset>-750904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200" w:bottom="280" w:left="1020" w:right="220"/>
          <w:cols w:num="2" w:equalWidth="0">
            <w:col w:w="7662" w:space="40"/>
            <w:col w:w="2968"/>
          </w:cols>
        </w:sectPr>
      </w:pPr>
    </w:p>
    <w:p>
      <w:pPr>
        <w:pStyle w:val="BodyText"/>
        <w:spacing w:before="27"/>
        <w:ind w:left="1570"/>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15108pt;width:24.55pt;height:27.5pt;mso-position-horizontal-relative:page;mso-position-vertical-relative:paragraph;z-index:-30016"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3"/>
          <w:w w:val="100"/>
          <w:position w:val="-7"/>
        </w:rPr>
        <w:t>．</w:t>
      </w:r>
      <w:r>
        <w:rPr>
          <w:rFonts w:ascii="黑体" w:eastAsia="黑体" w:hint="eastAsia"/>
          <w:spacing w:val="-151"/>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1"/>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1"/>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1"/>
          <w:w w:val="100"/>
        </w:rPr>
        <w:t>准</w:t>
      </w:r>
      <w:r>
        <w:rPr>
          <w:spacing w:val="-63"/>
          <w:w w:val="100"/>
          <w:position w:val="-7"/>
        </w:rPr>
        <w:t>．</w:t>
      </w:r>
      <w:r>
        <w:rPr>
          <w:rFonts w:ascii="黑体" w:eastAsia="黑体" w:hint="eastAsia"/>
          <w:w w:val="100"/>
        </w:rPr>
        <w:t>。</w:t>
      </w:r>
    </w:p>
    <w:p>
      <w:pPr>
        <w:spacing w:before="59"/>
        <w:ind w:left="842" w:right="0" w:firstLine="0"/>
        <w:jc w:val="left"/>
        <w:rPr>
          <w:b/>
          <w:sz w:val="21"/>
        </w:rPr>
      </w:pPr>
      <w:r>
        <w:rPr>
          <w:b/>
          <w:sz w:val="21"/>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z w:val="21"/>
        </w:rPr>
        <w:t>签收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之日</w:t>
      </w:r>
      <w:r>
        <w:rPr>
          <w:sz w:val="21"/>
        </w:rPr>
        <w:t>起</w:t>
      </w:r>
      <w:r>
        <w:rPr>
          <w:spacing w:val="-54"/>
          <w:sz w:val="21"/>
        </w:rPr>
        <w:t> </w:t>
      </w:r>
      <w:r>
        <w:rPr>
          <w:sz w:val="21"/>
        </w:rPr>
        <w:t>10</w:t>
      </w:r>
      <w:r>
        <w:rPr>
          <w:spacing w:val="-52"/>
          <w:sz w:val="21"/>
        </w:rPr>
        <w:t> </w:t>
      </w:r>
      <w:r>
        <w:rPr>
          <w:spacing w:val="-46"/>
          <w:sz w:val="21"/>
        </w:rPr>
        <w:t>日</w:t>
      </w:r>
      <w:r>
        <w:rPr>
          <w:sz w:val="21"/>
        </w:rPr>
        <w:t>（</w:t>
      </w:r>
      <w:r>
        <w:rPr>
          <w:spacing w:val="-3"/>
          <w:sz w:val="21"/>
        </w:rPr>
        <w:t>即</w:t>
      </w:r>
      <w:r>
        <w:rPr>
          <w:sz w:val="21"/>
        </w:rPr>
        <w:t>犹豫</w:t>
      </w:r>
      <w:r>
        <w:rPr>
          <w:spacing w:val="-3"/>
          <w:sz w:val="21"/>
        </w:rPr>
        <w:t>期</w:t>
      </w:r>
      <w:r>
        <w:rPr>
          <w:spacing w:val="-44"/>
          <w:sz w:val="21"/>
        </w:rPr>
        <w:t>）</w:t>
      </w:r>
      <w:r>
        <w:rPr>
          <w:spacing w:val="-3"/>
          <w:sz w:val="21"/>
        </w:rPr>
        <w:t>内</w:t>
      </w:r>
      <w:r>
        <w:rPr>
          <w:sz w:val="21"/>
        </w:rPr>
        <w:t>您</w:t>
      </w:r>
      <w:r>
        <w:rPr>
          <w:spacing w:val="-3"/>
          <w:sz w:val="21"/>
        </w:rPr>
        <w:t>若</w:t>
      </w:r>
      <w:r>
        <w:rPr>
          <w:sz w:val="21"/>
        </w:rPr>
        <w:t>要求</w:t>
      </w:r>
      <w:r>
        <w:rPr>
          <w:spacing w:val="-3"/>
          <w:sz w:val="21"/>
        </w:rPr>
        <w:t>退</w:t>
      </w:r>
      <w:r>
        <w:rPr>
          <w:sz w:val="21"/>
        </w:rPr>
        <w:t>保</w:t>
      </w:r>
      <w:r>
        <w:rPr>
          <w:spacing w:val="-46"/>
          <w:sz w:val="21"/>
        </w:rPr>
        <w:t>，</w:t>
      </w:r>
      <w:r>
        <w:rPr>
          <w:sz w:val="21"/>
        </w:rPr>
        <w:t>我</w:t>
      </w:r>
      <w:r>
        <w:rPr>
          <w:spacing w:val="-3"/>
          <w:sz w:val="21"/>
        </w:rPr>
        <w:t>们</w:t>
      </w:r>
      <w:r>
        <w:rPr>
          <w:sz w:val="21"/>
        </w:rPr>
        <w:t>退</w:t>
      </w:r>
      <w:r>
        <w:rPr>
          <w:spacing w:val="-3"/>
          <w:sz w:val="21"/>
        </w:rPr>
        <w:t>还</w:t>
      </w:r>
      <w:r>
        <w:rPr>
          <w:sz w:val="21"/>
        </w:rPr>
        <w:t>保</w:t>
      </w:r>
      <w:r>
        <w:rPr>
          <w:spacing w:val="-3"/>
          <w:sz w:val="21"/>
        </w:rPr>
        <w:t>险</w:t>
      </w:r>
      <w:r>
        <w:rPr>
          <w:sz w:val="21"/>
        </w:rPr>
        <w:t>费…</w:t>
        <w:tab/>
        <w:t>1.5</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2.4</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pict>
          <v:shape style="position:absolute;margin-left:56.639999pt;margin-top:14.925152pt;width:24.55pt;height:27.5pt;mso-position-horizontal-relative:page;mso-position-vertical-relative:paragraph;z-index:-2999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w:t>
      </w:r>
      <w:r>
        <w:rPr>
          <w:spacing w:val="-15"/>
          <w:sz w:val="21"/>
        </w:rPr>
        <w:t>利</w:t>
      </w:r>
      <w:r>
        <w:rPr>
          <w:sz w:val="21"/>
        </w:rPr>
        <w:t>（</w:t>
      </w:r>
      <w:r>
        <w:rPr>
          <w:spacing w:val="-3"/>
          <w:sz w:val="21"/>
        </w:rPr>
        <w:t>须</w:t>
      </w:r>
      <w:r>
        <w:rPr>
          <w:sz w:val="21"/>
        </w:rPr>
        <w:t>与</w:t>
      </w:r>
      <w:r>
        <w:rPr>
          <w:spacing w:val="-3"/>
          <w:sz w:val="21"/>
        </w:rPr>
        <w:t>主</w:t>
      </w:r>
      <w:r>
        <w:rPr>
          <w:sz w:val="21"/>
        </w:rPr>
        <w:t>险合</w:t>
      </w:r>
      <w:r>
        <w:rPr>
          <w:spacing w:val="-3"/>
          <w:sz w:val="21"/>
        </w:rPr>
        <w:t>同</w:t>
      </w:r>
      <w:r>
        <w:rPr>
          <w:sz w:val="21"/>
        </w:rPr>
        <w:t>一</w:t>
      </w:r>
      <w:r>
        <w:rPr>
          <w:spacing w:val="-3"/>
          <w:sz w:val="21"/>
        </w:rPr>
        <w:t>并</w:t>
      </w:r>
      <w:r>
        <w:rPr>
          <w:sz w:val="21"/>
        </w:rPr>
        <w:t>退</w:t>
      </w:r>
      <w:r>
        <w:rPr>
          <w:spacing w:val="-3"/>
          <w:sz w:val="21"/>
        </w:rPr>
        <w:t>保</w:t>
      </w:r>
      <w:r>
        <w:rPr>
          <w:sz w:val="21"/>
        </w:rPr>
        <w:t>）</w:t>
        <w:tab/>
      </w:r>
      <w:r>
        <w:rPr>
          <w:spacing w:val="-3"/>
          <w:sz w:val="21"/>
        </w:rPr>
        <w:t>5.1</w:t>
      </w:r>
    </w:p>
    <w:p>
      <w:pPr>
        <w:spacing w:before="61"/>
        <w:ind w:left="842" w:right="0" w:firstLine="0"/>
        <w:jc w:val="left"/>
        <w:rPr>
          <w:b/>
          <w:sz w:val="21"/>
        </w:rPr>
      </w:pPr>
      <w:r>
        <w:rPr>
          <w:b/>
          <w:sz w:val="21"/>
        </w:rPr>
        <w:t>您应当特别注意的事项</w:t>
      </w:r>
    </w:p>
    <w:p>
      <w:pPr>
        <w:pStyle w:val="ListParagraph"/>
        <w:numPr>
          <w:ilvl w:val="0"/>
          <w:numId w:val="1"/>
        </w:numPr>
        <w:tabs>
          <w:tab w:pos="849" w:val="left" w:leader="none"/>
          <w:tab w:pos="851" w:val="left" w:leader="none"/>
          <w:tab w:pos="9753" w:val="right" w:leader="dot"/>
        </w:tabs>
        <w:spacing w:line="240" w:lineRule="auto" w:before="27" w:after="0"/>
        <w:ind w:left="850" w:right="0" w:hanging="454"/>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有</w:t>
      </w:r>
      <w:r>
        <w:rPr>
          <w:sz w:val="21"/>
        </w:rPr>
        <w:t>责</w:t>
      </w:r>
      <w:r>
        <w:rPr>
          <w:spacing w:val="-3"/>
          <w:sz w:val="21"/>
        </w:rPr>
        <w:t>任</w:t>
      </w:r>
      <w:r>
        <w:rPr>
          <w:sz w:val="21"/>
        </w:rPr>
        <w:t>免</w:t>
      </w:r>
      <w:r>
        <w:rPr>
          <w:spacing w:val="-3"/>
          <w:sz w:val="21"/>
        </w:rPr>
        <w:t>除</w:t>
      </w:r>
      <w:r>
        <w:rPr>
          <w:sz w:val="21"/>
        </w:rPr>
        <w:t>条款</w:t>
      </w:r>
      <w:r>
        <w:rPr>
          <w:spacing w:val="-27"/>
          <w:sz w:val="21"/>
        </w:rPr>
        <w:t>，</w:t>
      </w:r>
      <w:r>
        <w:rPr>
          <w:sz w:val="21"/>
        </w:rPr>
        <w:t>请</w:t>
      </w:r>
      <w:r>
        <w:rPr>
          <w:spacing w:val="-3"/>
          <w:sz w:val="21"/>
        </w:rPr>
        <w:t>您</w:t>
      </w:r>
      <w:r>
        <w:rPr>
          <w:sz w:val="21"/>
        </w:rPr>
        <w:t>注意</w:t>
        <w:tab/>
      </w:r>
      <w:r>
        <w:rPr>
          <w:spacing w:val="-3"/>
          <w:sz w:val="21"/>
        </w:rPr>
        <w:t>2.5</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9" w:val="left" w:leader="none"/>
          <w:tab w:pos="851" w:val="left" w:leader="none"/>
          <w:tab w:pos="9753" w:val="right" w:leader="dot"/>
        </w:tabs>
        <w:spacing w:line="240" w:lineRule="auto" w:before="23" w:after="0"/>
        <w:ind w:left="85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5.1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8</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64001pt;margin-top:17.043865pt;width:134.66pt;height:13.68pt;mso-position-horizontal-relative:page;mso-position-vertical-relative:paragraph;z-index:-30064" filled="true" fillcolor="#a6a6a6" stroked="false">
            <v:fill type="solid"/>
            <w10:wrap type="none"/>
          </v:rect>
        </w:pict>
      </w:r>
      <w:r>
        <w:rPr/>
        <w:pict>
          <v:shape style="position:absolute;margin-left:240.889999pt;margin-top:17.043865pt;width:134.7pt;height:13.7pt;mso-position-horizontal-relative:page;mso-position-vertical-relative:paragraph;z-index:1072" type="#_x0000_t202" filled="true" fillcolor="#a6a6a6" stroked="false">
            <v:textbox inset="0,0,0,0">
              <w:txbxContent>
                <w:p>
                  <w:pPr>
                    <w:pStyle w:val="BodyText"/>
                    <w:spacing w:line="243" w:lineRule="exact"/>
                    <w:rPr>
                      <w:rFonts w:ascii="黑体" w:eastAsia="黑体" w:hint="eastAsia"/>
                    </w:rPr>
                  </w:pPr>
                  <w:r>
                    <w:rPr>
                      <w:rFonts w:ascii="黑体" w:eastAsia="黑体" w:hint="eastAsia"/>
                    </w:rPr>
                    <w:t>4. 保险费的支付</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200" w:bottom="280" w:left="1020" w:right="220"/>
        </w:sectPr>
      </w:pPr>
    </w:p>
    <w:p>
      <w:pPr>
        <w:pStyle w:val="BodyText"/>
        <w:spacing w:line="211" w:lineRule="exact"/>
        <w:ind w:left="533"/>
        <w:rPr>
          <w:rFonts w:ascii="黑体" w:eastAsia="黑体" w:hint="eastAsia"/>
        </w:rPr>
      </w:pPr>
      <w:r>
        <w:rPr>
          <w:rFonts w:ascii="黑体" w:eastAsia="黑体" w:hint="eastAsia"/>
        </w:rPr>
        <w:t>1．您与我们订立的合同</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合同构成</w:t>
      </w:r>
    </w:p>
    <w:p>
      <w:pPr>
        <w:pStyle w:val="ListParagraph"/>
        <w:numPr>
          <w:ilvl w:val="1"/>
          <w:numId w:val="2"/>
        </w:numPr>
        <w:tabs>
          <w:tab w:pos="956" w:val="left" w:leader="none"/>
        </w:tabs>
        <w:spacing w:line="240" w:lineRule="auto" w:before="46" w:after="0"/>
        <w:ind w:left="955" w:right="0" w:hanging="422"/>
        <w:jc w:val="left"/>
        <w:rPr>
          <w:sz w:val="21"/>
        </w:rPr>
      </w:pPr>
      <w:r>
        <w:rPr>
          <w:spacing w:val="-3"/>
          <w:sz w:val="21"/>
        </w:rPr>
        <w:t>合同成立与</w:t>
      </w:r>
      <w:r>
        <w:rPr>
          <w:sz w:val="21"/>
        </w:rPr>
        <w:t>Th效</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合同终止</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投保年龄</w:t>
      </w:r>
    </w:p>
    <w:p>
      <w:pPr>
        <w:pStyle w:val="ListParagraph"/>
        <w:numPr>
          <w:ilvl w:val="1"/>
          <w:numId w:val="2"/>
        </w:numPr>
        <w:tabs>
          <w:tab w:pos="956" w:val="left" w:leader="none"/>
        </w:tabs>
        <w:spacing w:line="240" w:lineRule="auto" w:before="46" w:after="0"/>
        <w:ind w:left="955" w:right="0" w:hanging="422"/>
        <w:jc w:val="left"/>
        <w:rPr>
          <w:sz w:val="21"/>
        </w:rPr>
      </w:pPr>
      <w:r>
        <w:rPr>
          <w:spacing w:val="-2"/>
          <w:sz w:val="21"/>
        </w:rPr>
        <w:t>犹豫期</w:t>
      </w:r>
    </w:p>
    <w:p>
      <w:pPr>
        <w:pStyle w:val="BodyText"/>
        <w:spacing w:before="6"/>
        <w:rPr>
          <w:rFonts w:ascii="黑体"/>
          <w:sz w:val="19"/>
        </w:rPr>
      </w:pPr>
      <w:r>
        <w:rPr/>
        <w:br w:type="column"/>
      </w:r>
      <w:r>
        <w:rPr>
          <w:rFonts w:ascii="黑体"/>
          <w:sz w:val="19"/>
        </w:rPr>
      </w:r>
    </w:p>
    <w:p>
      <w:pPr>
        <w:pStyle w:val="BodyText"/>
        <w:ind w:left="533"/>
        <w:rPr>
          <w:rFonts w:ascii="黑体" w:eastAsia="黑体" w:hint="eastAsia"/>
        </w:rPr>
      </w:pPr>
      <w:r>
        <w:rPr>
          <w:rFonts w:ascii="黑体" w:eastAsia="黑体" w:hint="eastAsia"/>
        </w:rPr>
        <w:t>4.1 保险费的支付</w:t>
      </w:r>
    </w:p>
    <w:p>
      <w:pPr>
        <w:pStyle w:val="BodyText"/>
        <w:tabs>
          <w:tab w:pos="3226" w:val="left" w:leader="none"/>
        </w:tabs>
        <w:spacing w:before="46"/>
        <w:ind w:left="533"/>
        <w:rPr>
          <w:rFonts w:ascii="黑体" w:eastAsia="黑体" w:hint="eastAsia"/>
        </w:rPr>
      </w:pPr>
      <w:r>
        <w:rPr>
          <w:rFonts w:ascii="黑体" w:eastAsia="黑体" w:hint="eastAsia"/>
          <w:shd w:fill="A6A6A6" w:color="auto" w:val="clear"/>
        </w:rPr>
        <w:t>5．</w:t>
      </w:r>
      <w:r>
        <w:rPr>
          <w:rFonts w:ascii="黑体" w:eastAsia="黑体" w:hint="eastAsia"/>
          <w:spacing w:val="-3"/>
          <w:shd w:fill="A6A6A6" w:color="auto" w:val="clear"/>
        </w:rPr>
        <w:t>合</w:t>
      </w:r>
      <w:r>
        <w:rPr>
          <w:rFonts w:ascii="黑体" w:eastAsia="黑体" w:hint="eastAsia"/>
          <w:shd w:fill="A6A6A6" w:color="auto" w:val="clear"/>
        </w:rPr>
        <w:t>同</w:t>
      </w:r>
      <w:r>
        <w:rPr>
          <w:rFonts w:ascii="黑体" w:eastAsia="黑体" w:hint="eastAsia"/>
          <w:spacing w:val="-3"/>
          <w:shd w:fill="A6A6A6" w:color="auto" w:val="clear"/>
        </w:rPr>
        <w:t>解</w:t>
      </w:r>
      <w:r>
        <w:rPr>
          <w:rFonts w:ascii="黑体" w:eastAsia="黑体" w:hint="eastAsia"/>
          <w:shd w:fill="A6A6A6" w:color="auto" w:val="clear"/>
        </w:rPr>
        <w:t>除</w:t>
        <w:tab/>
      </w:r>
    </w:p>
    <w:p>
      <w:pPr>
        <w:pStyle w:val="BodyText"/>
        <w:spacing w:before="44"/>
        <w:ind w:left="533"/>
        <w:rPr>
          <w:rFonts w:ascii="黑体" w:eastAsia="黑体" w:hint="eastAsia"/>
        </w:rPr>
      </w:pPr>
      <w:r>
        <w:rPr>
          <w:rFonts w:ascii="黑体" w:eastAsia="黑体" w:hint="eastAsia"/>
        </w:rPr>
        <w:t>5.1</w:t>
      </w:r>
      <w:r>
        <w:rPr>
          <w:rFonts w:ascii="黑体" w:eastAsia="黑体" w:hint="eastAsia"/>
          <w:spacing w:val="-8"/>
        </w:rPr>
        <w:t> 您解除合同的手续及风险</w:t>
      </w:r>
    </w:p>
    <w:p>
      <w:pPr>
        <w:pStyle w:val="BodyText"/>
        <w:tabs>
          <w:tab w:pos="3226" w:val="left" w:leader="none"/>
        </w:tabs>
        <w:spacing w:before="44"/>
        <w:ind w:left="533"/>
        <w:rPr>
          <w:rFonts w:ascii="黑体" w:eastAsia="黑体" w:hint="eastAsia"/>
        </w:rPr>
      </w:pPr>
      <w:r>
        <w:rPr>
          <w:rFonts w:ascii="黑体" w:eastAsia="黑体" w:hint="eastAsia"/>
          <w:shd w:fill="A6A6A6" w:color="auto" w:val="clear"/>
        </w:rPr>
        <w:t>6．</w:t>
      </w:r>
      <w:r>
        <w:rPr>
          <w:rFonts w:ascii="黑体" w:eastAsia="黑体" w:hint="eastAsia"/>
          <w:spacing w:val="-3"/>
          <w:shd w:fill="A6A6A6" w:color="auto" w:val="clear"/>
        </w:rPr>
        <w:t>其</w:t>
      </w:r>
      <w:r>
        <w:rPr>
          <w:rFonts w:ascii="黑体" w:eastAsia="黑体" w:hint="eastAsia"/>
          <w:shd w:fill="A6A6A6" w:color="auto" w:val="clear"/>
        </w:rPr>
        <w:t>他</w:t>
      </w:r>
      <w:r>
        <w:rPr>
          <w:rFonts w:ascii="黑体" w:eastAsia="黑体" w:hint="eastAsia"/>
          <w:spacing w:val="-3"/>
          <w:shd w:fill="A6A6A6" w:color="auto" w:val="clear"/>
        </w:rPr>
        <w:t>需</w:t>
      </w:r>
      <w:r>
        <w:rPr>
          <w:rFonts w:ascii="黑体" w:eastAsia="黑体" w:hint="eastAsia"/>
          <w:shd w:fill="A6A6A6" w:color="auto" w:val="clear"/>
        </w:rPr>
        <w:t>要</w:t>
      </w:r>
      <w:r>
        <w:rPr>
          <w:rFonts w:ascii="黑体" w:eastAsia="黑体" w:hint="eastAsia"/>
          <w:spacing w:val="-3"/>
          <w:shd w:fill="A6A6A6" w:color="auto" w:val="clear"/>
        </w:rPr>
        <w:t>关</w:t>
      </w:r>
      <w:r>
        <w:rPr>
          <w:rFonts w:ascii="黑体" w:eastAsia="黑体" w:hint="eastAsia"/>
          <w:shd w:fill="A6A6A6" w:color="auto" w:val="clear"/>
        </w:rPr>
        <w:t>注</w:t>
      </w:r>
      <w:r>
        <w:rPr>
          <w:rFonts w:ascii="黑体" w:eastAsia="黑体" w:hint="eastAsia"/>
          <w:spacing w:val="-3"/>
          <w:shd w:fill="A6A6A6" w:color="auto" w:val="clear"/>
        </w:rPr>
        <w:t>的</w:t>
      </w:r>
      <w:r>
        <w:rPr>
          <w:rFonts w:ascii="黑体" w:eastAsia="黑体" w:hint="eastAsia"/>
          <w:shd w:fill="A6A6A6" w:color="auto" w:val="clear"/>
        </w:rPr>
        <w:t>事项</w:t>
        <w:tab/>
      </w:r>
    </w:p>
    <w:p>
      <w:pPr>
        <w:pStyle w:val="BodyText"/>
        <w:spacing w:before="46"/>
        <w:ind w:left="533"/>
        <w:rPr>
          <w:rFonts w:ascii="黑体" w:eastAsia="黑体" w:hint="eastAsia"/>
        </w:rPr>
      </w:pPr>
      <w:r>
        <w:rPr>
          <w:rFonts w:ascii="黑体" w:eastAsia="黑体" w:hint="eastAsia"/>
        </w:rPr>
        <w:t>6.1 合同终止的特殊处理</w:t>
      </w:r>
    </w:p>
    <w:p>
      <w:pPr>
        <w:pStyle w:val="ListParagraph"/>
        <w:numPr>
          <w:ilvl w:val="1"/>
          <w:numId w:val="3"/>
        </w:numPr>
        <w:tabs>
          <w:tab w:pos="952" w:val="left" w:leader="none"/>
        </w:tabs>
        <w:spacing w:line="211" w:lineRule="exact" w:before="0" w:after="0"/>
        <w:ind w:left="951" w:right="0" w:hanging="423"/>
        <w:jc w:val="left"/>
        <w:rPr>
          <w:sz w:val="21"/>
        </w:rPr>
      </w:pPr>
      <w:r>
        <w:rPr>
          <w:spacing w:val="-3"/>
          <w:w w:val="100"/>
          <w:sz w:val="21"/>
        </w:rPr>
        <w:br w:type="column"/>
      </w:r>
      <w:r>
        <w:rPr>
          <w:spacing w:val="-2"/>
          <w:sz w:val="21"/>
        </w:rPr>
        <w:t>白血病</w:t>
      </w:r>
    </w:p>
    <w:p>
      <w:pPr>
        <w:pStyle w:val="ListParagraph"/>
        <w:numPr>
          <w:ilvl w:val="1"/>
          <w:numId w:val="3"/>
        </w:numPr>
        <w:tabs>
          <w:tab w:pos="952" w:val="left" w:leader="none"/>
        </w:tabs>
        <w:spacing w:line="240" w:lineRule="auto" w:before="44" w:after="0"/>
        <w:ind w:left="951" w:right="0" w:hanging="423"/>
        <w:jc w:val="left"/>
        <w:rPr>
          <w:sz w:val="21"/>
        </w:rPr>
      </w:pPr>
      <w:r>
        <w:rPr>
          <w:spacing w:val="-3"/>
          <w:sz w:val="21"/>
        </w:rPr>
        <w:t>毒品</w:t>
      </w:r>
    </w:p>
    <w:p>
      <w:pPr>
        <w:pStyle w:val="ListParagraph"/>
        <w:numPr>
          <w:ilvl w:val="1"/>
          <w:numId w:val="3"/>
        </w:numPr>
        <w:tabs>
          <w:tab w:pos="1055" w:val="left" w:leader="none"/>
        </w:tabs>
        <w:spacing w:line="240" w:lineRule="auto" w:before="46" w:after="0"/>
        <w:ind w:left="1054" w:right="0" w:hanging="526"/>
        <w:jc w:val="left"/>
        <w:rPr>
          <w:sz w:val="21"/>
        </w:rPr>
      </w:pPr>
      <w:r>
        <w:rPr>
          <w:spacing w:val="-2"/>
          <w:sz w:val="21"/>
        </w:rPr>
        <w:t>酒后驾驶</w:t>
      </w:r>
    </w:p>
    <w:p>
      <w:pPr>
        <w:pStyle w:val="ListParagraph"/>
        <w:numPr>
          <w:ilvl w:val="1"/>
          <w:numId w:val="3"/>
        </w:numPr>
        <w:tabs>
          <w:tab w:pos="1055" w:val="left" w:leader="none"/>
        </w:tabs>
        <w:spacing w:line="240" w:lineRule="auto" w:before="44" w:after="0"/>
        <w:ind w:left="1054" w:right="0" w:hanging="526"/>
        <w:jc w:val="left"/>
        <w:rPr>
          <w:sz w:val="21"/>
        </w:rPr>
      </w:pPr>
      <w:r>
        <w:rPr>
          <w:spacing w:val="-3"/>
          <w:sz w:val="21"/>
        </w:rPr>
        <w:t>无合法有效驾驶证驾驶</w:t>
      </w:r>
    </w:p>
    <w:p>
      <w:pPr>
        <w:pStyle w:val="ListParagraph"/>
        <w:numPr>
          <w:ilvl w:val="1"/>
          <w:numId w:val="3"/>
        </w:numPr>
        <w:tabs>
          <w:tab w:pos="1055" w:val="left" w:leader="none"/>
        </w:tabs>
        <w:spacing w:line="240" w:lineRule="auto" w:before="44" w:after="0"/>
        <w:ind w:left="1054" w:right="0" w:hanging="526"/>
        <w:jc w:val="left"/>
        <w:rPr>
          <w:sz w:val="21"/>
        </w:rPr>
      </w:pPr>
      <w:r>
        <w:rPr>
          <w:spacing w:val="-3"/>
          <w:sz w:val="21"/>
        </w:rPr>
        <w:t>无有效行驶证</w:t>
      </w:r>
    </w:p>
    <w:p>
      <w:pPr>
        <w:pStyle w:val="ListParagraph"/>
        <w:numPr>
          <w:ilvl w:val="1"/>
          <w:numId w:val="3"/>
        </w:numPr>
        <w:tabs>
          <w:tab w:pos="1060" w:val="left" w:leader="none"/>
        </w:tabs>
        <w:spacing w:line="240" w:lineRule="auto" w:before="46" w:after="0"/>
        <w:ind w:left="1059" w:right="0" w:hanging="533"/>
        <w:jc w:val="left"/>
        <w:rPr>
          <w:sz w:val="21"/>
        </w:rPr>
      </w:pPr>
      <w:r>
        <w:rPr>
          <w:spacing w:val="1"/>
          <w:sz w:val="21"/>
        </w:rPr>
        <w:t>感染艾滋病病毒或患艾</w:t>
      </w:r>
    </w:p>
    <w:p>
      <w:pPr>
        <w:spacing w:after="0" w:line="240" w:lineRule="auto"/>
        <w:jc w:val="left"/>
        <w:rPr>
          <w:sz w:val="21"/>
        </w:rPr>
        <w:sectPr>
          <w:type w:val="continuous"/>
          <w:pgSz w:w="11910" w:h="16840"/>
          <w:pgMar w:top="200" w:bottom="280" w:left="1020" w:right="220"/>
          <w:cols w:num="3" w:equalWidth="0">
            <w:col w:w="2742" w:space="522"/>
            <w:col w:w="3227" w:space="40"/>
            <w:col w:w="4139"/>
          </w:cols>
        </w:sectPr>
      </w:pPr>
    </w:p>
    <w:p>
      <w:pPr>
        <w:pStyle w:val="BodyText"/>
        <w:spacing w:before="2" w:after="1"/>
        <w:rPr>
          <w:rFonts w:ascii="黑体"/>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4"/>
        <w:gridCol w:w="1161"/>
        <w:gridCol w:w="2608"/>
        <w:gridCol w:w="761"/>
        <w:gridCol w:w="2270"/>
      </w:tblGrid>
      <w:tr>
        <w:trPr>
          <w:trHeight w:val="319" w:hRule="atLeast"/>
        </w:trPr>
        <w:tc>
          <w:tcPr>
            <w:tcW w:w="9324" w:type="dxa"/>
            <w:gridSpan w:val="6"/>
          </w:tcPr>
          <w:p>
            <w:pPr>
              <w:pStyle w:val="TableParagraph"/>
              <w:tabs>
                <w:tab w:pos="2743" w:val="left" w:leader="none"/>
                <w:tab w:pos="3314" w:val="left" w:leader="none"/>
                <w:tab w:pos="7106" w:val="left" w:leader="none"/>
              </w:tabs>
              <w:spacing w:line="211" w:lineRule="exact"/>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r>
              <w:rPr>
                <w:rFonts w:ascii="黑体" w:eastAsia="黑体" w:hint="eastAsia"/>
                <w:sz w:val="21"/>
              </w:rPr>
              <w:tab/>
              <w:t>6.2</w:t>
            </w:r>
            <w:r>
              <w:rPr>
                <w:rFonts w:ascii="黑体" w:eastAsia="黑体" w:hint="eastAsia"/>
                <w:spacing w:val="3"/>
                <w:sz w:val="21"/>
              </w:rPr>
              <w:t> </w:t>
            </w:r>
            <w:r>
              <w:rPr>
                <w:rFonts w:ascii="黑体" w:eastAsia="黑体" w:hint="eastAsia"/>
                <w:spacing w:val="-3"/>
                <w:sz w:val="21"/>
              </w:rPr>
              <w:t>适</w:t>
            </w:r>
            <w:r>
              <w:rPr>
                <w:rFonts w:ascii="黑体" w:eastAsia="黑体" w:hint="eastAsia"/>
                <w:sz w:val="21"/>
              </w:rPr>
              <w:t>用</w:t>
            </w:r>
            <w:r>
              <w:rPr>
                <w:rFonts w:ascii="黑体" w:eastAsia="黑体" w:hint="eastAsia"/>
                <w:spacing w:val="-3"/>
                <w:sz w:val="21"/>
              </w:rPr>
              <w:t>主</w:t>
            </w:r>
            <w:r>
              <w:rPr>
                <w:rFonts w:ascii="黑体" w:eastAsia="黑体" w:hint="eastAsia"/>
                <w:sz w:val="21"/>
              </w:rPr>
              <w:t>险</w:t>
            </w:r>
            <w:r>
              <w:rPr>
                <w:rFonts w:ascii="黑体" w:eastAsia="黑体" w:hint="eastAsia"/>
                <w:spacing w:val="-3"/>
                <w:sz w:val="21"/>
              </w:rPr>
              <w:t>合</w:t>
            </w:r>
            <w:r>
              <w:rPr>
                <w:rFonts w:ascii="黑体" w:eastAsia="黑体" w:hint="eastAsia"/>
                <w:sz w:val="21"/>
              </w:rPr>
              <w:t>同</w:t>
            </w:r>
            <w:r>
              <w:rPr>
                <w:rFonts w:ascii="黑体" w:eastAsia="黑体" w:hint="eastAsia"/>
                <w:spacing w:val="-3"/>
                <w:sz w:val="21"/>
              </w:rPr>
              <w:t>条</w:t>
            </w:r>
            <w:r>
              <w:rPr>
                <w:rFonts w:ascii="黑体" w:eastAsia="黑体" w:hint="eastAsia"/>
                <w:sz w:val="21"/>
              </w:rPr>
              <w:t>款</w:t>
              <w:tab/>
              <w:t>滋病</w:t>
            </w:r>
          </w:p>
        </w:tc>
      </w:tr>
      <w:tr>
        <w:trPr>
          <w:trHeight w:val="266" w:hRule="atLeast"/>
        </w:trPr>
        <w:tc>
          <w:tcPr>
            <w:tcW w:w="420" w:type="dxa"/>
          </w:tcPr>
          <w:p>
            <w:pPr>
              <w:pStyle w:val="TableParagraph"/>
              <w:spacing w:line="211" w:lineRule="exact"/>
              <w:ind w:left="50"/>
              <w:rPr>
                <w:rFonts w:ascii="黑体"/>
                <w:sz w:val="21"/>
              </w:rPr>
            </w:pPr>
            <w:r>
              <w:rPr>
                <w:rFonts w:ascii="黑体"/>
                <w:sz w:val="21"/>
              </w:rPr>
              <w:t>2.1</w:t>
            </w:r>
          </w:p>
        </w:tc>
        <w:tc>
          <w:tcPr>
            <w:tcW w:w="2104" w:type="dxa"/>
          </w:tcPr>
          <w:p>
            <w:pPr>
              <w:pStyle w:val="TableParagraph"/>
              <w:spacing w:line="211" w:lineRule="exact"/>
              <w:ind w:left="52"/>
              <w:rPr>
                <w:rFonts w:ascii="黑体" w:eastAsia="黑体" w:hint="eastAsia"/>
                <w:sz w:val="21"/>
              </w:rPr>
            </w:pPr>
            <w:r>
              <w:rPr>
                <w:rFonts w:ascii="黑体" w:eastAsia="黑体" w:hint="eastAsia"/>
                <w:sz w:val="21"/>
              </w:rPr>
              <w:t>基本保险金额</w:t>
            </w:r>
          </w:p>
        </w:tc>
        <w:tc>
          <w:tcPr>
            <w:tcW w:w="3769" w:type="dxa"/>
            <w:gridSpan w:val="2"/>
          </w:tcPr>
          <w:p>
            <w:pPr>
              <w:pStyle w:val="TableParagraph"/>
              <w:tabs>
                <w:tab w:pos="3483" w:val="left" w:leader="none"/>
              </w:tabs>
              <w:spacing w:line="211" w:lineRule="exact"/>
              <w:ind w:left="790"/>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定</w:t>
            </w:r>
            <w:r>
              <w:rPr>
                <w:rFonts w:ascii="黑体" w:eastAsia="黑体" w:hint="eastAsia"/>
                <w:sz w:val="21"/>
                <w:shd w:fill="A6A6A6" w:color="auto" w:val="clear"/>
              </w:rPr>
              <w:t>义</w:t>
              <w:tab/>
            </w:r>
          </w:p>
        </w:tc>
        <w:tc>
          <w:tcPr>
            <w:tcW w:w="761" w:type="dxa"/>
          </w:tcPr>
          <w:p>
            <w:pPr>
              <w:pStyle w:val="TableParagraph"/>
              <w:spacing w:line="211" w:lineRule="exact"/>
              <w:ind w:left="0" w:right="53"/>
              <w:jc w:val="right"/>
              <w:rPr>
                <w:rFonts w:ascii="黑体"/>
                <w:sz w:val="21"/>
              </w:rPr>
            </w:pPr>
            <w:r>
              <w:rPr>
                <w:rFonts w:ascii="黑体"/>
                <w:sz w:val="21"/>
              </w:rPr>
              <w:t>8.14</w:t>
            </w:r>
          </w:p>
        </w:tc>
        <w:tc>
          <w:tcPr>
            <w:tcW w:w="2270" w:type="dxa"/>
          </w:tcPr>
          <w:p>
            <w:pPr>
              <w:pStyle w:val="TableParagraph"/>
              <w:spacing w:line="211" w:lineRule="exact"/>
              <w:ind w:left="48"/>
              <w:rPr>
                <w:rFonts w:ascii="黑体" w:eastAsia="黑体" w:hint="eastAsia"/>
                <w:sz w:val="21"/>
              </w:rPr>
            </w:pPr>
            <w:r>
              <w:rPr>
                <w:rFonts w:ascii="黑体" w:eastAsia="黑体" w:hint="eastAsia"/>
                <w:sz w:val="21"/>
              </w:rPr>
              <w:t>遗传性疾病</w:t>
            </w:r>
          </w:p>
        </w:tc>
      </w:tr>
      <w:tr>
        <w:trPr>
          <w:trHeight w:val="320" w:hRule="atLeast"/>
        </w:trPr>
        <w:tc>
          <w:tcPr>
            <w:tcW w:w="420" w:type="dxa"/>
          </w:tcPr>
          <w:p>
            <w:pPr>
              <w:pStyle w:val="TableParagraph"/>
              <w:spacing w:line="266" w:lineRule="exact"/>
              <w:ind w:left="50"/>
              <w:rPr>
                <w:rFonts w:ascii="黑体"/>
                <w:sz w:val="21"/>
              </w:rPr>
            </w:pPr>
            <w:r>
              <w:rPr>
                <w:rFonts w:ascii="黑体"/>
                <w:sz w:val="21"/>
              </w:rPr>
              <w:t>2.2</w:t>
            </w:r>
          </w:p>
        </w:tc>
        <w:tc>
          <w:tcPr>
            <w:tcW w:w="2104" w:type="dxa"/>
          </w:tcPr>
          <w:p>
            <w:pPr>
              <w:pStyle w:val="TableParagraph"/>
              <w:spacing w:line="266" w:lineRule="exact"/>
              <w:ind w:left="52"/>
              <w:rPr>
                <w:rFonts w:ascii="黑体" w:eastAsia="黑体" w:hint="eastAsia"/>
                <w:sz w:val="21"/>
              </w:rPr>
            </w:pPr>
            <w:r>
              <w:rPr>
                <w:rFonts w:ascii="黑体" w:eastAsia="黑体" w:hint="eastAsia"/>
                <w:sz w:val="21"/>
              </w:rPr>
              <w:t>保险期间</w:t>
            </w:r>
          </w:p>
        </w:tc>
        <w:tc>
          <w:tcPr>
            <w:tcW w:w="3769" w:type="dxa"/>
            <w:gridSpan w:val="2"/>
          </w:tcPr>
          <w:p>
            <w:pPr>
              <w:pStyle w:val="TableParagraph"/>
              <w:spacing w:line="266" w:lineRule="exact"/>
              <w:ind w:left="790"/>
              <w:rPr>
                <w:rFonts w:ascii="黑体" w:eastAsia="黑体" w:hint="eastAsia"/>
                <w:sz w:val="21"/>
              </w:rPr>
            </w:pPr>
            <w:r>
              <w:rPr>
                <w:rFonts w:ascii="黑体" w:eastAsia="黑体" w:hint="eastAsia"/>
                <w:sz w:val="21"/>
              </w:rPr>
              <w:t>7.1 重大疾病的定义</w:t>
            </w:r>
          </w:p>
        </w:tc>
        <w:tc>
          <w:tcPr>
            <w:tcW w:w="761" w:type="dxa"/>
          </w:tcPr>
          <w:p>
            <w:pPr>
              <w:pStyle w:val="TableParagraph"/>
              <w:spacing w:line="266" w:lineRule="exact"/>
              <w:ind w:left="0" w:right="48"/>
              <w:jc w:val="right"/>
              <w:rPr>
                <w:rFonts w:ascii="黑体"/>
                <w:sz w:val="21"/>
              </w:rPr>
            </w:pPr>
            <w:r>
              <w:rPr>
                <w:rFonts w:ascii="黑体"/>
                <w:sz w:val="21"/>
              </w:rPr>
              <w:t>8.15</w:t>
            </w:r>
          </w:p>
        </w:tc>
        <w:tc>
          <w:tcPr>
            <w:tcW w:w="2270" w:type="dxa"/>
          </w:tcPr>
          <w:p>
            <w:pPr>
              <w:pStyle w:val="TableParagraph"/>
              <w:spacing w:line="266" w:lineRule="exact"/>
              <w:ind w:left="60"/>
              <w:rPr>
                <w:rFonts w:ascii="黑体" w:eastAsia="黑体" w:hint="eastAsia"/>
                <w:sz w:val="21"/>
              </w:rPr>
            </w:pPr>
            <w:r>
              <w:rPr>
                <w:rFonts w:ascii="黑体" w:eastAsia="黑体" w:hint="eastAsia"/>
                <w:sz w:val="21"/>
              </w:rPr>
              <w:t>先天性畸形、变形或染</w:t>
            </w:r>
          </w:p>
        </w:tc>
      </w:tr>
      <w:tr>
        <w:trPr>
          <w:trHeight w:val="319" w:hRule="atLeast"/>
        </w:trPr>
        <w:tc>
          <w:tcPr>
            <w:tcW w:w="420" w:type="dxa"/>
          </w:tcPr>
          <w:p>
            <w:pPr>
              <w:pStyle w:val="TableParagraph"/>
              <w:spacing w:line="265" w:lineRule="exact"/>
              <w:ind w:left="50"/>
              <w:rPr>
                <w:rFonts w:ascii="黑体"/>
                <w:sz w:val="21"/>
              </w:rPr>
            </w:pPr>
            <w:r>
              <w:rPr>
                <w:rFonts w:ascii="黑体"/>
                <w:sz w:val="21"/>
              </w:rPr>
              <w:t>2.3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等待期</w:t>
            </w:r>
          </w:p>
        </w:tc>
        <w:tc>
          <w:tcPr>
            <w:tcW w:w="3769" w:type="dxa"/>
            <w:gridSpan w:val="2"/>
          </w:tcPr>
          <w:p>
            <w:pPr>
              <w:pStyle w:val="TableParagraph"/>
              <w:spacing w:line="265" w:lineRule="exact"/>
              <w:ind w:left="790"/>
              <w:rPr>
                <w:rFonts w:ascii="黑体" w:eastAsia="黑体" w:hint="eastAsia"/>
                <w:sz w:val="21"/>
              </w:rPr>
            </w:pPr>
            <w:r>
              <w:rPr>
                <w:rFonts w:ascii="黑体" w:eastAsia="黑体" w:hint="eastAsia"/>
                <w:sz w:val="21"/>
              </w:rPr>
              <w:t>7.2 定义来源及确诊医院范围</w:t>
            </w:r>
          </w:p>
        </w:tc>
        <w:tc>
          <w:tcPr>
            <w:tcW w:w="761" w:type="dxa"/>
          </w:tcPr>
          <w:p>
            <w:pPr>
              <w:pStyle w:val="TableParagraph"/>
              <w:ind w:left="0"/>
              <w:rPr>
                <w:rFonts w:ascii="Times New Roman"/>
                <w:sz w:val="20"/>
              </w:rPr>
            </w:pPr>
          </w:p>
        </w:tc>
        <w:tc>
          <w:tcPr>
            <w:tcW w:w="2270" w:type="dxa"/>
          </w:tcPr>
          <w:p>
            <w:pPr>
              <w:pStyle w:val="TableParagraph"/>
              <w:spacing w:line="265" w:lineRule="exact"/>
              <w:ind w:left="55"/>
              <w:rPr>
                <w:rFonts w:ascii="黑体" w:eastAsia="黑体" w:hint="eastAsia"/>
                <w:sz w:val="21"/>
              </w:rPr>
            </w:pPr>
            <w:r>
              <w:rPr>
                <w:rFonts w:ascii="黑体" w:eastAsia="黑体" w:hint="eastAsia"/>
                <w:sz w:val="21"/>
              </w:rPr>
              <w:t>色体异常</w:t>
            </w:r>
          </w:p>
        </w:tc>
      </w:tr>
      <w:tr>
        <w:trPr>
          <w:trHeight w:val="320" w:hRule="atLeast"/>
        </w:trPr>
        <w:tc>
          <w:tcPr>
            <w:tcW w:w="420" w:type="dxa"/>
          </w:tcPr>
          <w:p>
            <w:pPr>
              <w:pStyle w:val="TableParagraph"/>
              <w:spacing w:line="265" w:lineRule="exact"/>
              <w:ind w:left="50"/>
              <w:rPr>
                <w:rFonts w:ascii="黑体"/>
                <w:sz w:val="21"/>
              </w:rPr>
            </w:pPr>
            <w:r>
              <w:rPr>
                <w:rFonts w:ascii="黑体"/>
                <w:sz w:val="21"/>
              </w:rPr>
              <w:t>2.4</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769" w:type="dxa"/>
            <w:gridSpan w:val="2"/>
          </w:tcPr>
          <w:p>
            <w:pPr>
              <w:pStyle w:val="TableParagraph"/>
              <w:tabs>
                <w:tab w:pos="3483" w:val="left" w:leader="none"/>
              </w:tabs>
              <w:spacing w:line="265" w:lineRule="exact"/>
              <w:ind w:left="790"/>
              <w:rPr>
                <w:rFonts w:ascii="黑体" w:eastAsia="黑体" w:hint="eastAsia"/>
                <w:sz w:val="21"/>
              </w:rPr>
            </w:pPr>
            <w:r>
              <w:rPr>
                <w:rFonts w:ascii="黑体" w:eastAsia="黑体" w:hint="eastAsia"/>
                <w:sz w:val="21"/>
                <w:shd w:fill="A6A6A6" w:color="auto" w:val="clear"/>
              </w:rPr>
              <w:t>8．</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761" w:type="dxa"/>
          </w:tcPr>
          <w:p>
            <w:pPr>
              <w:pStyle w:val="TableParagraph"/>
              <w:spacing w:line="265" w:lineRule="exact"/>
              <w:ind w:left="0" w:right="53"/>
              <w:jc w:val="right"/>
              <w:rPr>
                <w:rFonts w:ascii="黑体"/>
                <w:sz w:val="21"/>
              </w:rPr>
            </w:pPr>
            <w:r>
              <w:rPr>
                <w:rFonts w:ascii="黑体"/>
                <w:sz w:val="21"/>
              </w:rPr>
              <w:t>8.16</w:t>
            </w:r>
          </w:p>
        </w:tc>
        <w:tc>
          <w:tcPr>
            <w:tcW w:w="2270" w:type="dxa"/>
          </w:tcPr>
          <w:p>
            <w:pPr>
              <w:pStyle w:val="TableParagraph"/>
              <w:spacing w:line="265" w:lineRule="exact"/>
              <w:ind w:left="48"/>
              <w:rPr>
                <w:rFonts w:ascii="黑体" w:eastAsia="黑体" w:hint="eastAsia"/>
                <w:sz w:val="21"/>
              </w:rPr>
            </w:pPr>
            <w:r>
              <w:rPr>
                <w:rFonts w:ascii="黑体" w:eastAsia="黑体" w:hint="eastAsia"/>
                <w:sz w:val="21"/>
              </w:rPr>
              <w:t>情形复杂</w:t>
            </w:r>
          </w:p>
        </w:tc>
      </w:tr>
      <w:tr>
        <w:trPr>
          <w:trHeight w:val="266" w:hRule="atLeast"/>
        </w:trPr>
        <w:tc>
          <w:tcPr>
            <w:tcW w:w="420" w:type="dxa"/>
          </w:tcPr>
          <w:p>
            <w:pPr>
              <w:pStyle w:val="TableParagraph"/>
              <w:spacing w:line="246" w:lineRule="exact"/>
              <w:ind w:left="50"/>
              <w:rPr>
                <w:rFonts w:ascii="黑体"/>
                <w:sz w:val="21"/>
              </w:rPr>
            </w:pPr>
            <w:r>
              <w:rPr>
                <w:rFonts w:ascii="黑体"/>
                <w:sz w:val="21"/>
              </w:rPr>
              <w:t>2.5</w:t>
            </w:r>
          </w:p>
        </w:tc>
        <w:tc>
          <w:tcPr>
            <w:tcW w:w="2104" w:type="dxa"/>
          </w:tcPr>
          <w:p>
            <w:pPr>
              <w:pStyle w:val="TableParagraph"/>
              <w:spacing w:line="246" w:lineRule="exact"/>
              <w:ind w:left="52"/>
              <w:rPr>
                <w:rFonts w:ascii="黑体" w:eastAsia="黑体" w:hint="eastAsia"/>
                <w:sz w:val="21"/>
              </w:rPr>
            </w:pPr>
            <w:r>
              <w:rPr>
                <w:rFonts w:ascii="黑体" w:eastAsia="黑体" w:hint="eastAsia"/>
                <w:sz w:val="21"/>
              </w:rPr>
              <w:t>责任免除</w:t>
            </w:r>
          </w:p>
        </w:tc>
        <w:tc>
          <w:tcPr>
            <w:tcW w:w="3769" w:type="dxa"/>
            <w:gridSpan w:val="2"/>
          </w:tcPr>
          <w:p>
            <w:pPr>
              <w:pStyle w:val="TableParagraph"/>
              <w:spacing w:line="246" w:lineRule="exact"/>
              <w:ind w:left="790"/>
              <w:rPr>
                <w:rFonts w:ascii="黑体" w:eastAsia="黑体" w:hint="eastAsia"/>
                <w:sz w:val="21"/>
              </w:rPr>
            </w:pPr>
            <w:r>
              <w:rPr>
                <w:rFonts w:ascii="黑体" w:eastAsia="黑体" w:hint="eastAsia"/>
                <w:sz w:val="21"/>
              </w:rPr>
              <w:t>8.1 保单年度</w:t>
            </w:r>
          </w:p>
        </w:tc>
        <w:tc>
          <w:tcPr>
            <w:tcW w:w="761" w:type="dxa"/>
          </w:tcPr>
          <w:p>
            <w:pPr>
              <w:pStyle w:val="TableParagraph"/>
              <w:spacing w:line="246" w:lineRule="exact"/>
              <w:ind w:left="0" w:right="53"/>
              <w:jc w:val="right"/>
              <w:rPr>
                <w:rFonts w:ascii="黑体"/>
                <w:sz w:val="21"/>
              </w:rPr>
            </w:pPr>
            <w:r>
              <w:rPr>
                <w:rFonts w:ascii="黑体"/>
                <w:sz w:val="21"/>
              </w:rPr>
              <w:t>8.17</w:t>
            </w:r>
          </w:p>
        </w:tc>
        <w:tc>
          <w:tcPr>
            <w:tcW w:w="2270" w:type="dxa"/>
          </w:tcPr>
          <w:p>
            <w:pPr>
              <w:pStyle w:val="TableParagraph"/>
              <w:spacing w:line="246" w:lineRule="exact"/>
              <w:ind w:left="48"/>
              <w:rPr>
                <w:rFonts w:ascii="黑体" w:eastAsia="黑体" w:hint="eastAsia"/>
                <w:sz w:val="21"/>
              </w:rPr>
            </w:pPr>
            <w:r>
              <w:rPr>
                <w:rFonts w:ascii="黑体" w:eastAsia="黑体" w:hint="eastAsia"/>
                <w:sz w:val="21"/>
              </w:rPr>
              <w:t>专科医Th</w:t>
            </w:r>
          </w:p>
        </w:tc>
      </w:tr>
      <w:tr>
        <w:trPr>
          <w:trHeight w:val="373" w:hRule="atLeast"/>
        </w:trPr>
        <w:tc>
          <w:tcPr>
            <w:tcW w:w="9324" w:type="dxa"/>
            <w:gridSpan w:val="6"/>
          </w:tcPr>
          <w:p>
            <w:pPr>
              <w:pStyle w:val="TableParagraph"/>
              <w:tabs>
                <w:tab w:pos="2743" w:val="left" w:leader="none"/>
                <w:tab w:pos="3314" w:val="left" w:leader="none"/>
                <w:tab w:pos="6576" w:val="left" w:leader="none"/>
              </w:tabs>
              <w:spacing w:before="44"/>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r>
              <w:rPr>
                <w:rFonts w:ascii="黑体" w:eastAsia="黑体" w:hint="eastAsia"/>
                <w:sz w:val="21"/>
              </w:rPr>
              <w:tab/>
              <w:t>8.2</w:t>
            </w:r>
            <w:r>
              <w:rPr>
                <w:rFonts w:ascii="黑体" w:eastAsia="黑体" w:hint="eastAsia"/>
                <w:spacing w:val="2"/>
                <w:sz w:val="21"/>
              </w:rPr>
              <w:t> </w:t>
            </w:r>
            <w:r>
              <w:rPr>
                <w:rFonts w:ascii="黑体" w:eastAsia="黑体" w:hint="eastAsia"/>
                <w:spacing w:val="-3"/>
                <w:sz w:val="21"/>
              </w:rPr>
              <w:t>保</w:t>
            </w:r>
            <w:r>
              <w:rPr>
                <w:rFonts w:ascii="黑体" w:eastAsia="黑体" w:hint="eastAsia"/>
                <w:sz w:val="21"/>
              </w:rPr>
              <w:t>单</w:t>
            </w:r>
            <w:r>
              <w:rPr>
                <w:rFonts w:ascii="黑体" w:eastAsia="黑体" w:hint="eastAsia"/>
                <w:spacing w:val="-3"/>
                <w:sz w:val="21"/>
              </w:rPr>
              <w:t>周</w:t>
            </w:r>
            <w:r>
              <w:rPr>
                <w:rFonts w:ascii="黑体" w:eastAsia="黑体" w:hint="eastAsia"/>
                <w:sz w:val="21"/>
              </w:rPr>
              <w:t>年日</w:t>
              <w:tab/>
              <w:t>8.18</w:t>
            </w:r>
            <w:r>
              <w:rPr>
                <w:rFonts w:ascii="黑体" w:eastAsia="黑体" w:hint="eastAsia"/>
                <w:spacing w:val="10"/>
                <w:sz w:val="21"/>
              </w:rPr>
              <w:t> </w:t>
            </w:r>
            <w:r>
              <w:rPr>
                <w:rFonts w:ascii="黑体" w:eastAsia="黑体" w:hint="eastAsia"/>
                <w:sz w:val="21"/>
              </w:rPr>
              <w:t>肢</w:t>
            </w:r>
            <w:r>
              <w:rPr>
                <w:rFonts w:ascii="黑体" w:eastAsia="黑体" w:hint="eastAsia"/>
                <w:spacing w:val="-3"/>
                <w:sz w:val="21"/>
              </w:rPr>
              <w:t>体</w:t>
            </w:r>
            <w:r>
              <w:rPr>
                <w:rFonts w:ascii="黑体" w:eastAsia="黑体" w:hint="eastAsia"/>
                <w:sz w:val="21"/>
              </w:rPr>
              <w:t>机</w:t>
            </w:r>
            <w:r>
              <w:rPr>
                <w:rFonts w:ascii="黑体" w:eastAsia="黑体" w:hint="eastAsia"/>
                <w:spacing w:val="-3"/>
                <w:sz w:val="21"/>
              </w:rPr>
              <w:t>能</w:t>
            </w:r>
            <w:r>
              <w:rPr>
                <w:rFonts w:ascii="黑体" w:eastAsia="黑体" w:hint="eastAsia"/>
                <w:sz w:val="21"/>
              </w:rPr>
              <w:t>完</w:t>
            </w:r>
            <w:r>
              <w:rPr>
                <w:rFonts w:ascii="黑体" w:eastAsia="黑体" w:hint="eastAsia"/>
                <w:spacing w:val="-3"/>
                <w:sz w:val="21"/>
              </w:rPr>
              <w:t>全</w:t>
            </w:r>
            <w:r>
              <w:rPr>
                <w:rFonts w:ascii="黑体" w:eastAsia="黑体" w:hint="eastAsia"/>
                <w:sz w:val="21"/>
              </w:rPr>
              <w:t>丧失</w:t>
            </w:r>
          </w:p>
        </w:tc>
      </w:tr>
      <w:tr>
        <w:trPr>
          <w:trHeight w:val="320" w:hRule="atLeast"/>
        </w:trPr>
        <w:tc>
          <w:tcPr>
            <w:tcW w:w="420" w:type="dxa"/>
          </w:tcPr>
          <w:p>
            <w:pPr>
              <w:pStyle w:val="TableParagraph"/>
              <w:spacing w:line="265" w:lineRule="exact"/>
              <w:ind w:left="50"/>
              <w:rPr>
                <w:rFonts w:ascii="黑体"/>
                <w:sz w:val="21"/>
              </w:rPr>
            </w:pPr>
            <w:r>
              <w:rPr>
                <w:rFonts w:ascii="黑体"/>
                <w:sz w:val="21"/>
              </w:rPr>
              <w:t>3.1</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受益人</w:t>
            </w:r>
          </w:p>
        </w:tc>
        <w:tc>
          <w:tcPr>
            <w:tcW w:w="1161" w:type="dxa"/>
          </w:tcPr>
          <w:p>
            <w:pPr>
              <w:pStyle w:val="TableParagraph"/>
              <w:spacing w:line="265" w:lineRule="exact"/>
              <w:ind w:left="0" w:right="51"/>
              <w:jc w:val="right"/>
              <w:rPr>
                <w:rFonts w:ascii="黑体"/>
                <w:sz w:val="21"/>
              </w:rPr>
            </w:pPr>
            <w:r>
              <w:rPr>
                <w:rFonts w:ascii="黑体"/>
                <w:sz w:val="21"/>
              </w:rPr>
              <w:t>8.3</w:t>
            </w:r>
          </w:p>
        </w:tc>
        <w:tc>
          <w:tcPr>
            <w:tcW w:w="2608" w:type="dxa"/>
          </w:tcPr>
          <w:p>
            <w:pPr>
              <w:pStyle w:val="TableParagraph"/>
              <w:spacing w:line="265" w:lineRule="exact"/>
              <w:ind w:left="51"/>
              <w:rPr>
                <w:rFonts w:ascii="黑体" w:eastAsia="黑体" w:hint="eastAsia"/>
                <w:sz w:val="21"/>
              </w:rPr>
            </w:pPr>
            <w:r>
              <w:rPr>
                <w:rFonts w:ascii="黑体" w:eastAsia="黑体" w:hint="eastAsia"/>
                <w:sz w:val="21"/>
              </w:rPr>
              <w:t>周岁</w:t>
            </w:r>
          </w:p>
        </w:tc>
        <w:tc>
          <w:tcPr>
            <w:tcW w:w="761" w:type="dxa"/>
          </w:tcPr>
          <w:p>
            <w:pPr>
              <w:pStyle w:val="TableParagraph"/>
              <w:spacing w:line="265" w:lineRule="exact"/>
              <w:ind w:left="0" w:right="53"/>
              <w:jc w:val="right"/>
              <w:rPr>
                <w:rFonts w:ascii="黑体"/>
                <w:sz w:val="21"/>
              </w:rPr>
            </w:pPr>
            <w:r>
              <w:rPr>
                <w:rFonts w:ascii="黑体"/>
                <w:sz w:val="21"/>
              </w:rPr>
              <w:t>8.19</w:t>
            </w:r>
          </w:p>
        </w:tc>
        <w:tc>
          <w:tcPr>
            <w:tcW w:w="2270" w:type="dxa"/>
          </w:tcPr>
          <w:p>
            <w:pPr>
              <w:pStyle w:val="TableParagraph"/>
              <w:spacing w:line="265" w:lineRule="exact"/>
              <w:ind w:left="55"/>
              <w:rPr>
                <w:rFonts w:ascii="黑体" w:eastAsia="黑体" w:hint="eastAsia"/>
                <w:sz w:val="21"/>
              </w:rPr>
            </w:pPr>
            <w:r>
              <w:rPr>
                <w:rFonts w:ascii="黑体" w:eastAsia="黑体" w:hint="eastAsia"/>
                <w:sz w:val="21"/>
              </w:rPr>
              <w:t>语言能力或咀嚼吞咽能</w:t>
            </w:r>
          </w:p>
        </w:tc>
      </w:tr>
      <w:tr>
        <w:trPr>
          <w:trHeight w:val="320" w:hRule="atLeast"/>
        </w:trPr>
        <w:tc>
          <w:tcPr>
            <w:tcW w:w="420" w:type="dxa"/>
          </w:tcPr>
          <w:p>
            <w:pPr>
              <w:pStyle w:val="TableParagraph"/>
              <w:spacing w:line="266" w:lineRule="exact"/>
              <w:ind w:left="50"/>
              <w:rPr>
                <w:rFonts w:ascii="黑体"/>
                <w:sz w:val="21"/>
              </w:rPr>
            </w:pPr>
            <w:r>
              <w:rPr>
                <w:rFonts w:ascii="黑体"/>
                <w:sz w:val="21"/>
              </w:rPr>
              <w:t>3.2</w:t>
            </w:r>
          </w:p>
        </w:tc>
        <w:tc>
          <w:tcPr>
            <w:tcW w:w="2104" w:type="dxa"/>
          </w:tcPr>
          <w:p>
            <w:pPr>
              <w:pStyle w:val="TableParagraph"/>
              <w:spacing w:line="266" w:lineRule="exact"/>
              <w:ind w:left="52"/>
              <w:rPr>
                <w:rFonts w:ascii="黑体" w:eastAsia="黑体" w:hint="eastAsia"/>
                <w:sz w:val="21"/>
              </w:rPr>
            </w:pPr>
            <w:r>
              <w:rPr>
                <w:rFonts w:ascii="黑体" w:eastAsia="黑体" w:hint="eastAsia"/>
                <w:sz w:val="21"/>
              </w:rPr>
              <w:t>保险事故通知</w:t>
            </w:r>
          </w:p>
        </w:tc>
        <w:tc>
          <w:tcPr>
            <w:tcW w:w="1161" w:type="dxa"/>
          </w:tcPr>
          <w:p>
            <w:pPr>
              <w:pStyle w:val="TableParagraph"/>
              <w:spacing w:line="266" w:lineRule="exact"/>
              <w:ind w:left="0" w:right="51"/>
              <w:jc w:val="right"/>
              <w:rPr>
                <w:rFonts w:ascii="黑体"/>
                <w:sz w:val="21"/>
              </w:rPr>
            </w:pPr>
            <w:r>
              <w:rPr>
                <w:rFonts w:ascii="黑体"/>
                <w:sz w:val="21"/>
              </w:rPr>
              <w:t>8.4</w:t>
            </w:r>
          </w:p>
        </w:tc>
        <w:tc>
          <w:tcPr>
            <w:tcW w:w="2608" w:type="dxa"/>
          </w:tcPr>
          <w:p>
            <w:pPr>
              <w:pStyle w:val="TableParagraph"/>
              <w:spacing w:line="266" w:lineRule="exact"/>
              <w:ind w:left="51"/>
              <w:rPr>
                <w:rFonts w:ascii="黑体" w:eastAsia="黑体" w:hint="eastAsia"/>
                <w:sz w:val="21"/>
              </w:rPr>
            </w:pPr>
            <w:r>
              <w:rPr>
                <w:rFonts w:ascii="黑体" w:eastAsia="黑体" w:hint="eastAsia"/>
                <w:sz w:val="21"/>
              </w:rPr>
              <w:t>有效身份证件</w:t>
            </w:r>
          </w:p>
        </w:tc>
        <w:tc>
          <w:tcPr>
            <w:tcW w:w="761" w:type="dxa"/>
          </w:tcPr>
          <w:p>
            <w:pPr>
              <w:pStyle w:val="TableParagraph"/>
              <w:ind w:left="0"/>
              <w:rPr>
                <w:rFonts w:ascii="Times New Roman"/>
                <w:sz w:val="20"/>
              </w:rPr>
            </w:pPr>
          </w:p>
        </w:tc>
        <w:tc>
          <w:tcPr>
            <w:tcW w:w="2270" w:type="dxa"/>
          </w:tcPr>
          <w:p>
            <w:pPr>
              <w:pStyle w:val="TableParagraph"/>
              <w:spacing w:line="266" w:lineRule="exact"/>
              <w:ind w:left="48"/>
              <w:rPr>
                <w:rFonts w:ascii="黑体" w:eastAsia="黑体" w:hint="eastAsia"/>
                <w:sz w:val="21"/>
              </w:rPr>
            </w:pPr>
            <w:r>
              <w:rPr>
                <w:rFonts w:ascii="黑体" w:eastAsia="黑体" w:hint="eastAsia"/>
                <w:sz w:val="21"/>
              </w:rPr>
              <w:t>力完全丧失</w:t>
            </w:r>
          </w:p>
        </w:tc>
      </w:tr>
      <w:tr>
        <w:trPr>
          <w:trHeight w:val="319" w:hRule="atLeast"/>
        </w:trPr>
        <w:tc>
          <w:tcPr>
            <w:tcW w:w="420" w:type="dxa"/>
          </w:tcPr>
          <w:p>
            <w:pPr>
              <w:pStyle w:val="TableParagraph"/>
              <w:spacing w:line="265" w:lineRule="exact"/>
              <w:ind w:left="50"/>
              <w:rPr>
                <w:rFonts w:ascii="黑体"/>
                <w:sz w:val="21"/>
              </w:rPr>
            </w:pPr>
            <w:r>
              <w:rPr>
                <w:rFonts w:ascii="黑体"/>
                <w:sz w:val="21"/>
              </w:rPr>
              <w:t>3.3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1161" w:type="dxa"/>
          </w:tcPr>
          <w:p>
            <w:pPr>
              <w:pStyle w:val="TableParagraph"/>
              <w:spacing w:line="265" w:lineRule="exact"/>
              <w:ind w:left="0" w:right="51"/>
              <w:jc w:val="right"/>
              <w:rPr>
                <w:rFonts w:ascii="黑体"/>
                <w:sz w:val="21"/>
              </w:rPr>
            </w:pPr>
            <w:r>
              <w:rPr>
                <w:rFonts w:ascii="黑体"/>
                <w:sz w:val="21"/>
              </w:rPr>
              <w:t>8.5</w:t>
            </w:r>
          </w:p>
        </w:tc>
        <w:tc>
          <w:tcPr>
            <w:tcW w:w="2608" w:type="dxa"/>
          </w:tcPr>
          <w:p>
            <w:pPr>
              <w:pStyle w:val="TableParagraph"/>
              <w:spacing w:line="265" w:lineRule="exact"/>
              <w:ind w:left="51"/>
              <w:rPr>
                <w:rFonts w:ascii="黑体" w:eastAsia="黑体" w:hint="eastAsia"/>
                <w:sz w:val="21"/>
              </w:rPr>
            </w:pPr>
            <w:r>
              <w:rPr>
                <w:rFonts w:ascii="黑体" w:eastAsia="黑体" w:hint="eastAsia"/>
                <w:sz w:val="21"/>
              </w:rPr>
              <w:t>意外伤害</w:t>
            </w:r>
          </w:p>
        </w:tc>
        <w:tc>
          <w:tcPr>
            <w:tcW w:w="761" w:type="dxa"/>
          </w:tcPr>
          <w:p>
            <w:pPr>
              <w:pStyle w:val="TableParagraph"/>
              <w:spacing w:line="265" w:lineRule="exact"/>
              <w:ind w:left="0" w:right="53"/>
              <w:jc w:val="right"/>
              <w:rPr>
                <w:rFonts w:ascii="黑体"/>
                <w:sz w:val="21"/>
              </w:rPr>
            </w:pPr>
            <w:r>
              <w:rPr>
                <w:rFonts w:ascii="黑体"/>
                <w:sz w:val="21"/>
              </w:rPr>
              <w:t>8.20</w:t>
            </w:r>
          </w:p>
        </w:tc>
        <w:tc>
          <w:tcPr>
            <w:tcW w:w="2270" w:type="dxa"/>
          </w:tcPr>
          <w:p>
            <w:pPr>
              <w:pStyle w:val="TableParagraph"/>
              <w:spacing w:line="265" w:lineRule="exact"/>
              <w:ind w:left="48"/>
              <w:rPr>
                <w:rFonts w:ascii="黑体" w:eastAsia="黑体" w:hint="eastAsia"/>
                <w:sz w:val="21"/>
              </w:rPr>
            </w:pPr>
            <w:r>
              <w:rPr>
                <w:rFonts w:ascii="黑体" w:eastAsia="黑体" w:hint="eastAsia"/>
                <w:sz w:val="21"/>
              </w:rPr>
              <w:t>六项基本日常Th活活动</w:t>
            </w:r>
          </w:p>
        </w:tc>
      </w:tr>
      <w:tr>
        <w:trPr>
          <w:trHeight w:val="320" w:hRule="atLeast"/>
        </w:trPr>
        <w:tc>
          <w:tcPr>
            <w:tcW w:w="420" w:type="dxa"/>
          </w:tcPr>
          <w:p>
            <w:pPr>
              <w:pStyle w:val="TableParagraph"/>
              <w:spacing w:line="265" w:lineRule="exact"/>
              <w:ind w:left="50"/>
              <w:rPr>
                <w:rFonts w:ascii="黑体"/>
                <w:sz w:val="21"/>
              </w:rPr>
            </w:pPr>
            <w:r>
              <w:rPr>
                <w:rFonts w:ascii="黑体"/>
                <w:sz w:val="21"/>
              </w:rPr>
              <w:t>3.4</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保险金给付</w:t>
            </w:r>
          </w:p>
        </w:tc>
        <w:tc>
          <w:tcPr>
            <w:tcW w:w="1161" w:type="dxa"/>
          </w:tcPr>
          <w:p>
            <w:pPr>
              <w:pStyle w:val="TableParagraph"/>
              <w:spacing w:line="265" w:lineRule="exact"/>
              <w:ind w:left="0" w:right="51"/>
              <w:jc w:val="right"/>
              <w:rPr>
                <w:rFonts w:ascii="黑体"/>
                <w:sz w:val="21"/>
              </w:rPr>
            </w:pPr>
            <w:r>
              <w:rPr>
                <w:rFonts w:ascii="黑体"/>
                <w:sz w:val="21"/>
              </w:rPr>
              <w:t>8.6</w:t>
            </w:r>
          </w:p>
        </w:tc>
        <w:tc>
          <w:tcPr>
            <w:tcW w:w="2608" w:type="dxa"/>
          </w:tcPr>
          <w:p>
            <w:pPr>
              <w:pStyle w:val="TableParagraph"/>
              <w:spacing w:line="265" w:lineRule="exact"/>
              <w:ind w:left="51"/>
              <w:rPr>
                <w:rFonts w:ascii="黑体" w:eastAsia="黑体" w:hint="eastAsia"/>
                <w:sz w:val="21"/>
              </w:rPr>
            </w:pPr>
            <w:r>
              <w:rPr>
                <w:rFonts w:ascii="黑体" w:eastAsia="黑体" w:hint="eastAsia"/>
                <w:sz w:val="21"/>
              </w:rPr>
              <w:t>初次发Th</w:t>
            </w:r>
          </w:p>
        </w:tc>
        <w:tc>
          <w:tcPr>
            <w:tcW w:w="761" w:type="dxa"/>
          </w:tcPr>
          <w:p>
            <w:pPr>
              <w:pStyle w:val="TableParagraph"/>
              <w:spacing w:line="265" w:lineRule="exact"/>
              <w:ind w:left="0" w:right="53"/>
              <w:jc w:val="right"/>
              <w:rPr>
                <w:rFonts w:ascii="黑体"/>
                <w:sz w:val="21"/>
              </w:rPr>
            </w:pPr>
            <w:r>
              <w:rPr>
                <w:rFonts w:ascii="黑体"/>
                <w:sz w:val="21"/>
              </w:rPr>
              <w:t>8.21</w:t>
            </w:r>
          </w:p>
        </w:tc>
        <w:tc>
          <w:tcPr>
            <w:tcW w:w="2270" w:type="dxa"/>
          </w:tcPr>
          <w:p>
            <w:pPr>
              <w:pStyle w:val="TableParagraph"/>
              <w:spacing w:line="265" w:lineRule="exact"/>
              <w:ind w:left="48"/>
              <w:rPr>
                <w:rFonts w:ascii="黑体" w:eastAsia="黑体" w:hint="eastAsia"/>
                <w:sz w:val="21"/>
              </w:rPr>
            </w:pPr>
            <w:r>
              <w:rPr>
                <w:rFonts w:ascii="黑体" w:eastAsia="黑体" w:hint="eastAsia"/>
                <w:sz w:val="21"/>
              </w:rPr>
              <w:t>永久不可逆</w:t>
            </w:r>
          </w:p>
        </w:tc>
      </w:tr>
      <w:tr>
        <w:trPr>
          <w:trHeight w:val="266" w:hRule="atLeast"/>
        </w:trPr>
        <w:tc>
          <w:tcPr>
            <w:tcW w:w="420" w:type="dxa"/>
          </w:tcPr>
          <w:p>
            <w:pPr>
              <w:pStyle w:val="TableParagraph"/>
              <w:spacing w:line="246" w:lineRule="exact"/>
              <w:ind w:left="50"/>
              <w:rPr>
                <w:rFonts w:ascii="黑体"/>
                <w:sz w:val="21"/>
              </w:rPr>
            </w:pPr>
            <w:r>
              <w:rPr>
                <w:rFonts w:ascii="黑体"/>
                <w:sz w:val="21"/>
              </w:rPr>
              <w:t>3.5</w:t>
            </w:r>
          </w:p>
        </w:tc>
        <w:tc>
          <w:tcPr>
            <w:tcW w:w="2104" w:type="dxa"/>
          </w:tcPr>
          <w:p>
            <w:pPr>
              <w:pStyle w:val="TableParagraph"/>
              <w:spacing w:line="246" w:lineRule="exact"/>
              <w:ind w:left="52"/>
              <w:rPr>
                <w:rFonts w:ascii="黑体" w:eastAsia="黑体" w:hint="eastAsia"/>
                <w:sz w:val="21"/>
              </w:rPr>
            </w:pPr>
            <w:r>
              <w:rPr>
                <w:rFonts w:ascii="黑体" w:eastAsia="黑体" w:hint="eastAsia"/>
                <w:sz w:val="21"/>
              </w:rPr>
              <w:t>诉讼时效</w:t>
            </w:r>
          </w:p>
        </w:tc>
        <w:tc>
          <w:tcPr>
            <w:tcW w:w="1161" w:type="dxa"/>
          </w:tcPr>
          <w:p>
            <w:pPr>
              <w:pStyle w:val="TableParagraph"/>
              <w:spacing w:line="246" w:lineRule="exact"/>
              <w:ind w:left="0" w:right="51"/>
              <w:jc w:val="right"/>
              <w:rPr>
                <w:rFonts w:ascii="黑体"/>
                <w:sz w:val="21"/>
              </w:rPr>
            </w:pPr>
            <w:r>
              <w:rPr>
                <w:rFonts w:ascii="黑体"/>
                <w:sz w:val="21"/>
              </w:rPr>
              <w:t>8.7</w:t>
            </w:r>
          </w:p>
        </w:tc>
        <w:tc>
          <w:tcPr>
            <w:tcW w:w="2608" w:type="dxa"/>
          </w:tcPr>
          <w:p>
            <w:pPr>
              <w:pStyle w:val="TableParagraph"/>
              <w:spacing w:line="246" w:lineRule="exact"/>
              <w:ind w:left="51"/>
              <w:rPr>
                <w:rFonts w:ascii="黑体" w:eastAsia="黑体" w:hint="eastAsia"/>
                <w:sz w:val="21"/>
              </w:rPr>
            </w:pPr>
            <w:r>
              <w:rPr>
                <w:rFonts w:ascii="黑体" w:eastAsia="黑体" w:hint="eastAsia"/>
                <w:sz w:val="21"/>
              </w:rPr>
              <w:t>约定医院</w:t>
            </w:r>
          </w:p>
        </w:tc>
        <w:tc>
          <w:tcPr>
            <w:tcW w:w="761" w:type="dxa"/>
          </w:tcPr>
          <w:p>
            <w:pPr>
              <w:pStyle w:val="TableParagraph"/>
              <w:ind w:left="0"/>
              <w:rPr>
                <w:rFonts w:ascii="Times New Roman"/>
                <w:sz w:val="18"/>
              </w:rPr>
            </w:pPr>
          </w:p>
        </w:tc>
        <w:tc>
          <w:tcPr>
            <w:tcW w:w="2270" w:type="dxa"/>
          </w:tcPr>
          <w:p>
            <w:pPr>
              <w:pStyle w:val="TableParagraph"/>
              <w:ind w:left="0"/>
              <w:rPr>
                <w:rFonts w:ascii="Times New Roman"/>
                <w:sz w:val="18"/>
              </w:rPr>
            </w:pPr>
          </w:p>
        </w:tc>
      </w:tr>
    </w:tbl>
    <w:p>
      <w:pPr>
        <w:spacing w:after="0"/>
        <w:rPr>
          <w:rFonts w:ascii="Times New Roman"/>
          <w:sz w:val="18"/>
        </w:rPr>
        <w:sectPr>
          <w:type w:val="continuous"/>
          <w:pgSz w:w="11910" w:h="16840"/>
          <w:pgMar w:top="200" w:bottom="280" w:left="1020" w:right="220"/>
        </w:sectPr>
      </w:pPr>
    </w:p>
    <w:p>
      <w:pPr>
        <w:pStyle w:val="Heading1"/>
        <w:spacing w:line="390" w:lineRule="exact" w:before="0"/>
        <w:ind w:left="3447" w:right="3451"/>
      </w:pPr>
      <w:r>
        <w:rPr>
          <w:w w:val="95"/>
        </w:rPr>
        <w:t>中韩人寿保险有限公司</w:t>
      </w:r>
    </w:p>
    <w:p>
      <w:pPr>
        <w:spacing w:before="205"/>
        <w:ind w:left="2261" w:right="0" w:firstLine="0"/>
        <w:jc w:val="left"/>
        <w:rPr>
          <w:rFonts w:ascii="黑体" w:eastAsia="黑体" w:hint="eastAsia"/>
          <w:b/>
          <w:sz w:val="32"/>
        </w:rPr>
      </w:pPr>
      <w:r>
        <w:rPr>
          <w:rFonts w:ascii="黑体" w:eastAsia="黑体" w:hint="eastAsia"/>
          <w:b/>
          <w:w w:val="95"/>
          <w:sz w:val="32"/>
        </w:rPr>
        <w:t>中韩附加爱相依少儿重大疾病保险条款</w:t>
      </w:r>
    </w:p>
    <w:p>
      <w:pPr>
        <w:pStyle w:val="BodyText"/>
        <w:spacing w:before="8"/>
        <w:rPr>
          <w:rFonts w:ascii="黑体"/>
          <w:b/>
          <w:sz w:val="34"/>
        </w:rPr>
      </w:pPr>
    </w:p>
    <w:p>
      <w:pPr>
        <w:pStyle w:val="BodyText"/>
        <w:spacing w:line="273" w:lineRule="auto"/>
        <w:ind w:left="172" w:right="168" w:firstLine="420"/>
        <w:jc w:val="both"/>
      </w:pPr>
      <w:r>
        <w:rPr>
          <w:spacing w:val="-19"/>
          <w:w w:val="100"/>
        </w:rPr>
        <w:t>在本附加险条款中，“您”指投保人，“我们”指中韩人寿保险有限公司，“本附加险合同”指您与我</w:t>
      </w:r>
      <w:r>
        <w:rPr>
          <w:spacing w:val="-16"/>
          <w:w w:val="100"/>
        </w:rPr>
        <w:t>们之间订立的“中韩附加爱相依少儿重大疾病保险合同”，“主险合同”指您与我们之间订立的“中韩爱相</w:t>
      </w:r>
      <w:r>
        <w:rPr>
          <w:spacing w:val="-14"/>
        </w:rPr>
        <w:t>依两全保险合同”。本附加险合同的投保人、被保险人均与主险合同一致。</w:t>
      </w:r>
    </w:p>
    <w:p>
      <w:pPr>
        <w:pStyle w:val="BodyText"/>
        <w:spacing w:before="6"/>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55"/>
        <w:gridCol w:w="7239"/>
      </w:tblGrid>
      <w:tr>
        <w:trPr>
          <w:trHeight w:val="311" w:hRule="atLeast"/>
        </w:trPr>
        <w:tc>
          <w:tcPr>
            <w:tcW w:w="770" w:type="dxa"/>
            <w:shd w:val="clear" w:color="auto" w:fill="A6A6A6"/>
          </w:tcPr>
          <w:p>
            <w:pPr>
              <w:pStyle w:val="TableParagraph"/>
              <w:spacing w:line="262" w:lineRule="exact"/>
              <w:ind w:left="107"/>
              <w:rPr>
                <w:b/>
                <w:sz w:val="21"/>
              </w:rPr>
            </w:pPr>
            <w:r>
              <w:rPr>
                <w:b/>
                <w:sz w:val="21"/>
              </w:rPr>
              <w:t>1．</w:t>
            </w:r>
          </w:p>
        </w:tc>
        <w:tc>
          <w:tcPr>
            <w:tcW w:w="8994" w:type="dxa"/>
            <w:gridSpan w:val="2"/>
            <w:shd w:val="clear" w:color="auto" w:fill="A6A6A6"/>
          </w:tcPr>
          <w:p>
            <w:pPr>
              <w:pStyle w:val="TableParagraph"/>
              <w:spacing w:line="262" w:lineRule="exact"/>
              <w:ind w:left="344"/>
              <w:rPr>
                <w:b/>
                <w:sz w:val="21"/>
              </w:rPr>
            </w:pPr>
            <w:r>
              <w:rPr>
                <w:b/>
                <w:sz w:val="21"/>
              </w:rPr>
              <w:t>您与我们订立的合同</w:t>
            </w:r>
          </w:p>
        </w:tc>
      </w:tr>
      <w:tr>
        <w:trPr>
          <w:trHeight w:val="1149" w:hRule="atLeast"/>
        </w:trPr>
        <w:tc>
          <w:tcPr>
            <w:tcW w:w="770" w:type="dxa"/>
          </w:tcPr>
          <w:p>
            <w:pPr>
              <w:pStyle w:val="TableParagraph"/>
              <w:spacing w:before="129"/>
              <w:ind w:left="107"/>
              <w:rPr>
                <w:b/>
                <w:sz w:val="21"/>
              </w:rPr>
            </w:pPr>
            <w:r>
              <w:rPr>
                <w:b/>
                <w:sz w:val="21"/>
              </w:rPr>
              <w:t>1.1</w:t>
            </w:r>
          </w:p>
        </w:tc>
        <w:tc>
          <w:tcPr>
            <w:tcW w:w="1755" w:type="dxa"/>
          </w:tcPr>
          <w:p>
            <w:pPr>
              <w:pStyle w:val="TableParagraph"/>
              <w:spacing w:before="129"/>
              <w:ind w:left="344"/>
              <w:rPr>
                <w:b/>
                <w:sz w:val="21"/>
              </w:rPr>
            </w:pPr>
            <w:r>
              <w:rPr>
                <w:b/>
                <w:sz w:val="21"/>
              </w:rPr>
              <w:t>合同构成</w:t>
            </w:r>
          </w:p>
        </w:tc>
        <w:tc>
          <w:tcPr>
            <w:tcW w:w="7239" w:type="dxa"/>
          </w:tcPr>
          <w:p>
            <w:pPr>
              <w:pStyle w:val="TableParagraph"/>
              <w:spacing w:line="273" w:lineRule="auto" w:before="129"/>
              <w:ind w:right="105"/>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469" w:hRule="atLeast"/>
        </w:trPr>
        <w:tc>
          <w:tcPr>
            <w:tcW w:w="770" w:type="dxa"/>
          </w:tcPr>
          <w:p>
            <w:pPr>
              <w:pStyle w:val="TableParagraph"/>
              <w:spacing w:before="57"/>
              <w:ind w:left="107"/>
              <w:rPr>
                <w:b/>
                <w:sz w:val="21"/>
              </w:rPr>
            </w:pPr>
            <w:r>
              <w:rPr>
                <w:b/>
                <w:sz w:val="21"/>
              </w:rPr>
              <w:t>1.2</w:t>
            </w:r>
          </w:p>
        </w:tc>
        <w:tc>
          <w:tcPr>
            <w:tcW w:w="1755" w:type="dxa"/>
          </w:tcPr>
          <w:p>
            <w:pPr>
              <w:pStyle w:val="TableParagraph"/>
              <w:spacing w:line="273" w:lineRule="auto" w:before="57"/>
              <w:ind w:left="344" w:right="141"/>
              <w:rPr>
                <w:b/>
                <w:sz w:val="21"/>
              </w:rPr>
            </w:pPr>
            <w:r>
              <w:rPr>
                <w:b/>
                <w:sz w:val="21"/>
              </w:rPr>
              <w:t>合同成立与生效</w:t>
            </w:r>
          </w:p>
        </w:tc>
        <w:tc>
          <w:tcPr>
            <w:tcW w:w="7239" w:type="dxa"/>
          </w:tcPr>
          <w:p>
            <w:pPr>
              <w:pStyle w:val="TableParagraph"/>
              <w:spacing w:before="57"/>
              <w:rPr>
                <w:sz w:val="21"/>
              </w:rPr>
            </w:pPr>
            <w:r>
              <w:rPr>
                <w:sz w:val="21"/>
              </w:rPr>
              <w:t>您提出保险申请、我们同意承保，本附加险合同成立。</w:t>
            </w:r>
          </w:p>
          <w:p>
            <w:pPr>
              <w:pStyle w:val="TableParagraph"/>
              <w:spacing w:line="273" w:lineRule="auto" w:before="115"/>
              <w:ind w:right="46"/>
              <w:jc w:val="both"/>
              <w:rPr>
                <w:sz w:val="21"/>
              </w:rPr>
            </w:pPr>
            <w:r>
              <w:rPr>
                <w:sz w:val="21"/>
              </w:rPr>
              <w:t>本附加险合同自我们同意承保、收到保险费并签发保险单后开始生效。合同</w:t>
            </w:r>
            <w:r>
              <w:rPr>
                <w:spacing w:val="-3"/>
                <w:sz w:val="21"/>
              </w:rPr>
              <w:t>生效日期在保险单上载明，</w:t>
            </w:r>
            <w:r>
              <w:rPr>
                <w:b/>
                <w:sz w:val="21"/>
              </w:rPr>
              <w:t>保单年度</w:t>
            </w:r>
            <w:r>
              <w:rPr>
                <w:sz w:val="21"/>
              </w:rPr>
              <w:t>（</w:t>
            </w:r>
            <w:r>
              <w:rPr>
                <w:spacing w:val="-3"/>
                <w:sz w:val="21"/>
              </w:rPr>
              <w:t>详见释义</w:t>
            </w:r>
            <w:r>
              <w:rPr>
                <w:spacing w:val="-106"/>
                <w:sz w:val="21"/>
              </w:rPr>
              <w:t>）</w:t>
            </w:r>
            <w:r>
              <w:rPr>
                <w:spacing w:val="-3"/>
                <w:sz w:val="21"/>
              </w:rPr>
              <w:t>、</w:t>
            </w:r>
            <w:r>
              <w:rPr>
                <w:b/>
                <w:sz w:val="21"/>
              </w:rPr>
              <w:t>保单周年日</w:t>
            </w:r>
            <w:r>
              <w:rPr>
                <w:spacing w:val="-3"/>
                <w:sz w:val="21"/>
              </w:rPr>
              <w:t>（详见释义</w:t>
            </w:r>
            <w:r>
              <w:rPr>
                <w:sz w:val="21"/>
              </w:rPr>
              <w:t>） </w:t>
            </w:r>
            <w:r>
              <w:rPr>
                <w:spacing w:val="-3"/>
                <w:sz w:val="21"/>
              </w:rPr>
              <w:t>均以该日期计算。</w:t>
            </w:r>
          </w:p>
        </w:tc>
      </w:tr>
      <w:tr>
        <w:trPr>
          <w:trHeight w:val="1701" w:hRule="atLeast"/>
        </w:trPr>
        <w:tc>
          <w:tcPr>
            <w:tcW w:w="770" w:type="dxa"/>
          </w:tcPr>
          <w:p>
            <w:pPr>
              <w:pStyle w:val="TableParagraph"/>
              <w:spacing w:before="57"/>
              <w:ind w:left="107"/>
              <w:rPr>
                <w:b/>
                <w:sz w:val="21"/>
              </w:rPr>
            </w:pPr>
            <w:r>
              <w:rPr>
                <w:b/>
                <w:sz w:val="21"/>
              </w:rPr>
              <w:t>1.3</w:t>
            </w:r>
          </w:p>
        </w:tc>
        <w:tc>
          <w:tcPr>
            <w:tcW w:w="1755" w:type="dxa"/>
          </w:tcPr>
          <w:p>
            <w:pPr>
              <w:pStyle w:val="TableParagraph"/>
              <w:spacing w:before="57"/>
              <w:ind w:left="344"/>
              <w:rPr>
                <w:b/>
                <w:sz w:val="21"/>
              </w:rPr>
            </w:pPr>
            <w:r>
              <w:rPr>
                <w:b/>
                <w:sz w:val="21"/>
              </w:rPr>
              <w:t>合同终止</w:t>
            </w:r>
          </w:p>
        </w:tc>
        <w:tc>
          <w:tcPr>
            <w:tcW w:w="7239" w:type="dxa"/>
          </w:tcPr>
          <w:p>
            <w:pPr>
              <w:pStyle w:val="TableParagraph"/>
              <w:spacing w:before="57"/>
              <w:rPr>
                <w:sz w:val="21"/>
              </w:rPr>
            </w:pPr>
            <w:r>
              <w:rPr>
                <w:sz w:val="21"/>
              </w:rPr>
              <w:t>发生下列情况之一时，本附加险合同效力即时终止：</w:t>
            </w:r>
          </w:p>
          <w:p>
            <w:pPr>
              <w:pStyle w:val="TableParagraph"/>
              <w:spacing w:before="36"/>
              <w:rPr>
                <w:sz w:val="21"/>
              </w:rPr>
            </w:pPr>
            <w:r>
              <w:rPr>
                <w:sz w:val="21"/>
              </w:rPr>
              <w:t>(1)主险合同效力终止；</w:t>
            </w:r>
          </w:p>
          <w:p>
            <w:pPr>
              <w:pStyle w:val="TableParagraph"/>
              <w:spacing w:before="36"/>
              <w:rPr>
                <w:sz w:val="21"/>
              </w:rPr>
            </w:pPr>
            <w:r>
              <w:rPr>
                <w:sz w:val="21"/>
              </w:rPr>
              <w:t>(2)您于合同有效期内向我们申请解除本附加险合同；</w:t>
            </w:r>
          </w:p>
          <w:p>
            <w:pPr>
              <w:pStyle w:val="TableParagraph"/>
              <w:spacing w:before="36"/>
              <w:rPr>
                <w:sz w:val="21"/>
              </w:rPr>
            </w:pPr>
            <w:r>
              <w:rPr>
                <w:sz w:val="21"/>
              </w:rPr>
              <w:t>(3)我们给付“重大疾病保险金”；</w:t>
            </w:r>
          </w:p>
          <w:p>
            <w:pPr>
              <w:pStyle w:val="TableParagraph"/>
              <w:spacing w:before="36"/>
              <w:rPr>
                <w:sz w:val="21"/>
              </w:rPr>
            </w:pPr>
            <w:r>
              <w:rPr>
                <w:sz w:val="21"/>
              </w:rPr>
              <w:t>(4)本附加险合同约定的其他效力终止的情况。</w:t>
            </w:r>
          </w:p>
        </w:tc>
      </w:tr>
      <w:tr>
        <w:trPr>
          <w:trHeight w:val="766" w:hRule="atLeast"/>
        </w:trPr>
        <w:tc>
          <w:tcPr>
            <w:tcW w:w="770" w:type="dxa"/>
          </w:tcPr>
          <w:p>
            <w:pPr>
              <w:pStyle w:val="TableParagraph"/>
              <w:spacing w:before="57"/>
              <w:ind w:left="107"/>
              <w:rPr>
                <w:b/>
                <w:sz w:val="21"/>
              </w:rPr>
            </w:pPr>
            <w:r>
              <w:rPr>
                <w:b/>
                <w:sz w:val="21"/>
              </w:rPr>
              <w:t>1.4</w:t>
            </w:r>
          </w:p>
        </w:tc>
        <w:tc>
          <w:tcPr>
            <w:tcW w:w="1755" w:type="dxa"/>
          </w:tcPr>
          <w:p>
            <w:pPr>
              <w:pStyle w:val="TableParagraph"/>
              <w:spacing w:before="57"/>
              <w:ind w:left="344"/>
              <w:rPr>
                <w:b/>
                <w:sz w:val="21"/>
              </w:rPr>
            </w:pPr>
            <w:r>
              <w:rPr>
                <w:b/>
                <w:sz w:val="21"/>
              </w:rPr>
              <w:t>投保年龄</w:t>
            </w:r>
          </w:p>
        </w:tc>
        <w:tc>
          <w:tcPr>
            <w:tcW w:w="7239" w:type="dxa"/>
          </w:tcPr>
          <w:p>
            <w:pPr>
              <w:pStyle w:val="TableParagraph"/>
              <w:spacing w:line="273" w:lineRule="auto" w:before="57"/>
              <w:ind w:right="106"/>
              <w:rPr>
                <w:sz w:val="21"/>
              </w:rPr>
            </w:pPr>
            <w:r>
              <w:rPr>
                <w:sz w:val="21"/>
              </w:rPr>
              <w:t>指您投保时被保险人的年龄，以</w:t>
            </w:r>
            <w:r>
              <w:rPr>
                <w:b/>
                <w:sz w:val="21"/>
              </w:rPr>
              <w:t>周岁</w:t>
            </w:r>
            <w:r>
              <w:rPr>
                <w:sz w:val="21"/>
              </w:rPr>
              <w:t>（详见释义）计算，本附加险合同接受的投保年龄范围为出生满 28 天至 15 周岁。</w:t>
            </w:r>
          </w:p>
        </w:tc>
      </w:tr>
      <w:tr>
        <w:trPr>
          <w:trHeight w:val="2162" w:hRule="atLeast"/>
        </w:trPr>
        <w:tc>
          <w:tcPr>
            <w:tcW w:w="770" w:type="dxa"/>
          </w:tcPr>
          <w:p>
            <w:pPr>
              <w:pStyle w:val="TableParagraph"/>
              <w:spacing w:before="57"/>
              <w:ind w:left="107"/>
              <w:rPr>
                <w:b/>
                <w:sz w:val="21"/>
              </w:rPr>
            </w:pPr>
            <w:r>
              <w:rPr>
                <w:b/>
                <w:sz w:val="21"/>
              </w:rPr>
              <w:t>1.5</w:t>
            </w:r>
          </w:p>
        </w:tc>
        <w:tc>
          <w:tcPr>
            <w:tcW w:w="1755" w:type="dxa"/>
          </w:tcPr>
          <w:p>
            <w:pPr>
              <w:pStyle w:val="TableParagraph"/>
              <w:spacing w:before="57"/>
              <w:ind w:left="344"/>
              <w:rPr>
                <w:b/>
                <w:sz w:val="21"/>
              </w:rPr>
            </w:pPr>
            <w:r>
              <w:rPr>
                <w:b/>
                <w:sz w:val="21"/>
              </w:rPr>
              <w:t>犹豫期</w:t>
            </w:r>
          </w:p>
        </w:tc>
        <w:tc>
          <w:tcPr>
            <w:tcW w:w="7239" w:type="dxa"/>
          </w:tcPr>
          <w:p>
            <w:pPr>
              <w:pStyle w:val="TableParagraph"/>
              <w:spacing w:line="273" w:lineRule="auto" w:before="57"/>
              <w:ind w:right="102"/>
              <w:jc w:val="both"/>
              <w:rPr>
                <w:sz w:val="21"/>
              </w:rPr>
            </w:pPr>
            <w:r>
              <w:rPr>
                <w:spacing w:val="-7"/>
                <w:sz w:val="21"/>
              </w:rPr>
              <w:t>自您签收本附加险合同之日起，有 </w:t>
            </w:r>
            <w:r>
              <w:rPr>
                <w:sz w:val="21"/>
              </w:rPr>
              <w:t>10</w:t>
            </w:r>
            <w:r>
              <w:rPr>
                <w:spacing w:val="-10"/>
                <w:sz w:val="21"/>
              </w:rPr>
              <w:t> 日的犹豫期。在此期间，请您认真审阅本附加险合同，如果您认为本附加险合同与您的需求不相符，您可以在此期</w:t>
            </w:r>
            <w:r>
              <w:rPr>
                <w:spacing w:val="-5"/>
                <w:sz w:val="21"/>
              </w:rPr>
              <w:t>间提出解除本附加险合同，我们无息退还您所支付的全部保险费。</w:t>
            </w:r>
          </w:p>
          <w:p>
            <w:pPr>
              <w:pStyle w:val="TableParagraph"/>
              <w:spacing w:line="273" w:lineRule="auto" w:before="86"/>
              <w:ind w:right="56"/>
              <w:jc w:val="both"/>
              <w:rPr>
                <w:sz w:val="21"/>
              </w:rPr>
            </w:pPr>
            <w:r>
              <w:rPr>
                <w:sz w:val="21"/>
              </w:rPr>
              <w:t>解除合同时，您需要填写申请书，并提供您的保险合同及</w:t>
            </w:r>
            <w:r>
              <w:rPr>
                <w:b/>
                <w:sz w:val="21"/>
              </w:rPr>
              <w:t>有效身份证件</w:t>
            </w:r>
            <w:r>
              <w:rPr>
                <w:sz w:val="21"/>
              </w:rPr>
              <w:t>（详</w:t>
            </w:r>
            <w:r>
              <w:rPr>
                <w:spacing w:val="-1"/>
                <w:sz w:val="21"/>
              </w:rPr>
              <w:t>见释义</w:t>
            </w:r>
            <w:r>
              <w:rPr>
                <w:spacing w:val="-106"/>
                <w:sz w:val="21"/>
              </w:rPr>
              <w:t>）</w:t>
            </w:r>
            <w:r>
              <w:rPr>
                <w:spacing w:val="-3"/>
                <w:sz w:val="21"/>
              </w:rPr>
              <w:t>。自我们收到您解除合同的书面申请时起，本附加险合同即被解除， 对于合同解除前发生的保险事故，我们不承担保险责任。</w:t>
            </w:r>
          </w:p>
        </w:tc>
      </w:tr>
      <w:tr>
        <w:trPr>
          <w:trHeight w:val="312" w:hRule="atLeast"/>
        </w:trPr>
        <w:tc>
          <w:tcPr>
            <w:tcW w:w="770" w:type="dxa"/>
            <w:shd w:val="clear" w:color="auto" w:fill="A6A6A6"/>
          </w:tcPr>
          <w:p>
            <w:pPr>
              <w:pStyle w:val="TableParagraph"/>
              <w:spacing w:line="262" w:lineRule="exact"/>
              <w:ind w:left="107"/>
              <w:rPr>
                <w:b/>
                <w:sz w:val="21"/>
              </w:rPr>
            </w:pPr>
            <w:r>
              <w:rPr>
                <w:b/>
                <w:sz w:val="21"/>
              </w:rPr>
              <w:t>2．</w:t>
            </w:r>
          </w:p>
        </w:tc>
        <w:tc>
          <w:tcPr>
            <w:tcW w:w="8994" w:type="dxa"/>
            <w:gridSpan w:val="2"/>
            <w:shd w:val="clear" w:color="auto" w:fill="A6A6A6"/>
          </w:tcPr>
          <w:p>
            <w:pPr>
              <w:pStyle w:val="TableParagraph"/>
              <w:spacing w:line="262" w:lineRule="exact"/>
              <w:ind w:left="344"/>
              <w:rPr>
                <w:b/>
                <w:sz w:val="21"/>
              </w:rPr>
            </w:pPr>
            <w:r>
              <w:rPr>
                <w:b/>
                <w:sz w:val="21"/>
              </w:rPr>
              <w:t>我们提供的保障</w:t>
            </w:r>
          </w:p>
        </w:tc>
      </w:tr>
      <w:tr>
        <w:trPr>
          <w:trHeight w:val="525" w:hRule="atLeast"/>
        </w:trPr>
        <w:tc>
          <w:tcPr>
            <w:tcW w:w="770" w:type="dxa"/>
          </w:tcPr>
          <w:p>
            <w:pPr>
              <w:pStyle w:val="TableParagraph"/>
              <w:spacing w:before="129"/>
              <w:ind w:left="107"/>
              <w:rPr>
                <w:b/>
                <w:sz w:val="21"/>
              </w:rPr>
            </w:pPr>
            <w:r>
              <w:rPr>
                <w:b/>
                <w:sz w:val="21"/>
              </w:rPr>
              <w:t>2.1</w:t>
            </w:r>
          </w:p>
        </w:tc>
        <w:tc>
          <w:tcPr>
            <w:tcW w:w="1755" w:type="dxa"/>
          </w:tcPr>
          <w:p>
            <w:pPr>
              <w:pStyle w:val="TableParagraph"/>
              <w:spacing w:before="129"/>
              <w:ind w:left="344"/>
              <w:rPr>
                <w:b/>
                <w:sz w:val="21"/>
              </w:rPr>
            </w:pPr>
            <w:r>
              <w:rPr>
                <w:b/>
                <w:sz w:val="21"/>
              </w:rPr>
              <w:t>基本保险金额</w:t>
            </w:r>
          </w:p>
        </w:tc>
        <w:tc>
          <w:tcPr>
            <w:tcW w:w="7239" w:type="dxa"/>
          </w:tcPr>
          <w:p>
            <w:pPr>
              <w:pStyle w:val="TableParagraph"/>
              <w:spacing w:before="129"/>
              <w:rPr>
                <w:sz w:val="21"/>
              </w:rPr>
            </w:pPr>
            <w:r>
              <w:rPr>
                <w:sz w:val="21"/>
              </w:rPr>
              <w:t>本附加险合同的基本保险金额由您在投保时与我们约定。</w:t>
            </w:r>
          </w:p>
        </w:tc>
      </w:tr>
      <w:tr>
        <w:trPr>
          <w:trHeight w:val="453" w:hRule="atLeast"/>
        </w:trPr>
        <w:tc>
          <w:tcPr>
            <w:tcW w:w="770" w:type="dxa"/>
          </w:tcPr>
          <w:p>
            <w:pPr>
              <w:pStyle w:val="TableParagraph"/>
              <w:spacing w:before="57"/>
              <w:ind w:left="107"/>
              <w:rPr>
                <w:b/>
                <w:sz w:val="21"/>
              </w:rPr>
            </w:pPr>
            <w:r>
              <w:rPr>
                <w:b/>
                <w:sz w:val="21"/>
              </w:rPr>
              <w:t>2.2</w:t>
            </w:r>
          </w:p>
        </w:tc>
        <w:tc>
          <w:tcPr>
            <w:tcW w:w="1755" w:type="dxa"/>
          </w:tcPr>
          <w:p>
            <w:pPr>
              <w:pStyle w:val="TableParagraph"/>
              <w:spacing w:before="57"/>
              <w:ind w:left="344"/>
              <w:rPr>
                <w:b/>
                <w:sz w:val="21"/>
              </w:rPr>
            </w:pPr>
            <w:r>
              <w:rPr>
                <w:b/>
                <w:sz w:val="21"/>
              </w:rPr>
              <w:t>保险期间</w:t>
            </w:r>
          </w:p>
        </w:tc>
        <w:tc>
          <w:tcPr>
            <w:tcW w:w="7239" w:type="dxa"/>
          </w:tcPr>
          <w:p>
            <w:pPr>
              <w:pStyle w:val="TableParagraph"/>
              <w:spacing w:before="57"/>
              <w:rPr>
                <w:sz w:val="21"/>
              </w:rPr>
            </w:pPr>
            <w:r>
              <w:rPr>
                <w:sz w:val="21"/>
              </w:rPr>
              <w:t>本附加险合同的保险期间与主险合同一致。</w:t>
            </w:r>
          </w:p>
        </w:tc>
      </w:tr>
      <w:tr>
        <w:trPr>
          <w:trHeight w:val="2204" w:hRule="atLeast"/>
        </w:trPr>
        <w:tc>
          <w:tcPr>
            <w:tcW w:w="770" w:type="dxa"/>
          </w:tcPr>
          <w:p>
            <w:pPr>
              <w:pStyle w:val="TableParagraph"/>
              <w:spacing w:before="57"/>
              <w:ind w:left="107"/>
              <w:rPr>
                <w:b/>
                <w:sz w:val="21"/>
              </w:rPr>
            </w:pPr>
            <w:r>
              <w:rPr>
                <w:b/>
                <w:sz w:val="21"/>
              </w:rPr>
              <w:t>2.3</w:t>
            </w:r>
          </w:p>
        </w:tc>
        <w:tc>
          <w:tcPr>
            <w:tcW w:w="1755" w:type="dxa"/>
          </w:tcPr>
          <w:p>
            <w:pPr>
              <w:pStyle w:val="TableParagraph"/>
              <w:spacing w:before="57"/>
              <w:ind w:left="344"/>
              <w:rPr>
                <w:b/>
                <w:sz w:val="21"/>
              </w:rPr>
            </w:pPr>
            <w:r>
              <w:rPr>
                <w:b/>
                <w:sz w:val="21"/>
              </w:rPr>
              <w:t>等待期</w:t>
            </w:r>
          </w:p>
        </w:tc>
        <w:tc>
          <w:tcPr>
            <w:tcW w:w="7239" w:type="dxa"/>
          </w:tcPr>
          <w:p>
            <w:pPr>
              <w:pStyle w:val="TableParagraph"/>
              <w:spacing w:before="57"/>
              <w:rPr>
                <w:rFonts w:ascii="黑体" w:eastAsia="黑体" w:hint="eastAsia"/>
                <w:sz w:val="21"/>
              </w:rPr>
            </w:pPr>
            <w:r>
              <w:rPr>
                <w:rFonts w:ascii="黑体" w:eastAsia="黑体" w:hint="eastAsia"/>
                <w:spacing w:val="-3"/>
                <w:sz w:val="21"/>
              </w:rPr>
              <w:t>从本附加险合同</w:t>
            </w:r>
            <w:r>
              <w:rPr>
                <w:rFonts w:ascii="黑体" w:eastAsia="黑体" w:hint="eastAsia"/>
                <w:sz w:val="21"/>
              </w:rPr>
              <w:t>Th</w:t>
            </w:r>
            <w:r>
              <w:rPr>
                <w:rFonts w:ascii="黑体" w:eastAsia="黑体" w:hint="eastAsia"/>
                <w:spacing w:val="-7"/>
                <w:sz w:val="21"/>
              </w:rPr>
              <w:t>效或最后一次复效之日起 </w:t>
            </w:r>
            <w:r>
              <w:rPr>
                <w:rFonts w:ascii="黑体" w:eastAsia="黑体" w:hint="eastAsia"/>
                <w:sz w:val="21"/>
              </w:rPr>
              <w:t>90</w:t>
            </w:r>
            <w:r>
              <w:rPr>
                <w:rFonts w:ascii="黑体" w:eastAsia="黑体" w:hint="eastAsia"/>
                <w:spacing w:val="-25"/>
                <w:sz w:val="21"/>
              </w:rPr>
              <w:t> 日内</w:t>
            </w:r>
            <w:r>
              <w:rPr>
                <w:rFonts w:ascii="黑体" w:eastAsia="黑体" w:hint="eastAsia"/>
                <w:sz w:val="21"/>
              </w:rPr>
              <w:t>（</w:t>
            </w:r>
            <w:r>
              <w:rPr>
                <w:rFonts w:ascii="黑体" w:eastAsia="黑体" w:hint="eastAsia"/>
                <w:spacing w:val="-16"/>
                <w:sz w:val="21"/>
              </w:rPr>
              <w:t>含第 </w:t>
            </w:r>
            <w:r>
              <w:rPr>
                <w:rFonts w:ascii="黑体" w:eastAsia="黑体" w:hint="eastAsia"/>
                <w:sz w:val="21"/>
              </w:rPr>
              <w:t>90</w:t>
            </w:r>
            <w:r>
              <w:rPr>
                <w:rFonts w:ascii="黑体" w:eastAsia="黑体" w:hint="eastAsia"/>
                <w:spacing w:val="-23"/>
                <w:sz w:val="21"/>
              </w:rPr>
              <w:t> 日</w:t>
            </w:r>
            <w:r>
              <w:rPr>
                <w:rFonts w:ascii="黑体" w:eastAsia="黑体" w:hint="eastAsia"/>
                <w:spacing w:val="-67"/>
                <w:sz w:val="21"/>
              </w:rPr>
              <w:t>）</w:t>
            </w:r>
            <w:r>
              <w:rPr>
                <w:rFonts w:ascii="黑体" w:eastAsia="黑体" w:hint="eastAsia"/>
                <w:spacing w:val="-16"/>
                <w:sz w:val="21"/>
              </w:rPr>
              <w:t>，被保险人</w:t>
            </w:r>
          </w:p>
          <w:p>
            <w:pPr>
              <w:pStyle w:val="TableParagraph"/>
              <w:spacing w:line="310" w:lineRule="atLeast" w:before="1"/>
              <w:ind w:right="1"/>
              <w:rPr>
                <w:sz w:val="21"/>
              </w:rPr>
            </w:pPr>
            <w:r>
              <w:rPr>
                <w:rFonts w:ascii="黑体" w:eastAsia="黑体" w:hint="eastAsia"/>
                <w:spacing w:val="-1"/>
                <w:sz w:val="21"/>
              </w:rPr>
              <w:t>因疾病发</w:t>
            </w:r>
            <w:r>
              <w:rPr>
                <w:rFonts w:ascii="黑体" w:eastAsia="黑体" w:hint="eastAsia"/>
                <w:sz w:val="21"/>
              </w:rPr>
              <w:t>Th</w:t>
            </w:r>
            <w:r>
              <w:rPr>
                <w:rFonts w:ascii="黑体" w:eastAsia="黑体" w:hint="eastAsia"/>
                <w:spacing w:val="-5"/>
                <w:sz w:val="21"/>
              </w:rPr>
              <w:t>下列情形之一的：</w:t>
            </w:r>
            <w:r>
              <w:rPr>
                <w:rFonts w:ascii="黑体" w:eastAsia="黑体" w:hint="eastAsia"/>
                <w:spacing w:val="-14"/>
                <w:sz w:val="21"/>
              </w:rPr>
              <w:t>(1</w:t>
            </w:r>
            <w:r>
              <w:rPr>
                <w:rFonts w:ascii="黑体" w:eastAsia="黑体" w:hint="eastAsia"/>
                <w:spacing w:val="-8"/>
                <w:sz w:val="21"/>
              </w:rPr>
              <w:t>)符合本附加险合同约定的第 </w:t>
            </w:r>
            <w:r>
              <w:rPr>
                <w:rFonts w:ascii="黑体" w:eastAsia="黑体" w:hint="eastAsia"/>
                <w:sz w:val="21"/>
              </w:rPr>
              <w:t>7</w:t>
            </w:r>
            <w:r>
              <w:rPr>
                <w:rFonts w:ascii="黑体" w:eastAsia="黑体" w:hint="eastAsia"/>
                <w:spacing w:val="-9"/>
                <w:sz w:val="21"/>
              </w:rPr>
              <w:t> 条定义的重大</w:t>
            </w:r>
            <w:r>
              <w:rPr>
                <w:rFonts w:ascii="黑体" w:eastAsia="黑体" w:hint="eastAsia"/>
                <w:spacing w:val="-4"/>
                <w:w w:val="100"/>
                <w:sz w:val="21"/>
              </w:rPr>
              <w:t>疾病</w:t>
            </w:r>
            <w:r>
              <w:rPr>
                <w:rFonts w:ascii="黑体" w:eastAsia="黑体" w:hint="eastAsia"/>
                <w:w w:val="100"/>
                <w:sz w:val="21"/>
              </w:rPr>
              <w:t>（无论一种或多种</w:t>
            </w:r>
            <w:r>
              <w:rPr>
                <w:rFonts w:ascii="黑体" w:eastAsia="黑体" w:hint="eastAsia"/>
                <w:spacing w:val="-106"/>
                <w:w w:val="100"/>
                <w:sz w:val="21"/>
              </w:rPr>
              <w:t>）</w:t>
            </w:r>
            <w:r>
              <w:rPr>
                <w:rFonts w:ascii="黑体" w:eastAsia="黑体" w:hint="eastAsia"/>
                <w:w w:val="100"/>
                <w:sz w:val="21"/>
              </w:rPr>
              <w:t>，(2)因导致本附加险合同约定的重大疾病（无论一</w:t>
            </w:r>
            <w:r>
              <w:rPr>
                <w:rFonts w:ascii="黑体" w:eastAsia="黑体" w:hint="eastAsia"/>
                <w:sz w:val="21"/>
              </w:rPr>
              <w:t>种或多种）的相关症状或疾病就诊，我们不承担本附加险合同约定的保险责</w:t>
            </w:r>
            <w:r>
              <w:rPr>
                <w:rFonts w:ascii="黑体" w:eastAsia="黑体" w:hint="eastAsia"/>
                <w:spacing w:val="-10"/>
                <w:sz w:val="21"/>
              </w:rPr>
              <w:t>任，本附加险合同终止，并无息退还您所支付的全部保险费。这 </w:t>
            </w:r>
            <w:r>
              <w:rPr>
                <w:rFonts w:ascii="黑体" w:eastAsia="黑体" w:hint="eastAsia"/>
                <w:sz w:val="21"/>
              </w:rPr>
              <w:t>90</w:t>
            </w:r>
            <w:r>
              <w:rPr>
                <w:rFonts w:ascii="黑体" w:eastAsia="黑体" w:hint="eastAsia"/>
                <w:spacing w:val="-11"/>
                <w:sz w:val="21"/>
              </w:rPr>
              <w:t> 日的时间</w:t>
            </w:r>
            <w:r>
              <w:rPr>
                <w:rFonts w:ascii="黑体" w:eastAsia="黑体" w:hint="eastAsia"/>
                <w:spacing w:val="-7"/>
                <w:sz w:val="21"/>
              </w:rPr>
              <w:t>称为等待期</w:t>
            </w:r>
            <w:r>
              <w:rPr>
                <w:spacing w:val="-6"/>
                <w:sz w:val="21"/>
              </w:rPr>
              <w:t>；但被保险人因</w:t>
            </w:r>
            <w:r>
              <w:rPr>
                <w:b/>
                <w:spacing w:val="-5"/>
                <w:sz w:val="21"/>
              </w:rPr>
              <w:t>意外伤害</w:t>
            </w:r>
            <w:r>
              <w:rPr>
                <w:sz w:val="21"/>
              </w:rPr>
              <w:t>（</w:t>
            </w:r>
            <w:r>
              <w:rPr>
                <w:spacing w:val="-3"/>
                <w:sz w:val="21"/>
              </w:rPr>
              <w:t>详见释义</w:t>
            </w:r>
            <w:r>
              <w:rPr>
                <w:spacing w:val="-20"/>
                <w:sz w:val="21"/>
              </w:rPr>
              <w:t>）</w:t>
            </w:r>
            <w:r>
              <w:rPr>
                <w:spacing w:val="-3"/>
                <w:sz w:val="21"/>
              </w:rPr>
              <w:t>发生上述两项情形之一的， 则无等待期。</w:t>
            </w:r>
          </w:p>
        </w:tc>
      </w:tr>
    </w:tbl>
    <w:p>
      <w:pPr>
        <w:spacing w:after="0" w:line="310" w:lineRule="atLeast"/>
        <w:rPr>
          <w:sz w:val="21"/>
        </w:rPr>
        <w:sectPr>
          <w:pgSz w:w="11910" w:h="16840"/>
          <w:pgMar w:top="1480" w:bottom="280" w:left="9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55"/>
        <w:gridCol w:w="7239"/>
      </w:tblGrid>
      <w:tr>
        <w:trPr>
          <w:trHeight w:val="644" w:hRule="atLeast"/>
        </w:trPr>
        <w:tc>
          <w:tcPr>
            <w:tcW w:w="770" w:type="dxa"/>
          </w:tcPr>
          <w:p>
            <w:pPr>
              <w:pStyle w:val="TableParagraph"/>
              <w:spacing w:line="202" w:lineRule="exact"/>
              <w:ind w:left="107"/>
              <w:rPr>
                <w:b/>
                <w:sz w:val="21"/>
              </w:rPr>
            </w:pPr>
            <w:r>
              <w:rPr>
                <w:b/>
                <w:sz w:val="21"/>
              </w:rPr>
              <w:t>2.4</w:t>
            </w:r>
          </w:p>
        </w:tc>
        <w:tc>
          <w:tcPr>
            <w:tcW w:w="1755" w:type="dxa"/>
          </w:tcPr>
          <w:p>
            <w:pPr>
              <w:pStyle w:val="TableParagraph"/>
              <w:spacing w:line="202" w:lineRule="exact"/>
              <w:ind w:left="344"/>
              <w:rPr>
                <w:b/>
                <w:sz w:val="21"/>
              </w:rPr>
            </w:pPr>
            <w:r>
              <w:rPr>
                <w:b/>
                <w:sz w:val="21"/>
              </w:rPr>
              <w:t>保险责任</w:t>
            </w:r>
          </w:p>
        </w:tc>
        <w:tc>
          <w:tcPr>
            <w:tcW w:w="7239" w:type="dxa"/>
          </w:tcPr>
          <w:p>
            <w:pPr>
              <w:pStyle w:val="TableParagraph"/>
              <w:spacing w:line="202" w:lineRule="exact"/>
              <w:rPr>
                <w:sz w:val="21"/>
              </w:rPr>
            </w:pPr>
            <w:r>
              <w:rPr>
                <w:sz w:val="21"/>
              </w:rPr>
              <w:t>在本附加险合同保险期间内，且主险合同和本附加险合同均有效的前提下，</w:t>
            </w:r>
          </w:p>
          <w:p>
            <w:pPr>
              <w:pStyle w:val="TableParagraph"/>
              <w:spacing w:before="37"/>
              <w:rPr>
                <w:sz w:val="21"/>
              </w:rPr>
            </w:pPr>
            <w:r>
              <w:rPr>
                <w:sz w:val="21"/>
              </w:rPr>
              <w:t>我们按以下约定承担保险责任：</w:t>
            </w:r>
          </w:p>
        </w:tc>
      </w:tr>
      <w:tr>
        <w:trPr>
          <w:trHeight w:val="1077" w:hRule="atLeast"/>
        </w:trPr>
        <w:tc>
          <w:tcPr>
            <w:tcW w:w="770" w:type="dxa"/>
          </w:tcPr>
          <w:p>
            <w:pPr>
              <w:pStyle w:val="TableParagraph"/>
              <w:ind w:left="0"/>
              <w:rPr>
                <w:rFonts w:ascii="Times New Roman"/>
                <w:sz w:val="20"/>
              </w:rPr>
            </w:pPr>
          </w:p>
        </w:tc>
        <w:tc>
          <w:tcPr>
            <w:tcW w:w="1755" w:type="dxa"/>
          </w:tcPr>
          <w:p>
            <w:pPr>
              <w:pStyle w:val="TableParagraph"/>
              <w:spacing w:line="273" w:lineRule="auto" w:before="48"/>
              <w:ind w:left="344" w:right="146"/>
              <w:rPr>
                <w:sz w:val="21"/>
              </w:rPr>
            </w:pPr>
            <w:r>
              <w:rPr>
                <w:sz w:val="21"/>
              </w:rPr>
              <w:t>重大疾病保险金</w:t>
            </w:r>
          </w:p>
        </w:tc>
        <w:tc>
          <w:tcPr>
            <w:tcW w:w="7239" w:type="dxa"/>
          </w:tcPr>
          <w:p>
            <w:pPr>
              <w:pStyle w:val="TableParagraph"/>
              <w:spacing w:line="273" w:lineRule="auto" w:before="48"/>
              <w:ind w:right="101"/>
              <w:jc w:val="both"/>
              <w:rPr>
                <w:sz w:val="21"/>
              </w:rPr>
            </w:pPr>
            <w:r>
              <w:rPr>
                <w:sz w:val="21"/>
              </w:rPr>
              <w:t>若被保险人于等待期后</w:t>
            </w:r>
            <w:r>
              <w:rPr>
                <w:b/>
                <w:sz w:val="21"/>
              </w:rPr>
              <w:t>初次发生</w:t>
            </w:r>
            <w:r>
              <w:rPr>
                <w:sz w:val="21"/>
              </w:rPr>
              <w:t>（详见释义）并经</w:t>
            </w:r>
            <w:r>
              <w:rPr>
                <w:b/>
                <w:sz w:val="21"/>
              </w:rPr>
              <w:t>约定医院</w:t>
            </w:r>
            <w:r>
              <w:rPr>
                <w:sz w:val="21"/>
              </w:rPr>
              <w:t>（详见释义）首次确诊符合本附加险合同约定的重大疾病，我们按本附加险合同的基本保险金额的 30 倍给付重大疾病保险金，本附加险合同终止。</w:t>
            </w:r>
          </w:p>
        </w:tc>
      </w:tr>
      <w:tr>
        <w:trPr>
          <w:trHeight w:val="1077" w:hRule="atLeast"/>
        </w:trPr>
        <w:tc>
          <w:tcPr>
            <w:tcW w:w="770" w:type="dxa"/>
          </w:tcPr>
          <w:p>
            <w:pPr>
              <w:pStyle w:val="TableParagraph"/>
              <w:ind w:left="0"/>
              <w:rPr>
                <w:rFonts w:ascii="Times New Roman"/>
                <w:sz w:val="20"/>
              </w:rPr>
            </w:pPr>
          </w:p>
        </w:tc>
        <w:tc>
          <w:tcPr>
            <w:tcW w:w="1755" w:type="dxa"/>
          </w:tcPr>
          <w:p>
            <w:pPr>
              <w:pStyle w:val="TableParagraph"/>
              <w:spacing w:line="273" w:lineRule="auto" w:before="48"/>
              <w:ind w:left="344" w:right="146"/>
              <w:rPr>
                <w:sz w:val="21"/>
              </w:rPr>
            </w:pPr>
            <w:r>
              <w:rPr>
                <w:sz w:val="21"/>
              </w:rPr>
              <w:t>白血病关爱保险金</w:t>
            </w:r>
          </w:p>
        </w:tc>
        <w:tc>
          <w:tcPr>
            <w:tcW w:w="7239" w:type="dxa"/>
          </w:tcPr>
          <w:p>
            <w:pPr>
              <w:pStyle w:val="TableParagraph"/>
              <w:spacing w:line="273" w:lineRule="auto" w:before="48"/>
              <w:ind w:right="102"/>
              <w:jc w:val="both"/>
              <w:rPr>
                <w:sz w:val="21"/>
              </w:rPr>
            </w:pPr>
            <w:r>
              <w:rPr>
                <w:sz w:val="21"/>
              </w:rPr>
              <w:t>若被保险人于等待期后初次发生并经约定医院首次确诊符合本附加险合同约</w:t>
            </w:r>
            <w:r>
              <w:rPr>
                <w:spacing w:val="-2"/>
                <w:w w:val="100"/>
                <w:sz w:val="21"/>
              </w:rPr>
              <w:t>定的</w:t>
            </w:r>
            <w:r>
              <w:rPr>
                <w:b/>
                <w:spacing w:val="-6"/>
                <w:w w:val="100"/>
                <w:sz w:val="21"/>
              </w:rPr>
              <w:t>白血病</w:t>
            </w:r>
            <w:r>
              <w:rPr>
                <w:spacing w:val="-3"/>
                <w:w w:val="100"/>
                <w:sz w:val="21"/>
              </w:rPr>
              <w:t>（</w:t>
            </w:r>
            <w:r>
              <w:rPr>
                <w:spacing w:val="-2"/>
                <w:w w:val="100"/>
                <w:sz w:val="21"/>
              </w:rPr>
              <w:t>详见释义</w:t>
            </w:r>
            <w:r>
              <w:rPr>
                <w:spacing w:val="-108"/>
                <w:w w:val="100"/>
                <w:sz w:val="21"/>
              </w:rPr>
              <w:t>）</w:t>
            </w:r>
            <w:r>
              <w:rPr>
                <w:spacing w:val="-6"/>
                <w:w w:val="100"/>
                <w:sz w:val="21"/>
              </w:rPr>
              <w:t>，除给付重大疾病保险金外，我们还按本附加险合同</w:t>
            </w:r>
            <w:r>
              <w:rPr>
                <w:spacing w:val="-8"/>
                <w:sz w:val="21"/>
              </w:rPr>
              <w:t>的基本保险金额的 </w:t>
            </w:r>
            <w:r>
              <w:rPr>
                <w:sz w:val="21"/>
              </w:rPr>
              <w:t>15</w:t>
            </w:r>
            <w:r>
              <w:rPr>
                <w:spacing w:val="-8"/>
                <w:sz w:val="21"/>
              </w:rPr>
              <w:t> 倍额外给付白血病关爱金，本附加险合同终止。</w:t>
            </w:r>
          </w:p>
        </w:tc>
      </w:tr>
      <w:tr>
        <w:trPr>
          <w:trHeight w:val="1077" w:hRule="atLeast"/>
        </w:trPr>
        <w:tc>
          <w:tcPr>
            <w:tcW w:w="770"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239" w:type="dxa"/>
          </w:tcPr>
          <w:p>
            <w:pPr>
              <w:pStyle w:val="TableParagraph"/>
              <w:spacing w:line="273" w:lineRule="auto" w:before="48"/>
              <w:ind w:right="104"/>
              <w:jc w:val="both"/>
              <w:rPr>
                <w:rFonts w:ascii="黑体" w:hAnsi="黑体" w:eastAsia="黑体" w:hint="eastAsia"/>
                <w:sz w:val="21"/>
              </w:rPr>
            </w:pPr>
            <w:r>
              <w:rPr>
                <w:rFonts w:ascii="黑体" w:hAnsi="黑体" w:eastAsia="黑体" w:hint="eastAsia"/>
                <w:spacing w:val="-15"/>
                <w:sz w:val="21"/>
              </w:rPr>
              <w:t>主险合同的“身故保险金”、“满期保险金”和前述“重大疾病保险金”中， 任意两项或数项不可兼得，即若我们给付其中任何一项保险金，则其他保险</w:t>
            </w:r>
            <w:r>
              <w:rPr>
                <w:rFonts w:ascii="黑体" w:hAnsi="黑体" w:eastAsia="黑体" w:hint="eastAsia"/>
                <w:spacing w:val="-6"/>
                <w:sz w:val="21"/>
              </w:rPr>
              <w:t>金均不再给付。</w:t>
            </w:r>
          </w:p>
        </w:tc>
      </w:tr>
      <w:tr>
        <w:trPr>
          <w:trHeight w:val="5362" w:hRule="atLeast"/>
        </w:trPr>
        <w:tc>
          <w:tcPr>
            <w:tcW w:w="770" w:type="dxa"/>
          </w:tcPr>
          <w:p>
            <w:pPr>
              <w:pStyle w:val="TableParagraph"/>
              <w:spacing w:before="49"/>
              <w:ind w:left="107"/>
              <w:rPr>
                <w:b/>
                <w:sz w:val="21"/>
              </w:rPr>
            </w:pPr>
            <w:r>
              <w:rPr>
                <w:b/>
                <w:sz w:val="21"/>
              </w:rPr>
              <w:t>2.5</w:t>
            </w:r>
          </w:p>
        </w:tc>
        <w:tc>
          <w:tcPr>
            <w:tcW w:w="1755" w:type="dxa"/>
          </w:tcPr>
          <w:p>
            <w:pPr>
              <w:pStyle w:val="TableParagraph"/>
              <w:spacing w:before="49"/>
              <w:ind w:left="344"/>
              <w:rPr>
                <w:b/>
                <w:sz w:val="21"/>
              </w:rPr>
            </w:pPr>
            <w:r>
              <w:rPr>
                <w:b/>
                <w:sz w:val="21"/>
              </w:rPr>
              <w:t>责任免除</w:t>
            </w:r>
          </w:p>
        </w:tc>
        <w:tc>
          <w:tcPr>
            <w:tcW w:w="7239" w:type="dxa"/>
          </w:tcPr>
          <w:p>
            <w:pPr>
              <w:pStyle w:val="TableParagraph"/>
              <w:spacing w:line="273" w:lineRule="auto" w:before="49"/>
              <w:ind w:right="102"/>
              <w:rPr>
                <w:rFonts w:ascii="黑体" w:eastAsia="黑体" w:hint="eastAsia"/>
                <w:sz w:val="21"/>
              </w:rPr>
            </w:pPr>
            <w:r>
              <w:rPr>
                <w:rFonts w:ascii="黑体" w:eastAsia="黑体" w:hint="eastAsia"/>
                <w:sz w:val="21"/>
              </w:rPr>
              <w:t>因下列情形之一导致被保险人发Th疾病、达到疾病状态或进行手术的，我们不承担给付保险金的责任：</w:t>
            </w:r>
          </w:p>
          <w:p>
            <w:pPr>
              <w:pStyle w:val="TableParagraph"/>
              <w:spacing w:before="7"/>
              <w:rPr>
                <w:rFonts w:ascii="黑体" w:eastAsia="黑体" w:hint="eastAsia"/>
                <w:sz w:val="21"/>
              </w:rPr>
            </w:pPr>
            <w:r>
              <w:rPr>
                <w:rFonts w:ascii="黑体" w:eastAsia="黑体" w:hint="eastAsia"/>
                <w:sz w:val="21"/>
              </w:rPr>
              <w:t>(1)投保人对被保险人的故意杀害、故意伤害；</w:t>
            </w:r>
          </w:p>
          <w:p>
            <w:pPr>
              <w:pStyle w:val="TableParagraph"/>
              <w:spacing w:before="3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right="104"/>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spacing w:val="-2"/>
                <w:sz w:val="21"/>
              </w:rPr>
              <w:t>详见释义</w:t>
            </w:r>
            <w:r>
              <w:rPr>
                <w:rFonts w:ascii="黑体" w:eastAsia="黑体" w:hint="eastAsia"/>
                <w:spacing w:val="-106"/>
                <w:sz w:val="21"/>
              </w:rPr>
              <w:t>）</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（详见释义）或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3"/>
                <w:sz w:val="21"/>
              </w:rPr>
              <w:t>）的机动车；</w:t>
            </w:r>
          </w:p>
          <w:p>
            <w:pPr>
              <w:pStyle w:val="TableParagraph"/>
              <w:spacing w:line="273" w:lineRule="auto" w:before="7"/>
              <w:ind w:right="105"/>
              <w:rPr>
                <w:rFonts w:ascii="黑体" w:hAnsi="黑体" w:eastAsia="黑体" w:hint="eastAsia"/>
                <w:sz w:val="21"/>
              </w:rPr>
            </w:pPr>
            <w:r>
              <w:rPr>
                <w:rFonts w:ascii="黑体" w:hAnsi="黑体" w:eastAsia="黑体" w:hint="eastAsia"/>
                <w:w w:val="100"/>
                <w:sz w:val="21"/>
              </w:rPr>
              <w:t>(5)被保险人</w:t>
            </w:r>
            <w:r>
              <w:rPr>
                <w:rFonts w:ascii="黑体" w:hAnsi="黑体" w:eastAsia="黑体" w:hint="eastAsia"/>
                <w:b/>
                <w:w w:val="100"/>
                <w:sz w:val="21"/>
              </w:rPr>
              <w:t>感染艾滋病病毒或患艾滋病</w:t>
            </w:r>
            <w:r>
              <w:rPr>
                <w:rFonts w:ascii="黑体" w:hAnsi="黑体" w:eastAsia="黑体" w:hint="eastAsia"/>
                <w:w w:val="100"/>
                <w:sz w:val="21"/>
              </w:rPr>
              <w:t>（详见释义</w:t>
            </w:r>
            <w:r>
              <w:rPr>
                <w:rFonts w:ascii="黑体" w:hAnsi="黑体" w:eastAsia="黑体" w:hint="eastAsia"/>
                <w:spacing w:val="-106"/>
                <w:w w:val="100"/>
                <w:sz w:val="21"/>
              </w:rPr>
              <w:t>）</w:t>
            </w:r>
            <w:r>
              <w:rPr>
                <w:rFonts w:ascii="黑体" w:hAnsi="黑体" w:eastAsia="黑体" w:hint="eastAsia"/>
                <w:w w:val="100"/>
                <w:sz w:val="21"/>
              </w:rPr>
              <w:t>，但若属于本附加险合</w:t>
            </w:r>
            <w:r>
              <w:rPr>
                <w:rFonts w:ascii="黑体" w:hAnsi="黑体" w:eastAsia="黑体" w:hint="eastAsia"/>
                <w:spacing w:val="-8"/>
                <w:w w:val="100"/>
                <w:sz w:val="21"/>
              </w:rPr>
              <w:t>同所保障的“经输血导致的人类免疫缺陷病毒感染”，则不在此限；</w:t>
            </w:r>
          </w:p>
          <w:p>
            <w:pPr>
              <w:pStyle w:val="TableParagraph"/>
              <w:spacing w:before="7"/>
              <w:rPr>
                <w:rFonts w:ascii="黑体" w:eastAsia="黑体" w:hint="eastAsia"/>
                <w:sz w:val="21"/>
              </w:rPr>
            </w:pPr>
            <w:r>
              <w:rPr>
                <w:rFonts w:ascii="黑体" w:eastAsia="黑体" w:hint="eastAsia"/>
                <w:sz w:val="21"/>
              </w:rPr>
              <w:t>(6)战争、军事冲突、暴乱或武装叛乱；</w:t>
            </w:r>
          </w:p>
          <w:p>
            <w:pPr>
              <w:pStyle w:val="TableParagraph"/>
              <w:spacing w:before="36"/>
              <w:rPr>
                <w:rFonts w:ascii="黑体" w:eastAsia="黑体" w:hint="eastAsia"/>
                <w:sz w:val="21"/>
              </w:rPr>
            </w:pPr>
            <w:r>
              <w:rPr>
                <w:rFonts w:ascii="黑体" w:eastAsia="黑体" w:hint="eastAsia"/>
                <w:sz w:val="21"/>
              </w:rPr>
              <w:t>(7)核爆炸、核辐射或核污染；</w:t>
            </w:r>
          </w:p>
          <w:p>
            <w:pPr>
              <w:pStyle w:val="TableParagraph"/>
              <w:spacing w:before="36"/>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w w:val="100"/>
                <w:sz w:val="21"/>
              </w:rPr>
              <w:t>（</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详见释义</w:t>
            </w:r>
            <w:r>
              <w:rPr>
                <w:rFonts w:ascii="黑体" w:eastAsia="黑体" w:hint="eastAsia"/>
                <w:spacing w:val="-109"/>
                <w:w w:val="100"/>
                <w:sz w:val="21"/>
              </w:rPr>
              <w:t>）</w:t>
            </w:r>
            <w:r>
              <w:rPr>
                <w:rFonts w:ascii="黑体" w:eastAsia="黑体" w:hint="eastAsia"/>
                <w:w w:val="100"/>
                <w:sz w:val="21"/>
              </w:rPr>
              <w:t>。</w:t>
            </w:r>
          </w:p>
          <w:p>
            <w:pPr>
              <w:pStyle w:val="TableParagraph"/>
              <w:spacing w:line="273" w:lineRule="auto" w:before="116"/>
              <w:ind w:right="113"/>
              <w:rPr>
                <w:rFonts w:ascii="黑体" w:eastAsia="黑体" w:hint="eastAsia"/>
                <w:sz w:val="21"/>
              </w:rPr>
            </w:pPr>
            <w:r>
              <w:rPr>
                <w:rFonts w:ascii="黑体" w:eastAsia="黑体" w:hint="eastAsia"/>
                <w:sz w:val="21"/>
              </w:rPr>
              <w:t>发Th上述第(1)项情形导致被保险人初次发Th本附加险合同约定的重大疾病的，本附加险合同终止，我们向被保险人退还本附加险合同的现金价值。</w:t>
            </w:r>
          </w:p>
          <w:p>
            <w:pPr>
              <w:pStyle w:val="TableParagraph"/>
              <w:spacing w:line="273" w:lineRule="auto" w:before="84"/>
              <w:ind w:right="105"/>
              <w:rPr>
                <w:rFonts w:ascii="黑体" w:eastAsia="黑体" w:hint="eastAsia"/>
                <w:sz w:val="21"/>
              </w:rPr>
            </w:pPr>
            <w:r>
              <w:rPr>
                <w:rFonts w:ascii="黑体" w:eastAsia="黑体" w:hint="eastAsia"/>
                <w:sz w:val="21"/>
              </w:rPr>
              <w:t>发Th上述其他情形导致被保险人初次发Th本附加险合同约定的重大疾病的， 本附加险合同终止，我们向您退还本附加险合同的现金价值。</w:t>
            </w:r>
          </w:p>
        </w:tc>
      </w:tr>
      <w:tr>
        <w:trPr>
          <w:trHeight w:val="312" w:hRule="atLeast"/>
        </w:trPr>
        <w:tc>
          <w:tcPr>
            <w:tcW w:w="770" w:type="dxa"/>
            <w:shd w:val="clear" w:color="auto" w:fill="A6A6A6"/>
          </w:tcPr>
          <w:p>
            <w:pPr>
              <w:pStyle w:val="TableParagraph"/>
              <w:spacing w:line="254" w:lineRule="exact"/>
              <w:ind w:left="107"/>
              <w:rPr>
                <w:b/>
                <w:sz w:val="21"/>
              </w:rPr>
            </w:pPr>
            <w:r>
              <w:rPr>
                <w:b/>
                <w:sz w:val="21"/>
              </w:rPr>
              <w:t>3．</w:t>
            </w:r>
          </w:p>
        </w:tc>
        <w:tc>
          <w:tcPr>
            <w:tcW w:w="1755" w:type="dxa"/>
            <w:shd w:val="clear" w:color="auto" w:fill="A6A6A6"/>
          </w:tcPr>
          <w:p>
            <w:pPr>
              <w:pStyle w:val="TableParagraph"/>
              <w:spacing w:line="254" w:lineRule="exact"/>
              <w:ind w:left="344"/>
              <w:rPr>
                <w:b/>
                <w:sz w:val="21"/>
              </w:rPr>
            </w:pPr>
            <w:r>
              <w:rPr>
                <w:b/>
                <w:sz w:val="21"/>
              </w:rPr>
              <w:t>保险金的申请</w:t>
            </w:r>
          </w:p>
        </w:tc>
        <w:tc>
          <w:tcPr>
            <w:tcW w:w="7239" w:type="dxa"/>
            <w:shd w:val="clear" w:color="auto" w:fill="A6A6A6"/>
          </w:tcPr>
          <w:p>
            <w:pPr>
              <w:pStyle w:val="TableParagraph"/>
              <w:ind w:left="0"/>
              <w:rPr>
                <w:rFonts w:ascii="Times New Roman"/>
                <w:sz w:val="20"/>
              </w:rPr>
            </w:pPr>
          </w:p>
        </w:tc>
      </w:tr>
      <w:tr>
        <w:trPr>
          <w:trHeight w:val="837" w:hRule="atLeast"/>
        </w:trPr>
        <w:tc>
          <w:tcPr>
            <w:tcW w:w="770" w:type="dxa"/>
          </w:tcPr>
          <w:p>
            <w:pPr>
              <w:pStyle w:val="TableParagraph"/>
              <w:spacing w:before="120"/>
              <w:ind w:left="107"/>
              <w:rPr>
                <w:b/>
                <w:sz w:val="21"/>
              </w:rPr>
            </w:pPr>
            <w:r>
              <w:rPr>
                <w:b/>
                <w:sz w:val="21"/>
              </w:rPr>
              <w:t>3.1</w:t>
            </w:r>
          </w:p>
        </w:tc>
        <w:tc>
          <w:tcPr>
            <w:tcW w:w="1755" w:type="dxa"/>
          </w:tcPr>
          <w:p>
            <w:pPr>
              <w:pStyle w:val="TableParagraph"/>
              <w:spacing w:before="120"/>
              <w:ind w:left="344"/>
              <w:rPr>
                <w:b/>
                <w:sz w:val="21"/>
              </w:rPr>
            </w:pPr>
            <w:r>
              <w:rPr>
                <w:b/>
                <w:sz w:val="21"/>
              </w:rPr>
              <w:t>受益人</w:t>
            </w:r>
          </w:p>
        </w:tc>
        <w:tc>
          <w:tcPr>
            <w:tcW w:w="7239" w:type="dxa"/>
          </w:tcPr>
          <w:p>
            <w:pPr>
              <w:pStyle w:val="TableParagraph"/>
              <w:spacing w:line="273" w:lineRule="auto" w:before="120"/>
              <w:ind w:right="103"/>
              <w:rPr>
                <w:sz w:val="21"/>
              </w:rPr>
            </w:pPr>
            <w:r>
              <w:rPr>
                <w:sz w:val="21"/>
              </w:rPr>
              <w:t>除另有指定外，重大疾病保险金、白血病关爱保险金的受益人为被保险人本人。</w:t>
            </w:r>
          </w:p>
        </w:tc>
      </w:tr>
      <w:tr>
        <w:trPr>
          <w:trHeight w:val="2092" w:hRule="atLeast"/>
        </w:trPr>
        <w:tc>
          <w:tcPr>
            <w:tcW w:w="770" w:type="dxa"/>
          </w:tcPr>
          <w:p>
            <w:pPr>
              <w:pStyle w:val="TableParagraph"/>
              <w:spacing w:before="48"/>
              <w:ind w:left="107"/>
              <w:rPr>
                <w:b/>
                <w:sz w:val="21"/>
              </w:rPr>
            </w:pPr>
            <w:r>
              <w:rPr>
                <w:b/>
                <w:sz w:val="21"/>
              </w:rPr>
              <w:t>3.2</w:t>
            </w:r>
          </w:p>
        </w:tc>
        <w:tc>
          <w:tcPr>
            <w:tcW w:w="1755" w:type="dxa"/>
          </w:tcPr>
          <w:p>
            <w:pPr>
              <w:pStyle w:val="TableParagraph"/>
              <w:spacing w:before="48"/>
              <w:ind w:left="344"/>
              <w:rPr>
                <w:b/>
                <w:sz w:val="21"/>
              </w:rPr>
            </w:pPr>
            <w:r>
              <w:rPr>
                <w:b/>
                <w:sz w:val="21"/>
              </w:rPr>
              <w:t>保险事故通知</w:t>
            </w:r>
          </w:p>
        </w:tc>
        <w:tc>
          <w:tcPr>
            <w:tcW w:w="7239" w:type="dxa"/>
          </w:tcPr>
          <w:p>
            <w:pPr>
              <w:pStyle w:val="TableParagraph"/>
              <w:spacing w:before="48"/>
              <w:rPr>
                <w:sz w:val="21"/>
              </w:rPr>
            </w:pPr>
            <w:r>
              <w:rPr>
                <w:sz w:val="21"/>
              </w:rPr>
              <w:t>您、被保险人或受益人知道保险事故后应当在 10 日内通知我们。</w:t>
            </w:r>
          </w:p>
          <w:p>
            <w:pPr>
              <w:pStyle w:val="TableParagraph"/>
              <w:spacing w:line="273" w:lineRule="auto" w:before="113"/>
              <w:ind w:right="102"/>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770" w:type="dxa"/>
          </w:tcPr>
          <w:p>
            <w:pPr>
              <w:pStyle w:val="TableParagraph"/>
              <w:spacing w:before="50"/>
              <w:ind w:left="107"/>
              <w:rPr>
                <w:b/>
                <w:sz w:val="21"/>
              </w:rPr>
            </w:pPr>
            <w:r>
              <w:rPr>
                <w:b/>
                <w:sz w:val="21"/>
              </w:rPr>
              <w:t>3.3</w:t>
            </w:r>
          </w:p>
        </w:tc>
        <w:tc>
          <w:tcPr>
            <w:tcW w:w="1755" w:type="dxa"/>
          </w:tcPr>
          <w:p>
            <w:pPr>
              <w:pStyle w:val="TableParagraph"/>
              <w:spacing w:before="50"/>
              <w:ind w:left="344"/>
              <w:rPr>
                <w:b/>
                <w:sz w:val="21"/>
              </w:rPr>
            </w:pPr>
            <w:r>
              <w:rPr>
                <w:b/>
                <w:sz w:val="21"/>
              </w:rPr>
              <w:t>保险金申请</w:t>
            </w:r>
          </w:p>
        </w:tc>
        <w:tc>
          <w:tcPr>
            <w:tcW w:w="7239" w:type="dxa"/>
          </w:tcPr>
          <w:p>
            <w:pPr>
              <w:pStyle w:val="TableParagraph"/>
              <w:spacing w:before="50"/>
              <w:rPr>
                <w:sz w:val="21"/>
              </w:rPr>
            </w:pPr>
            <w:r>
              <w:rPr>
                <w:sz w:val="21"/>
              </w:rPr>
              <w:t>在申请保险金时，请按照下列方式办理：</w:t>
            </w:r>
          </w:p>
        </w:tc>
      </w:tr>
      <w:tr>
        <w:trPr>
          <w:trHeight w:val="956" w:hRule="atLeast"/>
        </w:trPr>
        <w:tc>
          <w:tcPr>
            <w:tcW w:w="770" w:type="dxa"/>
          </w:tcPr>
          <w:p>
            <w:pPr>
              <w:pStyle w:val="TableParagraph"/>
              <w:ind w:left="0"/>
              <w:rPr>
                <w:rFonts w:ascii="Times New Roman"/>
                <w:sz w:val="20"/>
              </w:rPr>
            </w:pPr>
          </w:p>
        </w:tc>
        <w:tc>
          <w:tcPr>
            <w:tcW w:w="1755" w:type="dxa"/>
          </w:tcPr>
          <w:p>
            <w:pPr>
              <w:pStyle w:val="TableParagraph"/>
              <w:spacing w:line="310" w:lineRule="atLeast" w:before="13"/>
              <w:ind w:left="344" w:right="146"/>
              <w:jc w:val="both"/>
              <w:rPr>
                <w:sz w:val="21"/>
              </w:rPr>
            </w:pPr>
            <w:r>
              <w:rPr>
                <w:sz w:val="21"/>
              </w:rPr>
              <w:t>重大疾病保险金、白血病关爱保险金申请</w:t>
            </w:r>
          </w:p>
        </w:tc>
        <w:tc>
          <w:tcPr>
            <w:tcW w:w="7239" w:type="dxa"/>
          </w:tcPr>
          <w:p>
            <w:pPr>
              <w:pStyle w:val="TableParagraph"/>
              <w:spacing w:before="48"/>
              <w:rPr>
                <w:sz w:val="21"/>
              </w:rPr>
            </w:pPr>
            <w:r>
              <w:rPr>
                <w:sz w:val="21"/>
              </w:rPr>
              <w:t>受益人须填写保险金给付申请书，并提供下列证明和资料：</w:t>
            </w:r>
          </w:p>
          <w:p>
            <w:pPr>
              <w:pStyle w:val="TableParagraph"/>
              <w:spacing w:before="36"/>
              <w:rPr>
                <w:sz w:val="21"/>
              </w:rPr>
            </w:pPr>
            <w:r>
              <w:rPr>
                <w:sz w:val="21"/>
              </w:rPr>
              <w:t>(1)保险合同；</w:t>
            </w:r>
          </w:p>
          <w:p>
            <w:pPr>
              <w:pStyle w:val="TableParagraph"/>
              <w:spacing w:line="264" w:lineRule="exact" w:before="37"/>
              <w:rPr>
                <w:sz w:val="21"/>
              </w:rPr>
            </w:pPr>
            <w:r>
              <w:rPr>
                <w:sz w:val="21"/>
              </w:rPr>
              <w:t>(2)受益人的有效身份证件；</w:t>
            </w:r>
          </w:p>
        </w:tc>
      </w:tr>
    </w:tbl>
    <w:p>
      <w:pPr>
        <w:spacing w:after="0" w:line="264" w:lineRule="exact"/>
        <w:rPr>
          <w:sz w:val="21"/>
        </w:rPr>
        <w:sectPr>
          <w:pgSz w:w="11910" w:h="16840"/>
          <w:pgMar w:top="1460" w:bottom="280" w:left="9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55"/>
        <w:gridCol w:w="7239"/>
      </w:tblGrid>
      <w:tr>
        <w:trPr>
          <w:trHeight w:val="1580" w:hRule="atLeast"/>
        </w:trPr>
        <w:tc>
          <w:tcPr>
            <w:tcW w:w="770"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239" w:type="dxa"/>
          </w:tcPr>
          <w:p>
            <w:pPr>
              <w:pStyle w:val="TableParagraph"/>
              <w:spacing w:line="202" w:lineRule="exact"/>
              <w:rPr>
                <w:sz w:val="21"/>
              </w:rPr>
            </w:pPr>
            <w:r>
              <w:rPr>
                <w:sz w:val="21"/>
              </w:rPr>
              <w:t>(3)卫生行政部门认定的二级以上（含二级）医院出具的附有病理显微镜检查</w:t>
            </w:r>
          </w:p>
          <w:p>
            <w:pPr>
              <w:pStyle w:val="TableParagraph"/>
              <w:spacing w:line="273" w:lineRule="auto" w:before="37"/>
              <w:ind w:right="1"/>
              <w:rPr>
                <w:sz w:val="21"/>
              </w:rPr>
            </w:pPr>
            <w:r>
              <w:rPr>
                <w:sz w:val="21"/>
              </w:rPr>
              <w:t>报告、血液检查及其他科学方法检验报告的病史资料及疾病诊断报告书；但</w:t>
            </w:r>
            <w:r>
              <w:rPr>
                <w:spacing w:val="-5"/>
                <w:sz w:val="21"/>
              </w:rPr>
              <w:t>严重原发性心肌病的理赔须由三级以上</w:t>
            </w:r>
            <w:r>
              <w:rPr>
                <w:sz w:val="21"/>
              </w:rPr>
              <w:t>（</w:t>
            </w:r>
            <w:r>
              <w:rPr>
                <w:spacing w:val="-3"/>
                <w:sz w:val="21"/>
              </w:rPr>
              <w:t>含三级</w:t>
            </w:r>
            <w:r>
              <w:rPr>
                <w:spacing w:val="-27"/>
                <w:sz w:val="21"/>
              </w:rPr>
              <w:t>）</w:t>
            </w:r>
            <w:r>
              <w:rPr>
                <w:spacing w:val="-3"/>
                <w:sz w:val="21"/>
              </w:rPr>
              <w:t>医院出具前述报告和资料； 如有必要，我们有权对被保险人进行复检，复检费用由我们承担；</w:t>
            </w:r>
          </w:p>
          <w:p>
            <w:pPr>
              <w:pStyle w:val="TableParagraph"/>
              <w:spacing w:before="7"/>
              <w:rPr>
                <w:sz w:val="21"/>
              </w:rPr>
            </w:pPr>
            <w:r>
              <w:rPr>
                <w:sz w:val="21"/>
              </w:rPr>
              <w:t>(4)所能提供的与确认保险事故的性质、原因等有关的其他证明和资料。</w:t>
            </w:r>
          </w:p>
        </w:tc>
      </w:tr>
      <w:tr>
        <w:trPr>
          <w:trHeight w:val="765" w:hRule="atLeast"/>
        </w:trPr>
        <w:tc>
          <w:tcPr>
            <w:tcW w:w="770"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239" w:type="dxa"/>
          </w:tcPr>
          <w:p>
            <w:pPr>
              <w:pStyle w:val="TableParagraph"/>
              <w:spacing w:line="273" w:lineRule="auto" w:before="48"/>
              <w:ind w:right="105"/>
              <w:rPr>
                <w:sz w:val="21"/>
              </w:rPr>
            </w:pPr>
            <w:r>
              <w:rPr>
                <w:sz w:val="21"/>
              </w:rPr>
              <w:t>以上各项证明和资料不完整的，我们将及时一次性通知受益人补充提供有关证明和资料。</w:t>
            </w:r>
          </w:p>
        </w:tc>
      </w:tr>
      <w:tr>
        <w:trPr>
          <w:trHeight w:val="3809" w:hRule="atLeast"/>
        </w:trPr>
        <w:tc>
          <w:tcPr>
            <w:tcW w:w="770" w:type="dxa"/>
          </w:tcPr>
          <w:p>
            <w:pPr>
              <w:pStyle w:val="TableParagraph"/>
              <w:spacing w:before="48"/>
              <w:ind w:left="107"/>
              <w:rPr>
                <w:b/>
                <w:sz w:val="21"/>
              </w:rPr>
            </w:pPr>
            <w:r>
              <w:rPr>
                <w:b/>
                <w:sz w:val="21"/>
              </w:rPr>
              <w:t>3.4</w:t>
            </w:r>
          </w:p>
        </w:tc>
        <w:tc>
          <w:tcPr>
            <w:tcW w:w="1755" w:type="dxa"/>
          </w:tcPr>
          <w:p>
            <w:pPr>
              <w:pStyle w:val="TableParagraph"/>
              <w:spacing w:before="48"/>
              <w:ind w:left="344"/>
              <w:rPr>
                <w:b/>
                <w:sz w:val="21"/>
              </w:rPr>
            </w:pPr>
            <w:r>
              <w:rPr>
                <w:b/>
                <w:sz w:val="21"/>
              </w:rPr>
              <w:t>保险金给付</w:t>
            </w:r>
          </w:p>
        </w:tc>
        <w:tc>
          <w:tcPr>
            <w:tcW w:w="7239" w:type="dxa"/>
          </w:tcPr>
          <w:p>
            <w:pPr>
              <w:pStyle w:val="TableParagraph"/>
              <w:spacing w:before="48"/>
              <w:rPr>
                <w:sz w:val="21"/>
              </w:rPr>
            </w:pPr>
            <w:r>
              <w:rPr>
                <w:sz w:val="21"/>
              </w:rPr>
              <w:t>我们在收到保险金给付申请书及上述有关证明和资料后，将在 5 日内作出核</w:t>
            </w:r>
          </w:p>
          <w:p>
            <w:pPr>
              <w:pStyle w:val="TableParagraph"/>
              <w:spacing w:before="36"/>
              <w:rPr>
                <w:sz w:val="21"/>
              </w:rPr>
            </w:pPr>
            <w:r>
              <w:rPr>
                <w:spacing w:val="-6"/>
                <w:sz w:val="21"/>
              </w:rPr>
              <w:t>定；</w:t>
            </w:r>
            <w:r>
              <w:rPr>
                <w:b/>
                <w:spacing w:val="-3"/>
                <w:sz w:val="21"/>
              </w:rPr>
              <w:t>情形复杂</w:t>
            </w:r>
            <w:r>
              <w:rPr>
                <w:spacing w:val="-3"/>
                <w:sz w:val="21"/>
              </w:rPr>
              <w:t>（详见释义</w:t>
            </w:r>
            <w:r>
              <w:rPr>
                <w:spacing w:val="-10"/>
                <w:sz w:val="21"/>
              </w:rPr>
              <w:t>）</w:t>
            </w:r>
            <w:r>
              <w:rPr>
                <w:spacing w:val="-14"/>
                <w:sz w:val="21"/>
              </w:rPr>
              <w:t>的，在 </w:t>
            </w:r>
            <w:r>
              <w:rPr>
                <w:sz w:val="21"/>
              </w:rPr>
              <w:t>30</w:t>
            </w:r>
            <w:r>
              <w:rPr>
                <w:spacing w:val="-9"/>
                <w:sz w:val="21"/>
              </w:rPr>
              <w:t> 日内作出核定。对属于给付保险金责任</w:t>
            </w:r>
          </w:p>
          <w:p>
            <w:pPr>
              <w:pStyle w:val="TableParagraph"/>
              <w:spacing w:before="36"/>
              <w:rPr>
                <w:sz w:val="21"/>
              </w:rPr>
            </w:pPr>
            <w:r>
              <w:rPr>
                <w:spacing w:val="-12"/>
                <w:sz w:val="21"/>
              </w:rPr>
              <w:t>的，我们在与受益人达成给付保险金的协议后 </w:t>
            </w:r>
            <w:r>
              <w:rPr>
                <w:sz w:val="21"/>
              </w:rPr>
              <w:t>10</w:t>
            </w:r>
            <w:r>
              <w:rPr>
                <w:spacing w:val="-12"/>
                <w:sz w:val="21"/>
              </w:rPr>
              <w:t> 日内，履行给付保险金义务。</w:t>
            </w:r>
          </w:p>
          <w:p>
            <w:pPr>
              <w:pStyle w:val="TableParagraph"/>
              <w:spacing w:line="273" w:lineRule="auto" w:before="115"/>
              <w:ind w:right="105"/>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73" w:lineRule="auto" w:before="84"/>
              <w:ind w:right="102"/>
              <w:jc w:val="both"/>
              <w:rPr>
                <w:sz w:val="21"/>
              </w:rPr>
            </w:pPr>
            <w:r>
              <w:rPr>
                <w:spacing w:val="-4"/>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3" w:lineRule="auto" w:before="87"/>
              <w:ind w:right="102"/>
              <w:jc w:val="both"/>
              <w:rPr>
                <w:sz w:val="21"/>
              </w:rPr>
            </w:pPr>
            <w:r>
              <w:rPr>
                <w:spacing w:val="-5"/>
                <w:sz w:val="21"/>
              </w:rPr>
              <w:t>我们在收到保险金给付申请书及有关证明和资料之日起 </w:t>
            </w:r>
            <w:r>
              <w:rPr>
                <w:sz w:val="21"/>
              </w:rPr>
              <w:t>60</w:t>
            </w:r>
            <w:r>
              <w:rPr>
                <w:spacing w:val="-13"/>
                <w:sz w:val="21"/>
              </w:rPr>
              <w:t> 日内，对给付保险金的数额不能确定的，根据已有证明和资料可以确定的数额先予支付；我们</w:t>
            </w:r>
            <w:r>
              <w:rPr>
                <w:spacing w:val="-6"/>
                <w:sz w:val="21"/>
              </w:rPr>
              <w:t>最终确定给付保险金的数额后，将支付相应的差额。</w:t>
            </w:r>
          </w:p>
        </w:tc>
      </w:tr>
      <w:tr>
        <w:trPr>
          <w:trHeight w:val="835" w:hRule="atLeast"/>
        </w:trPr>
        <w:tc>
          <w:tcPr>
            <w:tcW w:w="770" w:type="dxa"/>
          </w:tcPr>
          <w:p>
            <w:pPr>
              <w:pStyle w:val="TableParagraph"/>
              <w:spacing w:before="48"/>
              <w:ind w:left="107"/>
              <w:rPr>
                <w:b/>
                <w:sz w:val="21"/>
              </w:rPr>
            </w:pPr>
            <w:r>
              <w:rPr>
                <w:b/>
                <w:sz w:val="21"/>
              </w:rPr>
              <w:t>3.5</w:t>
            </w:r>
          </w:p>
        </w:tc>
        <w:tc>
          <w:tcPr>
            <w:tcW w:w="1755" w:type="dxa"/>
          </w:tcPr>
          <w:p>
            <w:pPr>
              <w:pStyle w:val="TableParagraph"/>
              <w:spacing w:before="48"/>
              <w:ind w:left="344"/>
              <w:rPr>
                <w:b/>
                <w:sz w:val="21"/>
              </w:rPr>
            </w:pPr>
            <w:r>
              <w:rPr>
                <w:b/>
                <w:sz w:val="21"/>
              </w:rPr>
              <w:t>诉讼时效</w:t>
            </w:r>
          </w:p>
        </w:tc>
        <w:tc>
          <w:tcPr>
            <w:tcW w:w="7239" w:type="dxa"/>
          </w:tcPr>
          <w:p>
            <w:pPr>
              <w:pStyle w:val="TableParagraph"/>
              <w:spacing w:line="273" w:lineRule="auto" w:before="48"/>
              <w:ind w:right="41"/>
              <w:rPr>
                <w:sz w:val="21"/>
              </w:rPr>
            </w:pPr>
            <w:r>
              <w:rPr>
                <w:sz w:val="21"/>
              </w:rPr>
              <w:t>受益人向我们请求给付保险金的诉讼时效期间为 2 年，自其知道或者应当知道保险事故发生之日起计算。</w:t>
            </w:r>
          </w:p>
        </w:tc>
      </w:tr>
      <w:tr>
        <w:trPr>
          <w:trHeight w:val="312" w:hRule="atLeast"/>
        </w:trPr>
        <w:tc>
          <w:tcPr>
            <w:tcW w:w="770" w:type="dxa"/>
            <w:shd w:val="clear" w:color="auto" w:fill="A6A6A6"/>
          </w:tcPr>
          <w:p>
            <w:pPr>
              <w:pStyle w:val="TableParagraph"/>
              <w:spacing w:line="254" w:lineRule="exact"/>
              <w:ind w:left="107"/>
              <w:rPr>
                <w:b/>
                <w:sz w:val="21"/>
              </w:rPr>
            </w:pPr>
            <w:r>
              <w:rPr>
                <w:b/>
                <w:sz w:val="21"/>
              </w:rPr>
              <w:t>4．</w:t>
            </w:r>
          </w:p>
        </w:tc>
        <w:tc>
          <w:tcPr>
            <w:tcW w:w="1755" w:type="dxa"/>
            <w:shd w:val="clear" w:color="auto" w:fill="A6A6A6"/>
          </w:tcPr>
          <w:p>
            <w:pPr>
              <w:pStyle w:val="TableParagraph"/>
              <w:spacing w:line="254" w:lineRule="exact"/>
              <w:ind w:left="344"/>
              <w:rPr>
                <w:b/>
                <w:sz w:val="21"/>
              </w:rPr>
            </w:pPr>
            <w:r>
              <w:rPr>
                <w:b/>
                <w:sz w:val="21"/>
              </w:rPr>
              <w:t>保险费的支付</w:t>
            </w:r>
          </w:p>
        </w:tc>
        <w:tc>
          <w:tcPr>
            <w:tcW w:w="7239" w:type="dxa"/>
            <w:shd w:val="clear" w:color="auto" w:fill="A6A6A6"/>
          </w:tcPr>
          <w:p>
            <w:pPr>
              <w:pStyle w:val="TableParagraph"/>
              <w:ind w:left="0"/>
              <w:rPr>
                <w:rFonts w:ascii="Times New Roman"/>
                <w:sz w:val="20"/>
              </w:rPr>
            </w:pPr>
          </w:p>
        </w:tc>
      </w:tr>
      <w:tr>
        <w:trPr>
          <w:trHeight w:val="595" w:hRule="atLeast"/>
        </w:trPr>
        <w:tc>
          <w:tcPr>
            <w:tcW w:w="770" w:type="dxa"/>
          </w:tcPr>
          <w:p>
            <w:pPr>
              <w:pStyle w:val="TableParagraph"/>
              <w:spacing w:before="120"/>
              <w:ind w:left="107"/>
              <w:rPr>
                <w:b/>
                <w:sz w:val="21"/>
              </w:rPr>
            </w:pPr>
            <w:r>
              <w:rPr>
                <w:b/>
                <w:sz w:val="21"/>
              </w:rPr>
              <w:t>4.1</w:t>
            </w:r>
          </w:p>
        </w:tc>
        <w:tc>
          <w:tcPr>
            <w:tcW w:w="1755" w:type="dxa"/>
          </w:tcPr>
          <w:p>
            <w:pPr>
              <w:pStyle w:val="TableParagraph"/>
              <w:spacing w:before="120"/>
              <w:ind w:left="344"/>
              <w:rPr>
                <w:b/>
                <w:sz w:val="21"/>
              </w:rPr>
            </w:pPr>
            <w:r>
              <w:rPr>
                <w:b/>
                <w:sz w:val="21"/>
              </w:rPr>
              <w:t>保险费的支付</w:t>
            </w:r>
          </w:p>
        </w:tc>
        <w:tc>
          <w:tcPr>
            <w:tcW w:w="7239" w:type="dxa"/>
          </w:tcPr>
          <w:p>
            <w:pPr>
              <w:pStyle w:val="TableParagraph"/>
              <w:spacing w:before="120"/>
              <w:rPr>
                <w:sz w:val="21"/>
              </w:rPr>
            </w:pPr>
            <w:r>
              <w:rPr>
                <w:sz w:val="21"/>
              </w:rPr>
              <w:t>本附加险合同保险费的交费方式与主险合同一致。</w:t>
            </w:r>
          </w:p>
        </w:tc>
      </w:tr>
      <w:tr>
        <w:trPr>
          <w:trHeight w:val="312" w:hRule="atLeast"/>
        </w:trPr>
        <w:tc>
          <w:tcPr>
            <w:tcW w:w="770" w:type="dxa"/>
            <w:shd w:val="clear" w:color="auto" w:fill="A6A6A6"/>
          </w:tcPr>
          <w:p>
            <w:pPr>
              <w:pStyle w:val="TableParagraph"/>
              <w:spacing w:line="254" w:lineRule="exact"/>
              <w:ind w:left="107"/>
              <w:rPr>
                <w:b/>
                <w:sz w:val="21"/>
              </w:rPr>
            </w:pPr>
            <w:r>
              <w:rPr>
                <w:b/>
                <w:sz w:val="21"/>
              </w:rPr>
              <w:t>5．</w:t>
            </w:r>
          </w:p>
        </w:tc>
        <w:tc>
          <w:tcPr>
            <w:tcW w:w="1755" w:type="dxa"/>
            <w:shd w:val="clear" w:color="auto" w:fill="A6A6A6"/>
          </w:tcPr>
          <w:p>
            <w:pPr>
              <w:pStyle w:val="TableParagraph"/>
              <w:spacing w:line="254" w:lineRule="exact"/>
              <w:ind w:left="344"/>
              <w:rPr>
                <w:b/>
                <w:sz w:val="21"/>
              </w:rPr>
            </w:pPr>
            <w:r>
              <w:rPr>
                <w:b/>
                <w:sz w:val="21"/>
              </w:rPr>
              <w:t>合同解除</w:t>
            </w:r>
          </w:p>
        </w:tc>
        <w:tc>
          <w:tcPr>
            <w:tcW w:w="7239" w:type="dxa"/>
            <w:shd w:val="clear" w:color="auto" w:fill="A6A6A6"/>
          </w:tcPr>
          <w:p>
            <w:pPr>
              <w:pStyle w:val="TableParagraph"/>
              <w:ind w:left="0"/>
              <w:rPr>
                <w:rFonts w:ascii="Times New Roman"/>
                <w:sz w:val="20"/>
              </w:rPr>
            </w:pPr>
          </w:p>
        </w:tc>
      </w:tr>
      <w:tr>
        <w:trPr>
          <w:trHeight w:val="3014" w:hRule="atLeast"/>
        </w:trPr>
        <w:tc>
          <w:tcPr>
            <w:tcW w:w="770" w:type="dxa"/>
          </w:tcPr>
          <w:p>
            <w:pPr>
              <w:pStyle w:val="TableParagraph"/>
              <w:spacing w:before="120"/>
              <w:ind w:left="107"/>
              <w:rPr>
                <w:b/>
                <w:sz w:val="21"/>
              </w:rPr>
            </w:pPr>
            <w:r>
              <w:rPr>
                <w:b/>
                <w:sz w:val="21"/>
              </w:rPr>
              <w:t>5.1</w:t>
            </w:r>
          </w:p>
        </w:tc>
        <w:tc>
          <w:tcPr>
            <w:tcW w:w="1755" w:type="dxa"/>
          </w:tcPr>
          <w:p>
            <w:pPr>
              <w:pStyle w:val="TableParagraph"/>
              <w:spacing w:line="273" w:lineRule="auto" w:before="120"/>
              <w:ind w:left="344" w:right="141"/>
              <w:rPr>
                <w:b/>
                <w:sz w:val="21"/>
              </w:rPr>
            </w:pPr>
            <w:r>
              <w:rPr>
                <w:b/>
                <w:sz w:val="21"/>
              </w:rPr>
              <w:t>您解除合同的手续及风险</w:t>
            </w:r>
          </w:p>
        </w:tc>
        <w:tc>
          <w:tcPr>
            <w:tcW w:w="7239" w:type="dxa"/>
          </w:tcPr>
          <w:p>
            <w:pPr>
              <w:pStyle w:val="TableParagraph"/>
              <w:spacing w:before="120"/>
              <w:rPr>
                <w:sz w:val="21"/>
              </w:rPr>
            </w:pPr>
            <w:r>
              <w:rPr>
                <w:sz w:val="21"/>
              </w:rPr>
              <w:t>本附加险合同成立后，可与主险合同一并解除，但不得单独解除。</w:t>
            </w:r>
          </w:p>
          <w:p>
            <w:pPr>
              <w:pStyle w:val="TableParagraph"/>
              <w:spacing w:line="273" w:lineRule="auto" w:before="116"/>
              <w:ind w:right="102"/>
              <w:rPr>
                <w:sz w:val="21"/>
              </w:rPr>
            </w:pPr>
            <w:r>
              <w:rPr>
                <w:sz w:val="21"/>
              </w:rPr>
              <w:t>如您在犹豫期后申请解除本附加险合同，请填写解除合同的书面申请并向我们提供下列资料：</w:t>
            </w:r>
          </w:p>
          <w:p>
            <w:pPr>
              <w:pStyle w:val="TableParagraph"/>
              <w:spacing w:before="8"/>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113"/>
              <w:ind w:right="103"/>
              <w:rPr>
                <w:sz w:val="21"/>
              </w:rPr>
            </w:pPr>
            <w:r>
              <w:rPr>
                <w:sz w:val="21"/>
              </w:rPr>
              <w:t>自我们收到解除合同的书面申请时起，本附加险合同终止。我们自收到解除合同的书面申请之日起 30 日内向您退还本附加险合同保险单的现金价值。</w:t>
            </w:r>
          </w:p>
          <w:p>
            <w:pPr>
              <w:pStyle w:val="TableParagraph"/>
              <w:spacing w:before="86"/>
              <w:rPr>
                <w:sz w:val="21"/>
              </w:rPr>
            </w:pPr>
            <w:r>
              <w:rPr>
                <w:sz w:val="21"/>
              </w:rPr>
              <w:t>您犹豫期后解除合同会遭受一定损失。</w:t>
            </w:r>
          </w:p>
        </w:tc>
      </w:tr>
      <w:tr>
        <w:trPr>
          <w:trHeight w:val="312" w:hRule="atLeast"/>
        </w:trPr>
        <w:tc>
          <w:tcPr>
            <w:tcW w:w="770" w:type="dxa"/>
            <w:shd w:val="clear" w:color="auto" w:fill="A6A6A6"/>
          </w:tcPr>
          <w:p>
            <w:pPr>
              <w:pStyle w:val="TableParagraph"/>
              <w:spacing w:line="254" w:lineRule="exact"/>
              <w:ind w:left="107"/>
              <w:rPr>
                <w:b/>
                <w:sz w:val="21"/>
              </w:rPr>
            </w:pPr>
            <w:r>
              <w:rPr>
                <w:b/>
                <w:sz w:val="21"/>
              </w:rPr>
              <w:t>6．</w:t>
            </w:r>
          </w:p>
        </w:tc>
        <w:tc>
          <w:tcPr>
            <w:tcW w:w="8994" w:type="dxa"/>
            <w:gridSpan w:val="2"/>
            <w:shd w:val="clear" w:color="auto" w:fill="A6A6A6"/>
          </w:tcPr>
          <w:p>
            <w:pPr>
              <w:pStyle w:val="TableParagraph"/>
              <w:spacing w:line="254" w:lineRule="exact"/>
              <w:ind w:left="344"/>
              <w:rPr>
                <w:b/>
                <w:sz w:val="21"/>
              </w:rPr>
            </w:pPr>
            <w:r>
              <w:rPr>
                <w:b/>
                <w:sz w:val="21"/>
              </w:rPr>
              <w:t>其他需要关注的事项</w:t>
            </w:r>
          </w:p>
        </w:tc>
      </w:tr>
      <w:tr>
        <w:trPr>
          <w:trHeight w:val="2043" w:hRule="atLeast"/>
        </w:trPr>
        <w:tc>
          <w:tcPr>
            <w:tcW w:w="770" w:type="dxa"/>
          </w:tcPr>
          <w:p>
            <w:pPr>
              <w:pStyle w:val="TableParagraph"/>
              <w:spacing w:before="120"/>
              <w:ind w:left="107"/>
              <w:rPr>
                <w:b/>
                <w:sz w:val="21"/>
              </w:rPr>
            </w:pPr>
            <w:r>
              <w:rPr>
                <w:b/>
                <w:sz w:val="21"/>
              </w:rPr>
              <w:t>6.1</w:t>
            </w:r>
          </w:p>
        </w:tc>
        <w:tc>
          <w:tcPr>
            <w:tcW w:w="1755" w:type="dxa"/>
          </w:tcPr>
          <w:p>
            <w:pPr>
              <w:pStyle w:val="TableParagraph"/>
              <w:spacing w:line="273" w:lineRule="auto" w:before="120"/>
              <w:ind w:left="344" w:right="141"/>
              <w:rPr>
                <w:b/>
                <w:sz w:val="21"/>
              </w:rPr>
            </w:pPr>
            <w:r>
              <w:rPr>
                <w:b/>
                <w:sz w:val="21"/>
              </w:rPr>
              <w:t>合同终止的特殊处理</w:t>
            </w:r>
          </w:p>
        </w:tc>
        <w:tc>
          <w:tcPr>
            <w:tcW w:w="7239" w:type="dxa"/>
          </w:tcPr>
          <w:p>
            <w:pPr>
              <w:pStyle w:val="TableParagraph"/>
              <w:spacing w:line="273" w:lineRule="auto" w:before="120"/>
              <w:ind w:right="105"/>
              <w:jc w:val="both"/>
              <w:rPr>
                <w:sz w:val="21"/>
              </w:rPr>
            </w:pPr>
            <w:r>
              <w:rPr>
                <w:sz w:val="21"/>
              </w:rPr>
              <w:t>我们按主险合同约定给付身故保险金或满期保险金，主险合同与本附加险合同同时终止，除主险合同另有约定外，我们不退还本附加险合同的现金价值或保险费。</w:t>
            </w:r>
          </w:p>
          <w:p>
            <w:pPr>
              <w:pStyle w:val="TableParagraph"/>
              <w:spacing w:line="310" w:lineRule="atLeast" w:before="51"/>
              <w:ind w:right="105" w:firstLine="2"/>
              <w:jc w:val="both"/>
              <w:rPr>
                <w:sz w:val="21"/>
              </w:rPr>
            </w:pPr>
            <w:r>
              <w:rPr>
                <w:sz w:val="21"/>
              </w:rPr>
              <w:t>本附加险合同与主险合同同时终止时，但不符合本附加险合同与主险合同任何保险金给付条件的，如按本附加险合同约定须退还现金价值或保险费，主险合同的现金价值或保险费也同时退还。</w:t>
            </w:r>
          </w:p>
        </w:tc>
      </w:tr>
    </w:tbl>
    <w:p>
      <w:pPr>
        <w:spacing w:after="0" w:line="310" w:lineRule="atLeast"/>
        <w:jc w:val="both"/>
        <w:rPr>
          <w:sz w:val="21"/>
        </w:rPr>
        <w:sectPr>
          <w:pgSz w:w="11910" w:h="16840"/>
          <w:pgMar w:top="1460" w:bottom="280" w:left="9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652"/>
        <w:gridCol w:w="7246"/>
      </w:tblGrid>
      <w:tr>
        <w:trPr>
          <w:trHeight w:val="3210" w:hRule="atLeast"/>
        </w:trPr>
        <w:tc>
          <w:tcPr>
            <w:tcW w:w="852" w:type="dxa"/>
          </w:tcPr>
          <w:p>
            <w:pPr>
              <w:pStyle w:val="TableParagraph"/>
              <w:spacing w:line="202" w:lineRule="exact"/>
              <w:ind w:left="107"/>
              <w:rPr>
                <w:b/>
                <w:sz w:val="21"/>
              </w:rPr>
            </w:pPr>
            <w:r>
              <w:rPr>
                <w:b/>
                <w:sz w:val="21"/>
              </w:rPr>
              <w:t>6.2</w:t>
            </w:r>
          </w:p>
        </w:tc>
        <w:tc>
          <w:tcPr>
            <w:tcW w:w="1652" w:type="dxa"/>
          </w:tcPr>
          <w:p>
            <w:pPr>
              <w:pStyle w:val="TableParagraph"/>
              <w:spacing w:line="202" w:lineRule="exact"/>
              <w:ind w:left="261"/>
              <w:rPr>
                <w:b/>
                <w:sz w:val="21"/>
              </w:rPr>
            </w:pPr>
            <w:r>
              <w:rPr>
                <w:b/>
                <w:sz w:val="21"/>
              </w:rPr>
              <w:t>适用主险合同</w:t>
            </w:r>
          </w:p>
          <w:p>
            <w:pPr>
              <w:pStyle w:val="TableParagraph"/>
              <w:spacing w:before="37"/>
              <w:ind w:left="261"/>
              <w:rPr>
                <w:b/>
                <w:sz w:val="21"/>
              </w:rPr>
            </w:pPr>
            <w:r>
              <w:rPr>
                <w:b/>
                <w:sz w:val="21"/>
              </w:rPr>
              <w:t>条款</w:t>
            </w:r>
          </w:p>
        </w:tc>
        <w:tc>
          <w:tcPr>
            <w:tcW w:w="7246" w:type="dxa"/>
          </w:tcPr>
          <w:p>
            <w:pPr>
              <w:pStyle w:val="TableParagraph"/>
              <w:spacing w:line="202" w:lineRule="exact"/>
              <w:ind w:left="165"/>
              <w:rPr>
                <w:sz w:val="21"/>
              </w:rPr>
            </w:pPr>
            <w:r>
              <w:rPr>
                <w:sz w:val="21"/>
              </w:rPr>
              <w:t>下列事项，适用主险合同条款：</w:t>
            </w:r>
          </w:p>
          <w:p>
            <w:pPr>
              <w:pStyle w:val="TableParagraph"/>
              <w:spacing w:before="37"/>
              <w:ind w:left="165"/>
              <w:rPr>
                <w:sz w:val="21"/>
              </w:rPr>
            </w:pPr>
            <w:r>
              <w:rPr>
                <w:sz w:val="21"/>
              </w:rPr>
              <w:t>(1)现金价值；</w:t>
            </w:r>
          </w:p>
          <w:p>
            <w:pPr>
              <w:pStyle w:val="TableParagraph"/>
              <w:spacing w:before="36"/>
              <w:ind w:left="163"/>
              <w:rPr>
                <w:sz w:val="21"/>
              </w:rPr>
            </w:pPr>
            <w:r>
              <w:rPr>
                <w:sz w:val="21"/>
              </w:rPr>
              <w:t>(2)保单贷款；</w:t>
            </w:r>
          </w:p>
          <w:p>
            <w:pPr>
              <w:pStyle w:val="TableParagraph"/>
              <w:spacing w:before="36"/>
              <w:ind w:left="163"/>
              <w:rPr>
                <w:sz w:val="21"/>
              </w:rPr>
            </w:pPr>
            <w:r>
              <w:rPr>
                <w:sz w:val="21"/>
              </w:rPr>
              <w:t>(3)明确说明与如实告知；</w:t>
            </w:r>
          </w:p>
          <w:p>
            <w:pPr>
              <w:pStyle w:val="TableParagraph"/>
              <w:spacing w:before="36"/>
              <w:ind w:left="163"/>
              <w:rPr>
                <w:sz w:val="21"/>
              </w:rPr>
            </w:pPr>
            <w:r>
              <w:rPr>
                <w:sz w:val="21"/>
              </w:rPr>
              <w:t>(4)我们合同解除权的限制；</w:t>
            </w:r>
          </w:p>
          <w:p>
            <w:pPr>
              <w:pStyle w:val="TableParagraph"/>
              <w:spacing w:before="36"/>
              <w:ind w:left="163"/>
              <w:rPr>
                <w:sz w:val="21"/>
              </w:rPr>
            </w:pPr>
            <w:r>
              <w:rPr>
                <w:sz w:val="21"/>
              </w:rPr>
              <w:t>(5)年龄性别错误；</w:t>
            </w:r>
          </w:p>
          <w:p>
            <w:pPr>
              <w:pStyle w:val="TableParagraph"/>
              <w:spacing w:before="36"/>
              <w:ind w:left="163"/>
              <w:rPr>
                <w:sz w:val="21"/>
              </w:rPr>
            </w:pPr>
            <w:r>
              <w:rPr>
                <w:sz w:val="21"/>
              </w:rPr>
              <w:t>(6)未还款项；</w:t>
            </w:r>
          </w:p>
          <w:p>
            <w:pPr>
              <w:pStyle w:val="TableParagraph"/>
              <w:spacing w:before="36"/>
              <w:ind w:left="163"/>
              <w:rPr>
                <w:sz w:val="21"/>
              </w:rPr>
            </w:pPr>
            <w:r>
              <w:rPr>
                <w:sz w:val="21"/>
              </w:rPr>
              <w:t>(7)合同内容变更；</w:t>
            </w:r>
          </w:p>
          <w:p>
            <w:pPr>
              <w:pStyle w:val="TableParagraph"/>
              <w:spacing w:before="36"/>
              <w:ind w:left="163"/>
              <w:rPr>
                <w:sz w:val="21"/>
              </w:rPr>
            </w:pPr>
            <w:r>
              <w:rPr>
                <w:sz w:val="21"/>
              </w:rPr>
              <w:t>(8)联系方式变更；</w:t>
            </w:r>
          </w:p>
          <w:p>
            <w:pPr>
              <w:pStyle w:val="TableParagraph"/>
              <w:spacing w:before="36"/>
              <w:ind w:left="163"/>
              <w:rPr>
                <w:sz w:val="21"/>
              </w:rPr>
            </w:pPr>
            <w:r>
              <w:rPr>
                <w:sz w:val="21"/>
              </w:rPr>
              <w:t>(9)争议处理。</w:t>
            </w:r>
          </w:p>
        </w:tc>
      </w:tr>
      <w:tr>
        <w:trPr>
          <w:trHeight w:val="311" w:hRule="atLeast"/>
        </w:trPr>
        <w:tc>
          <w:tcPr>
            <w:tcW w:w="852" w:type="dxa"/>
            <w:shd w:val="clear" w:color="auto" w:fill="A6A6A6"/>
          </w:tcPr>
          <w:p>
            <w:pPr>
              <w:pStyle w:val="TableParagraph"/>
              <w:spacing w:line="254" w:lineRule="exact"/>
              <w:ind w:left="107"/>
              <w:rPr>
                <w:b/>
                <w:sz w:val="21"/>
              </w:rPr>
            </w:pPr>
            <w:r>
              <w:rPr>
                <w:b/>
                <w:sz w:val="21"/>
              </w:rPr>
              <w:t>7．</w:t>
            </w:r>
          </w:p>
        </w:tc>
        <w:tc>
          <w:tcPr>
            <w:tcW w:w="1652" w:type="dxa"/>
            <w:shd w:val="clear" w:color="auto" w:fill="A6A6A6"/>
          </w:tcPr>
          <w:p>
            <w:pPr>
              <w:pStyle w:val="TableParagraph"/>
              <w:spacing w:line="254" w:lineRule="exact"/>
              <w:ind w:left="216" w:right="-44"/>
              <w:rPr>
                <w:b/>
                <w:sz w:val="21"/>
              </w:rPr>
            </w:pPr>
            <w:r>
              <w:rPr>
                <w:b/>
                <w:sz w:val="21"/>
              </w:rPr>
              <w:t>重大疾病的定义</w:t>
            </w:r>
          </w:p>
        </w:tc>
        <w:tc>
          <w:tcPr>
            <w:tcW w:w="7246" w:type="dxa"/>
            <w:shd w:val="clear" w:color="auto" w:fill="A6A6A6"/>
          </w:tcPr>
          <w:p>
            <w:pPr>
              <w:pStyle w:val="TableParagraph"/>
              <w:ind w:left="0"/>
              <w:rPr>
                <w:rFonts w:ascii="Times New Roman"/>
                <w:sz w:val="20"/>
              </w:rPr>
            </w:pPr>
          </w:p>
        </w:tc>
      </w:tr>
      <w:tr>
        <w:trPr>
          <w:trHeight w:val="1149" w:hRule="atLeast"/>
        </w:trPr>
        <w:tc>
          <w:tcPr>
            <w:tcW w:w="852" w:type="dxa"/>
          </w:tcPr>
          <w:p>
            <w:pPr>
              <w:pStyle w:val="TableParagraph"/>
              <w:spacing w:before="120"/>
              <w:ind w:left="107"/>
              <w:rPr>
                <w:b/>
                <w:sz w:val="21"/>
              </w:rPr>
            </w:pPr>
            <w:r>
              <w:rPr>
                <w:b/>
                <w:sz w:val="21"/>
              </w:rPr>
              <w:t>7.1</w:t>
            </w:r>
          </w:p>
        </w:tc>
        <w:tc>
          <w:tcPr>
            <w:tcW w:w="1652" w:type="dxa"/>
          </w:tcPr>
          <w:p>
            <w:pPr>
              <w:pStyle w:val="TableParagraph"/>
              <w:spacing w:line="273" w:lineRule="auto" w:before="120"/>
              <w:ind w:left="216" w:right="166"/>
              <w:rPr>
                <w:b/>
                <w:sz w:val="21"/>
              </w:rPr>
            </w:pPr>
            <w:r>
              <w:rPr>
                <w:b/>
                <w:sz w:val="21"/>
              </w:rPr>
              <w:t>重大疾病的定义</w:t>
            </w:r>
          </w:p>
        </w:tc>
        <w:tc>
          <w:tcPr>
            <w:tcW w:w="7246" w:type="dxa"/>
          </w:tcPr>
          <w:p>
            <w:pPr>
              <w:pStyle w:val="TableParagraph"/>
              <w:spacing w:line="273" w:lineRule="auto" w:before="120"/>
              <w:ind w:left="124" w:right="105"/>
              <w:jc w:val="both"/>
              <w:rPr>
                <w:sz w:val="21"/>
              </w:rPr>
            </w:pPr>
            <w:r>
              <w:rPr>
                <w:sz w:val="21"/>
              </w:rPr>
              <w:t>本附加险合同所保障的重大疾病，是指被保险人在本附加险合同有效期间内经</w:t>
            </w:r>
            <w:r>
              <w:rPr>
                <w:b/>
                <w:sz w:val="21"/>
              </w:rPr>
              <w:t>专科医生</w:t>
            </w:r>
            <w:r>
              <w:rPr>
                <w:sz w:val="21"/>
              </w:rPr>
              <w:t>（详见释义）明确诊断初次患下列疾病或初次达到下列疾病状态或在医院初次接受下列手术：</w:t>
            </w:r>
          </w:p>
        </w:tc>
      </w:tr>
      <w:tr>
        <w:trPr>
          <w:trHeight w:val="3653" w:hRule="atLeast"/>
        </w:trPr>
        <w:tc>
          <w:tcPr>
            <w:tcW w:w="852" w:type="dxa"/>
          </w:tcPr>
          <w:p>
            <w:pPr>
              <w:pStyle w:val="TableParagraph"/>
              <w:spacing w:before="48"/>
              <w:ind w:left="107"/>
              <w:rPr>
                <w:b/>
                <w:sz w:val="21"/>
              </w:rPr>
            </w:pPr>
            <w:r>
              <w:rPr>
                <w:b/>
                <w:sz w:val="21"/>
              </w:rPr>
              <w:t>7.1.1</w:t>
            </w:r>
          </w:p>
        </w:tc>
        <w:tc>
          <w:tcPr>
            <w:tcW w:w="1652" w:type="dxa"/>
          </w:tcPr>
          <w:p>
            <w:pPr>
              <w:pStyle w:val="TableParagraph"/>
              <w:spacing w:before="48"/>
              <w:ind w:left="216"/>
              <w:rPr>
                <w:b/>
                <w:sz w:val="21"/>
              </w:rPr>
            </w:pPr>
            <w:r>
              <w:rPr>
                <w:b/>
                <w:sz w:val="21"/>
              </w:rPr>
              <w:t>恶性肿瘤</w:t>
            </w:r>
          </w:p>
        </w:tc>
        <w:tc>
          <w:tcPr>
            <w:tcW w:w="7246" w:type="dxa"/>
          </w:tcPr>
          <w:p>
            <w:pPr>
              <w:pStyle w:val="TableParagraph"/>
              <w:spacing w:line="273" w:lineRule="auto" w:before="48"/>
              <w:ind w:left="124" w:right="111"/>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86"/>
              <w:ind w:left="124"/>
              <w:jc w:val="both"/>
              <w:rPr>
                <w:rFonts w:ascii="黑体" w:eastAsia="黑体" w:hint="eastAsia"/>
                <w:sz w:val="21"/>
              </w:rPr>
            </w:pPr>
            <w:r>
              <w:rPr>
                <w:rFonts w:ascii="黑体" w:eastAsia="黑体" w:hint="eastAsia"/>
                <w:sz w:val="21"/>
              </w:rPr>
              <w:t>下列疾病不在保障范围内：</w:t>
            </w:r>
          </w:p>
          <w:p>
            <w:pPr>
              <w:pStyle w:val="TableParagraph"/>
              <w:spacing w:before="37"/>
              <w:ind w:left="124"/>
              <w:jc w:val="both"/>
              <w:rPr>
                <w:rFonts w:ascii="黑体" w:eastAsia="黑体" w:hint="eastAsia"/>
                <w:sz w:val="21"/>
              </w:rPr>
            </w:pPr>
            <w:r>
              <w:rPr>
                <w:rFonts w:ascii="黑体" w:eastAsia="黑体" w:hint="eastAsia"/>
                <w:sz w:val="21"/>
              </w:rPr>
              <w:t>(1)原位癌；</w:t>
            </w:r>
          </w:p>
          <w:p>
            <w:pPr>
              <w:pStyle w:val="TableParagraph"/>
              <w:spacing w:before="37"/>
              <w:ind w:left="124"/>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24"/>
              <w:jc w:val="both"/>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24"/>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7"/>
              <w:ind w:left="124"/>
              <w:jc w:val="both"/>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ind w:left="124"/>
              <w:jc w:val="both"/>
              <w:rPr>
                <w:rFonts w:ascii="黑体" w:eastAsia="黑体" w:hint="eastAsia"/>
                <w:sz w:val="21"/>
              </w:rPr>
            </w:pPr>
            <w:r>
              <w:rPr>
                <w:rFonts w:ascii="黑体" w:eastAsia="黑体" w:hint="eastAsia"/>
                <w:sz w:val="21"/>
              </w:rPr>
              <w:t>(6)感染艾滋病病毒或患艾滋病期间所患恶性肿瘤。</w:t>
            </w:r>
          </w:p>
        </w:tc>
      </w:tr>
      <w:tr>
        <w:trPr>
          <w:trHeight w:val="1795" w:hRule="atLeast"/>
        </w:trPr>
        <w:tc>
          <w:tcPr>
            <w:tcW w:w="852" w:type="dxa"/>
          </w:tcPr>
          <w:p>
            <w:pPr>
              <w:pStyle w:val="TableParagraph"/>
              <w:spacing w:before="48"/>
              <w:ind w:left="107"/>
              <w:rPr>
                <w:b/>
                <w:sz w:val="21"/>
              </w:rPr>
            </w:pPr>
            <w:r>
              <w:rPr>
                <w:b/>
                <w:sz w:val="21"/>
              </w:rPr>
              <w:t>7.1.2</w:t>
            </w:r>
          </w:p>
        </w:tc>
        <w:tc>
          <w:tcPr>
            <w:tcW w:w="1652" w:type="dxa"/>
          </w:tcPr>
          <w:p>
            <w:pPr>
              <w:pStyle w:val="TableParagraph"/>
              <w:spacing w:line="273" w:lineRule="auto" w:before="48"/>
              <w:ind w:left="216" w:right="166"/>
              <w:jc w:val="both"/>
              <w:rPr>
                <w:b/>
                <w:sz w:val="21"/>
              </w:rPr>
            </w:pPr>
            <w:r>
              <w:rPr>
                <w:b/>
                <w:sz w:val="21"/>
              </w:rPr>
              <w:t>重大器官移植术或造血干细胞移植术</w:t>
            </w:r>
          </w:p>
        </w:tc>
        <w:tc>
          <w:tcPr>
            <w:tcW w:w="7246" w:type="dxa"/>
          </w:tcPr>
          <w:p>
            <w:pPr>
              <w:pStyle w:val="TableParagraph"/>
              <w:spacing w:line="276" w:lineRule="auto" w:before="72"/>
              <w:ind w:left="124" w:right="111"/>
              <w:jc w:val="both"/>
              <w:rPr>
                <w:sz w:val="21"/>
              </w:rPr>
            </w:pPr>
            <w:r>
              <w:rPr>
                <w:sz w:val="21"/>
              </w:rPr>
              <w:t>重大器官移植术，指因相应器官功能衰竭，已经实施了肾脏、肝脏、心脏或肺脏的异体移植手术。</w:t>
            </w:r>
          </w:p>
          <w:p>
            <w:pPr>
              <w:pStyle w:val="TableParagraph"/>
              <w:spacing w:line="273" w:lineRule="auto" w:before="69"/>
              <w:ind w:left="124" w:right="18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89" w:hRule="atLeast"/>
        </w:trPr>
        <w:tc>
          <w:tcPr>
            <w:tcW w:w="852" w:type="dxa"/>
          </w:tcPr>
          <w:p>
            <w:pPr>
              <w:pStyle w:val="TableParagraph"/>
              <w:spacing w:before="48"/>
              <w:ind w:left="107"/>
              <w:rPr>
                <w:b/>
                <w:sz w:val="21"/>
              </w:rPr>
            </w:pPr>
            <w:r>
              <w:rPr>
                <w:b/>
                <w:sz w:val="21"/>
              </w:rPr>
              <w:t>7.1.3</w:t>
            </w:r>
          </w:p>
        </w:tc>
        <w:tc>
          <w:tcPr>
            <w:tcW w:w="1652" w:type="dxa"/>
          </w:tcPr>
          <w:p>
            <w:pPr>
              <w:pStyle w:val="TableParagraph"/>
              <w:spacing w:before="48"/>
              <w:ind w:left="216"/>
              <w:rPr>
                <w:b/>
                <w:sz w:val="21"/>
              </w:rPr>
            </w:pPr>
            <w:r>
              <w:rPr>
                <w:b/>
                <w:sz w:val="21"/>
              </w:rPr>
              <w:t>终末期肾病</w:t>
            </w:r>
          </w:p>
          <w:p>
            <w:pPr>
              <w:pStyle w:val="TableParagraph"/>
              <w:spacing w:line="273" w:lineRule="auto" w:before="36"/>
              <w:ind w:left="216" w:right="166"/>
              <w:jc w:val="both"/>
              <w:rPr>
                <w:b/>
                <w:sz w:val="21"/>
              </w:rPr>
            </w:pPr>
            <w:r>
              <w:rPr>
                <w:b/>
                <w:sz w:val="21"/>
              </w:rPr>
              <w:t>（或称慢性肾功能衰竭尿毒症期）</w:t>
            </w:r>
          </w:p>
        </w:tc>
        <w:tc>
          <w:tcPr>
            <w:tcW w:w="7246" w:type="dxa"/>
          </w:tcPr>
          <w:p>
            <w:pPr>
              <w:pStyle w:val="TableParagraph"/>
              <w:spacing w:line="273" w:lineRule="auto" w:before="48"/>
              <w:ind w:left="124" w:right="53"/>
              <w:rPr>
                <w:sz w:val="21"/>
              </w:rPr>
            </w:pPr>
            <w:r>
              <w:rPr>
                <w:sz w:val="21"/>
              </w:rPr>
              <w:t>指双肾功能慢性不可逆性衰竭，达到尿毒症期，经诊断后已经进行了至少 90 天的规律性透析治疗或实施了肾脏移植手术。</w:t>
            </w:r>
          </w:p>
        </w:tc>
      </w:tr>
      <w:tr>
        <w:trPr>
          <w:trHeight w:val="2015" w:hRule="atLeast"/>
        </w:trPr>
        <w:tc>
          <w:tcPr>
            <w:tcW w:w="852" w:type="dxa"/>
          </w:tcPr>
          <w:p>
            <w:pPr>
              <w:pStyle w:val="TableParagraph"/>
              <w:spacing w:before="49"/>
              <w:ind w:left="107"/>
              <w:rPr>
                <w:b/>
                <w:sz w:val="21"/>
              </w:rPr>
            </w:pPr>
            <w:r>
              <w:rPr>
                <w:b/>
                <w:sz w:val="21"/>
              </w:rPr>
              <w:t>7.1.4</w:t>
            </w:r>
          </w:p>
        </w:tc>
        <w:tc>
          <w:tcPr>
            <w:tcW w:w="1652" w:type="dxa"/>
          </w:tcPr>
          <w:p>
            <w:pPr>
              <w:pStyle w:val="TableParagraph"/>
              <w:spacing w:line="273" w:lineRule="auto" w:before="49"/>
              <w:ind w:left="216" w:right="166"/>
              <w:rPr>
                <w:b/>
                <w:sz w:val="21"/>
              </w:rPr>
            </w:pPr>
            <w:r>
              <w:rPr>
                <w:b/>
                <w:sz w:val="21"/>
              </w:rPr>
              <w:t>急性或亚急性重症肝炎</w:t>
            </w:r>
          </w:p>
        </w:tc>
        <w:tc>
          <w:tcPr>
            <w:tcW w:w="7246" w:type="dxa"/>
          </w:tcPr>
          <w:p>
            <w:pPr>
              <w:pStyle w:val="TableParagraph"/>
              <w:spacing w:line="273" w:lineRule="auto" w:before="49"/>
              <w:ind w:left="124" w:right="111"/>
              <w:rPr>
                <w:sz w:val="21"/>
              </w:rPr>
            </w:pPr>
            <w:r>
              <w:rPr>
                <w:sz w:val="21"/>
              </w:rPr>
              <w:t>指因肝炎病毒感染引起肝脏组织弥漫性坏死，导致急性肝功能衰竭，且经血清学或病毒学检查证实，并须满足下列全部条件：</w:t>
            </w:r>
          </w:p>
          <w:p>
            <w:pPr>
              <w:pStyle w:val="TableParagraph"/>
              <w:spacing w:before="7"/>
              <w:ind w:left="124"/>
              <w:rPr>
                <w:sz w:val="21"/>
              </w:rPr>
            </w:pPr>
            <w:r>
              <w:rPr>
                <w:sz w:val="21"/>
              </w:rPr>
              <w:t>(1)重度黄疸或黄疸迅速加重；</w:t>
            </w:r>
          </w:p>
          <w:p>
            <w:pPr>
              <w:pStyle w:val="TableParagraph"/>
              <w:spacing w:before="36"/>
              <w:ind w:left="124"/>
              <w:rPr>
                <w:sz w:val="21"/>
              </w:rPr>
            </w:pPr>
            <w:r>
              <w:rPr>
                <w:sz w:val="21"/>
              </w:rPr>
              <w:t>(2)肝性脑病；</w:t>
            </w:r>
          </w:p>
          <w:p>
            <w:pPr>
              <w:pStyle w:val="TableParagraph"/>
              <w:spacing w:before="36"/>
              <w:ind w:left="124"/>
              <w:rPr>
                <w:sz w:val="21"/>
              </w:rPr>
            </w:pPr>
            <w:r>
              <w:rPr>
                <w:sz w:val="21"/>
              </w:rPr>
              <w:t>(3)B 超或其它影像学检查显示肝脏体积急速萎缩；</w:t>
            </w:r>
          </w:p>
          <w:p>
            <w:pPr>
              <w:pStyle w:val="TableParagraph"/>
              <w:spacing w:before="36"/>
              <w:ind w:left="124"/>
              <w:rPr>
                <w:sz w:val="21"/>
              </w:rPr>
            </w:pPr>
            <w:r>
              <w:rPr>
                <w:sz w:val="21"/>
              </w:rPr>
              <w:t>(4)肝功能指标进行性恶化。</w:t>
            </w:r>
          </w:p>
        </w:tc>
      </w:tr>
      <w:tr>
        <w:trPr>
          <w:trHeight w:val="357" w:hRule="atLeast"/>
        </w:trPr>
        <w:tc>
          <w:tcPr>
            <w:tcW w:w="852" w:type="dxa"/>
          </w:tcPr>
          <w:p>
            <w:pPr>
              <w:pStyle w:val="TableParagraph"/>
              <w:spacing w:before="50"/>
              <w:ind w:left="107"/>
              <w:rPr>
                <w:b/>
                <w:sz w:val="21"/>
              </w:rPr>
            </w:pPr>
            <w:r>
              <w:rPr>
                <w:b/>
                <w:sz w:val="21"/>
              </w:rPr>
              <w:t>7.1.5</w:t>
            </w:r>
          </w:p>
        </w:tc>
        <w:tc>
          <w:tcPr>
            <w:tcW w:w="1652" w:type="dxa"/>
          </w:tcPr>
          <w:p>
            <w:pPr>
              <w:pStyle w:val="TableParagraph"/>
              <w:spacing w:before="50"/>
              <w:ind w:left="216"/>
              <w:rPr>
                <w:b/>
                <w:sz w:val="21"/>
              </w:rPr>
            </w:pPr>
            <w:r>
              <w:rPr>
                <w:b/>
                <w:sz w:val="21"/>
              </w:rPr>
              <w:t>良性脑肿瘤</w:t>
            </w:r>
          </w:p>
        </w:tc>
        <w:tc>
          <w:tcPr>
            <w:tcW w:w="7246" w:type="dxa"/>
          </w:tcPr>
          <w:p>
            <w:pPr>
              <w:pStyle w:val="TableParagraph"/>
              <w:spacing w:line="264" w:lineRule="exact" w:before="74"/>
              <w:ind w:left="124"/>
              <w:rPr>
                <w:sz w:val="21"/>
              </w:rPr>
            </w:pPr>
            <w:r>
              <w:rPr>
                <w:sz w:val="21"/>
              </w:rPr>
              <w:t>指脑的良性肿瘤，已经引起颅内压增高，临床表现为视神经乳头水肿、精神</w:t>
            </w:r>
          </w:p>
        </w:tc>
      </w:tr>
    </w:tbl>
    <w:p>
      <w:pPr>
        <w:spacing w:after="0" w:line="264" w:lineRule="exact"/>
        <w:rPr>
          <w:sz w:val="21"/>
        </w:rPr>
        <w:sectPr>
          <w:pgSz w:w="11910" w:h="16840"/>
          <w:pgMar w:top="1460" w:bottom="280" w:left="960" w:right="9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75"/>
        <w:gridCol w:w="7468"/>
      </w:tblGrid>
      <w:tr>
        <w:trPr>
          <w:trHeight w:val="1986" w:hRule="atLeast"/>
        </w:trPr>
        <w:tc>
          <w:tcPr>
            <w:tcW w:w="998" w:type="dxa"/>
          </w:tcPr>
          <w:p>
            <w:pPr>
              <w:pStyle w:val="TableParagraph"/>
              <w:ind w:left="0"/>
              <w:rPr>
                <w:rFonts w:ascii="Times New Roman"/>
                <w:sz w:val="20"/>
              </w:rPr>
            </w:pPr>
          </w:p>
        </w:tc>
        <w:tc>
          <w:tcPr>
            <w:tcW w:w="1575" w:type="dxa"/>
          </w:tcPr>
          <w:p>
            <w:pPr>
              <w:pStyle w:val="TableParagraph"/>
              <w:ind w:left="0"/>
              <w:rPr>
                <w:rFonts w:ascii="Times New Roman"/>
                <w:sz w:val="20"/>
              </w:rPr>
            </w:pPr>
          </w:p>
        </w:tc>
        <w:tc>
          <w:tcPr>
            <w:tcW w:w="7468" w:type="dxa"/>
          </w:tcPr>
          <w:p>
            <w:pPr>
              <w:pStyle w:val="TableParagraph"/>
              <w:spacing w:line="206" w:lineRule="exact"/>
              <w:ind w:left="147"/>
              <w:rPr>
                <w:sz w:val="21"/>
              </w:rPr>
            </w:pPr>
            <w:r>
              <w:rPr>
                <w:spacing w:val="-5"/>
                <w:w w:val="100"/>
                <w:sz w:val="21"/>
              </w:rPr>
              <w:t>症状、癫痫及运动感觉障碍等，并危及生命。须由头颅断层扫描</w:t>
            </w:r>
            <w:r>
              <w:rPr>
                <w:spacing w:val="-2"/>
                <w:w w:val="100"/>
                <w:sz w:val="21"/>
              </w:rPr>
              <w:t>（</w:t>
            </w:r>
            <w:r>
              <w:rPr>
                <w:w w:val="100"/>
                <w:sz w:val="21"/>
              </w:rPr>
              <w:t>CT</w:t>
            </w:r>
            <w:r>
              <w:rPr>
                <w:spacing w:val="-106"/>
                <w:w w:val="100"/>
                <w:sz w:val="21"/>
              </w:rPr>
              <w:t>）</w:t>
            </w:r>
            <w:r>
              <w:rPr>
                <w:spacing w:val="-3"/>
                <w:w w:val="100"/>
                <w:sz w:val="21"/>
              </w:rPr>
              <w:t>、核磁</w:t>
            </w:r>
          </w:p>
          <w:p>
            <w:pPr>
              <w:pStyle w:val="TableParagraph"/>
              <w:spacing w:line="278" w:lineRule="auto" w:before="44"/>
              <w:ind w:left="147" w:right="302"/>
              <w:rPr>
                <w:sz w:val="21"/>
              </w:rPr>
            </w:pPr>
            <w:r>
              <w:rPr>
                <w:sz w:val="21"/>
              </w:rPr>
              <w:t>共振检查（MRI）或正电子发射断层扫描（PET）等影像学检查证实，并须满足下列至少一项条件：</w:t>
            </w:r>
          </w:p>
          <w:p>
            <w:pPr>
              <w:pStyle w:val="TableParagraph"/>
              <w:spacing w:before="12"/>
              <w:ind w:left="147"/>
              <w:rPr>
                <w:sz w:val="21"/>
              </w:rPr>
            </w:pPr>
            <w:r>
              <w:rPr>
                <w:sz w:val="21"/>
              </w:rPr>
              <w:t>(1)实际实施了开颅进行的脑肿瘤完全切除或部分切除的手术；</w:t>
            </w:r>
          </w:p>
          <w:p>
            <w:pPr>
              <w:pStyle w:val="TableParagraph"/>
              <w:spacing w:before="41"/>
              <w:ind w:left="147"/>
              <w:rPr>
                <w:sz w:val="21"/>
              </w:rPr>
            </w:pPr>
            <w:r>
              <w:rPr>
                <w:sz w:val="21"/>
              </w:rPr>
              <w:t>(2)实际实施了对脑肿瘤进行的放射治疗。</w:t>
            </w:r>
          </w:p>
          <w:p>
            <w:pPr>
              <w:pStyle w:val="TableParagraph"/>
              <w:spacing w:before="101"/>
              <w:ind w:left="147"/>
              <w:rPr>
                <w:rFonts w:ascii="黑体" w:eastAsia="黑体" w:hint="eastAsia"/>
                <w:sz w:val="21"/>
              </w:rPr>
            </w:pPr>
            <w:r>
              <w:rPr>
                <w:rFonts w:ascii="黑体" w:eastAsia="黑体" w:hint="eastAsia"/>
                <w:sz w:val="21"/>
              </w:rPr>
              <w:t>脑垂体瘤、脑囊肿、脑血管性疾病不在保障范围内。</w:t>
            </w:r>
          </w:p>
        </w:tc>
      </w:tr>
      <w:tr>
        <w:trPr>
          <w:trHeight w:val="2131" w:hRule="atLeast"/>
        </w:trPr>
        <w:tc>
          <w:tcPr>
            <w:tcW w:w="998" w:type="dxa"/>
          </w:tcPr>
          <w:p>
            <w:pPr>
              <w:pStyle w:val="TableParagraph"/>
              <w:spacing w:before="52"/>
              <w:ind w:left="200"/>
              <w:rPr>
                <w:b/>
                <w:sz w:val="21"/>
              </w:rPr>
            </w:pPr>
            <w:r>
              <w:rPr>
                <w:b/>
                <w:sz w:val="21"/>
              </w:rPr>
              <w:t>7.1.6</w:t>
            </w:r>
          </w:p>
        </w:tc>
        <w:tc>
          <w:tcPr>
            <w:tcW w:w="1575" w:type="dxa"/>
          </w:tcPr>
          <w:p>
            <w:pPr>
              <w:pStyle w:val="TableParagraph"/>
              <w:spacing w:line="273" w:lineRule="auto" w:before="52"/>
              <w:ind w:left="162" w:right="143"/>
              <w:rPr>
                <w:b/>
                <w:sz w:val="21"/>
              </w:rPr>
            </w:pPr>
            <w:r>
              <w:rPr>
                <w:b/>
                <w:sz w:val="21"/>
              </w:rPr>
              <w:t>慢性肝功能衰竭失代偿期</w:t>
            </w:r>
          </w:p>
        </w:tc>
        <w:tc>
          <w:tcPr>
            <w:tcW w:w="7468" w:type="dxa"/>
          </w:tcPr>
          <w:p>
            <w:pPr>
              <w:pStyle w:val="TableParagraph"/>
              <w:spacing w:before="76"/>
              <w:ind w:left="147"/>
              <w:rPr>
                <w:sz w:val="21"/>
              </w:rPr>
            </w:pPr>
            <w:r>
              <w:rPr>
                <w:sz w:val="21"/>
              </w:rPr>
              <w:t>指因慢性肝脏疾病导致肝功能衰竭。须满足下列全部条件：</w:t>
            </w:r>
          </w:p>
          <w:p>
            <w:pPr>
              <w:pStyle w:val="TableParagraph"/>
              <w:spacing w:before="43"/>
              <w:ind w:left="147"/>
              <w:rPr>
                <w:sz w:val="21"/>
              </w:rPr>
            </w:pPr>
            <w:r>
              <w:rPr>
                <w:sz w:val="21"/>
              </w:rPr>
              <w:t>(1)持续性黄疸；</w:t>
            </w:r>
          </w:p>
          <w:p>
            <w:pPr>
              <w:pStyle w:val="TableParagraph"/>
              <w:spacing w:before="46"/>
              <w:ind w:left="147"/>
              <w:rPr>
                <w:sz w:val="21"/>
              </w:rPr>
            </w:pPr>
            <w:r>
              <w:rPr>
                <w:sz w:val="21"/>
              </w:rPr>
              <w:t>(2)腹水；</w:t>
            </w:r>
          </w:p>
          <w:p>
            <w:pPr>
              <w:pStyle w:val="TableParagraph"/>
              <w:spacing w:before="44"/>
              <w:ind w:left="147"/>
              <w:rPr>
                <w:sz w:val="21"/>
              </w:rPr>
            </w:pPr>
            <w:r>
              <w:rPr>
                <w:sz w:val="21"/>
              </w:rPr>
              <w:t>(3)肝性脑病；</w:t>
            </w:r>
          </w:p>
          <w:p>
            <w:pPr>
              <w:pStyle w:val="TableParagraph"/>
              <w:spacing w:before="41"/>
              <w:ind w:left="147"/>
              <w:rPr>
                <w:sz w:val="21"/>
              </w:rPr>
            </w:pPr>
            <w:r>
              <w:rPr>
                <w:sz w:val="21"/>
              </w:rPr>
              <w:t>(4)充血性脾肿大伴脾功能亢进或食管胃底静脉曲张。</w:t>
            </w:r>
          </w:p>
          <w:p>
            <w:pPr>
              <w:pStyle w:val="TableParagraph"/>
              <w:spacing w:before="101"/>
              <w:ind w:left="147"/>
              <w:rPr>
                <w:rFonts w:ascii="黑体" w:eastAsia="黑体" w:hint="eastAsia"/>
                <w:sz w:val="21"/>
              </w:rPr>
            </w:pPr>
            <w:r>
              <w:rPr>
                <w:rFonts w:ascii="黑体" w:eastAsia="黑体" w:hint="eastAsia"/>
                <w:sz w:val="21"/>
              </w:rPr>
              <w:t>因酗酒或药物滥用导致的肝功能衰竭不在保障范围内。</w:t>
            </w:r>
          </w:p>
        </w:tc>
      </w:tr>
      <w:tr>
        <w:trPr>
          <w:trHeight w:val="2015" w:hRule="atLeast"/>
        </w:trPr>
        <w:tc>
          <w:tcPr>
            <w:tcW w:w="998" w:type="dxa"/>
          </w:tcPr>
          <w:p>
            <w:pPr>
              <w:pStyle w:val="TableParagraph"/>
              <w:spacing w:before="53"/>
              <w:ind w:left="200"/>
              <w:rPr>
                <w:b/>
                <w:sz w:val="21"/>
              </w:rPr>
            </w:pPr>
            <w:r>
              <w:rPr>
                <w:b/>
                <w:sz w:val="21"/>
              </w:rPr>
              <w:t>7.1.7</w:t>
            </w:r>
          </w:p>
        </w:tc>
        <w:tc>
          <w:tcPr>
            <w:tcW w:w="1575" w:type="dxa"/>
          </w:tcPr>
          <w:p>
            <w:pPr>
              <w:pStyle w:val="TableParagraph"/>
              <w:spacing w:line="273" w:lineRule="auto" w:before="53"/>
              <w:ind w:left="162" w:right="143"/>
              <w:rPr>
                <w:b/>
                <w:sz w:val="21"/>
              </w:rPr>
            </w:pPr>
            <w:r>
              <w:rPr>
                <w:b/>
                <w:sz w:val="21"/>
              </w:rPr>
              <w:t>脑炎后遗症或脑膜炎后遗症</w:t>
            </w:r>
          </w:p>
        </w:tc>
        <w:tc>
          <w:tcPr>
            <w:tcW w:w="7468" w:type="dxa"/>
          </w:tcPr>
          <w:p>
            <w:pPr>
              <w:pStyle w:val="TableParagraph"/>
              <w:spacing w:line="273" w:lineRule="auto" w:before="53"/>
              <w:ind w:left="147" w:right="31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47"/>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before="36"/>
              <w:ind w:left="147"/>
              <w:rPr>
                <w:sz w:val="21"/>
              </w:rPr>
            </w:pPr>
            <w:r>
              <w:rPr>
                <w:w w:val="100"/>
                <w:sz w:val="21"/>
              </w:rPr>
              <w:t>(2</w:t>
            </w:r>
            <w:r>
              <w:rPr>
                <w:spacing w:val="-2"/>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9"/>
                <w:w w:val="100"/>
                <w:sz w:val="21"/>
              </w:rPr>
              <w:t>）</w:t>
            </w:r>
            <w:r>
              <w:rPr>
                <w:w w:val="100"/>
                <w:sz w:val="21"/>
              </w:rPr>
              <w:t>；</w:t>
            </w:r>
          </w:p>
          <w:p>
            <w:pPr>
              <w:pStyle w:val="TableParagraph"/>
              <w:spacing w:line="273" w:lineRule="auto" w:before="36"/>
              <w:ind w:left="147" w:right="195"/>
              <w:rPr>
                <w:sz w:val="21"/>
              </w:rPr>
            </w:pPr>
            <w:r>
              <w:rPr>
                <w:sz w:val="21"/>
              </w:rPr>
              <w:t>(3)</w:t>
            </w:r>
            <w:r>
              <w:rPr>
                <w:spacing w:val="-9"/>
                <w:sz w:val="21"/>
              </w:rPr>
              <w:t>自主生活能力完全丧失，无法独立完成</w:t>
            </w:r>
            <w:r>
              <w:rPr>
                <w:b/>
                <w:spacing w:val="-7"/>
                <w:sz w:val="21"/>
              </w:rPr>
              <w:t>六项基本日常生活活动</w:t>
            </w:r>
            <w:r>
              <w:rPr>
                <w:spacing w:val="-3"/>
                <w:sz w:val="21"/>
              </w:rPr>
              <w:t>（详见释义</w:t>
            </w:r>
            <w:r>
              <w:rPr>
                <w:sz w:val="21"/>
              </w:rPr>
              <w:t>） </w:t>
            </w:r>
            <w:r>
              <w:rPr>
                <w:spacing w:val="-3"/>
                <w:sz w:val="21"/>
              </w:rPr>
              <w:t>中的三项或三项以上。</w:t>
            </w:r>
          </w:p>
        </w:tc>
      </w:tr>
      <w:tr>
        <w:trPr>
          <w:trHeight w:val="1508" w:hRule="atLeast"/>
        </w:trPr>
        <w:tc>
          <w:tcPr>
            <w:tcW w:w="998" w:type="dxa"/>
          </w:tcPr>
          <w:p>
            <w:pPr>
              <w:pStyle w:val="TableParagraph"/>
              <w:spacing w:before="54"/>
              <w:ind w:left="200"/>
              <w:rPr>
                <w:b/>
                <w:sz w:val="21"/>
              </w:rPr>
            </w:pPr>
            <w:r>
              <w:rPr>
                <w:b/>
                <w:sz w:val="21"/>
              </w:rPr>
              <w:t>7.1.8</w:t>
            </w:r>
          </w:p>
        </w:tc>
        <w:tc>
          <w:tcPr>
            <w:tcW w:w="1575" w:type="dxa"/>
          </w:tcPr>
          <w:p>
            <w:pPr>
              <w:pStyle w:val="TableParagraph"/>
              <w:spacing w:before="54"/>
              <w:ind w:left="162"/>
              <w:rPr>
                <w:b/>
                <w:sz w:val="21"/>
              </w:rPr>
            </w:pPr>
            <w:r>
              <w:rPr>
                <w:b/>
                <w:sz w:val="21"/>
              </w:rPr>
              <w:t>深度昏迷</w:t>
            </w:r>
          </w:p>
        </w:tc>
        <w:tc>
          <w:tcPr>
            <w:tcW w:w="7468" w:type="dxa"/>
          </w:tcPr>
          <w:p>
            <w:pPr>
              <w:pStyle w:val="TableParagraph"/>
              <w:spacing w:line="278" w:lineRule="auto" w:before="78"/>
              <w:ind w:left="147" w:right="299"/>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9"/>
                <w:sz w:val="21"/>
              </w:rPr>
              <w:t>结果为 </w:t>
            </w:r>
            <w:r>
              <w:rPr>
                <w:sz w:val="21"/>
              </w:rPr>
              <w:t>5</w:t>
            </w:r>
            <w:r>
              <w:rPr>
                <w:spacing w:val="-16"/>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92"/>
              <w:ind w:left="147"/>
              <w:jc w:val="both"/>
              <w:rPr>
                <w:rFonts w:ascii="黑体" w:eastAsia="黑体" w:hint="eastAsia"/>
                <w:sz w:val="21"/>
              </w:rPr>
            </w:pPr>
            <w:r>
              <w:rPr>
                <w:rFonts w:ascii="黑体" w:eastAsia="黑体" w:hint="eastAsia"/>
                <w:sz w:val="21"/>
              </w:rPr>
              <w:t>因酗酒或药物滥用导致的深度昏迷不在保障范围内。</w:t>
            </w:r>
          </w:p>
        </w:tc>
      </w:tr>
      <w:tr>
        <w:trPr>
          <w:trHeight w:val="1070" w:hRule="atLeast"/>
        </w:trPr>
        <w:tc>
          <w:tcPr>
            <w:tcW w:w="998" w:type="dxa"/>
          </w:tcPr>
          <w:p>
            <w:pPr>
              <w:pStyle w:val="TableParagraph"/>
              <w:spacing w:before="45"/>
              <w:ind w:left="200"/>
              <w:rPr>
                <w:b/>
                <w:sz w:val="21"/>
              </w:rPr>
            </w:pPr>
            <w:r>
              <w:rPr>
                <w:b/>
                <w:sz w:val="21"/>
              </w:rPr>
              <w:t>7.1.9</w:t>
            </w:r>
          </w:p>
        </w:tc>
        <w:tc>
          <w:tcPr>
            <w:tcW w:w="1575" w:type="dxa"/>
          </w:tcPr>
          <w:p>
            <w:pPr>
              <w:pStyle w:val="TableParagraph"/>
              <w:spacing w:before="45"/>
              <w:ind w:left="162"/>
              <w:rPr>
                <w:b/>
                <w:sz w:val="21"/>
              </w:rPr>
            </w:pPr>
            <w:r>
              <w:rPr>
                <w:b/>
                <w:sz w:val="21"/>
              </w:rPr>
              <w:t>双耳失聪</w:t>
            </w:r>
          </w:p>
        </w:tc>
        <w:tc>
          <w:tcPr>
            <w:tcW w:w="7468" w:type="dxa"/>
          </w:tcPr>
          <w:p>
            <w:pPr>
              <w:pStyle w:val="TableParagraph"/>
              <w:spacing w:before="45"/>
              <w:ind w:left="147"/>
              <w:rPr>
                <w:sz w:val="21"/>
              </w:rPr>
            </w:pPr>
            <w:r>
              <w:rPr>
                <w:sz w:val="21"/>
              </w:rPr>
              <w:t>指因疾病或意外伤害导致双耳听力</w:t>
            </w:r>
            <w:r>
              <w:rPr>
                <w:b/>
                <w:sz w:val="21"/>
              </w:rPr>
              <w:t>永久不可逆</w:t>
            </w:r>
            <w:r>
              <w:rPr>
                <w:sz w:val="21"/>
              </w:rPr>
              <w:t>（详见释义）性丧失，在 500</w:t>
            </w:r>
          </w:p>
          <w:p>
            <w:pPr>
              <w:pStyle w:val="TableParagraph"/>
              <w:spacing w:line="273" w:lineRule="auto" w:before="36"/>
              <w:ind w:left="147" w:right="301"/>
              <w:rPr>
                <w:sz w:val="21"/>
              </w:rPr>
            </w:pPr>
            <w:r>
              <w:rPr>
                <w:sz w:val="21"/>
              </w:rPr>
              <w:t>赫兹、1000</w:t>
            </w:r>
            <w:r>
              <w:rPr>
                <w:spacing w:val="-18"/>
                <w:sz w:val="21"/>
              </w:rPr>
              <w:t> 赫兹和 </w:t>
            </w:r>
            <w:r>
              <w:rPr>
                <w:sz w:val="21"/>
              </w:rPr>
              <w:t>2000</w:t>
            </w:r>
            <w:r>
              <w:rPr>
                <w:spacing w:val="-11"/>
                <w:sz w:val="21"/>
              </w:rPr>
              <w:t> 赫兹语音频率下，平均听阈大于 </w:t>
            </w:r>
            <w:r>
              <w:rPr>
                <w:sz w:val="21"/>
              </w:rPr>
              <w:t>90</w:t>
            </w:r>
            <w:r>
              <w:rPr>
                <w:spacing w:val="-8"/>
                <w:sz w:val="21"/>
              </w:rPr>
              <w:t> 分贝，且经纯音</w:t>
            </w:r>
            <w:r>
              <w:rPr>
                <w:spacing w:val="-5"/>
                <w:sz w:val="21"/>
              </w:rPr>
              <w:t>听力测试、声导抗检测或听觉诱发电位检测等证实。</w:t>
            </w:r>
          </w:p>
        </w:tc>
      </w:tr>
      <w:tr>
        <w:trPr>
          <w:trHeight w:val="2013" w:hRule="atLeast"/>
        </w:trPr>
        <w:tc>
          <w:tcPr>
            <w:tcW w:w="998" w:type="dxa"/>
          </w:tcPr>
          <w:p>
            <w:pPr>
              <w:pStyle w:val="TableParagraph"/>
              <w:spacing w:before="52"/>
              <w:ind w:left="200"/>
              <w:rPr>
                <w:b/>
                <w:sz w:val="21"/>
              </w:rPr>
            </w:pPr>
            <w:r>
              <w:rPr>
                <w:b/>
                <w:sz w:val="21"/>
              </w:rPr>
              <w:t>7.1.10</w:t>
            </w:r>
          </w:p>
        </w:tc>
        <w:tc>
          <w:tcPr>
            <w:tcW w:w="1575" w:type="dxa"/>
          </w:tcPr>
          <w:p>
            <w:pPr>
              <w:pStyle w:val="TableParagraph"/>
              <w:spacing w:before="52"/>
              <w:ind w:left="162"/>
              <w:rPr>
                <w:b/>
                <w:sz w:val="21"/>
              </w:rPr>
            </w:pPr>
            <w:r>
              <w:rPr>
                <w:b/>
                <w:sz w:val="21"/>
              </w:rPr>
              <w:t>双目失明</w:t>
            </w:r>
          </w:p>
        </w:tc>
        <w:tc>
          <w:tcPr>
            <w:tcW w:w="7468" w:type="dxa"/>
          </w:tcPr>
          <w:p>
            <w:pPr>
              <w:pStyle w:val="TableParagraph"/>
              <w:spacing w:line="273" w:lineRule="auto" w:before="52"/>
              <w:ind w:left="147" w:right="310"/>
              <w:rPr>
                <w:sz w:val="21"/>
              </w:rPr>
            </w:pPr>
            <w:r>
              <w:rPr>
                <w:sz w:val="21"/>
              </w:rPr>
              <w:t>指因疾病或意外伤害导致双眼视力永久不可逆性丧失，双眼中较好眼须满足下列至少一项条件：</w:t>
            </w:r>
          </w:p>
          <w:p>
            <w:pPr>
              <w:pStyle w:val="TableParagraph"/>
              <w:spacing w:before="7"/>
              <w:ind w:left="147"/>
              <w:rPr>
                <w:sz w:val="21"/>
              </w:rPr>
            </w:pPr>
            <w:r>
              <w:rPr>
                <w:sz w:val="21"/>
              </w:rPr>
              <w:t>(1)眼球缺失或摘除；</w:t>
            </w:r>
          </w:p>
          <w:p>
            <w:pPr>
              <w:pStyle w:val="TableParagraph"/>
              <w:spacing w:line="273" w:lineRule="auto" w:before="37"/>
              <w:ind w:left="147" w:right="299"/>
              <w:rPr>
                <w:sz w:val="21"/>
              </w:rPr>
            </w:pPr>
            <w:r>
              <w:rPr>
                <w:sz w:val="21"/>
              </w:rPr>
              <w:t>(2)</w:t>
            </w:r>
            <w:r>
              <w:rPr>
                <w:spacing w:val="-6"/>
                <w:sz w:val="21"/>
              </w:rPr>
              <w:t>矫正视力低于 </w:t>
            </w:r>
            <w:r>
              <w:rPr>
                <w:spacing w:val="-9"/>
                <w:sz w:val="21"/>
              </w:rPr>
              <w:t>0.02（</w:t>
            </w:r>
            <w:r>
              <w:rPr>
                <w:spacing w:val="-7"/>
                <w:sz w:val="21"/>
              </w:rPr>
              <w:t>采用国际标准视力表，如果使用其它视力表应进行换</w:t>
            </w:r>
            <w:r>
              <w:rPr>
                <w:spacing w:val="-7"/>
                <w:w w:val="100"/>
                <w:sz w:val="21"/>
              </w:rPr>
              <w:t>算</w:t>
            </w:r>
            <w:r>
              <w:rPr>
                <w:spacing w:val="-106"/>
                <w:w w:val="100"/>
                <w:sz w:val="21"/>
              </w:rPr>
              <w:t>）</w:t>
            </w:r>
            <w:r>
              <w:rPr>
                <w:w w:val="100"/>
                <w:sz w:val="21"/>
              </w:rPr>
              <w:t>；</w:t>
            </w:r>
          </w:p>
          <w:p>
            <w:pPr>
              <w:pStyle w:val="TableParagraph"/>
              <w:spacing w:before="7"/>
              <w:ind w:left="147"/>
              <w:rPr>
                <w:sz w:val="21"/>
              </w:rPr>
            </w:pPr>
            <w:r>
              <w:rPr>
                <w:sz w:val="21"/>
              </w:rPr>
              <w:t>(3)视野半径小于 5 度</w:t>
            </w:r>
          </w:p>
        </w:tc>
      </w:tr>
      <w:tr>
        <w:trPr>
          <w:trHeight w:val="453" w:hRule="atLeast"/>
        </w:trPr>
        <w:tc>
          <w:tcPr>
            <w:tcW w:w="998" w:type="dxa"/>
          </w:tcPr>
          <w:p>
            <w:pPr>
              <w:pStyle w:val="TableParagraph"/>
              <w:spacing w:before="52"/>
              <w:ind w:left="200"/>
              <w:rPr>
                <w:b/>
                <w:sz w:val="21"/>
              </w:rPr>
            </w:pPr>
            <w:r>
              <w:rPr>
                <w:b/>
                <w:sz w:val="21"/>
              </w:rPr>
              <w:t>7.1.11</w:t>
            </w:r>
          </w:p>
        </w:tc>
        <w:tc>
          <w:tcPr>
            <w:tcW w:w="1575" w:type="dxa"/>
          </w:tcPr>
          <w:p>
            <w:pPr>
              <w:pStyle w:val="TableParagraph"/>
              <w:spacing w:before="52"/>
              <w:ind w:left="162"/>
              <w:rPr>
                <w:b/>
                <w:sz w:val="21"/>
              </w:rPr>
            </w:pPr>
            <w:r>
              <w:rPr>
                <w:b/>
                <w:sz w:val="21"/>
              </w:rPr>
              <w:t>心脏瓣膜手术</w:t>
            </w:r>
          </w:p>
        </w:tc>
        <w:tc>
          <w:tcPr>
            <w:tcW w:w="7468" w:type="dxa"/>
          </w:tcPr>
          <w:p>
            <w:pPr>
              <w:pStyle w:val="TableParagraph"/>
              <w:spacing w:before="52"/>
              <w:ind w:left="147"/>
              <w:rPr>
                <w:sz w:val="21"/>
              </w:rPr>
            </w:pPr>
            <w:r>
              <w:rPr>
                <w:sz w:val="21"/>
              </w:rPr>
              <w:t>指为治疗心脏瓣膜疾病，实际实施了开胸进行的心脏瓣膜置换或修复的手术。</w:t>
            </w:r>
          </w:p>
        </w:tc>
      </w:tr>
      <w:tr>
        <w:trPr>
          <w:trHeight w:val="2516" w:hRule="atLeast"/>
        </w:trPr>
        <w:tc>
          <w:tcPr>
            <w:tcW w:w="998" w:type="dxa"/>
          </w:tcPr>
          <w:p>
            <w:pPr>
              <w:pStyle w:val="TableParagraph"/>
              <w:spacing w:before="52"/>
              <w:ind w:left="200"/>
              <w:rPr>
                <w:b/>
                <w:sz w:val="21"/>
              </w:rPr>
            </w:pPr>
            <w:r>
              <w:rPr>
                <w:b/>
                <w:sz w:val="21"/>
              </w:rPr>
              <w:t>7.1.12</w:t>
            </w:r>
          </w:p>
        </w:tc>
        <w:tc>
          <w:tcPr>
            <w:tcW w:w="1575" w:type="dxa"/>
          </w:tcPr>
          <w:p>
            <w:pPr>
              <w:pStyle w:val="TableParagraph"/>
              <w:spacing w:before="52"/>
              <w:ind w:left="162"/>
              <w:rPr>
                <w:b/>
                <w:sz w:val="21"/>
              </w:rPr>
            </w:pPr>
            <w:r>
              <w:rPr>
                <w:b/>
                <w:sz w:val="21"/>
              </w:rPr>
              <w:t>严重脑损伤</w:t>
            </w:r>
          </w:p>
        </w:tc>
        <w:tc>
          <w:tcPr>
            <w:tcW w:w="7468" w:type="dxa"/>
          </w:tcPr>
          <w:p>
            <w:pPr>
              <w:pStyle w:val="TableParagraph"/>
              <w:spacing w:line="273" w:lineRule="auto" w:before="52"/>
              <w:ind w:left="147" w:right="301"/>
              <w:jc w:val="both"/>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0"/>
                <w:w w:val="100"/>
                <w:sz w:val="21"/>
              </w:rPr>
              <w:t>（</w:t>
            </w:r>
            <w:r>
              <w:rPr>
                <w:w w:val="100"/>
                <w:sz w:val="21"/>
              </w:rPr>
              <w:t>MR</w:t>
            </w:r>
            <w:r>
              <w:rPr>
                <w:spacing w:val="2"/>
                <w:w w:val="100"/>
                <w:sz w:val="21"/>
              </w:rPr>
              <w:t>I</w:t>
            </w:r>
            <w:r>
              <w:rPr>
                <w:spacing w:val="1"/>
                <w:w w:val="100"/>
                <w:sz w:val="21"/>
              </w:rPr>
              <w:t>）</w:t>
            </w:r>
            <w:r>
              <w:rPr>
                <w:w w:val="100"/>
                <w:sz w:val="21"/>
              </w:rPr>
              <w:t>或正电子发射断层</w:t>
            </w:r>
            <w:r>
              <w:rPr>
                <w:spacing w:val="-37"/>
                <w:sz w:val="21"/>
              </w:rPr>
              <w:t>扫描</w:t>
            </w:r>
            <w:r>
              <w:rPr>
                <w:spacing w:val="-16"/>
                <w:sz w:val="21"/>
              </w:rPr>
              <w:t>（PET）</w:t>
            </w:r>
            <w:r>
              <w:rPr>
                <w:spacing w:val="-14"/>
                <w:sz w:val="21"/>
              </w:rPr>
              <w:t>等影像学检查证实。神经系统永久性的功能障碍，指脑损伤 </w:t>
            </w:r>
            <w:r>
              <w:rPr>
                <w:sz w:val="21"/>
              </w:rPr>
              <w:t>180</w:t>
            </w:r>
            <w:r>
              <w:rPr>
                <w:spacing w:val="10"/>
                <w:sz w:val="21"/>
              </w:rPr>
              <w:t> 天</w:t>
            </w:r>
            <w:r>
              <w:rPr>
                <w:spacing w:val="-3"/>
                <w:sz w:val="21"/>
              </w:rPr>
              <w:t>后，仍遗留下列一种或一种以上障碍：</w:t>
            </w:r>
          </w:p>
          <w:p>
            <w:pPr>
              <w:pStyle w:val="TableParagraph"/>
              <w:spacing w:before="7"/>
              <w:ind w:left="147"/>
              <w:rPr>
                <w:sz w:val="21"/>
              </w:rPr>
            </w:pPr>
            <w:r>
              <w:rPr>
                <w:sz w:val="21"/>
              </w:rPr>
              <w:t>(1)一肢或一肢以上肢体机能完全丧失；</w:t>
            </w:r>
          </w:p>
          <w:p>
            <w:pPr>
              <w:pStyle w:val="TableParagraph"/>
              <w:spacing w:before="37"/>
              <w:ind w:left="147"/>
              <w:rPr>
                <w:sz w:val="21"/>
              </w:rPr>
            </w:pPr>
            <w:r>
              <w:rPr>
                <w:sz w:val="21"/>
              </w:rPr>
              <w:t>(2)语言能力或咀嚼吞咽能力完全丧失；</w:t>
            </w:r>
          </w:p>
          <w:p>
            <w:pPr>
              <w:pStyle w:val="TableParagraph"/>
              <w:spacing w:line="310" w:lineRule="atLeast" w:before="1"/>
              <w:ind w:left="147" w:right="262"/>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480" w:bottom="280" w:left="88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575"/>
        <w:gridCol w:w="7470"/>
      </w:tblGrid>
      <w:tr>
        <w:trPr>
          <w:trHeight w:val="644" w:hRule="atLeast"/>
        </w:trPr>
        <w:tc>
          <w:tcPr>
            <w:tcW w:w="998" w:type="dxa"/>
          </w:tcPr>
          <w:p>
            <w:pPr>
              <w:pStyle w:val="TableParagraph"/>
              <w:spacing w:line="202" w:lineRule="exact"/>
              <w:ind w:left="0" w:right="159"/>
              <w:jc w:val="right"/>
              <w:rPr>
                <w:b/>
                <w:sz w:val="21"/>
              </w:rPr>
            </w:pPr>
            <w:r>
              <w:rPr>
                <w:b/>
                <w:sz w:val="21"/>
              </w:rPr>
              <w:t>7.1.13</w:t>
            </w:r>
          </w:p>
        </w:tc>
        <w:tc>
          <w:tcPr>
            <w:tcW w:w="1575" w:type="dxa"/>
          </w:tcPr>
          <w:p>
            <w:pPr>
              <w:pStyle w:val="TableParagraph"/>
              <w:spacing w:line="202" w:lineRule="exact"/>
              <w:ind w:left="162"/>
              <w:rPr>
                <w:b/>
                <w:sz w:val="21"/>
              </w:rPr>
            </w:pPr>
            <w:r>
              <w:rPr>
                <w:b/>
                <w:sz w:val="21"/>
              </w:rPr>
              <w:t>严重Ⅲ度烧伤</w:t>
            </w:r>
          </w:p>
        </w:tc>
        <w:tc>
          <w:tcPr>
            <w:tcW w:w="7470" w:type="dxa"/>
          </w:tcPr>
          <w:p>
            <w:pPr>
              <w:pStyle w:val="TableParagraph"/>
              <w:spacing w:line="202" w:lineRule="exact"/>
              <w:ind w:left="147"/>
              <w:rPr>
                <w:sz w:val="21"/>
              </w:rPr>
            </w:pPr>
            <w:r>
              <w:rPr>
                <w:spacing w:val="-14"/>
                <w:sz w:val="21"/>
              </w:rPr>
              <w:t>指烧伤程度为Ⅲ度，且Ⅲ度烧伤的面积达到全身体表面积的 </w:t>
            </w:r>
            <w:r>
              <w:rPr>
                <w:sz w:val="21"/>
              </w:rPr>
              <w:t>20％</w:t>
            </w:r>
            <w:r>
              <w:rPr>
                <w:spacing w:val="-26"/>
                <w:sz w:val="21"/>
              </w:rPr>
              <w:t>或 </w:t>
            </w:r>
            <w:r>
              <w:rPr>
                <w:sz w:val="21"/>
              </w:rPr>
              <w:t>20</w:t>
            </w:r>
            <w:r>
              <w:rPr>
                <w:spacing w:val="-1"/>
                <w:sz w:val="21"/>
              </w:rPr>
              <w:t>％以上。</w:t>
            </w:r>
          </w:p>
          <w:p>
            <w:pPr>
              <w:pStyle w:val="TableParagraph"/>
              <w:spacing w:before="37"/>
              <w:ind w:left="147"/>
              <w:rPr>
                <w:sz w:val="21"/>
              </w:rPr>
            </w:pPr>
            <w:r>
              <w:rPr>
                <w:sz w:val="21"/>
              </w:rPr>
              <w:t>体表面积根据《中国新九分法》计算。</w:t>
            </w:r>
          </w:p>
        </w:tc>
      </w:tr>
      <w:tr>
        <w:trPr>
          <w:trHeight w:val="1171" w:hRule="atLeast"/>
        </w:trPr>
        <w:tc>
          <w:tcPr>
            <w:tcW w:w="998" w:type="dxa"/>
          </w:tcPr>
          <w:p>
            <w:pPr>
              <w:pStyle w:val="TableParagraph"/>
              <w:spacing w:before="48"/>
              <w:ind w:left="0" w:right="159"/>
              <w:jc w:val="right"/>
              <w:rPr>
                <w:b/>
                <w:sz w:val="21"/>
              </w:rPr>
            </w:pPr>
            <w:r>
              <w:rPr>
                <w:b/>
                <w:sz w:val="21"/>
              </w:rPr>
              <w:t>7.1.14</w:t>
            </w:r>
          </w:p>
        </w:tc>
        <w:tc>
          <w:tcPr>
            <w:tcW w:w="1575" w:type="dxa"/>
          </w:tcPr>
          <w:p>
            <w:pPr>
              <w:pStyle w:val="TableParagraph"/>
              <w:spacing w:before="48"/>
              <w:ind w:left="162"/>
              <w:rPr>
                <w:b/>
                <w:sz w:val="21"/>
              </w:rPr>
            </w:pPr>
            <w:r>
              <w:rPr>
                <w:b/>
                <w:sz w:val="21"/>
              </w:rPr>
              <w:t>语言能力丧失</w:t>
            </w:r>
          </w:p>
        </w:tc>
        <w:tc>
          <w:tcPr>
            <w:tcW w:w="7470" w:type="dxa"/>
          </w:tcPr>
          <w:p>
            <w:pPr>
              <w:pStyle w:val="TableParagraph"/>
              <w:spacing w:line="276" w:lineRule="auto" w:before="72"/>
              <w:ind w:left="147" w:right="301"/>
              <w:rPr>
                <w:sz w:val="21"/>
              </w:rPr>
            </w:pPr>
            <w:r>
              <w:rPr>
                <w:spacing w:val="-7"/>
                <w:sz w:val="21"/>
              </w:rPr>
              <w:t>指因疾病或意外伤害导致完全丧失语言能力，经过积极治疗至少 </w:t>
            </w:r>
            <w:r>
              <w:rPr>
                <w:sz w:val="21"/>
              </w:rPr>
              <w:t>12</w:t>
            </w:r>
            <w:r>
              <w:rPr>
                <w:spacing w:val="-8"/>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69"/>
              <w:ind w:left="147"/>
              <w:rPr>
                <w:rFonts w:ascii="黑体" w:eastAsia="黑体" w:hint="eastAsia"/>
                <w:sz w:val="21"/>
              </w:rPr>
            </w:pPr>
            <w:r>
              <w:rPr>
                <w:rFonts w:ascii="黑体" w:eastAsia="黑体" w:hint="eastAsia"/>
                <w:sz w:val="21"/>
              </w:rPr>
              <w:t>精神心理因素所致的语言能力丧失不在保障范围内。</w:t>
            </w:r>
          </w:p>
        </w:tc>
      </w:tr>
      <w:tr>
        <w:trPr>
          <w:trHeight w:val="2325" w:hRule="atLeast"/>
        </w:trPr>
        <w:tc>
          <w:tcPr>
            <w:tcW w:w="998" w:type="dxa"/>
          </w:tcPr>
          <w:p>
            <w:pPr>
              <w:pStyle w:val="TableParagraph"/>
              <w:spacing w:before="48"/>
              <w:ind w:left="0" w:right="159"/>
              <w:jc w:val="right"/>
              <w:rPr>
                <w:b/>
                <w:sz w:val="21"/>
              </w:rPr>
            </w:pPr>
            <w:r>
              <w:rPr>
                <w:b/>
                <w:sz w:val="21"/>
              </w:rPr>
              <w:t>7.1.15</w:t>
            </w:r>
          </w:p>
        </w:tc>
        <w:tc>
          <w:tcPr>
            <w:tcW w:w="1575" w:type="dxa"/>
          </w:tcPr>
          <w:p>
            <w:pPr>
              <w:pStyle w:val="TableParagraph"/>
              <w:spacing w:line="273" w:lineRule="auto" w:before="48"/>
              <w:ind w:left="162" w:right="143"/>
              <w:rPr>
                <w:b/>
                <w:sz w:val="21"/>
              </w:rPr>
            </w:pPr>
            <w:r>
              <w:rPr>
                <w:b/>
                <w:sz w:val="21"/>
              </w:rPr>
              <w:t>重型再生障碍性贫血</w:t>
            </w:r>
          </w:p>
        </w:tc>
        <w:tc>
          <w:tcPr>
            <w:tcW w:w="7470" w:type="dxa"/>
          </w:tcPr>
          <w:p>
            <w:pPr>
              <w:pStyle w:val="TableParagraph"/>
              <w:spacing w:line="273" w:lineRule="auto" w:before="48"/>
              <w:ind w:left="147" w:right="312"/>
              <w:rPr>
                <w:sz w:val="21"/>
              </w:rPr>
            </w:pPr>
            <w:r>
              <w:rPr>
                <w:sz w:val="21"/>
              </w:rPr>
              <w:t>指因骨髓造血功能慢性持续性衰竭导致的贫血、中性粒细胞减少及血小板减少。须满足下列全部条件：</w:t>
            </w:r>
          </w:p>
          <w:p>
            <w:pPr>
              <w:pStyle w:val="TableParagraph"/>
              <w:spacing w:before="7"/>
              <w:ind w:left="147"/>
              <w:rPr>
                <w:sz w:val="21"/>
              </w:rPr>
            </w:pPr>
            <w:r>
              <w:rPr>
                <w:sz w:val="21"/>
              </w:rPr>
              <w:t>(1)骨髓穿刺检查或骨髓活检结果支持诊断；</w:t>
            </w:r>
          </w:p>
          <w:p>
            <w:pPr>
              <w:pStyle w:val="TableParagraph"/>
              <w:spacing w:before="37"/>
              <w:ind w:left="147"/>
              <w:rPr>
                <w:sz w:val="21"/>
              </w:rPr>
            </w:pPr>
            <w:r>
              <w:rPr>
                <w:sz w:val="21"/>
              </w:rPr>
              <w:t>(2)外周血象须具备以下三项条件：</w:t>
            </w:r>
          </w:p>
          <w:p>
            <w:pPr>
              <w:pStyle w:val="TableParagraph"/>
              <w:spacing w:before="37"/>
              <w:ind w:left="673"/>
              <w:rPr>
                <w:sz w:val="21"/>
              </w:rPr>
            </w:pPr>
            <w:r>
              <w:rPr>
                <w:sz w:val="21"/>
              </w:rPr>
              <w:t>① 中性粒细胞绝对值≤0.5×10</w:t>
            </w:r>
            <w:r>
              <w:rPr>
                <w:position w:val="11"/>
                <w:sz w:val="11"/>
              </w:rPr>
              <w:t>9</w:t>
            </w:r>
            <w:r>
              <w:rPr>
                <w:sz w:val="21"/>
              </w:rPr>
              <w:t>/L；</w:t>
            </w:r>
          </w:p>
          <w:p>
            <w:pPr>
              <w:pStyle w:val="TableParagraph"/>
              <w:spacing w:before="37"/>
              <w:ind w:left="673"/>
              <w:rPr>
                <w:sz w:val="21"/>
              </w:rPr>
            </w:pPr>
            <w:r>
              <w:rPr>
                <w:sz w:val="21"/>
              </w:rPr>
              <w:t>② 网织红细胞＜1%；</w:t>
            </w:r>
          </w:p>
          <w:p>
            <w:pPr>
              <w:pStyle w:val="TableParagraph"/>
              <w:spacing w:before="37"/>
              <w:ind w:left="673"/>
              <w:rPr>
                <w:sz w:val="21"/>
              </w:rPr>
            </w:pPr>
            <w:r>
              <w:rPr>
                <w:sz w:val="21"/>
              </w:rPr>
              <w:t>③ 血小板绝对值≤20×10</w:t>
            </w:r>
            <w:r>
              <w:rPr>
                <w:position w:val="11"/>
                <w:sz w:val="11"/>
              </w:rPr>
              <w:t>9</w:t>
            </w:r>
            <w:r>
              <w:rPr>
                <w:sz w:val="21"/>
              </w:rPr>
              <w:t>/L。</w:t>
            </w:r>
          </w:p>
        </w:tc>
      </w:tr>
      <w:tr>
        <w:trPr>
          <w:trHeight w:val="1079" w:hRule="atLeast"/>
        </w:trPr>
        <w:tc>
          <w:tcPr>
            <w:tcW w:w="998" w:type="dxa"/>
          </w:tcPr>
          <w:p>
            <w:pPr>
              <w:pStyle w:val="TableParagraph"/>
              <w:spacing w:before="49"/>
              <w:ind w:left="0" w:right="159"/>
              <w:jc w:val="right"/>
              <w:rPr>
                <w:b/>
                <w:sz w:val="21"/>
              </w:rPr>
            </w:pPr>
            <w:r>
              <w:rPr>
                <w:b/>
                <w:sz w:val="21"/>
              </w:rPr>
              <w:t>7.1.16</w:t>
            </w:r>
          </w:p>
        </w:tc>
        <w:tc>
          <w:tcPr>
            <w:tcW w:w="1575" w:type="dxa"/>
          </w:tcPr>
          <w:p>
            <w:pPr>
              <w:pStyle w:val="TableParagraph"/>
              <w:spacing w:before="49"/>
              <w:ind w:left="162"/>
              <w:rPr>
                <w:b/>
                <w:sz w:val="21"/>
              </w:rPr>
            </w:pPr>
            <w:r>
              <w:rPr>
                <w:b/>
                <w:sz w:val="21"/>
              </w:rPr>
              <w:t>川崎病</w:t>
            </w:r>
          </w:p>
        </w:tc>
        <w:tc>
          <w:tcPr>
            <w:tcW w:w="7470" w:type="dxa"/>
          </w:tcPr>
          <w:p>
            <w:pPr>
              <w:pStyle w:val="TableParagraph"/>
              <w:spacing w:line="273" w:lineRule="auto" w:before="49"/>
              <w:ind w:left="147" w:right="301"/>
              <w:jc w:val="both"/>
              <w:rPr>
                <w:sz w:val="21"/>
              </w:rPr>
            </w:pPr>
            <w:r>
              <w:rPr>
                <w:sz w:val="21"/>
              </w:rPr>
              <w:t>本保障仅限于伴有冠状动脉扩张或冠状动脉瘤的川崎病，且此冠状动脉扩张</w:t>
            </w:r>
            <w:r>
              <w:rPr>
                <w:spacing w:val="-3"/>
                <w:sz w:val="21"/>
              </w:rPr>
              <w:t>或冠状动脉瘤于最初急性发病后持续至少 </w:t>
            </w:r>
            <w:r>
              <w:rPr>
                <w:sz w:val="21"/>
              </w:rPr>
              <w:t>6</w:t>
            </w:r>
            <w:r>
              <w:rPr>
                <w:spacing w:val="-3"/>
                <w:sz w:val="21"/>
              </w:rPr>
              <w:t> 个月。理赔时必须提供超声心动图显示其有冠状动脉扩张或冠状动脉瘤。</w:t>
            </w:r>
          </w:p>
        </w:tc>
      </w:tr>
      <w:tr>
        <w:trPr>
          <w:trHeight w:val="1390" w:hRule="atLeast"/>
        </w:trPr>
        <w:tc>
          <w:tcPr>
            <w:tcW w:w="998" w:type="dxa"/>
          </w:tcPr>
          <w:p>
            <w:pPr>
              <w:pStyle w:val="TableParagraph"/>
              <w:spacing w:before="50"/>
              <w:ind w:left="0" w:right="159"/>
              <w:jc w:val="right"/>
              <w:rPr>
                <w:b/>
                <w:sz w:val="21"/>
              </w:rPr>
            </w:pPr>
            <w:r>
              <w:rPr>
                <w:b/>
                <w:sz w:val="21"/>
              </w:rPr>
              <w:t>7.1.17</w:t>
            </w:r>
          </w:p>
        </w:tc>
        <w:tc>
          <w:tcPr>
            <w:tcW w:w="1575" w:type="dxa"/>
          </w:tcPr>
          <w:p>
            <w:pPr>
              <w:pStyle w:val="TableParagraph"/>
              <w:spacing w:line="273" w:lineRule="auto" w:before="50"/>
              <w:ind w:left="162" w:right="143"/>
              <w:rPr>
                <w:b/>
                <w:sz w:val="21"/>
              </w:rPr>
            </w:pPr>
            <w:r>
              <w:rPr>
                <w:b/>
                <w:sz w:val="21"/>
              </w:rPr>
              <w:t>婴儿进行性脊肌萎缩症</w:t>
            </w:r>
          </w:p>
        </w:tc>
        <w:tc>
          <w:tcPr>
            <w:tcW w:w="7470" w:type="dxa"/>
          </w:tcPr>
          <w:p>
            <w:pPr>
              <w:pStyle w:val="TableParagraph"/>
              <w:spacing w:line="273" w:lineRule="auto" w:before="50"/>
              <w:ind w:left="147" w:right="303"/>
              <w:jc w:val="both"/>
              <w:rPr>
                <w:rFonts w:ascii="黑体" w:eastAsia="黑体" w:hint="eastAsia"/>
                <w:sz w:val="21"/>
              </w:rPr>
            </w:pPr>
            <w:r>
              <w:rPr>
                <w:sz w:val="21"/>
              </w:rPr>
              <w:t>该病是累及脊髓前角细胞及延髓运动核的神经元退行性变性病。理赔时必须</w:t>
            </w:r>
            <w:r>
              <w:rPr>
                <w:spacing w:val="-5"/>
                <w:sz w:val="21"/>
              </w:rPr>
              <w:t>提供支持诊断的肌肉活检病理报告。</w:t>
            </w:r>
            <w:r>
              <w:rPr>
                <w:rFonts w:ascii="黑体" w:eastAsia="黑体" w:hint="eastAsia"/>
                <w:spacing w:val="-6"/>
                <w:sz w:val="21"/>
              </w:rPr>
              <w:t>其它类型的脊肌萎缩症如 </w:t>
            </w:r>
            <w:r>
              <w:rPr>
                <w:rFonts w:ascii="黑体" w:eastAsia="黑体" w:hint="eastAsia"/>
                <w:sz w:val="21"/>
              </w:rPr>
              <w:t>II</w:t>
            </w:r>
            <w:r>
              <w:rPr>
                <w:rFonts w:ascii="黑体" w:eastAsia="黑体" w:hint="eastAsia"/>
                <w:spacing w:val="-10"/>
                <w:sz w:val="21"/>
              </w:rPr>
              <w:t> 型中间型进</w:t>
            </w:r>
            <w:r>
              <w:rPr>
                <w:rFonts w:ascii="黑体" w:eastAsia="黑体" w:hint="eastAsia"/>
                <w:spacing w:val="-5"/>
                <w:sz w:val="21"/>
              </w:rPr>
              <w:t>行性脊肌萎缩症、</w:t>
            </w:r>
            <w:r>
              <w:rPr>
                <w:rFonts w:ascii="黑体" w:eastAsia="黑体" w:hint="eastAsia"/>
                <w:sz w:val="21"/>
              </w:rPr>
              <w:t>III</w:t>
            </w:r>
            <w:r>
              <w:rPr>
                <w:rFonts w:ascii="黑体" w:eastAsia="黑体" w:hint="eastAsia"/>
                <w:spacing w:val="-3"/>
                <w:sz w:val="21"/>
              </w:rPr>
              <w:t> 型少年性脊肌萎缩症</w:t>
            </w:r>
            <w:r>
              <w:rPr>
                <w:rFonts w:ascii="黑体" w:eastAsia="黑体" w:hint="eastAsia"/>
                <w:sz w:val="21"/>
              </w:rPr>
              <w:t>（Kugelberg-Welander</w:t>
            </w:r>
            <w:r>
              <w:rPr>
                <w:rFonts w:ascii="黑体" w:eastAsia="黑体" w:hint="eastAsia"/>
                <w:spacing w:val="-3"/>
                <w:sz w:val="21"/>
              </w:rPr>
              <w:t> 氏病</w:t>
            </w:r>
            <w:r>
              <w:rPr>
                <w:rFonts w:ascii="黑体" w:eastAsia="黑体" w:hint="eastAsia"/>
                <w:sz w:val="21"/>
              </w:rPr>
              <w:t>）不</w:t>
            </w:r>
            <w:r>
              <w:rPr>
                <w:rFonts w:ascii="黑体" w:eastAsia="黑体" w:hint="eastAsia"/>
                <w:spacing w:val="-3"/>
                <w:sz w:val="21"/>
              </w:rPr>
              <w:t>在本保障范围内。</w:t>
            </w:r>
          </w:p>
        </w:tc>
      </w:tr>
      <w:tr>
        <w:trPr>
          <w:trHeight w:val="1701" w:hRule="atLeast"/>
        </w:trPr>
        <w:tc>
          <w:tcPr>
            <w:tcW w:w="998" w:type="dxa"/>
          </w:tcPr>
          <w:p>
            <w:pPr>
              <w:pStyle w:val="TableParagraph"/>
              <w:spacing w:before="48"/>
              <w:ind w:left="0" w:right="159"/>
              <w:jc w:val="right"/>
              <w:rPr>
                <w:b/>
                <w:sz w:val="21"/>
              </w:rPr>
            </w:pPr>
            <w:r>
              <w:rPr>
                <w:b/>
                <w:sz w:val="21"/>
              </w:rPr>
              <w:t>7.1.18</w:t>
            </w:r>
          </w:p>
        </w:tc>
        <w:tc>
          <w:tcPr>
            <w:tcW w:w="1575" w:type="dxa"/>
          </w:tcPr>
          <w:p>
            <w:pPr>
              <w:pStyle w:val="TableParagraph"/>
              <w:spacing w:before="48"/>
              <w:ind w:left="162"/>
              <w:rPr>
                <w:b/>
                <w:sz w:val="21"/>
              </w:rPr>
            </w:pPr>
            <w:r>
              <w:rPr>
                <w:b/>
                <w:sz w:val="21"/>
              </w:rPr>
              <w:t>严重哮喘</w:t>
            </w:r>
          </w:p>
        </w:tc>
        <w:tc>
          <w:tcPr>
            <w:tcW w:w="7470" w:type="dxa"/>
          </w:tcPr>
          <w:p>
            <w:pPr>
              <w:pStyle w:val="TableParagraph"/>
              <w:spacing w:before="48"/>
              <w:ind w:left="147"/>
              <w:rPr>
                <w:sz w:val="21"/>
              </w:rPr>
            </w:pPr>
            <w:r>
              <w:rPr>
                <w:sz w:val="21"/>
              </w:rPr>
              <w:t>一种可逆性、反复发作的支气管阻塞性疾病。须满足下列至少三项条件：</w:t>
            </w:r>
          </w:p>
          <w:p>
            <w:pPr>
              <w:pStyle w:val="TableParagraph"/>
              <w:spacing w:before="36"/>
              <w:ind w:left="147"/>
              <w:rPr>
                <w:sz w:val="21"/>
              </w:rPr>
            </w:pPr>
            <w:r>
              <w:rPr>
                <w:sz w:val="21"/>
              </w:rPr>
              <w:t>(1)过去两年中有哮喘持续状态病史；</w:t>
            </w:r>
          </w:p>
          <w:p>
            <w:pPr>
              <w:pStyle w:val="TableParagraph"/>
              <w:spacing w:before="36"/>
              <w:ind w:left="147"/>
              <w:rPr>
                <w:sz w:val="21"/>
              </w:rPr>
            </w:pPr>
            <w:r>
              <w:rPr>
                <w:sz w:val="21"/>
              </w:rPr>
              <w:t>(2)身体活动耐受能力显著且持续下降或在家中需要医师处方的氧气治疗法；</w:t>
            </w:r>
          </w:p>
          <w:p>
            <w:pPr>
              <w:pStyle w:val="TableParagraph"/>
              <w:spacing w:before="37"/>
              <w:ind w:left="147"/>
              <w:rPr>
                <w:sz w:val="21"/>
              </w:rPr>
            </w:pPr>
            <w:r>
              <w:rPr>
                <w:sz w:val="21"/>
              </w:rPr>
              <w:t>(3)胸部 X 片证实肺部慢性过度膨胀充气导致的胸廓畸形；</w:t>
            </w:r>
          </w:p>
          <w:p>
            <w:pPr>
              <w:pStyle w:val="TableParagraph"/>
              <w:spacing w:before="37"/>
              <w:ind w:left="147"/>
              <w:rPr>
                <w:sz w:val="21"/>
              </w:rPr>
            </w:pPr>
            <w:r>
              <w:rPr>
                <w:sz w:val="21"/>
              </w:rPr>
              <w:t>(4)</w:t>
            </w:r>
            <w:r>
              <w:rPr>
                <w:spacing w:val="-3"/>
                <w:sz w:val="21"/>
              </w:rPr>
              <w:t>持续日常服用口服可的松类固醇激素（</w:t>
            </w:r>
            <w:r>
              <w:rPr>
                <w:spacing w:val="-8"/>
                <w:sz w:val="21"/>
              </w:rPr>
              <w:t>至少持续服用 </w:t>
            </w:r>
            <w:r>
              <w:rPr>
                <w:sz w:val="21"/>
              </w:rPr>
              <w:t>6</w:t>
            </w:r>
            <w:r>
              <w:rPr>
                <w:spacing w:val="-10"/>
                <w:sz w:val="21"/>
              </w:rPr>
              <w:t> 个月以上</w:t>
            </w:r>
            <w:r>
              <w:rPr>
                <w:spacing w:val="-106"/>
                <w:sz w:val="21"/>
              </w:rPr>
              <w:t>）</w:t>
            </w:r>
            <w:r>
              <w:rPr>
                <w:sz w:val="21"/>
              </w:rPr>
              <w:t>。</w:t>
            </w:r>
          </w:p>
        </w:tc>
      </w:tr>
      <w:tr>
        <w:trPr>
          <w:trHeight w:val="1779" w:hRule="atLeast"/>
        </w:trPr>
        <w:tc>
          <w:tcPr>
            <w:tcW w:w="998" w:type="dxa"/>
          </w:tcPr>
          <w:p>
            <w:pPr>
              <w:pStyle w:val="TableParagraph"/>
              <w:spacing w:before="48"/>
              <w:ind w:left="0" w:right="159"/>
              <w:jc w:val="right"/>
              <w:rPr>
                <w:b/>
                <w:sz w:val="21"/>
              </w:rPr>
            </w:pPr>
            <w:r>
              <w:rPr>
                <w:b/>
                <w:sz w:val="21"/>
              </w:rPr>
              <w:t>7.1.19</w:t>
            </w:r>
          </w:p>
        </w:tc>
        <w:tc>
          <w:tcPr>
            <w:tcW w:w="1575" w:type="dxa"/>
          </w:tcPr>
          <w:p>
            <w:pPr>
              <w:pStyle w:val="TableParagraph"/>
              <w:spacing w:before="48"/>
              <w:ind w:left="162"/>
              <w:rPr>
                <w:b/>
                <w:sz w:val="21"/>
              </w:rPr>
            </w:pPr>
            <w:r>
              <w:rPr>
                <w:b/>
                <w:sz w:val="21"/>
              </w:rPr>
              <w:t>成骨不全症</w:t>
            </w:r>
          </w:p>
        </w:tc>
        <w:tc>
          <w:tcPr>
            <w:tcW w:w="7470" w:type="dxa"/>
          </w:tcPr>
          <w:p>
            <w:pPr>
              <w:pStyle w:val="TableParagraph"/>
              <w:spacing w:before="48"/>
              <w:ind w:left="147"/>
              <w:rPr>
                <w:sz w:val="21"/>
              </w:rPr>
            </w:pPr>
            <w:r>
              <w:rPr>
                <w:sz w:val="21"/>
              </w:rPr>
              <w:t>一种胶元病，特征为骨易碎、骨质疏松和易骨折。该病有 4 种类型：I 型、</w:t>
            </w:r>
          </w:p>
          <w:p>
            <w:pPr>
              <w:pStyle w:val="TableParagraph"/>
              <w:spacing w:before="36"/>
              <w:ind w:left="147"/>
              <w:rPr>
                <w:sz w:val="21"/>
              </w:rPr>
            </w:pPr>
            <w:r>
              <w:rPr>
                <w:sz w:val="21"/>
              </w:rPr>
              <w:t>II 型、III 型、IV 型。</w:t>
            </w:r>
          </w:p>
          <w:p>
            <w:pPr>
              <w:pStyle w:val="TableParagraph"/>
              <w:spacing w:line="273" w:lineRule="auto" w:before="113"/>
              <w:ind w:left="147" w:right="196"/>
              <w:rPr>
                <w:sz w:val="21"/>
              </w:rPr>
            </w:pPr>
            <w:r>
              <w:rPr>
                <w:rFonts w:ascii="黑体" w:eastAsia="黑体" w:hint="eastAsia"/>
                <w:spacing w:val="-7"/>
                <w:sz w:val="21"/>
              </w:rPr>
              <w:t>本附加险合同只对 </w:t>
            </w:r>
            <w:r>
              <w:rPr>
                <w:rFonts w:ascii="黑体" w:eastAsia="黑体" w:hint="eastAsia"/>
                <w:sz w:val="21"/>
              </w:rPr>
              <w:t>III</w:t>
            </w:r>
            <w:r>
              <w:rPr>
                <w:rFonts w:ascii="黑体" w:eastAsia="黑体" w:hint="eastAsia"/>
                <w:spacing w:val="-9"/>
                <w:sz w:val="21"/>
              </w:rPr>
              <w:t> 型成骨不全予以理赔。</w:t>
            </w:r>
            <w:r>
              <w:rPr>
                <w:spacing w:val="-5"/>
                <w:sz w:val="21"/>
              </w:rPr>
              <w:t>其主要临床特点有：发育迟缓、</w:t>
            </w:r>
            <w:r>
              <w:rPr>
                <w:spacing w:val="-11"/>
                <w:sz w:val="21"/>
              </w:rPr>
              <w:t>多发性骨折、进行性脊柱后侧凸及听力损害。</w:t>
            </w:r>
            <w:r>
              <w:rPr>
                <w:sz w:val="21"/>
              </w:rPr>
              <w:t>III</w:t>
            </w:r>
            <w:r>
              <w:rPr>
                <w:spacing w:val="-8"/>
                <w:sz w:val="21"/>
              </w:rPr>
              <w:t> 型成骨不全的诊断必须根据</w:t>
            </w:r>
            <w:r>
              <w:rPr>
                <w:spacing w:val="-5"/>
                <w:sz w:val="21"/>
              </w:rPr>
              <w:t>身体检查、家族史、</w:t>
            </w:r>
            <w:r>
              <w:rPr>
                <w:sz w:val="21"/>
              </w:rPr>
              <w:t>X</w:t>
            </w:r>
            <w:r>
              <w:rPr>
                <w:spacing w:val="-6"/>
                <w:sz w:val="21"/>
              </w:rPr>
              <w:t> 线检查和皮肤活检报告资料确诊。</w:t>
            </w:r>
          </w:p>
        </w:tc>
      </w:tr>
      <w:tr>
        <w:trPr>
          <w:trHeight w:val="1391" w:hRule="atLeast"/>
        </w:trPr>
        <w:tc>
          <w:tcPr>
            <w:tcW w:w="998" w:type="dxa"/>
          </w:tcPr>
          <w:p>
            <w:pPr>
              <w:pStyle w:val="TableParagraph"/>
              <w:spacing w:before="50"/>
              <w:ind w:left="0" w:right="159"/>
              <w:jc w:val="right"/>
              <w:rPr>
                <w:b/>
                <w:sz w:val="21"/>
              </w:rPr>
            </w:pPr>
            <w:r>
              <w:rPr>
                <w:b/>
                <w:sz w:val="21"/>
              </w:rPr>
              <w:t>7.1.20</w:t>
            </w:r>
          </w:p>
        </w:tc>
        <w:tc>
          <w:tcPr>
            <w:tcW w:w="1575" w:type="dxa"/>
          </w:tcPr>
          <w:p>
            <w:pPr>
              <w:pStyle w:val="TableParagraph"/>
              <w:spacing w:line="273" w:lineRule="auto" w:before="50"/>
              <w:ind w:left="162" w:right="143"/>
              <w:rPr>
                <w:b/>
                <w:sz w:val="21"/>
              </w:rPr>
            </w:pPr>
            <w:r>
              <w:rPr>
                <w:b/>
                <w:sz w:val="21"/>
              </w:rPr>
              <w:t>幼年型类风湿性关节炎</w:t>
            </w:r>
          </w:p>
        </w:tc>
        <w:tc>
          <w:tcPr>
            <w:tcW w:w="7470" w:type="dxa"/>
          </w:tcPr>
          <w:p>
            <w:pPr>
              <w:pStyle w:val="TableParagraph"/>
              <w:spacing w:line="273" w:lineRule="auto" w:before="50"/>
              <w:ind w:left="147" w:right="196"/>
              <w:rPr>
                <w:sz w:val="21"/>
              </w:rPr>
            </w:pPr>
            <w:r>
              <w:rPr>
                <w:sz w:val="21"/>
              </w:rPr>
              <w:t>一种少儿慢性关节炎，其特征为发热和系统性疾病体征，该体征可能于关节</w:t>
            </w:r>
            <w:r>
              <w:rPr>
                <w:spacing w:val="-5"/>
                <w:sz w:val="21"/>
              </w:rPr>
              <w:t>炎出现之前的数月间持续存在。主要临床症状包括每日发高热、消散性皮疹、关节炎、脾肿大、淋巴结肿大、浆膜炎、体重下降、中性白细胞增多、急性</w:t>
            </w:r>
            <w:r>
              <w:rPr>
                <w:spacing w:val="-3"/>
                <w:sz w:val="21"/>
              </w:rPr>
              <w:t>期蛋白增加及血清抗核抗体</w:t>
            </w:r>
            <w:r>
              <w:rPr>
                <w:spacing w:val="-1"/>
                <w:sz w:val="21"/>
              </w:rPr>
              <w:t>（ANA）</w:t>
            </w:r>
            <w:r>
              <w:rPr>
                <w:spacing w:val="-3"/>
                <w:sz w:val="21"/>
              </w:rPr>
              <w:t>和类风湿因子</w:t>
            </w:r>
            <w:r>
              <w:rPr>
                <w:sz w:val="21"/>
              </w:rPr>
              <w:t>（RF）</w:t>
            </w:r>
            <w:r>
              <w:rPr>
                <w:spacing w:val="-2"/>
                <w:sz w:val="21"/>
              </w:rPr>
              <w:t>阳性。</w:t>
            </w:r>
          </w:p>
        </w:tc>
      </w:tr>
      <w:tr>
        <w:trPr>
          <w:trHeight w:val="765" w:hRule="atLeast"/>
        </w:trPr>
        <w:tc>
          <w:tcPr>
            <w:tcW w:w="998" w:type="dxa"/>
          </w:tcPr>
          <w:p>
            <w:pPr>
              <w:pStyle w:val="TableParagraph"/>
              <w:spacing w:before="49"/>
              <w:ind w:left="0" w:right="159"/>
              <w:jc w:val="right"/>
              <w:rPr>
                <w:b/>
                <w:sz w:val="21"/>
              </w:rPr>
            </w:pPr>
            <w:r>
              <w:rPr>
                <w:b/>
                <w:sz w:val="21"/>
              </w:rPr>
              <w:t>7.1.21</w:t>
            </w:r>
          </w:p>
        </w:tc>
        <w:tc>
          <w:tcPr>
            <w:tcW w:w="1575" w:type="dxa"/>
          </w:tcPr>
          <w:p>
            <w:pPr>
              <w:pStyle w:val="TableParagraph"/>
              <w:spacing w:before="49"/>
              <w:ind w:left="162"/>
              <w:rPr>
                <w:b/>
                <w:sz w:val="21"/>
              </w:rPr>
            </w:pPr>
            <w:r>
              <w:rPr>
                <w:b/>
                <w:sz w:val="21"/>
              </w:rPr>
              <w:t>严重胃肠炎</w:t>
            </w:r>
          </w:p>
        </w:tc>
        <w:tc>
          <w:tcPr>
            <w:tcW w:w="7470" w:type="dxa"/>
          </w:tcPr>
          <w:p>
            <w:pPr>
              <w:pStyle w:val="TableParagraph"/>
              <w:spacing w:line="273" w:lineRule="auto" w:before="49"/>
              <w:ind w:left="147" w:right="312"/>
              <w:rPr>
                <w:sz w:val="21"/>
              </w:rPr>
            </w:pPr>
            <w:r>
              <w:rPr>
                <w:sz w:val="21"/>
              </w:rPr>
              <w:t>以严重的腹泻、便血和肠段坏死为特征的胃肠道严重感染。大肠或小肠的一处或多处需手术切除，且经病理检查证实存在严重感染和坏死。</w:t>
            </w:r>
          </w:p>
        </w:tc>
      </w:tr>
      <w:tr>
        <w:trPr>
          <w:trHeight w:val="1077" w:hRule="atLeast"/>
        </w:trPr>
        <w:tc>
          <w:tcPr>
            <w:tcW w:w="998" w:type="dxa"/>
          </w:tcPr>
          <w:p>
            <w:pPr>
              <w:pStyle w:val="TableParagraph"/>
              <w:spacing w:before="48"/>
              <w:ind w:left="0" w:right="159"/>
              <w:jc w:val="right"/>
              <w:rPr>
                <w:b/>
                <w:sz w:val="21"/>
              </w:rPr>
            </w:pPr>
            <w:r>
              <w:rPr>
                <w:b/>
                <w:sz w:val="21"/>
              </w:rPr>
              <w:t>7.1.22</w:t>
            </w:r>
          </w:p>
        </w:tc>
        <w:tc>
          <w:tcPr>
            <w:tcW w:w="1575" w:type="dxa"/>
          </w:tcPr>
          <w:p>
            <w:pPr>
              <w:pStyle w:val="TableParagraph"/>
              <w:spacing w:before="48"/>
              <w:ind w:left="162"/>
              <w:rPr>
                <w:b/>
                <w:sz w:val="21"/>
              </w:rPr>
            </w:pPr>
            <w:r>
              <w:rPr>
                <w:b/>
                <w:sz w:val="21"/>
              </w:rPr>
              <w:t>严重心肌炎</w:t>
            </w:r>
          </w:p>
        </w:tc>
        <w:tc>
          <w:tcPr>
            <w:tcW w:w="7470" w:type="dxa"/>
          </w:tcPr>
          <w:p>
            <w:pPr>
              <w:pStyle w:val="TableParagraph"/>
              <w:spacing w:line="273" w:lineRule="auto" w:before="48"/>
              <w:ind w:left="147" w:right="301"/>
              <w:jc w:val="both"/>
              <w:rPr>
                <w:sz w:val="21"/>
              </w:rPr>
            </w:pPr>
            <w:r>
              <w:rPr>
                <w:spacing w:val="-3"/>
                <w:sz w:val="21"/>
              </w:rPr>
              <w:t>心肌的严重感染而导致至少持续 </w:t>
            </w:r>
            <w:r>
              <w:rPr>
                <w:sz w:val="21"/>
              </w:rPr>
              <w:t>6</w:t>
            </w:r>
            <w:r>
              <w:rPr>
                <w:spacing w:val="-3"/>
                <w:sz w:val="21"/>
              </w:rPr>
              <w:t> 个月的心功能损害。严重的心功能损害必须具备如下条件：左室腔扩大至少达到正常值上限的 </w:t>
            </w:r>
            <w:r>
              <w:rPr>
                <w:sz w:val="21"/>
              </w:rPr>
              <w:t>120%</w:t>
            </w:r>
            <w:r>
              <w:rPr>
                <w:spacing w:val="-3"/>
                <w:sz w:val="21"/>
              </w:rPr>
              <w:t>，且左室射血分数</w:t>
            </w:r>
            <w:r>
              <w:rPr>
                <w:spacing w:val="-11"/>
                <w:sz w:val="21"/>
              </w:rPr>
              <w:t>持续性低于 </w:t>
            </w:r>
            <w:r>
              <w:rPr>
                <w:sz w:val="21"/>
              </w:rPr>
              <w:t>40%。</w:t>
            </w:r>
          </w:p>
        </w:tc>
      </w:tr>
      <w:tr>
        <w:trPr>
          <w:trHeight w:val="332" w:hRule="atLeast"/>
        </w:trPr>
        <w:tc>
          <w:tcPr>
            <w:tcW w:w="998" w:type="dxa"/>
          </w:tcPr>
          <w:p>
            <w:pPr>
              <w:pStyle w:val="TableParagraph"/>
              <w:spacing w:line="264" w:lineRule="exact" w:before="48"/>
              <w:ind w:left="0" w:right="159"/>
              <w:jc w:val="right"/>
              <w:rPr>
                <w:b/>
                <w:sz w:val="21"/>
              </w:rPr>
            </w:pPr>
            <w:r>
              <w:rPr>
                <w:b/>
                <w:sz w:val="21"/>
              </w:rPr>
              <w:t>7.1.23</w:t>
            </w:r>
          </w:p>
        </w:tc>
        <w:tc>
          <w:tcPr>
            <w:tcW w:w="1575" w:type="dxa"/>
          </w:tcPr>
          <w:p>
            <w:pPr>
              <w:pStyle w:val="TableParagraph"/>
              <w:spacing w:line="264" w:lineRule="exact" w:before="48"/>
              <w:ind w:left="162"/>
              <w:rPr>
                <w:b/>
                <w:sz w:val="21"/>
              </w:rPr>
            </w:pPr>
            <w:r>
              <w:rPr>
                <w:b/>
                <w:sz w:val="21"/>
              </w:rPr>
              <w:t>脊髓灰质炎</w:t>
            </w:r>
          </w:p>
        </w:tc>
        <w:tc>
          <w:tcPr>
            <w:tcW w:w="7470" w:type="dxa"/>
          </w:tcPr>
          <w:p>
            <w:pPr>
              <w:pStyle w:val="TableParagraph"/>
              <w:spacing w:line="264" w:lineRule="exact" w:before="48"/>
              <w:ind w:left="147"/>
              <w:rPr>
                <w:sz w:val="21"/>
              </w:rPr>
            </w:pPr>
            <w:r>
              <w:rPr>
                <w:sz w:val="21"/>
              </w:rPr>
              <w:t>脊髓灰质炎是指由于脊髓灰质炎病毒感染致脊髓运动神经元损害所导致的瘫</w:t>
            </w:r>
          </w:p>
        </w:tc>
      </w:tr>
    </w:tbl>
    <w:p>
      <w:pPr>
        <w:spacing w:after="0" w:line="264" w:lineRule="exact"/>
        <w:rPr>
          <w:sz w:val="21"/>
        </w:rPr>
        <w:sectPr>
          <w:pgSz w:w="11910" w:h="16840"/>
          <w:pgMar w:top="1460" w:bottom="280" w:left="880" w:right="7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6"/>
        <w:gridCol w:w="1598"/>
        <w:gridCol w:w="7257"/>
      </w:tblGrid>
      <w:tr>
        <w:trPr>
          <w:trHeight w:val="1580" w:hRule="atLeast"/>
        </w:trPr>
        <w:tc>
          <w:tcPr>
            <w:tcW w:w="906" w:type="dxa"/>
          </w:tcPr>
          <w:p>
            <w:pPr>
              <w:pStyle w:val="TableParagraph"/>
              <w:ind w:left="0"/>
              <w:rPr>
                <w:rFonts w:ascii="Times New Roman"/>
                <w:sz w:val="20"/>
              </w:rPr>
            </w:pPr>
          </w:p>
        </w:tc>
        <w:tc>
          <w:tcPr>
            <w:tcW w:w="1598" w:type="dxa"/>
          </w:tcPr>
          <w:p>
            <w:pPr>
              <w:pStyle w:val="TableParagraph"/>
              <w:ind w:left="0"/>
              <w:rPr>
                <w:rFonts w:ascii="Times New Roman"/>
                <w:sz w:val="20"/>
              </w:rPr>
            </w:pPr>
          </w:p>
        </w:tc>
        <w:tc>
          <w:tcPr>
            <w:tcW w:w="7257" w:type="dxa"/>
          </w:tcPr>
          <w:p>
            <w:pPr>
              <w:pStyle w:val="TableParagraph"/>
              <w:spacing w:line="202" w:lineRule="exact"/>
              <w:ind w:left="124"/>
              <w:rPr>
                <w:sz w:val="21"/>
              </w:rPr>
            </w:pPr>
            <w:r>
              <w:rPr>
                <w:spacing w:val="-9"/>
                <w:sz w:val="21"/>
              </w:rPr>
              <w:t>痪性疾病，至少导致两个或以上的肢体瘫痪程度达到肌力在 </w:t>
            </w:r>
            <w:r>
              <w:rPr>
                <w:sz w:val="21"/>
              </w:rPr>
              <w:t>0-III</w:t>
            </w:r>
            <w:r>
              <w:rPr>
                <w:spacing w:val="-26"/>
                <w:sz w:val="21"/>
              </w:rPr>
              <w:t> 级，经 </w:t>
            </w:r>
            <w:r>
              <w:rPr>
                <w:sz w:val="21"/>
              </w:rPr>
              <w:t>180</w:t>
            </w:r>
          </w:p>
          <w:p>
            <w:pPr>
              <w:pStyle w:val="TableParagraph"/>
              <w:spacing w:line="273" w:lineRule="auto" w:before="37"/>
              <w:ind w:left="124" w:right="111"/>
              <w:jc w:val="both"/>
              <w:rPr>
                <w:rFonts w:ascii="黑体" w:eastAsia="黑体" w:hint="eastAsia"/>
                <w:sz w:val="21"/>
              </w:rPr>
            </w:pPr>
            <w:r>
              <w:rPr>
                <w:spacing w:val="-6"/>
                <w:sz w:val="21"/>
              </w:rPr>
              <w:t>天治疗后肢体肌力仍然不能恢复到 </w:t>
            </w:r>
            <w:r>
              <w:rPr>
                <w:sz w:val="21"/>
              </w:rPr>
              <w:t>IV</w:t>
            </w:r>
            <w:r>
              <w:rPr>
                <w:spacing w:val="-10"/>
                <w:sz w:val="21"/>
              </w:rPr>
              <w:t> 级。诊断需提供脊髓灰质炎病毒检查的证据</w:t>
            </w:r>
            <w:r>
              <w:rPr>
                <w:sz w:val="21"/>
              </w:rPr>
              <w:t>（</w:t>
            </w:r>
            <w:r>
              <w:rPr>
                <w:spacing w:val="-4"/>
                <w:sz w:val="21"/>
              </w:rPr>
              <w:t>如粪便或脑脊液检查，血液中抗体检查</w:t>
            </w:r>
            <w:r>
              <w:rPr>
                <w:spacing w:val="-106"/>
                <w:sz w:val="21"/>
              </w:rPr>
              <w:t>）</w:t>
            </w:r>
            <w:r>
              <w:rPr>
                <w:spacing w:val="-4"/>
                <w:sz w:val="21"/>
              </w:rPr>
              <w:t>。肢体的定义为整个上肢或是</w:t>
            </w:r>
            <w:r>
              <w:rPr>
                <w:spacing w:val="-5"/>
                <w:sz w:val="21"/>
              </w:rPr>
              <w:t>整个下肢。</w:t>
            </w:r>
            <w:r>
              <w:rPr>
                <w:rFonts w:ascii="黑体" w:eastAsia="黑体" w:hint="eastAsia"/>
                <w:spacing w:val="-4"/>
                <w:sz w:val="21"/>
              </w:rPr>
              <w:t>未导致肢体瘫痪</w:t>
            </w:r>
            <w:r>
              <w:rPr>
                <w:rFonts w:ascii="黑体" w:eastAsia="黑体" w:hint="eastAsia"/>
                <w:spacing w:val="-3"/>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31"/>
                <w:sz w:val="21"/>
              </w:rPr>
              <w:t> 或 </w:t>
            </w:r>
            <w:r>
              <w:rPr>
                <w:rFonts w:ascii="黑体" w:eastAsia="黑体" w:hint="eastAsia"/>
                <w:sz w:val="21"/>
              </w:rPr>
              <w:t>V</w:t>
            </w:r>
            <w:r>
              <w:rPr>
                <w:rFonts w:ascii="黑体" w:eastAsia="黑体" w:hint="eastAsia"/>
                <w:spacing w:val="-25"/>
                <w:sz w:val="21"/>
              </w:rPr>
              <w:t> 级</w:t>
            </w:r>
            <w:r>
              <w:rPr>
                <w:rFonts w:ascii="黑体" w:eastAsia="黑体" w:hint="eastAsia"/>
                <w:spacing w:val="-8"/>
                <w:sz w:val="21"/>
              </w:rPr>
              <w:t>）</w:t>
            </w:r>
            <w:r>
              <w:rPr>
                <w:rFonts w:ascii="黑体" w:eastAsia="黑体" w:hint="eastAsia"/>
                <w:spacing w:val="-3"/>
                <w:sz w:val="21"/>
              </w:rPr>
              <w:t>者及其他原因导致的瘫痪不在保障范围内。</w:t>
            </w:r>
          </w:p>
        </w:tc>
      </w:tr>
      <w:tr>
        <w:trPr>
          <w:trHeight w:val="1701" w:hRule="atLeast"/>
        </w:trPr>
        <w:tc>
          <w:tcPr>
            <w:tcW w:w="906" w:type="dxa"/>
          </w:tcPr>
          <w:p>
            <w:pPr>
              <w:pStyle w:val="TableParagraph"/>
              <w:spacing w:before="48"/>
              <w:ind w:left="107"/>
              <w:rPr>
                <w:b/>
                <w:sz w:val="21"/>
              </w:rPr>
            </w:pPr>
            <w:r>
              <w:rPr>
                <w:b/>
                <w:sz w:val="21"/>
              </w:rPr>
              <w:t>7.1.24</w:t>
            </w:r>
          </w:p>
        </w:tc>
        <w:tc>
          <w:tcPr>
            <w:tcW w:w="1598" w:type="dxa"/>
          </w:tcPr>
          <w:p>
            <w:pPr>
              <w:pStyle w:val="TableParagraph"/>
              <w:spacing w:before="48"/>
              <w:ind w:left="162"/>
              <w:rPr>
                <w:b/>
                <w:sz w:val="21"/>
              </w:rPr>
            </w:pPr>
            <w:r>
              <w:rPr>
                <w:b/>
                <w:sz w:val="21"/>
              </w:rPr>
              <w:t>重症手足口病</w:t>
            </w:r>
          </w:p>
        </w:tc>
        <w:tc>
          <w:tcPr>
            <w:tcW w:w="7257" w:type="dxa"/>
          </w:tcPr>
          <w:p>
            <w:pPr>
              <w:pStyle w:val="TableParagraph"/>
              <w:spacing w:line="273" w:lineRule="auto" w:before="48"/>
              <w:ind w:left="124" w:right="122"/>
              <w:rPr>
                <w:sz w:val="21"/>
              </w:rPr>
            </w:pPr>
            <w:r>
              <w:rPr>
                <w:sz w:val="21"/>
              </w:rPr>
              <w:t>由肠道病毒引起的急性传染病，主要症状表现为手、足、口腔等部位的斑丘疹、疱疹。重症手足口病必须符合下列全部条件：</w:t>
            </w:r>
          </w:p>
          <w:p>
            <w:pPr>
              <w:pStyle w:val="TableParagraph"/>
              <w:numPr>
                <w:ilvl w:val="0"/>
                <w:numId w:val="4"/>
              </w:numPr>
              <w:tabs>
                <w:tab w:pos="548" w:val="left" w:leader="none"/>
              </w:tabs>
              <w:spacing w:line="240" w:lineRule="auto" w:before="7" w:after="0"/>
              <w:ind w:left="547" w:right="0" w:hanging="423"/>
              <w:jc w:val="left"/>
              <w:rPr>
                <w:sz w:val="21"/>
              </w:rPr>
            </w:pPr>
            <w:r>
              <w:rPr>
                <w:spacing w:val="-3"/>
                <w:sz w:val="21"/>
              </w:rPr>
              <w:t>经专科医生诊断为手足口病；</w:t>
            </w:r>
          </w:p>
          <w:p>
            <w:pPr>
              <w:pStyle w:val="TableParagraph"/>
              <w:numPr>
                <w:ilvl w:val="0"/>
                <w:numId w:val="4"/>
              </w:numPr>
              <w:tabs>
                <w:tab w:pos="548" w:val="left" w:leader="none"/>
              </w:tabs>
              <w:spacing w:line="240" w:lineRule="auto" w:before="37" w:after="0"/>
              <w:ind w:left="547" w:right="0" w:hanging="423"/>
              <w:jc w:val="left"/>
              <w:rPr>
                <w:sz w:val="21"/>
              </w:rPr>
            </w:pPr>
            <w:r>
              <w:rPr>
                <w:spacing w:val="-6"/>
                <w:sz w:val="21"/>
              </w:rPr>
              <w:t>伴有所列危重并发症之一：脑膜炎、脑炎、脑脊髓炎、肺水肿或心肌炎；</w:t>
            </w:r>
          </w:p>
          <w:p>
            <w:pPr>
              <w:pStyle w:val="TableParagraph"/>
              <w:numPr>
                <w:ilvl w:val="0"/>
                <w:numId w:val="4"/>
              </w:numPr>
              <w:tabs>
                <w:tab w:pos="531" w:val="left" w:leader="none"/>
              </w:tabs>
              <w:spacing w:line="240" w:lineRule="auto" w:before="37" w:after="0"/>
              <w:ind w:left="530" w:right="0" w:hanging="406"/>
              <w:jc w:val="left"/>
              <w:rPr>
                <w:sz w:val="21"/>
              </w:rPr>
            </w:pPr>
            <w:r>
              <w:rPr>
                <w:spacing w:val="-3"/>
                <w:sz w:val="21"/>
              </w:rPr>
              <w:t>接受了住院治疗。</w:t>
            </w:r>
          </w:p>
        </w:tc>
      </w:tr>
      <w:tr>
        <w:trPr>
          <w:trHeight w:val="3341" w:hRule="atLeast"/>
        </w:trPr>
        <w:tc>
          <w:tcPr>
            <w:tcW w:w="906" w:type="dxa"/>
          </w:tcPr>
          <w:p>
            <w:pPr>
              <w:pStyle w:val="TableParagraph"/>
              <w:spacing w:before="48"/>
              <w:ind w:left="107"/>
              <w:rPr>
                <w:b/>
                <w:sz w:val="21"/>
              </w:rPr>
            </w:pPr>
            <w:r>
              <w:rPr>
                <w:b/>
                <w:sz w:val="21"/>
              </w:rPr>
              <w:t>7.1.25</w:t>
            </w:r>
          </w:p>
        </w:tc>
        <w:tc>
          <w:tcPr>
            <w:tcW w:w="1598" w:type="dxa"/>
          </w:tcPr>
          <w:p>
            <w:pPr>
              <w:pStyle w:val="TableParagraph"/>
              <w:spacing w:line="273" w:lineRule="auto" w:before="48"/>
              <w:ind w:left="162" w:right="166"/>
              <w:jc w:val="both"/>
              <w:rPr>
                <w:b/>
                <w:sz w:val="21"/>
              </w:rPr>
            </w:pPr>
            <w:r>
              <w:rPr>
                <w:b/>
                <w:sz w:val="21"/>
              </w:rPr>
              <w:t>经输血导致的人类免疫缺陷病毒感染</w:t>
            </w:r>
          </w:p>
        </w:tc>
        <w:tc>
          <w:tcPr>
            <w:tcW w:w="7257" w:type="dxa"/>
          </w:tcPr>
          <w:p>
            <w:pPr>
              <w:pStyle w:val="TableParagraph"/>
              <w:spacing w:before="48"/>
              <w:ind w:left="124"/>
              <w:rPr>
                <w:sz w:val="21"/>
              </w:rPr>
            </w:pPr>
            <w:r>
              <w:rPr>
                <w:sz w:val="21"/>
              </w:rPr>
              <w:t>被保险人因输血而感染上人类免疫缺陷病毒（HIV）必须同时满足以下条件：</w:t>
            </w:r>
          </w:p>
          <w:p>
            <w:pPr>
              <w:pStyle w:val="TableParagraph"/>
              <w:spacing w:before="36"/>
              <w:ind w:left="124"/>
              <w:rPr>
                <w:sz w:val="21"/>
              </w:rPr>
            </w:pPr>
            <w:r>
              <w:rPr>
                <w:sz w:val="21"/>
              </w:rPr>
              <w:t>(1)在保障起始日或复效日之后，被保险人因输血而感染 HIV；</w:t>
            </w:r>
          </w:p>
          <w:p>
            <w:pPr>
              <w:pStyle w:val="TableParagraph"/>
              <w:spacing w:line="273" w:lineRule="auto" w:before="37"/>
              <w:ind w:left="124" w:right="3452"/>
              <w:rPr>
                <w:sz w:val="21"/>
              </w:rPr>
            </w:pPr>
            <w:r>
              <w:rPr>
                <w:sz w:val="21"/>
              </w:rPr>
              <w:t>(2)受感染的被保险人不是血友病患者； 以及下列条件(3)或(4)中的任意一条：</w:t>
            </w:r>
          </w:p>
          <w:p>
            <w:pPr>
              <w:pStyle w:val="TableParagraph"/>
              <w:spacing w:before="7"/>
              <w:ind w:left="124"/>
              <w:rPr>
                <w:sz w:val="21"/>
              </w:rPr>
            </w:pPr>
            <w:r>
              <w:rPr>
                <w:sz w:val="21"/>
              </w:rPr>
              <w:t>(3)提供输血治疗的输血中心或医院承认该项输血感染责任的证明；</w:t>
            </w:r>
          </w:p>
          <w:p>
            <w:pPr>
              <w:pStyle w:val="TableParagraph"/>
              <w:spacing w:line="273" w:lineRule="auto" w:before="36"/>
              <w:ind w:left="124" w:right="113"/>
              <w:rPr>
                <w:sz w:val="21"/>
              </w:rPr>
            </w:pPr>
            <w:r>
              <w:rPr>
                <w:sz w:val="21"/>
              </w:rPr>
              <w:t>(4)</w:t>
            </w:r>
            <w:r>
              <w:rPr>
                <w:spacing w:val="-7"/>
                <w:sz w:val="21"/>
              </w:rPr>
              <w:t>提供输血前一个月内 </w:t>
            </w:r>
            <w:r>
              <w:rPr>
                <w:sz w:val="21"/>
              </w:rPr>
              <w:t>HIV</w:t>
            </w:r>
            <w:r>
              <w:rPr>
                <w:spacing w:val="-10"/>
                <w:sz w:val="21"/>
              </w:rPr>
              <w:t> 检查阴性的报告、输血血液来源的证明以及输血</w:t>
            </w:r>
            <w:r>
              <w:rPr>
                <w:spacing w:val="-28"/>
                <w:sz w:val="21"/>
              </w:rPr>
              <w:t>后 </w:t>
            </w:r>
            <w:r>
              <w:rPr>
                <w:sz w:val="21"/>
              </w:rPr>
              <w:t>HIV</w:t>
            </w:r>
            <w:r>
              <w:rPr>
                <w:spacing w:val="-8"/>
                <w:sz w:val="21"/>
              </w:rPr>
              <w:t> 检查阳性的报告。</w:t>
            </w:r>
          </w:p>
          <w:p>
            <w:pPr>
              <w:pStyle w:val="TableParagraph"/>
              <w:spacing w:line="273" w:lineRule="auto" w:before="86"/>
              <w:ind w:left="124" w:right="11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
                <w:sz w:val="21"/>
              </w:rPr>
              <w:t>导致的 </w:t>
            </w:r>
            <w:r>
              <w:rPr>
                <w:rFonts w:ascii="黑体" w:eastAsia="黑体" w:hint="eastAsia"/>
                <w:sz w:val="21"/>
              </w:rPr>
              <w:t>HIV</w:t>
            </w:r>
            <w:r>
              <w:rPr>
                <w:rFonts w:ascii="黑体" w:eastAsia="黑体" w:hint="eastAsia"/>
                <w:spacing w:val="-1"/>
                <w:sz w:val="21"/>
              </w:rPr>
              <w:t> 感染不在本保单保障范围内。</w:t>
            </w:r>
            <w:r>
              <w:rPr>
                <w:sz w:val="21"/>
              </w:rPr>
              <w:t>保险公司必须拥有获得使用被保险人的所有血液样本的</w:t>
            </w:r>
            <w:r>
              <w:rPr>
                <w:spacing w:val="-3"/>
                <w:sz w:val="21"/>
              </w:rPr>
              <w:t>权利和能够对这些样本进行独立检验的权利。</w:t>
            </w:r>
          </w:p>
        </w:tc>
      </w:tr>
      <w:tr>
        <w:trPr>
          <w:trHeight w:val="2160" w:hRule="atLeast"/>
        </w:trPr>
        <w:tc>
          <w:tcPr>
            <w:tcW w:w="906" w:type="dxa"/>
          </w:tcPr>
          <w:p>
            <w:pPr>
              <w:pStyle w:val="TableParagraph"/>
              <w:spacing w:before="48"/>
              <w:ind w:left="107"/>
              <w:rPr>
                <w:b/>
                <w:sz w:val="21"/>
              </w:rPr>
            </w:pPr>
            <w:r>
              <w:rPr>
                <w:b/>
                <w:sz w:val="21"/>
              </w:rPr>
              <w:t>7.2</w:t>
            </w:r>
          </w:p>
        </w:tc>
        <w:tc>
          <w:tcPr>
            <w:tcW w:w="1598" w:type="dxa"/>
          </w:tcPr>
          <w:p>
            <w:pPr>
              <w:pStyle w:val="TableParagraph"/>
              <w:spacing w:line="273" w:lineRule="auto" w:before="48"/>
              <w:ind w:left="162" w:right="166"/>
              <w:rPr>
                <w:b/>
                <w:sz w:val="21"/>
              </w:rPr>
            </w:pPr>
            <w:r>
              <w:rPr>
                <w:b/>
                <w:sz w:val="21"/>
              </w:rPr>
              <w:t>定义来源及确诊医院范围</w:t>
            </w:r>
          </w:p>
        </w:tc>
        <w:tc>
          <w:tcPr>
            <w:tcW w:w="7257" w:type="dxa"/>
          </w:tcPr>
          <w:p>
            <w:pPr>
              <w:pStyle w:val="TableParagraph"/>
              <w:spacing w:line="273" w:lineRule="auto" w:before="48"/>
              <w:ind w:left="124" w:right="8"/>
              <w:rPr>
                <w:sz w:val="21"/>
              </w:rPr>
            </w:pPr>
            <w:r>
              <w:rPr>
                <w:sz w:val="21"/>
              </w:rPr>
              <w:t>以上“7.1.1</w:t>
            </w:r>
            <w:r>
              <w:rPr>
                <w:spacing w:val="-3"/>
                <w:sz w:val="21"/>
              </w:rPr>
              <w:t> 恶性肿瘤”至</w:t>
            </w:r>
            <w:r>
              <w:rPr>
                <w:sz w:val="21"/>
              </w:rPr>
              <w:t>“7.1.15</w:t>
            </w:r>
            <w:r>
              <w:rPr>
                <w:spacing w:val="-3"/>
                <w:sz w:val="21"/>
              </w:rPr>
              <w:t> 重型再生障碍性贫血”所列重大疾病定</w:t>
            </w:r>
            <w:r>
              <w:rPr>
                <w:spacing w:val="-7"/>
                <w:sz w:val="21"/>
              </w:rPr>
              <w:t>义根据中国保险行业协会 </w:t>
            </w:r>
            <w:r>
              <w:rPr>
                <w:sz w:val="21"/>
              </w:rPr>
              <w:t>2007</w:t>
            </w:r>
            <w:r>
              <w:rPr>
                <w:spacing w:val="-15"/>
                <w:sz w:val="21"/>
              </w:rPr>
              <w:t> 年公布的《重大疾病保险的疾病定义使用规范》</w:t>
            </w:r>
            <w:r>
              <w:rPr>
                <w:spacing w:val="-7"/>
                <w:sz w:val="21"/>
              </w:rPr>
              <w:t>作出，其他重大疾病由我们增加，其定义由我们根据通行的医学标准制定。</w:t>
            </w:r>
          </w:p>
          <w:p>
            <w:pPr>
              <w:pStyle w:val="TableParagraph"/>
              <w:spacing w:line="273" w:lineRule="auto" w:before="84"/>
              <w:ind w:left="124" w:right="8"/>
              <w:rPr>
                <w:rFonts w:ascii="黑体" w:eastAsia="黑体" w:hint="eastAsia"/>
                <w:sz w:val="21"/>
              </w:rPr>
            </w:pPr>
            <w:r>
              <w:rPr>
                <w:rFonts w:ascii="黑体" w:eastAsia="黑体" w:hint="eastAsia"/>
                <w:sz w:val="21"/>
              </w:rPr>
              <w:t>以上重大疾病，除严重原发性心肌病须在卫Th行政部门认定的三级以上（含</w:t>
            </w:r>
            <w:r>
              <w:rPr>
                <w:rFonts w:ascii="黑体" w:eastAsia="黑体" w:hint="eastAsia"/>
                <w:spacing w:val="-2"/>
                <w:sz w:val="21"/>
              </w:rPr>
              <w:t>三级</w:t>
            </w:r>
            <w:r>
              <w:rPr>
                <w:rFonts w:ascii="黑体" w:eastAsia="黑体" w:hint="eastAsia"/>
                <w:spacing w:val="-8"/>
                <w:sz w:val="21"/>
              </w:rPr>
              <w:t>）</w:t>
            </w:r>
            <w:r>
              <w:rPr>
                <w:rFonts w:ascii="黑体" w:eastAsia="黑体" w:hint="eastAsia"/>
                <w:spacing w:val="-4"/>
                <w:sz w:val="21"/>
              </w:rPr>
              <w:t>医院确诊外，其他疾病均须在卫</w:t>
            </w:r>
            <w:r>
              <w:rPr>
                <w:rFonts w:ascii="黑体" w:eastAsia="黑体" w:hint="eastAsia"/>
                <w:sz w:val="21"/>
              </w:rPr>
              <w:t>Th</w:t>
            </w:r>
            <w:r>
              <w:rPr>
                <w:rFonts w:ascii="黑体" w:eastAsia="黑体" w:hint="eastAsia"/>
                <w:spacing w:val="-4"/>
                <w:sz w:val="21"/>
              </w:rPr>
              <w:t>行政部门认定的二级以上</w:t>
            </w:r>
            <w:r>
              <w:rPr>
                <w:rFonts w:ascii="黑体" w:eastAsia="黑体" w:hint="eastAsia"/>
                <w:sz w:val="21"/>
              </w:rPr>
              <w:t>（</w:t>
            </w:r>
            <w:r>
              <w:rPr>
                <w:rFonts w:ascii="黑体" w:eastAsia="黑体" w:hint="eastAsia"/>
                <w:spacing w:val="-3"/>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906" w:type="dxa"/>
            <w:shd w:val="clear" w:color="auto" w:fill="A6A6A6"/>
          </w:tcPr>
          <w:p>
            <w:pPr>
              <w:pStyle w:val="TableParagraph"/>
              <w:spacing w:line="254" w:lineRule="exact"/>
              <w:ind w:left="107"/>
              <w:rPr>
                <w:b/>
                <w:sz w:val="21"/>
              </w:rPr>
            </w:pPr>
            <w:r>
              <w:rPr>
                <w:b/>
                <w:sz w:val="21"/>
              </w:rPr>
              <w:t>8．</w:t>
            </w:r>
          </w:p>
        </w:tc>
        <w:tc>
          <w:tcPr>
            <w:tcW w:w="1598" w:type="dxa"/>
            <w:shd w:val="clear" w:color="auto" w:fill="A6A6A6"/>
          </w:tcPr>
          <w:p>
            <w:pPr>
              <w:pStyle w:val="TableParagraph"/>
              <w:spacing w:line="254" w:lineRule="exact"/>
              <w:ind w:left="208"/>
              <w:rPr>
                <w:b/>
                <w:sz w:val="21"/>
              </w:rPr>
            </w:pPr>
            <w:r>
              <w:rPr>
                <w:b/>
                <w:sz w:val="21"/>
              </w:rPr>
              <w:t>释义</w:t>
            </w:r>
          </w:p>
        </w:tc>
        <w:tc>
          <w:tcPr>
            <w:tcW w:w="7257" w:type="dxa"/>
            <w:shd w:val="clear" w:color="auto" w:fill="A6A6A6"/>
          </w:tcPr>
          <w:p>
            <w:pPr>
              <w:pStyle w:val="TableParagraph"/>
              <w:ind w:left="0"/>
              <w:rPr>
                <w:rFonts w:ascii="Times New Roman"/>
                <w:sz w:val="20"/>
              </w:rPr>
            </w:pPr>
          </w:p>
        </w:tc>
      </w:tr>
      <w:tr>
        <w:trPr>
          <w:trHeight w:val="839" w:hRule="atLeast"/>
        </w:trPr>
        <w:tc>
          <w:tcPr>
            <w:tcW w:w="906" w:type="dxa"/>
          </w:tcPr>
          <w:p>
            <w:pPr>
              <w:pStyle w:val="TableParagraph"/>
              <w:spacing w:before="123"/>
              <w:ind w:left="107"/>
              <w:rPr>
                <w:b/>
                <w:sz w:val="21"/>
              </w:rPr>
            </w:pPr>
            <w:r>
              <w:rPr>
                <w:b/>
                <w:sz w:val="21"/>
              </w:rPr>
              <w:t>8.1</w:t>
            </w:r>
          </w:p>
        </w:tc>
        <w:tc>
          <w:tcPr>
            <w:tcW w:w="1598" w:type="dxa"/>
          </w:tcPr>
          <w:p>
            <w:pPr>
              <w:pStyle w:val="TableParagraph"/>
              <w:spacing w:before="123"/>
              <w:ind w:left="208"/>
              <w:rPr>
                <w:b/>
                <w:sz w:val="21"/>
              </w:rPr>
            </w:pPr>
            <w:r>
              <w:rPr>
                <w:b/>
                <w:sz w:val="21"/>
              </w:rPr>
              <w:t>保单年度</w:t>
            </w:r>
          </w:p>
        </w:tc>
        <w:tc>
          <w:tcPr>
            <w:tcW w:w="7257" w:type="dxa"/>
          </w:tcPr>
          <w:p>
            <w:pPr>
              <w:pStyle w:val="TableParagraph"/>
              <w:spacing w:before="123"/>
              <w:ind w:left="163"/>
              <w:rPr>
                <w:sz w:val="21"/>
              </w:rPr>
            </w:pPr>
            <w:r>
              <w:rPr>
                <w:sz w:val="21"/>
              </w:rPr>
              <w:t>从本附加险合同生效日或保单周年日的零时起至下一个保单周年日前一日的</w:t>
            </w:r>
          </w:p>
          <w:p>
            <w:pPr>
              <w:pStyle w:val="TableParagraph"/>
              <w:spacing w:before="37"/>
              <w:ind w:left="163"/>
              <w:rPr>
                <w:sz w:val="21"/>
              </w:rPr>
            </w:pPr>
            <w:r>
              <w:rPr>
                <w:sz w:val="21"/>
              </w:rPr>
              <w:t>24 时止为一个保单年度。</w:t>
            </w:r>
          </w:p>
        </w:tc>
      </w:tr>
      <w:tr>
        <w:trPr>
          <w:trHeight w:val="765" w:hRule="atLeast"/>
        </w:trPr>
        <w:tc>
          <w:tcPr>
            <w:tcW w:w="906" w:type="dxa"/>
          </w:tcPr>
          <w:p>
            <w:pPr>
              <w:pStyle w:val="TableParagraph"/>
              <w:spacing w:before="48"/>
              <w:ind w:left="107"/>
              <w:rPr>
                <w:b/>
                <w:sz w:val="21"/>
              </w:rPr>
            </w:pPr>
            <w:r>
              <w:rPr>
                <w:b/>
                <w:sz w:val="21"/>
              </w:rPr>
              <w:t>8.2</w:t>
            </w:r>
          </w:p>
        </w:tc>
        <w:tc>
          <w:tcPr>
            <w:tcW w:w="1598" w:type="dxa"/>
          </w:tcPr>
          <w:p>
            <w:pPr>
              <w:pStyle w:val="TableParagraph"/>
              <w:spacing w:before="48"/>
              <w:ind w:left="208"/>
              <w:rPr>
                <w:b/>
                <w:sz w:val="21"/>
              </w:rPr>
            </w:pPr>
            <w:r>
              <w:rPr>
                <w:b/>
                <w:sz w:val="21"/>
              </w:rPr>
              <w:t>保单周年日</w:t>
            </w:r>
          </w:p>
        </w:tc>
        <w:tc>
          <w:tcPr>
            <w:tcW w:w="7257" w:type="dxa"/>
          </w:tcPr>
          <w:p>
            <w:pPr>
              <w:pStyle w:val="TableParagraph"/>
              <w:spacing w:line="273" w:lineRule="auto" w:before="48"/>
              <w:ind w:left="163" w:right="154"/>
              <w:rPr>
                <w:sz w:val="21"/>
              </w:rPr>
            </w:pPr>
            <w:r>
              <w:rPr>
                <w:sz w:val="21"/>
              </w:rPr>
              <w:t>指本附加险合同生效日在合同生效后每年的对应日，不含合同生效日当日。如果当月没有对应的同一日，则以下个月第一日为对应日。</w:t>
            </w:r>
          </w:p>
        </w:tc>
      </w:tr>
      <w:tr>
        <w:trPr>
          <w:trHeight w:val="765" w:hRule="atLeast"/>
        </w:trPr>
        <w:tc>
          <w:tcPr>
            <w:tcW w:w="906" w:type="dxa"/>
          </w:tcPr>
          <w:p>
            <w:pPr>
              <w:pStyle w:val="TableParagraph"/>
              <w:spacing w:before="48"/>
              <w:ind w:left="107"/>
              <w:rPr>
                <w:b/>
                <w:sz w:val="21"/>
              </w:rPr>
            </w:pPr>
            <w:r>
              <w:rPr>
                <w:b/>
                <w:sz w:val="21"/>
              </w:rPr>
              <w:t>8.3</w:t>
            </w:r>
          </w:p>
        </w:tc>
        <w:tc>
          <w:tcPr>
            <w:tcW w:w="1598" w:type="dxa"/>
          </w:tcPr>
          <w:p>
            <w:pPr>
              <w:pStyle w:val="TableParagraph"/>
              <w:spacing w:before="48"/>
              <w:ind w:left="208"/>
              <w:rPr>
                <w:b/>
                <w:sz w:val="21"/>
              </w:rPr>
            </w:pPr>
            <w:r>
              <w:rPr>
                <w:b/>
                <w:sz w:val="21"/>
              </w:rPr>
              <w:t>周岁</w:t>
            </w:r>
          </w:p>
        </w:tc>
        <w:tc>
          <w:tcPr>
            <w:tcW w:w="7257" w:type="dxa"/>
          </w:tcPr>
          <w:p>
            <w:pPr>
              <w:pStyle w:val="TableParagraph"/>
              <w:spacing w:line="273" w:lineRule="auto" w:before="48"/>
              <w:ind w:left="163" w:right="102"/>
              <w:rPr>
                <w:sz w:val="21"/>
              </w:rPr>
            </w:pPr>
            <w:r>
              <w:rPr>
                <w:sz w:val="21"/>
              </w:rPr>
              <w:t>指按有效身份证件中记载的出生日期计算的年龄，自出生之日起为零周岁， 每经过一年增加一岁，不足一年的不计。</w:t>
            </w:r>
          </w:p>
        </w:tc>
      </w:tr>
      <w:tr>
        <w:trPr>
          <w:trHeight w:val="765" w:hRule="atLeast"/>
        </w:trPr>
        <w:tc>
          <w:tcPr>
            <w:tcW w:w="906" w:type="dxa"/>
          </w:tcPr>
          <w:p>
            <w:pPr>
              <w:pStyle w:val="TableParagraph"/>
              <w:spacing w:before="49"/>
              <w:ind w:left="107"/>
              <w:rPr>
                <w:b/>
                <w:sz w:val="21"/>
              </w:rPr>
            </w:pPr>
            <w:r>
              <w:rPr>
                <w:b/>
                <w:sz w:val="21"/>
              </w:rPr>
              <w:t>8.4</w:t>
            </w:r>
          </w:p>
        </w:tc>
        <w:tc>
          <w:tcPr>
            <w:tcW w:w="1598" w:type="dxa"/>
          </w:tcPr>
          <w:p>
            <w:pPr>
              <w:pStyle w:val="TableParagraph"/>
              <w:spacing w:before="49"/>
              <w:ind w:left="208"/>
              <w:rPr>
                <w:b/>
                <w:sz w:val="21"/>
              </w:rPr>
            </w:pPr>
            <w:r>
              <w:rPr>
                <w:b/>
                <w:sz w:val="21"/>
              </w:rPr>
              <w:t>有效身份证件</w:t>
            </w:r>
          </w:p>
        </w:tc>
        <w:tc>
          <w:tcPr>
            <w:tcW w:w="7257" w:type="dxa"/>
          </w:tcPr>
          <w:p>
            <w:pPr>
              <w:pStyle w:val="TableParagraph"/>
              <w:spacing w:line="273" w:lineRule="auto" w:before="49"/>
              <w:ind w:left="163" w:right="102"/>
              <w:rPr>
                <w:sz w:val="21"/>
              </w:rPr>
            </w:pPr>
            <w:r>
              <w:rPr>
                <w:sz w:val="21"/>
              </w:rPr>
              <w:t>指由政府主管部门规定的证明其身份的证件，如：居民身份证、按规定可使用的有效护照、军官证、警官证等证件。</w:t>
            </w:r>
          </w:p>
        </w:tc>
      </w:tr>
      <w:tr>
        <w:trPr>
          <w:trHeight w:val="1659" w:hRule="atLeast"/>
        </w:trPr>
        <w:tc>
          <w:tcPr>
            <w:tcW w:w="906" w:type="dxa"/>
          </w:tcPr>
          <w:p>
            <w:pPr>
              <w:pStyle w:val="TableParagraph"/>
              <w:spacing w:before="48"/>
              <w:ind w:left="107"/>
              <w:rPr>
                <w:b/>
                <w:sz w:val="21"/>
              </w:rPr>
            </w:pPr>
            <w:r>
              <w:rPr>
                <w:b/>
                <w:sz w:val="21"/>
              </w:rPr>
              <w:t>8.5</w:t>
            </w:r>
          </w:p>
        </w:tc>
        <w:tc>
          <w:tcPr>
            <w:tcW w:w="1598" w:type="dxa"/>
          </w:tcPr>
          <w:p>
            <w:pPr>
              <w:pStyle w:val="TableParagraph"/>
              <w:spacing w:before="48"/>
              <w:ind w:left="208"/>
              <w:rPr>
                <w:b/>
                <w:sz w:val="21"/>
              </w:rPr>
            </w:pPr>
            <w:r>
              <w:rPr>
                <w:b/>
                <w:sz w:val="21"/>
              </w:rPr>
              <w:t>意外伤害</w:t>
            </w:r>
          </w:p>
        </w:tc>
        <w:tc>
          <w:tcPr>
            <w:tcW w:w="7257" w:type="dxa"/>
          </w:tcPr>
          <w:p>
            <w:pPr>
              <w:pStyle w:val="TableParagraph"/>
              <w:spacing w:line="273" w:lineRule="auto" w:before="48"/>
              <w:ind w:left="163" w:right="102"/>
              <w:jc w:val="both"/>
              <w:rPr>
                <w:sz w:val="21"/>
              </w:rPr>
            </w:pPr>
            <w:r>
              <w:rPr>
                <w:sz w:val="21"/>
              </w:rPr>
              <w:t>指遭受外来的、突发的、非本意的、非疾病的客观事件直接致使身体受到的伤害。</w:t>
            </w:r>
          </w:p>
          <w:p>
            <w:pPr>
              <w:pStyle w:val="TableParagraph"/>
              <w:spacing w:line="310" w:lineRule="atLeast" w:before="51"/>
              <w:ind w:left="163" w:right="99"/>
              <w:jc w:val="both"/>
              <w:rPr>
                <w:sz w:val="21"/>
              </w:rPr>
            </w:pPr>
            <w:r>
              <w:rPr>
                <w:spacing w:val="-4"/>
                <w:sz w:val="21"/>
              </w:rPr>
              <w:t>本附加险合同所述的意外伤害导致的身故，</w:t>
            </w:r>
            <w:r>
              <w:rPr>
                <w:rFonts w:ascii="黑体" w:hAnsi="黑体" w:eastAsia="黑体" w:hint="eastAsia"/>
                <w:spacing w:val="-3"/>
                <w:sz w:val="21"/>
              </w:rPr>
              <w:t>不包括猝死</w:t>
            </w:r>
            <w:r>
              <w:rPr>
                <w:spacing w:val="-18"/>
                <w:sz w:val="21"/>
              </w:rPr>
              <w:t>。“猝死”是指貌似健</w:t>
            </w:r>
            <w:r>
              <w:rPr>
                <w:spacing w:val="-13"/>
                <w:sz w:val="21"/>
              </w:rPr>
              <w:t>康的人因潜在疾病、机能障碍或其他原因在出现症状后 </w:t>
            </w:r>
            <w:r>
              <w:rPr>
                <w:sz w:val="21"/>
              </w:rPr>
              <w:t>24</w:t>
            </w:r>
            <w:r>
              <w:rPr>
                <w:spacing w:val="-8"/>
                <w:sz w:val="21"/>
              </w:rPr>
              <w:t> 小时内发生的非暴</w:t>
            </w:r>
            <w:r>
              <w:rPr>
                <w:spacing w:val="-5"/>
                <w:sz w:val="21"/>
              </w:rPr>
              <w:t>力性突然死亡。</w:t>
            </w:r>
          </w:p>
        </w:tc>
      </w:tr>
    </w:tbl>
    <w:p>
      <w:pPr>
        <w:spacing w:after="0" w:line="310" w:lineRule="atLeast"/>
        <w:jc w:val="both"/>
        <w:rPr>
          <w:sz w:val="21"/>
        </w:rPr>
        <w:sectPr>
          <w:pgSz w:w="11910" w:h="16840"/>
          <w:pgMar w:top="1460" w:bottom="280" w:left="960" w:right="9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756"/>
        <w:gridCol w:w="7438"/>
      </w:tblGrid>
      <w:tr>
        <w:trPr>
          <w:trHeight w:val="956" w:hRule="atLeast"/>
        </w:trPr>
        <w:tc>
          <w:tcPr>
            <w:tcW w:w="860" w:type="dxa"/>
          </w:tcPr>
          <w:p>
            <w:pPr>
              <w:pStyle w:val="TableParagraph"/>
              <w:spacing w:line="211" w:lineRule="exact"/>
              <w:ind w:left="74" w:right="215"/>
              <w:jc w:val="center"/>
              <w:rPr>
                <w:b/>
                <w:sz w:val="21"/>
              </w:rPr>
            </w:pPr>
            <w:r>
              <w:rPr>
                <w:b/>
                <w:sz w:val="21"/>
              </w:rPr>
              <w:t>8.6</w:t>
            </w:r>
          </w:p>
        </w:tc>
        <w:tc>
          <w:tcPr>
            <w:tcW w:w="1756" w:type="dxa"/>
          </w:tcPr>
          <w:p>
            <w:pPr>
              <w:pStyle w:val="TableParagraph"/>
              <w:spacing w:line="211" w:lineRule="exact"/>
              <w:ind w:left="238"/>
              <w:rPr>
                <w:b/>
                <w:sz w:val="21"/>
              </w:rPr>
            </w:pPr>
            <w:r>
              <w:rPr>
                <w:b/>
                <w:sz w:val="21"/>
              </w:rPr>
              <w:t>初次发生</w:t>
            </w:r>
          </w:p>
        </w:tc>
        <w:tc>
          <w:tcPr>
            <w:tcW w:w="7438" w:type="dxa"/>
          </w:tcPr>
          <w:p>
            <w:pPr>
              <w:pStyle w:val="TableParagraph"/>
              <w:spacing w:line="211" w:lineRule="exact"/>
              <w:ind w:left="143"/>
              <w:rPr>
                <w:sz w:val="21"/>
              </w:rPr>
            </w:pPr>
            <w:r>
              <w:rPr>
                <w:sz w:val="21"/>
              </w:rPr>
              <w:t>指被保险人首次出现与本附加合同所保障的疾病相关的症状或体征，且相关</w:t>
            </w:r>
          </w:p>
          <w:p>
            <w:pPr>
              <w:pStyle w:val="TableParagraph"/>
              <w:spacing w:line="273" w:lineRule="auto" w:before="37"/>
              <w:ind w:left="143" w:right="355"/>
              <w:rPr>
                <w:sz w:val="21"/>
              </w:rPr>
            </w:pPr>
            <w:r>
              <w:rPr>
                <w:sz w:val="21"/>
              </w:rPr>
              <w:t>的症状或体征被诊断为本附加合同所保障的疾病或在其后发展为本附加合同所保障的疾病。</w:t>
            </w:r>
          </w:p>
        </w:tc>
      </w:tr>
      <w:tr>
        <w:trPr>
          <w:trHeight w:val="1389" w:hRule="atLeast"/>
        </w:trPr>
        <w:tc>
          <w:tcPr>
            <w:tcW w:w="860" w:type="dxa"/>
          </w:tcPr>
          <w:p>
            <w:pPr>
              <w:pStyle w:val="TableParagraph"/>
              <w:spacing w:before="57"/>
              <w:ind w:left="74" w:right="215"/>
              <w:jc w:val="center"/>
              <w:rPr>
                <w:b/>
                <w:sz w:val="21"/>
              </w:rPr>
            </w:pPr>
            <w:r>
              <w:rPr>
                <w:b/>
                <w:sz w:val="21"/>
              </w:rPr>
              <w:t>8.7</w:t>
            </w:r>
          </w:p>
        </w:tc>
        <w:tc>
          <w:tcPr>
            <w:tcW w:w="1756" w:type="dxa"/>
          </w:tcPr>
          <w:p>
            <w:pPr>
              <w:pStyle w:val="TableParagraph"/>
              <w:spacing w:before="57"/>
              <w:ind w:left="346"/>
              <w:rPr>
                <w:b/>
                <w:sz w:val="21"/>
              </w:rPr>
            </w:pPr>
            <w:r>
              <w:rPr>
                <w:b/>
                <w:sz w:val="21"/>
              </w:rPr>
              <w:t>约定医院</w:t>
            </w:r>
          </w:p>
        </w:tc>
        <w:tc>
          <w:tcPr>
            <w:tcW w:w="7438" w:type="dxa"/>
          </w:tcPr>
          <w:p>
            <w:pPr>
              <w:pStyle w:val="TableParagraph"/>
              <w:spacing w:line="273" w:lineRule="auto" w:before="57"/>
              <w:ind w:left="143" w:right="303"/>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2093" w:hRule="atLeast"/>
        </w:trPr>
        <w:tc>
          <w:tcPr>
            <w:tcW w:w="860" w:type="dxa"/>
          </w:tcPr>
          <w:p>
            <w:pPr>
              <w:pStyle w:val="TableParagraph"/>
              <w:spacing w:before="57"/>
              <w:ind w:left="74" w:right="215"/>
              <w:jc w:val="center"/>
              <w:rPr>
                <w:b/>
                <w:sz w:val="21"/>
              </w:rPr>
            </w:pPr>
            <w:r>
              <w:rPr>
                <w:b/>
                <w:sz w:val="21"/>
              </w:rPr>
              <w:t>8.8</w:t>
            </w:r>
          </w:p>
        </w:tc>
        <w:tc>
          <w:tcPr>
            <w:tcW w:w="1756" w:type="dxa"/>
          </w:tcPr>
          <w:p>
            <w:pPr>
              <w:pStyle w:val="TableParagraph"/>
              <w:spacing w:before="57"/>
              <w:ind w:left="346"/>
              <w:rPr>
                <w:b/>
                <w:sz w:val="21"/>
              </w:rPr>
            </w:pPr>
            <w:r>
              <w:rPr>
                <w:b/>
                <w:sz w:val="21"/>
              </w:rPr>
              <w:t>白血病</w:t>
            </w:r>
          </w:p>
        </w:tc>
        <w:tc>
          <w:tcPr>
            <w:tcW w:w="7438" w:type="dxa"/>
          </w:tcPr>
          <w:p>
            <w:pPr>
              <w:pStyle w:val="TableParagraph"/>
              <w:spacing w:line="273" w:lineRule="auto" w:before="57"/>
              <w:ind w:left="143" w:right="197"/>
              <w:rPr>
                <w:sz w:val="21"/>
              </w:rPr>
            </w:pPr>
            <w:r>
              <w:rPr>
                <w:spacing w:val="-3"/>
                <w:w w:val="100"/>
                <w:sz w:val="21"/>
              </w:rPr>
              <w:t>白血病是一种造血系统的恶性肿瘤（</w:t>
            </w:r>
            <w:r>
              <w:rPr>
                <w:spacing w:val="-2"/>
                <w:w w:val="100"/>
                <w:sz w:val="21"/>
              </w:rPr>
              <w:t>属于“</w:t>
            </w:r>
            <w:r>
              <w:rPr>
                <w:w w:val="100"/>
                <w:sz w:val="21"/>
              </w:rPr>
              <w:t>7</w:t>
            </w:r>
            <w:r>
              <w:rPr>
                <w:spacing w:val="-3"/>
                <w:w w:val="100"/>
                <w:sz w:val="21"/>
              </w:rPr>
              <w:t>.</w:t>
            </w:r>
            <w:r>
              <w:rPr>
                <w:w w:val="100"/>
                <w:sz w:val="21"/>
              </w:rPr>
              <w:t>1.</w:t>
            </w:r>
            <w:r>
              <w:rPr>
                <w:spacing w:val="-3"/>
                <w:w w:val="100"/>
                <w:sz w:val="21"/>
              </w:rPr>
              <w:t>1”</w:t>
            </w:r>
            <w:r>
              <w:rPr>
                <w:spacing w:val="-2"/>
                <w:w w:val="100"/>
                <w:sz w:val="21"/>
              </w:rPr>
              <w:t>恶性肿瘤范畴</w:t>
            </w:r>
            <w:r>
              <w:rPr>
                <w:spacing w:val="-108"/>
                <w:w w:val="100"/>
                <w:sz w:val="21"/>
              </w:rPr>
              <w:t>）</w:t>
            </w:r>
            <w:r>
              <w:rPr>
                <w:spacing w:val="-2"/>
                <w:w w:val="100"/>
                <w:sz w:val="21"/>
              </w:rPr>
              <w:t>，其主要</w:t>
            </w:r>
            <w:r>
              <w:rPr>
                <w:spacing w:val="-3"/>
                <w:sz w:val="21"/>
              </w:rPr>
              <w:t>表现为白血病细胞在骨髓或其他造血组织中大量克隆、异常增生，大量聚集</w:t>
            </w:r>
            <w:r>
              <w:rPr>
                <w:spacing w:val="-6"/>
                <w:sz w:val="21"/>
              </w:rPr>
              <w:t>的白细胞抑制正常造血并浸润全身器官和组织。周围白细胞有质和量的变化， </w:t>
            </w:r>
            <w:r>
              <w:rPr>
                <w:spacing w:val="-4"/>
                <w:sz w:val="21"/>
              </w:rPr>
              <w:t>出现相应临床表现。被保险人所患白血病必须根据骨髓的活组织检查和周围</w:t>
            </w:r>
            <w:r>
              <w:rPr>
                <w:spacing w:val="-3"/>
                <w:sz w:val="21"/>
              </w:rPr>
              <w:t>血象由儿科、血液科或肿瘤科的专科医生确诊。</w:t>
            </w:r>
          </w:p>
          <w:p>
            <w:pPr>
              <w:pStyle w:val="TableParagraph"/>
              <w:spacing w:before="87"/>
              <w:ind w:left="143"/>
              <w:rPr>
                <w:rFonts w:ascii="黑体" w:eastAsia="黑体" w:hint="eastAsia"/>
                <w:sz w:val="21"/>
              </w:rPr>
            </w:pPr>
            <w:r>
              <w:rPr>
                <w:rFonts w:ascii="黑体" w:eastAsia="黑体" w:hint="eastAsia"/>
                <w:sz w:val="21"/>
              </w:rPr>
              <w:t>相当于Binet分期方案A期程度的慢性淋巴细胞白血病不在保障范围内。</w:t>
            </w:r>
          </w:p>
        </w:tc>
      </w:tr>
      <w:tr>
        <w:trPr>
          <w:trHeight w:val="1389" w:hRule="atLeast"/>
        </w:trPr>
        <w:tc>
          <w:tcPr>
            <w:tcW w:w="860" w:type="dxa"/>
          </w:tcPr>
          <w:p>
            <w:pPr>
              <w:pStyle w:val="TableParagraph"/>
              <w:spacing w:before="57"/>
              <w:ind w:left="74" w:right="215"/>
              <w:jc w:val="center"/>
              <w:rPr>
                <w:b/>
                <w:sz w:val="21"/>
              </w:rPr>
            </w:pPr>
            <w:r>
              <w:rPr>
                <w:b/>
                <w:sz w:val="21"/>
              </w:rPr>
              <w:t>8.9</w:t>
            </w:r>
          </w:p>
        </w:tc>
        <w:tc>
          <w:tcPr>
            <w:tcW w:w="1756" w:type="dxa"/>
          </w:tcPr>
          <w:p>
            <w:pPr>
              <w:pStyle w:val="TableParagraph"/>
              <w:spacing w:before="57"/>
              <w:ind w:left="346"/>
              <w:rPr>
                <w:b/>
                <w:sz w:val="21"/>
              </w:rPr>
            </w:pPr>
            <w:r>
              <w:rPr>
                <w:b/>
                <w:sz w:val="21"/>
              </w:rPr>
              <w:t>毒品</w:t>
            </w:r>
          </w:p>
        </w:tc>
        <w:tc>
          <w:tcPr>
            <w:tcW w:w="7438" w:type="dxa"/>
          </w:tcPr>
          <w:p>
            <w:pPr>
              <w:pStyle w:val="TableParagraph"/>
              <w:spacing w:line="273" w:lineRule="auto" w:before="57"/>
              <w:ind w:left="143" w:right="302"/>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6"/>
                <w:sz w:val="21"/>
              </w:rPr>
              <w:t>、吗啡、大</w:t>
            </w:r>
            <w:r>
              <w:rPr>
                <w:spacing w:val="-4"/>
                <w:sz w:val="21"/>
              </w:rPr>
              <w:t>麻、可卡因以及国家规定管制的其他能够使人形成瘾癖的麻醉药品和精神药</w:t>
            </w:r>
            <w:r>
              <w:rPr>
                <w:spacing w:val="-3"/>
                <w:sz w:val="21"/>
              </w:rPr>
              <w:t>品，但不包括由医生开具并遵医嘱使用的用于治疗疾病但含有毒品成分的处方药品。</w:t>
            </w:r>
          </w:p>
        </w:tc>
      </w:tr>
      <w:tr>
        <w:trPr>
          <w:trHeight w:val="1077" w:hRule="atLeast"/>
        </w:trPr>
        <w:tc>
          <w:tcPr>
            <w:tcW w:w="860" w:type="dxa"/>
          </w:tcPr>
          <w:p>
            <w:pPr>
              <w:pStyle w:val="TableParagraph"/>
              <w:spacing w:before="57"/>
              <w:ind w:left="180" w:right="215"/>
              <w:jc w:val="center"/>
              <w:rPr>
                <w:b/>
                <w:sz w:val="21"/>
              </w:rPr>
            </w:pPr>
            <w:r>
              <w:rPr>
                <w:b/>
                <w:sz w:val="21"/>
              </w:rPr>
              <w:t>8.10</w:t>
            </w:r>
          </w:p>
        </w:tc>
        <w:tc>
          <w:tcPr>
            <w:tcW w:w="1756" w:type="dxa"/>
          </w:tcPr>
          <w:p>
            <w:pPr>
              <w:pStyle w:val="TableParagraph"/>
              <w:spacing w:before="57"/>
              <w:ind w:left="346"/>
              <w:rPr>
                <w:b/>
                <w:sz w:val="21"/>
              </w:rPr>
            </w:pPr>
            <w:r>
              <w:rPr>
                <w:b/>
                <w:sz w:val="21"/>
              </w:rPr>
              <w:t>酒后驾驶</w:t>
            </w:r>
          </w:p>
        </w:tc>
        <w:tc>
          <w:tcPr>
            <w:tcW w:w="7438" w:type="dxa"/>
          </w:tcPr>
          <w:p>
            <w:pPr>
              <w:pStyle w:val="TableParagraph"/>
              <w:spacing w:line="273" w:lineRule="auto" w:before="57"/>
              <w:ind w:left="143" w:right="35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13" w:hRule="atLeast"/>
        </w:trPr>
        <w:tc>
          <w:tcPr>
            <w:tcW w:w="860" w:type="dxa"/>
          </w:tcPr>
          <w:p>
            <w:pPr>
              <w:pStyle w:val="TableParagraph"/>
              <w:spacing w:before="57"/>
              <w:ind w:left="180" w:right="215"/>
              <w:jc w:val="center"/>
              <w:rPr>
                <w:b/>
                <w:sz w:val="21"/>
              </w:rPr>
            </w:pPr>
            <w:r>
              <w:rPr>
                <w:b/>
                <w:sz w:val="21"/>
              </w:rPr>
              <w:t>8.11</w:t>
            </w:r>
          </w:p>
        </w:tc>
        <w:tc>
          <w:tcPr>
            <w:tcW w:w="1756" w:type="dxa"/>
          </w:tcPr>
          <w:p>
            <w:pPr>
              <w:pStyle w:val="TableParagraph"/>
              <w:spacing w:line="273" w:lineRule="auto" w:before="57"/>
              <w:ind w:left="346" w:right="140"/>
              <w:rPr>
                <w:b/>
                <w:sz w:val="21"/>
              </w:rPr>
            </w:pPr>
            <w:r>
              <w:rPr>
                <w:b/>
                <w:sz w:val="21"/>
              </w:rPr>
              <w:t>无合法有效驾驶证驾驶</w:t>
            </w:r>
          </w:p>
        </w:tc>
        <w:tc>
          <w:tcPr>
            <w:tcW w:w="7438" w:type="dxa"/>
          </w:tcPr>
          <w:p>
            <w:pPr>
              <w:pStyle w:val="TableParagraph"/>
              <w:spacing w:before="57"/>
              <w:ind w:left="143"/>
              <w:rPr>
                <w:sz w:val="21"/>
              </w:rPr>
            </w:pPr>
            <w:r>
              <w:rPr>
                <w:sz w:val="21"/>
              </w:rPr>
              <w:t>指下列情形之一：</w:t>
            </w:r>
          </w:p>
          <w:p>
            <w:pPr>
              <w:pStyle w:val="TableParagraph"/>
              <w:spacing w:before="36"/>
              <w:ind w:left="143"/>
              <w:rPr>
                <w:sz w:val="21"/>
              </w:rPr>
            </w:pPr>
            <w:r>
              <w:rPr>
                <w:sz w:val="21"/>
              </w:rPr>
              <w:t>(1)没有取得驾驶资格；</w:t>
            </w:r>
          </w:p>
          <w:p>
            <w:pPr>
              <w:pStyle w:val="TableParagraph"/>
              <w:spacing w:before="37"/>
              <w:ind w:left="143"/>
              <w:rPr>
                <w:sz w:val="21"/>
              </w:rPr>
            </w:pPr>
            <w:r>
              <w:rPr>
                <w:sz w:val="21"/>
              </w:rPr>
              <w:t>(2)驾驶与驾驶证准驾车型不相符合的车辆；</w:t>
            </w:r>
          </w:p>
          <w:p>
            <w:pPr>
              <w:pStyle w:val="TableParagraph"/>
              <w:spacing w:before="37"/>
              <w:ind w:left="143"/>
              <w:rPr>
                <w:sz w:val="21"/>
              </w:rPr>
            </w:pPr>
            <w:r>
              <w:rPr>
                <w:sz w:val="21"/>
              </w:rPr>
              <w:t>(3)持审验不合格的驾驶证驾驶；</w:t>
            </w:r>
          </w:p>
          <w:p>
            <w:pPr>
              <w:pStyle w:val="TableParagraph"/>
              <w:spacing w:line="273" w:lineRule="auto" w:before="37"/>
              <w:ind w:left="143" w:right="302"/>
              <w:rPr>
                <w:sz w:val="21"/>
              </w:rPr>
            </w:pPr>
            <w:r>
              <w:rPr>
                <w:sz w:val="21"/>
              </w:rPr>
              <w:t>(4)</w:t>
            </w:r>
            <w:r>
              <w:rPr>
                <w:spacing w:val="-7"/>
                <w:sz w:val="21"/>
              </w:rPr>
              <w:t>持学习驾驶证件学习驾车时，无教练员随车指导，或不按指定时间、路线</w:t>
            </w:r>
            <w:r>
              <w:rPr>
                <w:spacing w:val="-4"/>
                <w:sz w:val="21"/>
              </w:rPr>
              <w:t>学习驾车。</w:t>
            </w:r>
          </w:p>
        </w:tc>
      </w:tr>
      <w:tr>
        <w:trPr>
          <w:trHeight w:val="1390" w:hRule="atLeast"/>
        </w:trPr>
        <w:tc>
          <w:tcPr>
            <w:tcW w:w="860" w:type="dxa"/>
          </w:tcPr>
          <w:p>
            <w:pPr>
              <w:pStyle w:val="TableParagraph"/>
              <w:spacing w:before="57"/>
              <w:ind w:left="180" w:right="215"/>
              <w:jc w:val="center"/>
              <w:rPr>
                <w:b/>
                <w:sz w:val="21"/>
              </w:rPr>
            </w:pPr>
            <w:r>
              <w:rPr>
                <w:b/>
                <w:sz w:val="21"/>
              </w:rPr>
              <w:t>8.12</w:t>
            </w:r>
          </w:p>
        </w:tc>
        <w:tc>
          <w:tcPr>
            <w:tcW w:w="1756" w:type="dxa"/>
          </w:tcPr>
          <w:p>
            <w:pPr>
              <w:pStyle w:val="TableParagraph"/>
              <w:spacing w:before="57"/>
              <w:ind w:left="346"/>
              <w:rPr>
                <w:b/>
                <w:sz w:val="21"/>
              </w:rPr>
            </w:pPr>
            <w:r>
              <w:rPr>
                <w:b/>
                <w:sz w:val="21"/>
              </w:rPr>
              <w:t>无有效行驶证</w:t>
            </w:r>
          </w:p>
        </w:tc>
        <w:tc>
          <w:tcPr>
            <w:tcW w:w="7438" w:type="dxa"/>
          </w:tcPr>
          <w:p>
            <w:pPr>
              <w:pStyle w:val="TableParagraph"/>
              <w:spacing w:before="57"/>
              <w:ind w:left="143"/>
              <w:rPr>
                <w:sz w:val="21"/>
              </w:rPr>
            </w:pPr>
            <w:r>
              <w:rPr>
                <w:sz w:val="21"/>
              </w:rPr>
              <w:t>指下列情形之一：</w:t>
            </w:r>
          </w:p>
          <w:p>
            <w:pPr>
              <w:pStyle w:val="TableParagraph"/>
              <w:spacing w:before="36"/>
              <w:ind w:left="143"/>
              <w:rPr>
                <w:sz w:val="21"/>
              </w:rPr>
            </w:pPr>
            <w:r>
              <w:rPr>
                <w:sz w:val="21"/>
              </w:rPr>
              <w:t>(1)未取得行驶证或临时号牌；</w:t>
            </w:r>
          </w:p>
          <w:p>
            <w:pPr>
              <w:pStyle w:val="TableParagraph"/>
              <w:spacing w:before="36"/>
              <w:ind w:left="143"/>
              <w:rPr>
                <w:sz w:val="21"/>
              </w:rPr>
            </w:pPr>
            <w:r>
              <w:rPr>
                <w:sz w:val="21"/>
              </w:rPr>
              <w:t>(2)机动车被依法注销登记的；</w:t>
            </w:r>
          </w:p>
          <w:p>
            <w:pPr>
              <w:pStyle w:val="TableParagraph"/>
              <w:spacing w:before="36"/>
              <w:ind w:left="143"/>
              <w:rPr>
                <w:sz w:val="21"/>
              </w:rPr>
            </w:pPr>
            <w:r>
              <w:rPr>
                <w:sz w:val="21"/>
              </w:rPr>
              <w:t>(3)未依法按时进行或通过机动车安全技术检验。</w:t>
            </w:r>
          </w:p>
        </w:tc>
      </w:tr>
      <w:tr>
        <w:trPr>
          <w:trHeight w:val="1780" w:hRule="atLeast"/>
        </w:trPr>
        <w:tc>
          <w:tcPr>
            <w:tcW w:w="860" w:type="dxa"/>
          </w:tcPr>
          <w:p>
            <w:pPr>
              <w:pStyle w:val="TableParagraph"/>
              <w:spacing w:before="58"/>
              <w:ind w:left="180" w:right="215"/>
              <w:jc w:val="center"/>
              <w:rPr>
                <w:b/>
                <w:sz w:val="21"/>
              </w:rPr>
            </w:pPr>
            <w:r>
              <w:rPr>
                <w:b/>
                <w:sz w:val="21"/>
              </w:rPr>
              <w:t>8.13</w:t>
            </w:r>
          </w:p>
        </w:tc>
        <w:tc>
          <w:tcPr>
            <w:tcW w:w="1756" w:type="dxa"/>
          </w:tcPr>
          <w:p>
            <w:pPr>
              <w:pStyle w:val="TableParagraph"/>
              <w:spacing w:line="273" w:lineRule="auto" w:before="58"/>
              <w:ind w:left="346" w:right="140"/>
              <w:rPr>
                <w:b/>
                <w:sz w:val="21"/>
              </w:rPr>
            </w:pPr>
            <w:r>
              <w:rPr>
                <w:b/>
                <w:sz w:val="21"/>
              </w:rPr>
              <w:t>感染艾滋病病毒或患艾滋病</w:t>
            </w:r>
          </w:p>
        </w:tc>
        <w:tc>
          <w:tcPr>
            <w:tcW w:w="7438" w:type="dxa"/>
          </w:tcPr>
          <w:p>
            <w:pPr>
              <w:pStyle w:val="TableParagraph"/>
              <w:spacing w:line="273" w:lineRule="auto" w:before="58"/>
              <w:ind w:left="143" w:right="300"/>
              <w:rPr>
                <w:sz w:val="21"/>
              </w:rPr>
            </w:pPr>
            <w:r>
              <w:rPr>
                <w:spacing w:val="-8"/>
                <w:sz w:val="21"/>
              </w:rPr>
              <w:t>艾滋病病毒指人类免疫缺陷病毒，英文缩写为 </w:t>
            </w:r>
            <w:r>
              <w:rPr>
                <w:sz w:val="21"/>
              </w:rPr>
              <w:t>HIV</w:t>
            </w:r>
            <w:r>
              <w:rPr>
                <w:spacing w:val="-9"/>
                <w:sz w:val="21"/>
              </w:rPr>
              <w:t>。艾滋病指人类免疫缺陷病</w:t>
            </w:r>
            <w:r>
              <w:rPr>
                <w:spacing w:val="-7"/>
                <w:sz w:val="21"/>
              </w:rPr>
              <w:t>毒引起的获得性免疫缺陷综合征，英文缩写为 </w:t>
            </w:r>
            <w:r>
              <w:rPr>
                <w:sz w:val="21"/>
              </w:rPr>
              <w:t>AIDS。</w:t>
            </w:r>
          </w:p>
          <w:p>
            <w:pPr>
              <w:pStyle w:val="TableParagraph"/>
              <w:spacing w:line="273" w:lineRule="auto" w:before="84"/>
              <w:ind w:left="143" w:right="199"/>
              <w:rPr>
                <w:sz w:val="21"/>
              </w:rPr>
            </w:pPr>
            <w:r>
              <w:rPr>
                <w:sz w:val="21"/>
              </w:rPr>
              <w:t>在人体血液或其他样本中检测到艾滋病病毒或其抗体呈阳性，没有出现临床</w:t>
            </w:r>
            <w:r>
              <w:rPr>
                <w:spacing w:val="-9"/>
                <w:sz w:val="21"/>
              </w:rPr>
              <w:t>症状或体征的，为感染艾滋病病毒；如果同时出现了明显临床症状或体征的， </w:t>
            </w:r>
            <w:r>
              <w:rPr>
                <w:spacing w:val="-5"/>
                <w:sz w:val="21"/>
              </w:rPr>
              <w:t>为患艾滋病。</w:t>
            </w:r>
          </w:p>
        </w:tc>
      </w:tr>
      <w:tr>
        <w:trPr>
          <w:trHeight w:val="765" w:hRule="atLeast"/>
        </w:trPr>
        <w:tc>
          <w:tcPr>
            <w:tcW w:w="860" w:type="dxa"/>
          </w:tcPr>
          <w:p>
            <w:pPr>
              <w:pStyle w:val="TableParagraph"/>
              <w:spacing w:before="57"/>
              <w:ind w:left="180" w:right="215"/>
              <w:jc w:val="center"/>
              <w:rPr>
                <w:b/>
                <w:sz w:val="21"/>
              </w:rPr>
            </w:pPr>
            <w:r>
              <w:rPr>
                <w:b/>
                <w:sz w:val="21"/>
              </w:rPr>
              <w:t>8.14</w:t>
            </w:r>
          </w:p>
        </w:tc>
        <w:tc>
          <w:tcPr>
            <w:tcW w:w="1756" w:type="dxa"/>
          </w:tcPr>
          <w:p>
            <w:pPr>
              <w:pStyle w:val="TableParagraph"/>
              <w:spacing w:before="57"/>
              <w:ind w:left="346"/>
              <w:rPr>
                <w:b/>
                <w:sz w:val="21"/>
              </w:rPr>
            </w:pPr>
            <w:r>
              <w:rPr>
                <w:b/>
                <w:sz w:val="21"/>
              </w:rPr>
              <w:t>遗传性疾病</w:t>
            </w:r>
          </w:p>
        </w:tc>
        <w:tc>
          <w:tcPr>
            <w:tcW w:w="7438" w:type="dxa"/>
          </w:tcPr>
          <w:p>
            <w:pPr>
              <w:pStyle w:val="TableParagraph"/>
              <w:spacing w:line="273" w:lineRule="auto" w:before="57"/>
              <w:ind w:left="143" w:right="303"/>
              <w:rPr>
                <w:sz w:val="21"/>
              </w:rPr>
            </w:pPr>
            <w:r>
              <w:rPr>
                <w:sz w:val="21"/>
              </w:rPr>
              <w:t>指生殖细胞或受精卵的遗传物质（染色体和基因）发生突变或畸变所引起的疾病，通常具有由亲代传至后代的垂直传递的特征。</w:t>
            </w:r>
          </w:p>
        </w:tc>
      </w:tr>
      <w:tr>
        <w:trPr>
          <w:trHeight w:val="644" w:hRule="atLeast"/>
        </w:trPr>
        <w:tc>
          <w:tcPr>
            <w:tcW w:w="860" w:type="dxa"/>
          </w:tcPr>
          <w:p>
            <w:pPr>
              <w:pStyle w:val="TableParagraph"/>
              <w:spacing w:before="57"/>
              <w:ind w:left="180" w:right="215"/>
              <w:jc w:val="center"/>
              <w:rPr>
                <w:b/>
                <w:sz w:val="21"/>
              </w:rPr>
            </w:pPr>
            <w:r>
              <w:rPr>
                <w:b/>
                <w:sz w:val="21"/>
              </w:rPr>
              <w:t>8.15</w:t>
            </w:r>
          </w:p>
        </w:tc>
        <w:tc>
          <w:tcPr>
            <w:tcW w:w="1756" w:type="dxa"/>
          </w:tcPr>
          <w:p>
            <w:pPr>
              <w:pStyle w:val="TableParagraph"/>
              <w:spacing w:line="310" w:lineRule="atLeast" w:before="22"/>
              <w:ind w:left="346" w:right="140"/>
              <w:rPr>
                <w:b/>
                <w:sz w:val="21"/>
              </w:rPr>
            </w:pPr>
            <w:r>
              <w:rPr>
                <w:b/>
                <w:sz w:val="21"/>
              </w:rPr>
              <w:t>先天性畸形、变形或染色体</w:t>
            </w:r>
          </w:p>
        </w:tc>
        <w:tc>
          <w:tcPr>
            <w:tcW w:w="7438" w:type="dxa"/>
          </w:tcPr>
          <w:p>
            <w:pPr>
              <w:pStyle w:val="TableParagraph"/>
              <w:spacing w:line="310" w:lineRule="atLeast" w:before="22"/>
              <w:ind w:left="143" w:right="200"/>
              <w:rPr>
                <w:sz w:val="21"/>
              </w:rPr>
            </w:pPr>
            <w:r>
              <w:rPr>
                <w:sz w:val="21"/>
              </w:rPr>
              <w:t>指被保险人出生时就具有的畸形、变形或染色体异常。先天性畸形、变形和染色体异常依照世界卫生组织《疾病和有关健康问题的国际统计分类》</w:t>
            </w:r>
          </w:p>
        </w:tc>
      </w:tr>
    </w:tbl>
    <w:p>
      <w:pPr>
        <w:spacing w:after="0" w:line="310" w:lineRule="atLeast"/>
        <w:rPr>
          <w:sz w:val="21"/>
        </w:rPr>
        <w:sectPr>
          <w:pgSz w:w="11910" w:h="16840"/>
          <w:pgMar w:top="1580" w:bottom="280" w:left="8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702"/>
        <w:gridCol w:w="7335"/>
      </w:tblGrid>
      <w:tr>
        <w:trPr>
          <w:trHeight w:val="332" w:hRule="atLeast"/>
        </w:trPr>
        <w:tc>
          <w:tcPr>
            <w:tcW w:w="914" w:type="dxa"/>
          </w:tcPr>
          <w:p>
            <w:pPr>
              <w:pStyle w:val="TableParagraph"/>
              <w:ind w:left="0"/>
              <w:rPr>
                <w:rFonts w:ascii="Times New Roman"/>
                <w:sz w:val="20"/>
              </w:rPr>
            </w:pPr>
          </w:p>
        </w:tc>
        <w:tc>
          <w:tcPr>
            <w:tcW w:w="1702" w:type="dxa"/>
          </w:tcPr>
          <w:p>
            <w:pPr>
              <w:pStyle w:val="TableParagraph"/>
              <w:spacing w:line="202" w:lineRule="exact"/>
              <w:ind w:left="291"/>
              <w:rPr>
                <w:b/>
                <w:sz w:val="21"/>
              </w:rPr>
            </w:pPr>
            <w:r>
              <w:rPr>
                <w:b/>
                <w:sz w:val="21"/>
              </w:rPr>
              <w:t>异常</w:t>
            </w:r>
          </w:p>
        </w:tc>
        <w:tc>
          <w:tcPr>
            <w:tcW w:w="7335" w:type="dxa"/>
          </w:tcPr>
          <w:p>
            <w:pPr>
              <w:pStyle w:val="TableParagraph"/>
              <w:spacing w:line="202" w:lineRule="exact"/>
              <w:ind w:left="143"/>
              <w:rPr>
                <w:sz w:val="21"/>
              </w:rPr>
            </w:pPr>
            <w:r>
              <w:rPr>
                <w:sz w:val="21"/>
              </w:rPr>
              <w:t>（ICD-10）确定。</w:t>
            </w:r>
          </w:p>
        </w:tc>
      </w:tr>
      <w:tr>
        <w:trPr>
          <w:trHeight w:val="765" w:hRule="atLeast"/>
        </w:trPr>
        <w:tc>
          <w:tcPr>
            <w:tcW w:w="914" w:type="dxa"/>
          </w:tcPr>
          <w:p>
            <w:pPr>
              <w:pStyle w:val="TableParagraph"/>
              <w:spacing w:before="49"/>
              <w:ind w:left="200"/>
              <w:rPr>
                <w:b/>
                <w:sz w:val="21"/>
              </w:rPr>
            </w:pPr>
            <w:r>
              <w:rPr>
                <w:b/>
                <w:sz w:val="21"/>
              </w:rPr>
              <w:t>8.16</w:t>
            </w:r>
          </w:p>
        </w:tc>
        <w:tc>
          <w:tcPr>
            <w:tcW w:w="1702" w:type="dxa"/>
          </w:tcPr>
          <w:p>
            <w:pPr>
              <w:pStyle w:val="TableParagraph"/>
              <w:spacing w:before="49"/>
              <w:ind w:left="291"/>
              <w:rPr>
                <w:b/>
                <w:sz w:val="21"/>
              </w:rPr>
            </w:pPr>
            <w:r>
              <w:rPr>
                <w:b/>
                <w:sz w:val="21"/>
              </w:rPr>
              <w:t>情形复杂</w:t>
            </w:r>
          </w:p>
        </w:tc>
        <w:tc>
          <w:tcPr>
            <w:tcW w:w="7335" w:type="dxa"/>
          </w:tcPr>
          <w:p>
            <w:pPr>
              <w:pStyle w:val="TableParagraph"/>
              <w:spacing w:line="273" w:lineRule="auto" w:before="49"/>
              <w:ind w:left="143" w:right="199"/>
              <w:rPr>
                <w:sz w:val="21"/>
              </w:rPr>
            </w:pPr>
            <w:r>
              <w:rPr>
                <w:sz w:val="21"/>
              </w:rPr>
              <w:t>指保险事故的性质、原因、伤害或损失程度等在我们收到保险金给付申请书及合同约定的证明和资料后 5 日内无法确定，需要进一步核实。</w:t>
            </w:r>
          </w:p>
        </w:tc>
      </w:tr>
      <w:tr>
        <w:trPr>
          <w:trHeight w:val="2325" w:hRule="atLeast"/>
        </w:trPr>
        <w:tc>
          <w:tcPr>
            <w:tcW w:w="914" w:type="dxa"/>
          </w:tcPr>
          <w:p>
            <w:pPr>
              <w:pStyle w:val="TableParagraph"/>
              <w:spacing w:before="48"/>
              <w:ind w:left="200"/>
              <w:rPr>
                <w:b/>
                <w:sz w:val="21"/>
              </w:rPr>
            </w:pPr>
            <w:r>
              <w:rPr>
                <w:b/>
                <w:sz w:val="21"/>
              </w:rPr>
              <w:t>8.17</w:t>
            </w:r>
          </w:p>
        </w:tc>
        <w:tc>
          <w:tcPr>
            <w:tcW w:w="1702" w:type="dxa"/>
          </w:tcPr>
          <w:p>
            <w:pPr>
              <w:pStyle w:val="TableParagraph"/>
              <w:spacing w:before="48"/>
              <w:ind w:left="291"/>
              <w:rPr>
                <w:b/>
                <w:sz w:val="21"/>
              </w:rPr>
            </w:pPr>
            <w:r>
              <w:rPr>
                <w:b/>
                <w:sz w:val="21"/>
              </w:rPr>
              <w:t>专科医生</w:t>
            </w:r>
          </w:p>
        </w:tc>
        <w:tc>
          <w:tcPr>
            <w:tcW w:w="7335" w:type="dxa"/>
          </w:tcPr>
          <w:p>
            <w:pPr>
              <w:pStyle w:val="TableParagraph"/>
              <w:spacing w:before="48"/>
              <w:ind w:left="143"/>
              <w:rPr>
                <w:sz w:val="21"/>
              </w:rPr>
            </w:pPr>
            <w:r>
              <w:rPr>
                <w:sz w:val="21"/>
              </w:rPr>
              <w:t>专科医生应当同时满足以下四项资格条件：</w:t>
            </w:r>
          </w:p>
          <w:p>
            <w:pPr>
              <w:pStyle w:val="TableParagraph"/>
              <w:spacing w:before="36"/>
              <w:ind w:left="143"/>
              <w:rPr>
                <w:sz w:val="21"/>
              </w:rPr>
            </w:pPr>
            <w:r>
              <w:rPr>
                <w:sz w:val="21"/>
              </w:rPr>
              <w:t>(1)具有有效的中华人民共和国《医师资格证书》；</w:t>
            </w:r>
          </w:p>
          <w:p>
            <w:pPr>
              <w:pStyle w:val="TableParagraph"/>
              <w:spacing w:line="273" w:lineRule="auto" w:before="36"/>
              <w:ind w:left="143" w:right="150"/>
              <w:rPr>
                <w:sz w:val="21"/>
              </w:rPr>
            </w:pPr>
            <w:r>
              <w:rPr>
                <w:sz w:val="21"/>
              </w:rPr>
              <w:t>(2)具有有效的中华人民共和国《医师执业证书》，并按期到相关部门登记注册；</w:t>
            </w:r>
          </w:p>
          <w:p>
            <w:pPr>
              <w:pStyle w:val="TableParagraph"/>
              <w:spacing w:line="273" w:lineRule="auto" w:before="7"/>
              <w:ind w:left="143" w:right="150"/>
              <w:rPr>
                <w:sz w:val="21"/>
              </w:rPr>
            </w:pPr>
            <w:r>
              <w:rPr>
                <w:sz w:val="21"/>
              </w:rPr>
              <w:t>(3)具有有效的中华人民共和国主治医师或主治医师以上职称的《医师职称证书》；</w:t>
            </w:r>
          </w:p>
          <w:p>
            <w:pPr>
              <w:pStyle w:val="TableParagraph"/>
              <w:spacing w:before="7"/>
              <w:ind w:left="143"/>
              <w:rPr>
                <w:sz w:val="21"/>
              </w:rPr>
            </w:pPr>
            <w:r>
              <w:rPr>
                <w:sz w:val="21"/>
              </w:rPr>
              <w:t>(4)在二级或二级以上医院的相应科室从事临床工作三年以上。</w:t>
            </w:r>
          </w:p>
        </w:tc>
      </w:tr>
      <w:tr>
        <w:trPr>
          <w:trHeight w:val="765" w:hRule="atLeast"/>
        </w:trPr>
        <w:tc>
          <w:tcPr>
            <w:tcW w:w="914" w:type="dxa"/>
          </w:tcPr>
          <w:p>
            <w:pPr>
              <w:pStyle w:val="TableParagraph"/>
              <w:spacing w:before="48"/>
              <w:ind w:left="200"/>
              <w:rPr>
                <w:b/>
                <w:sz w:val="21"/>
              </w:rPr>
            </w:pPr>
            <w:r>
              <w:rPr>
                <w:b/>
                <w:sz w:val="21"/>
              </w:rPr>
              <w:t>8.18</w:t>
            </w:r>
          </w:p>
        </w:tc>
        <w:tc>
          <w:tcPr>
            <w:tcW w:w="1702" w:type="dxa"/>
          </w:tcPr>
          <w:p>
            <w:pPr>
              <w:pStyle w:val="TableParagraph"/>
              <w:spacing w:line="273" w:lineRule="auto" w:before="48"/>
              <w:ind w:left="291" w:right="140"/>
              <w:rPr>
                <w:b/>
                <w:sz w:val="21"/>
              </w:rPr>
            </w:pPr>
            <w:r>
              <w:rPr>
                <w:b/>
                <w:sz w:val="21"/>
              </w:rPr>
              <w:t>肢体机能完全丧失</w:t>
            </w:r>
          </w:p>
        </w:tc>
        <w:tc>
          <w:tcPr>
            <w:tcW w:w="7335" w:type="dxa"/>
          </w:tcPr>
          <w:p>
            <w:pPr>
              <w:pStyle w:val="TableParagraph"/>
              <w:spacing w:line="273" w:lineRule="auto" w:before="48"/>
              <w:ind w:left="143" w:right="200"/>
              <w:rPr>
                <w:sz w:val="21"/>
              </w:rPr>
            </w:pPr>
            <w:r>
              <w:rPr>
                <w:sz w:val="21"/>
              </w:rPr>
              <w:t>指肢体的三大关节中的两大关节僵硬，或不能随意识活动。肢体是指包括肩关节的整个上肢或包括髋关节的整个下肢。</w:t>
            </w:r>
          </w:p>
        </w:tc>
      </w:tr>
      <w:tr>
        <w:trPr>
          <w:trHeight w:val="1781" w:hRule="atLeast"/>
        </w:trPr>
        <w:tc>
          <w:tcPr>
            <w:tcW w:w="914" w:type="dxa"/>
          </w:tcPr>
          <w:p>
            <w:pPr>
              <w:pStyle w:val="TableParagraph"/>
              <w:spacing w:before="49"/>
              <w:ind w:left="200"/>
              <w:rPr>
                <w:b/>
                <w:sz w:val="21"/>
              </w:rPr>
            </w:pPr>
            <w:r>
              <w:rPr>
                <w:b/>
                <w:sz w:val="21"/>
              </w:rPr>
              <w:t>8.19</w:t>
            </w:r>
          </w:p>
        </w:tc>
        <w:tc>
          <w:tcPr>
            <w:tcW w:w="1702" w:type="dxa"/>
          </w:tcPr>
          <w:p>
            <w:pPr>
              <w:pStyle w:val="TableParagraph"/>
              <w:spacing w:line="273" w:lineRule="auto" w:before="49"/>
              <w:ind w:left="291" w:right="140"/>
              <w:jc w:val="both"/>
              <w:rPr>
                <w:b/>
                <w:sz w:val="21"/>
              </w:rPr>
            </w:pPr>
            <w:r>
              <w:rPr>
                <w:b/>
                <w:sz w:val="21"/>
              </w:rPr>
              <w:t>语言能力或咀嚼吞咽能力完全丧失</w:t>
            </w:r>
          </w:p>
        </w:tc>
        <w:tc>
          <w:tcPr>
            <w:tcW w:w="7335" w:type="dxa"/>
          </w:tcPr>
          <w:p>
            <w:pPr>
              <w:pStyle w:val="TableParagraph"/>
              <w:spacing w:line="273" w:lineRule="auto" w:before="49"/>
              <w:ind w:left="143" w:right="20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7"/>
              <w:ind w:left="143" w:right="200"/>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6" w:hRule="atLeast"/>
        </w:trPr>
        <w:tc>
          <w:tcPr>
            <w:tcW w:w="914" w:type="dxa"/>
          </w:tcPr>
          <w:p>
            <w:pPr>
              <w:pStyle w:val="TableParagraph"/>
              <w:spacing w:before="48"/>
              <w:ind w:left="200"/>
              <w:rPr>
                <w:b/>
                <w:sz w:val="21"/>
              </w:rPr>
            </w:pPr>
            <w:r>
              <w:rPr>
                <w:b/>
                <w:sz w:val="21"/>
              </w:rPr>
              <w:t>8.20</w:t>
            </w:r>
          </w:p>
        </w:tc>
        <w:tc>
          <w:tcPr>
            <w:tcW w:w="1702" w:type="dxa"/>
          </w:tcPr>
          <w:p>
            <w:pPr>
              <w:pStyle w:val="TableParagraph"/>
              <w:spacing w:line="273" w:lineRule="auto" w:before="48"/>
              <w:ind w:left="291" w:right="140"/>
              <w:rPr>
                <w:b/>
                <w:sz w:val="21"/>
              </w:rPr>
            </w:pPr>
            <w:r>
              <w:rPr>
                <w:b/>
                <w:sz w:val="21"/>
              </w:rPr>
              <w:t>六项基本日常生活活动</w:t>
            </w:r>
          </w:p>
        </w:tc>
        <w:tc>
          <w:tcPr>
            <w:tcW w:w="7335" w:type="dxa"/>
          </w:tcPr>
          <w:p>
            <w:pPr>
              <w:pStyle w:val="TableParagraph"/>
              <w:spacing w:before="48"/>
              <w:ind w:left="143"/>
              <w:rPr>
                <w:sz w:val="21"/>
              </w:rPr>
            </w:pPr>
            <w:r>
              <w:rPr>
                <w:sz w:val="21"/>
              </w:rPr>
              <w:t>六项基本日常生活活动是指：</w:t>
            </w:r>
          </w:p>
          <w:p>
            <w:pPr>
              <w:pStyle w:val="TableParagraph"/>
              <w:spacing w:before="36"/>
              <w:ind w:left="143"/>
              <w:rPr>
                <w:sz w:val="21"/>
              </w:rPr>
            </w:pPr>
            <w:r>
              <w:rPr>
                <w:sz w:val="21"/>
              </w:rPr>
              <w:t>(1)穿衣：自己能够穿衣及脱衣；</w:t>
            </w:r>
          </w:p>
          <w:p>
            <w:pPr>
              <w:pStyle w:val="TableParagraph"/>
              <w:spacing w:before="36"/>
              <w:ind w:left="143"/>
              <w:rPr>
                <w:sz w:val="21"/>
              </w:rPr>
            </w:pPr>
            <w:r>
              <w:rPr>
                <w:sz w:val="21"/>
              </w:rPr>
              <w:t>(2)移动：自己从一个房间到另一个房间；</w:t>
            </w:r>
          </w:p>
          <w:p>
            <w:pPr>
              <w:pStyle w:val="TableParagraph"/>
              <w:spacing w:before="36"/>
              <w:ind w:left="143"/>
              <w:rPr>
                <w:sz w:val="21"/>
              </w:rPr>
            </w:pPr>
            <w:r>
              <w:rPr>
                <w:sz w:val="21"/>
              </w:rPr>
              <w:t>(3)行动：自己上下床或上下轮椅；</w:t>
            </w:r>
          </w:p>
          <w:p>
            <w:pPr>
              <w:pStyle w:val="TableParagraph"/>
              <w:spacing w:before="36"/>
              <w:ind w:left="143"/>
              <w:rPr>
                <w:sz w:val="21"/>
              </w:rPr>
            </w:pPr>
            <w:r>
              <w:rPr>
                <w:sz w:val="21"/>
              </w:rPr>
              <w:t>(4)如厕：自己控制进行大小便；</w:t>
            </w:r>
          </w:p>
          <w:p>
            <w:pPr>
              <w:pStyle w:val="TableParagraph"/>
              <w:spacing w:before="37"/>
              <w:ind w:left="143"/>
              <w:rPr>
                <w:sz w:val="21"/>
              </w:rPr>
            </w:pPr>
            <w:r>
              <w:rPr>
                <w:sz w:val="21"/>
              </w:rPr>
              <w:t>(5)进食：自己从已准备好的碗或碟中取食物放入口中；</w:t>
            </w:r>
          </w:p>
          <w:p>
            <w:pPr>
              <w:pStyle w:val="TableParagraph"/>
              <w:spacing w:before="37"/>
              <w:ind w:left="143"/>
              <w:rPr>
                <w:sz w:val="21"/>
              </w:rPr>
            </w:pPr>
            <w:r>
              <w:rPr>
                <w:sz w:val="21"/>
              </w:rPr>
              <w:t>(6)洗澡：自己进行淋浴或盆浴。</w:t>
            </w:r>
          </w:p>
        </w:tc>
      </w:tr>
      <w:tr>
        <w:trPr>
          <w:trHeight w:val="644" w:hRule="atLeast"/>
        </w:trPr>
        <w:tc>
          <w:tcPr>
            <w:tcW w:w="914" w:type="dxa"/>
          </w:tcPr>
          <w:p>
            <w:pPr>
              <w:pStyle w:val="TableParagraph"/>
              <w:spacing w:before="48"/>
              <w:ind w:left="200"/>
              <w:rPr>
                <w:b/>
                <w:sz w:val="21"/>
              </w:rPr>
            </w:pPr>
            <w:r>
              <w:rPr>
                <w:b/>
                <w:sz w:val="21"/>
              </w:rPr>
              <w:t>8.21</w:t>
            </w:r>
          </w:p>
        </w:tc>
        <w:tc>
          <w:tcPr>
            <w:tcW w:w="1702" w:type="dxa"/>
          </w:tcPr>
          <w:p>
            <w:pPr>
              <w:pStyle w:val="TableParagraph"/>
              <w:spacing w:before="48"/>
              <w:ind w:left="291"/>
              <w:rPr>
                <w:b/>
                <w:sz w:val="21"/>
              </w:rPr>
            </w:pPr>
            <w:r>
              <w:rPr>
                <w:b/>
                <w:sz w:val="21"/>
              </w:rPr>
              <w:t>永久不可逆</w:t>
            </w:r>
          </w:p>
        </w:tc>
        <w:tc>
          <w:tcPr>
            <w:tcW w:w="7335" w:type="dxa"/>
          </w:tcPr>
          <w:p>
            <w:pPr>
              <w:pStyle w:val="TableParagraph"/>
              <w:spacing w:line="310" w:lineRule="atLeast" w:before="13"/>
              <w:ind w:left="143" w:right="136"/>
              <w:rPr>
                <w:sz w:val="21"/>
              </w:rPr>
            </w:pPr>
            <w:r>
              <w:rPr>
                <w:sz w:val="21"/>
              </w:rPr>
              <w:t>指自疾病确诊或意外伤害发生之日起，经过积极治疗 180 天后，仍无法通过现有医疗手段恢复。</w:t>
            </w:r>
          </w:p>
        </w:tc>
      </w:tr>
    </w:tbl>
    <w:sectPr>
      <w:pgSz w:w="11910" w:h="16840"/>
      <w:pgMar w:top="146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11" w:hanging="423"/>
      </w:pPr>
      <w:rPr>
        <w:rFonts w:hint="default"/>
      </w:rPr>
    </w:lvl>
    <w:lvl w:ilvl="2">
      <w:start w:val="0"/>
      <w:numFmt w:val="bullet"/>
      <w:lvlText w:val="•"/>
      <w:lvlJc w:val="left"/>
      <w:pPr>
        <w:ind w:left="1883" w:hanging="423"/>
      </w:pPr>
      <w:rPr>
        <w:rFonts w:hint="default"/>
      </w:rPr>
    </w:lvl>
    <w:lvl w:ilvl="3">
      <w:start w:val="0"/>
      <w:numFmt w:val="bullet"/>
      <w:lvlText w:val="•"/>
      <w:lvlJc w:val="left"/>
      <w:pPr>
        <w:ind w:left="2555" w:hanging="423"/>
      </w:pPr>
      <w:rPr>
        <w:rFonts w:hint="default"/>
      </w:rPr>
    </w:lvl>
    <w:lvl w:ilvl="4">
      <w:start w:val="0"/>
      <w:numFmt w:val="bullet"/>
      <w:lvlText w:val="•"/>
      <w:lvlJc w:val="left"/>
      <w:pPr>
        <w:ind w:left="3226" w:hanging="423"/>
      </w:pPr>
      <w:rPr>
        <w:rFonts w:hint="default"/>
      </w:rPr>
    </w:lvl>
    <w:lvl w:ilvl="5">
      <w:start w:val="0"/>
      <w:numFmt w:val="bullet"/>
      <w:lvlText w:val="•"/>
      <w:lvlJc w:val="left"/>
      <w:pPr>
        <w:ind w:left="3898" w:hanging="423"/>
      </w:pPr>
      <w:rPr>
        <w:rFonts w:hint="default"/>
      </w:rPr>
    </w:lvl>
    <w:lvl w:ilvl="6">
      <w:start w:val="0"/>
      <w:numFmt w:val="bullet"/>
      <w:lvlText w:val="•"/>
      <w:lvlJc w:val="left"/>
      <w:pPr>
        <w:ind w:left="4570" w:hanging="423"/>
      </w:pPr>
      <w:rPr>
        <w:rFonts w:hint="default"/>
      </w:rPr>
    </w:lvl>
    <w:lvl w:ilvl="7">
      <w:start w:val="0"/>
      <w:numFmt w:val="bullet"/>
      <w:lvlText w:val="•"/>
      <w:lvlJc w:val="left"/>
      <w:pPr>
        <w:ind w:left="5241" w:hanging="423"/>
      </w:pPr>
      <w:rPr>
        <w:rFonts w:hint="default"/>
      </w:rPr>
    </w:lvl>
    <w:lvl w:ilvl="8">
      <w:start w:val="0"/>
      <w:numFmt w:val="bullet"/>
      <w:lvlText w:val="•"/>
      <w:lvlJc w:val="left"/>
      <w:pPr>
        <w:ind w:left="5913" w:hanging="423"/>
      </w:pPr>
      <w:rPr>
        <w:rFonts w:hint="default"/>
      </w:rPr>
    </w:lvl>
  </w:abstractNum>
  <w:abstractNum w:abstractNumId="2">
    <w:multiLevelType w:val="hybridMultilevel"/>
    <w:lvl w:ilvl="0">
      <w:start w:val="8"/>
      <w:numFmt w:val="decimal"/>
      <w:lvlText w:val="%1"/>
      <w:lvlJc w:val="left"/>
      <w:pPr>
        <w:ind w:left="951" w:hanging="423"/>
        <w:jc w:val="left"/>
      </w:pPr>
      <w:rPr>
        <w:rFonts w:hint="default"/>
      </w:rPr>
    </w:lvl>
    <w:lvl w:ilvl="1">
      <w:start w:val="8"/>
      <w:numFmt w:val="decimal"/>
      <w:lvlText w:val="%1.%2"/>
      <w:lvlJc w:val="left"/>
      <w:pPr>
        <w:ind w:left="951" w:hanging="423"/>
        <w:jc w:val="left"/>
      </w:pPr>
      <w:rPr>
        <w:rFonts w:hint="default" w:ascii="黑体" w:hAnsi="黑体" w:eastAsia="黑体" w:cs="黑体"/>
        <w:w w:val="100"/>
        <w:sz w:val="21"/>
        <w:szCs w:val="21"/>
      </w:rPr>
    </w:lvl>
    <w:lvl w:ilvl="2">
      <w:start w:val="0"/>
      <w:numFmt w:val="bullet"/>
      <w:lvlText w:val="•"/>
      <w:lvlJc w:val="left"/>
      <w:pPr>
        <w:ind w:left="1595" w:hanging="423"/>
      </w:pPr>
      <w:rPr>
        <w:rFonts w:hint="default"/>
      </w:rPr>
    </w:lvl>
    <w:lvl w:ilvl="3">
      <w:start w:val="0"/>
      <w:numFmt w:val="bullet"/>
      <w:lvlText w:val="•"/>
      <w:lvlJc w:val="left"/>
      <w:pPr>
        <w:ind w:left="1912" w:hanging="423"/>
      </w:pPr>
      <w:rPr>
        <w:rFonts w:hint="default"/>
      </w:rPr>
    </w:lvl>
    <w:lvl w:ilvl="4">
      <w:start w:val="0"/>
      <w:numFmt w:val="bullet"/>
      <w:lvlText w:val="•"/>
      <w:lvlJc w:val="left"/>
      <w:pPr>
        <w:ind w:left="2230" w:hanging="423"/>
      </w:pPr>
      <w:rPr>
        <w:rFonts w:hint="default"/>
      </w:rPr>
    </w:lvl>
    <w:lvl w:ilvl="5">
      <w:start w:val="0"/>
      <w:numFmt w:val="bullet"/>
      <w:lvlText w:val="•"/>
      <w:lvlJc w:val="left"/>
      <w:pPr>
        <w:ind w:left="2547" w:hanging="423"/>
      </w:pPr>
      <w:rPr>
        <w:rFonts w:hint="default"/>
      </w:rPr>
    </w:lvl>
    <w:lvl w:ilvl="6">
      <w:start w:val="0"/>
      <w:numFmt w:val="bullet"/>
      <w:lvlText w:val="•"/>
      <w:lvlJc w:val="left"/>
      <w:pPr>
        <w:ind w:left="2865" w:hanging="423"/>
      </w:pPr>
      <w:rPr>
        <w:rFonts w:hint="default"/>
      </w:rPr>
    </w:lvl>
    <w:lvl w:ilvl="7">
      <w:start w:val="0"/>
      <w:numFmt w:val="bullet"/>
      <w:lvlText w:val="•"/>
      <w:lvlJc w:val="left"/>
      <w:pPr>
        <w:ind w:left="3182" w:hanging="423"/>
      </w:pPr>
      <w:rPr>
        <w:rFonts w:hint="default"/>
      </w:rPr>
    </w:lvl>
    <w:lvl w:ilvl="8">
      <w:start w:val="0"/>
      <w:numFmt w:val="bullet"/>
      <w:lvlText w:val="•"/>
      <w:lvlJc w:val="left"/>
      <w:pPr>
        <w:ind w:left="3500" w:hanging="423"/>
      </w:pPr>
      <w:rPr>
        <w:rFonts w:hint="default"/>
      </w:rPr>
    </w:lvl>
  </w:abstractNum>
  <w:abstractNum w:abstractNumId="1">
    <w:multiLevelType w:val="hybridMultilevel"/>
    <w:lvl w:ilvl="0">
      <w:start w:val="1"/>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316" w:hanging="423"/>
      </w:pPr>
      <w:rPr>
        <w:rFonts w:hint="default"/>
      </w:rPr>
    </w:lvl>
    <w:lvl w:ilvl="3">
      <w:start w:val="0"/>
      <w:numFmt w:val="bullet"/>
      <w:lvlText w:val="•"/>
      <w:lvlJc w:val="left"/>
      <w:pPr>
        <w:ind w:left="1494" w:hanging="423"/>
      </w:pPr>
      <w:rPr>
        <w:rFonts w:hint="default"/>
      </w:rPr>
    </w:lvl>
    <w:lvl w:ilvl="4">
      <w:start w:val="0"/>
      <w:numFmt w:val="bullet"/>
      <w:lvlText w:val="•"/>
      <w:lvlJc w:val="left"/>
      <w:pPr>
        <w:ind w:left="1672"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028" w:hanging="423"/>
      </w:pPr>
      <w:rPr>
        <w:rFonts w:hint="default"/>
      </w:rPr>
    </w:lvl>
    <w:lvl w:ilvl="7">
      <w:start w:val="0"/>
      <w:numFmt w:val="bullet"/>
      <w:lvlText w:val="•"/>
      <w:lvlJc w:val="left"/>
      <w:pPr>
        <w:ind w:left="2207" w:hanging="423"/>
      </w:pPr>
      <w:rPr>
        <w:rFonts w:hint="default"/>
      </w:rPr>
    </w:lvl>
    <w:lvl w:ilvl="8">
      <w:start w:val="0"/>
      <w:numFmt w:val="bullet"/>
      <w:lvlText w:val="•"/>
      <w:lvlJc w:val="left"/>
      <w:pPr>
        <w:ind w:left="2385" w:hanging="423"/>
      </w:pPr>
      <w:rPr>
        <w:rFonts w:hint="default"/>
      </w:rPr>
    </w:lvl>
  </w:abstractNum>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40" w:hanging="454"/>
      </w:pPr>
      <w:rPr>
        <w:rFonts w:hint="default"/>
      </w:rPr>
    </w:lvl>
    <w:lvl w:ilvl="2">
      <w:start w:val="0"/>
      <w:numFmt w:val="bullet"/>
      <w:lvlText w:val="•"/>
      <w:lvlJc w:val="left"/>
      <w:pPr>
        <w:ind w:left="2821" w:hanging="454"/>
      </w:pPr>
      <w:rPr>
        <w:rFonts w:hint="default"/>
      </w:rPr>
    </w:lvl>
    <w:lvl w:ilvl="3">
      <w:start w:val="0"/>
      <w:numFmt w:val="bullet"/>
      <w:lvlText w:val="•"/>
      <w:lvlJc w:val="left"/>
      <w:pPr>
        <w:ind w:left="3801" w:hanging="454"/>
      </w:pPr>
      <w:rPr>
        <w:rFonts w:hint="default"/>
      </w:rPr>
    </w:lvl>
    <w:lvl w:ilvl="4">
      <w:start w:val="0"/>
      <w:numFmt w:val="bullet"/>
      <w:lvlText w:val="•"/>
      <w:lvlJc w:val="left"/>
      <w:pPr>
        <w:ind w:left="4782" w:hanging="454"/>
      </w:pPr>
      <w:rPr>
        <w:rFonts w:hint="default"/>
      </w:rPr>
    </w:lvl>
    <w:lvl w:ilvl="5">
      <w:start w:val="0"/>
      <w:numFmt w:val="bullet"/>
      <w:lvlText w:val="•"/>
      <w:lvlJc w:val="left"/>
      <w:pPr>
        <w:ind w:left="5763" w:hanging="454"/>
      </w:pPr>
      <w:rPr>
        <w:rFonts w:hint="default"/>
      </w:rPr>
    </w:lvl>
    <w:lvl w:ilvl="6">
      <w:start w:val="0"/>
      <w:numFmt w:val="bullet"/>
      <w:lvlText w:val="•"/>
      <w:lvlJc w:val="left"/>
      <w:pPr>
        <w:ind w:left="6743" w:hanging="454"/>
      </w:pPr>
      <w:rPr>
        <w:rFonts w:hint="default"/>
      </w:rPr>
    </w:lvl>
    <w:lvl w:ilvl="7">
      <w:start w:val="0"/>
      <w:numFmt w:val="bullet"/>
      <w:lvlText w:val="•"/>
      <w:lvlJc w:val="left"/>
      <w:pPr>
        <w:ind w:left="7724" w:hanging="454"/>
      </w:pPr>
      <w:rPr>
        <w:rFonts w:hint="default"/>
      </w:rPr>
    </w:lvl>
    <w:lvl w:ilvl="8">
      <w:start w:val="0"/>
      <w:numFmt w:val="bullet"/>
      <w:lvlText w:val="•"/>
      <w:lvlJc w:val="left"/>
      <w:pPr>
        <w:ind w:left="8705" w:hanging="45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05"/>
      <w:ind w:left="2261" w:right="116"/>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ind w:left="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2018-10-20T02:26:57Z</dcterms:created>
  <dcterms:modified xsi:type="dcterms:W3CDTF">2018-10-20T02:26:57Z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2015-05-12T00:00:00Z</vt:filetime>
  </property>
  <property fmtid="{D5CDD505-2E9C-101B-9397-08002B2CF9AE}" pid="3" name="Creator">
    <vt:lpwstr>Microsoft® Word 2010</vt:lpwstr>
  </property>
  <property fmtid="{D5CDD505-2E9C-101B-9397-08002B2CF9AE}" pid="4" name="LastSaved">
    <vt:filetime>2018-10-19T00:00:00Z</vt:filetime>
  </property>
</Properties>
</file>