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4"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1064" from="63.720001pt,2.726647pt" to="543.000001pt,2.726647pt" stroked="true" strokeweight=".72pt" strokecolor="#000000">
            <v:stroke dashstyle="solid"/>
            <w10:wrap type="none"/>
          </v:line>
        </w:pict>
      </w:r>
      <w:r>
        <w:rPr>
          <w:sz w:val="32"/>
        </w:rPr>
        <w:t>附件</w:t>
      </w:r>
      <w:r>
        <w:rPr>
          <w:spacing w:val="-82"/>
          <w:sz w:val="32"/>
        </w:rPr>
        <w:t> </w:t>
      </w:r>
      <w:r>
        <w:rPr>
          <w:sz w:val="32"/>
        </w:rPr>
        <w:t>3-2：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民生保险[2011]疾病保险079号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29" w:space="1424"/>
            <w:col w:w="2557"/>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6230264</wp:posOffset>
            </wp:positionH>
            <wp:positionV relativeFrom="paragraph">
              <wp:posOffset>-479135</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1.860992pt;margin-top:13.427962pt;width:80pt;height:9.3pt;mso-position-horizontal-relative:page;mso-position-vertical-relative:paragraph;z-index:-20992"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2"/>
        <w:tabs>
          <w:tab w:pos="1382" w:val="left" w:leader="none"/>
        </w:tabs>
        <w:spacing w:line="683" w:lineRule="exact"/>
        <w:ind w:left="371"/>
      </w:pPr>
      <w:r>
        <w:rPr/>
        <w:drawing>
          <wp:anchor distT="0" distB="0" distL="0" distR="0" allowOverlap="1" layoutInCell="1" locked="0" behindDoc="1" simplePos="0" relativeHeight="268414415">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您有保险单借款的权利…………………………………………………………第5.2条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40" w:bottom="1180" w:left="960" w:right="940"/>
        </w:sectPr>
      </w:pPr>
    </w:p>
    <w:p>
      <w:pPr>
        <w:pStyle w:val="Heading2"/>
        <w:spacing w:before="35"/>
      </w:pPr>
      <w:r>
        <w:rPr>
          <w:w w:val="95"/>
        </w:rPr>
        <w:t>1.您与我们的合同</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合同构成</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合同效力</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合同成立与生效</w:t>
      </w:r>
    </w:p>
    <w:p>
      <w:pPr>
        <w:pStyle w:val="ListParagraph"/>
        <w:numPr>
          <w:ilvl w:val="1"/>
          <w:numId w:val="2"/>
        </w:numPr>
        <w:tabs>
          <w:tab w:pos="1323" w:val="left" w:leader="none"/>
        </w:tabs>
        <w:spacing w:line="240" w:lineRule="auto" w:before="36" w:after="0"/>
        <w:ind w:left="1322" w:right="0" w:hanging="420"/>
        <w:jc w:val="left"/>
        <w:rPr>
          <w:sz w:val="21"/>
        </w:rPr>
      </w:pPr>
      <w:r>
        <w:rPr>
          <w:sz w:val="21"/>
        </w:rPr>
        <w:t>犹豫期</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保险期间</w:t>
      </w:r>
    </w:p>
    <w:p>
      <w:pPr>
        <w:pStyle w:val="BodyText"/>
        <w:spacing w:before="8"/>
        <w:rPr>
          <w:sz w:val="26"/>
        </w:rPr>
      </w:pPr>
    </w:p>
    <w:p>
      <w:pPr>
        <w:spacing w:before="0"/>
        <w:ind w:left="692" w:right="0" w:firstLine="0"/>
        <w:jc w:val="left"/>
        <w:rPr>
          <w:b/>
          <w:sz w:val="21"/>
        </w:rPr>
      </w:pPr>
      <w:r>
        <w:rPr>
          <w:b/>
          <w:w w:val="95"/>
          <w:sz w:val="21"/>
        </w:rPr>
        <w:t>2.我们提供的保障</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保险金额</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保险责任</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责任免除</w:t>
      </w:r>
    </w:p>
    <w:p>
      <w:pPr>
        <w:pStyle w:val="BodyText"/>
        <w:spacing w:before="9"/>
        <w:rPr>
          <w:sz w:val="26"/>
        </w:rPr>
      </w:pPr>
    </w:p>
    <w:p>
      <w:pPr>
        <w:spacing w:before="0"/>
        <w:ind w:left="692" w:right="0" w:firstLine="0"/>
        <w:jc w:val="left"/>
        <w:rPr>
          <w:b/>
          <w:sz w:val="21"/>
        </w:rPr>
      </w:pPr>
      <w:r>
        <w:rPr>
          <w:b/>
          <w:w w:val="95"/>
          <w:sz w:val="21"/>
        </w:rPr>
        <w:t>3.如何申请领取保险金</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受益人的指定</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保险金的申请</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欠款的扣除</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诉讼时效</w:t>
      </w:r>
    </w:p>
    <w:p>
      <w:pPr>
        <w:spacing w:before="52"/>
        <w:ind w:left="692" w:right="0" w:firstLine="0"/>
        <w:jc w:val="left"/>
        <w:rPr>
          <w:b/>
          <w:sz w:val="21"/>
        </w:rPr>
      </w:pPr>
      <w:r>
        <w:rPr/>
        <w:br w:type="column"/>
      </w:r>
      <w:r>
        <w:rPr>
          <w:b/>
          <w:w w:val="95"/>
          <w:sz w:val="21"/>
        </w:rPr>
        <w:t>4.如何交付保险费</w:t>
      </w:r>
    </w:p>
    <w:p>
      <w:pPr>
        <w:spacing w:before="36"/>
        <w:ind w:left="902" w:right="0" w:firstLine="0"/>
        <w:jc w:val="left"/>
        <w:rPr>
          <w:sz w:val="21"/>
        </w:rPr>
      </w:pPr>
      <w:r>
        <w:rPr>
          <w:sz w:val="21"/>
        </w:rPr>
        <w:t>4.1 保险费的交付</w:t>
      </w:r>
    </w:p>
    <w:p>
      <w:pPr>
        <w:pStyle w:val="BodyText"/>
        <w:spacing w:before="8"/>
        <w:rPr>
          <w:sz w:val="26"/>
        </w:rPr>
      </w:pPr>
    </w:p>
    <w:p>
      <w:pPr>
        <w:spacing w:before="0"/>
        <w:ind w:left="692" w:right="0" w:firstLine="0"/>
        <w:jc w:val="left"/>
        <w:rPr>
          <w:b/>
          <w:sz w:val="21"/>
        </w:rPr>
      </w:pPr>
      <w:r>
        <w:rPr>
          <w:b/>
          <w:w w:val="95"/>
          <w:sz w:val="21"/>
        </w:rPr>
        <w:t>5.现金价值权益</w:t>
      </w:r>
    </w:p>
    <w:p>
      <w:pPr>
        <w:pStyle w:val="ListParagraph"/>
        <w:numPr>
          <w:ilvl w:val="1"/>
          <w:numId w:val="5"/>
        </w:numPr>
        <w:tabs>
          <w:tab w:pos="1324" w:val="left" w:leader="none"/>
        </w:tabs>
        <w:spacing w:line="240" w:lineRule="auto" w:before="37" w:after="0"/>
        <w:ind w:left="1323" w:right="0" w:hanging="420"/>
        <w:jc w:val="left"/>
        <w:rPr>
          <w:sz w:val="21"/>
        </w:rPr>
      </w:pPr>
      <w:r>
        <w:rPr>
          <w:spacing w:val="-1"/>
          <w:sz w:val="21"/>
        </w:rPr>
        <w:t>现金价值</w:t>
      </w:r>
    </w:p>
    <w:p>
      <w:pPr>
        <w:pStyle w:val="ListParagraph"/>
        <w:numPr>
          <w:ilvl w:val="1"/>
          <w:numId w:val="5"/>
        </w:numPr>
        <w:tabs>
          <w:tab w:pos="1323" w:val="left" w:leader="none"/>
        </w:tabs>
        <w:spacing w:line="240" w:lineRule="auto" w:before="37" w:after="0"/>
        <w:ind w:left="1322" w:right="0" w:hanging="420"/>
        <w:jc w:val="left"/>
        <w:rPr>
          <w:sz w:val="21"/>
        </w:rPr>
      </w:pPr>
      <w:r>
        <w:rPr>
          <w:spacing w:val="-1"/>
          <w:sz w:val="21"/>
        </w:rPr>
        <w:t>保险单借款</w:t>
      </w:r>
    </w:p>
    <w:p>
      <w:pPr>
        <w:pStyle w:val="BodyText"/>
        <w:spacing w:before="8"/>
        <w:rPr>
          <w:sz w:val="26"/>
        </w:rPr>
      </w:pPr>
    </w:p>
    <w:p>
      <w:pPr>
        <w:spacing w:before="0"/>
        <w:ind w:left="692" w:right="0" w:firstLine="0"/>
        <w:jc w:val="left"/>
        <w:rPr>
          <w:b/>
          <w:sz w:val="21"/>
        </w:rPr>
      </w:pPr>
      <w:r>
        <w:rPr>
          <w:b/>
          <w:w w:val="95"/>
          <w:sz w:val="21"/>
        </w:rPr>
        <w:t>6.如何解除保险合同</w:t>
      </w:r>
    </w:p>
    <w:p>
      <w:pPr>
        <w:spacing w:line="273" w:lineRule="auto" w:before="36"/>
        <w:ind w:left="1322" w:right="425" w:hanging="419"/>
        <w:jc w:val="left"/>
        <w:rPr>
          <w:sz w:val="21"/>
        </w:rPr>
      </w:pPr>
      <w:r>
        <w:rPr>
          <w:sz w:val="21"/>
        </w:rPr>
        <w:t>6.1 您解除合同的手续及风险</w:t>
      </w:r>
    </w:p>
    <w:p>
      <w:pPr>
        <w:pStyle w:val="BodyText"/>
        <w:spacing w:before="5"/>
        <w:rPr>
          <w:sz w:val="24"/>
        </w:rPr>
      </w:pPr>
    </w:p>
    <w:p>
      <w:pPr>
        <w:spacing w:before="0"/>
        <w:ind w:left="692" w:right="0" w:firstLine="0"/>
        <w:jc w:val="left"/>
        <w:rPr>
          <w:b/>
          <w:sz w:val="21"/>
        </w:rPr>
      </w:pPr>
      <w:r>
        <w:rPr>
          <w:b/>
          <w:w w:val="95"/>
          <w:sz w:val="21"/>
        </w:rPr>
        <w:t>7.其他需要您关注的事项</w:t>
      </w:r>
    </w:p>
    <w:p>
      <w:pPr>
        <w:spacing w:before="37"/>
        <w:ind w:left="902" w:right="0" w:firstLine="0"/>
        <w:jc w:val="left"/>
        <w:rPr>
          <w:sz w:val="21"/>
        </w:rPr>
      </w:pPr>
      <w:r>
        <w:rPr>
          <w:sz w:val="21"/>
        </w:rPr>
        <w:t>7.1 投保范围</w:t>
      </w:r>
    </w:p>
    <w:p>
      <w:pPr>
        <w:spacing w:before="52"/>
        <w:ind w:left="592" w:right="0" w:firstLine="0"/>
        <w:jc w:val="left"/>
        <w:rPr>
          <w:b/>
          <w:sz w:val="21"/>
        </w:rPr>
      </w:pPr>
      <w:r>
        <w:rPr/>
        <w:br w:type="column"/>
      </w:r>
      <w:r>
        <w:rPr>
          <w:b/>
          <w:w w:val="95"/>
          <w:sz w:val="21"/>
        </w:rPr>
        <w:t>8.释义</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有效身份证件</w:t>
      </w:r>
    </w:p>
    <w:p>
      <w:pPr>
        <w:pStyle w:val="ListParagraph"/>
        <w:numPr>
          <w:ilvl w:val="1"/>
          <w:numId w:val="6"/>
        </w:numPr>
        <w:tabs>
          <w:tab w:pos="1118" w:val="left" w:leader="none"/>
        </w:tabs>
        <w:spacing w:line="240" w:lineRule="auto" w:before="37" w:after="0"/>
        <w:ind w:left="1117" w:right="0" w:hanging="421"/>
        <w:jc w:val="left"/>
        <w:rPr>
          <w:sz w:val="21"/>
        </w:rPr>
      </w:pPr>
      <w:r>
        <w:rPr>
          <w:sz w:val="21"/>
        </w:rPr>
        <w:t>发病</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指定或认可的医疗机构</w:t>
      </w:r>
    </w:p>
    <w:p>
      <w:pPr>
        <w:pStyle w:val="ListParagraph"/>
        <w:numPr>
          <w:ilvl w:val="1"/>
          <w:numId w:val="6"/>
        </w:numPr>
        <w:tabs>
          <w:tab w:pos="1118" w:val="left" w:leader="none"/>
        </w:tabs>
        <w:spacing w:line="240" w:lineRule="auto" w:before="37" w:after="0"/>
        <w:ind w:left="1117" w:right="0" w:hanging="421"/>
        <w:jc w:val="left"/>
        <w:rPr>
          <w:sz w:val="21"/>
        </w:rPr>
      </w:pPr>
      <w:r>
        <w:rPr>
          <w:sz w:val="21"/>
        </w:rPr>
        <w:t>毒品</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酒后驾驶</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无合法有效驾驶证驾驶</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无有效行驶证</w:t>
      </w:r>
    </w:p>
    <w:p>
      <w:pPr>
        <w:pStyle w:val="ListParagraph"/>
        <w:numPr>
          <w:ilvl w:val="1"/>
          <w:numId w:val="6"/>
        </w:numPr>
        <w:tabs>
          <w:tab w:pos="1118" w:val="left" w:leader="none"/>
        </w:tabs>
        <w:spacing w:line="240" w:lineRule="auto" w:before="37" w:after="0"/>
        <w:ind w:left="1117" w:right="0" w:hanging="421"/>
        <w:jc w:val="left"/>
        <w:rPr>
          <w:sz w:val="21"/>
        </w:rPr>
      </w:pPr>
      <w:r>
        <w:rPr>
          <w:sz w:val="21"/>
        </w:rPr>
        <w:t>艾滋病</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艾滋病病毒</w:t>
      </w:r>
    </w:p>
    <w:p>
      <w:pPr>
        <w:pStyle w:val="ListParagraph"/>
        <w:numPr>
          <w:ilvl w:val="1"/>
          <w:numId w:val="6"/>
        </w:numPr>
        <w:tabs>
          <w:tab w:pos="1222" w:val="left" w:leader="none"/>
        </w:tabs>
        <w:spacing w:line="240" w:lineRule="auto" w:before="37" w:after="0"/>
        <w:ind w:left="1221" w:right="0" w:hanging="525"/>
        <w:jc w:val="left"/>
        <w:rPr>
          <w:sz w:val="21"/>
        </w:rPr>
      </w:pPr>
      <w:r>
        <w:rPr>
          <w:spacing w:val="-1"/>
          <w:sz w:val="21"/>
        </w:rPr>
        <w:t>现金价值</w:t>
      </w:r>
    </w:p>
    <w:p>
      <w:pPr>
        <w:pStyle w:val="ListParagraph"/>
        <w:numPr>
          <w:ilvl w:val="1"/>
          <w:numId w:val="6"/>
        </w:numPr>
        <w:tabs>
          <w:tab w:pos="1223" w:val="left" w:leader="none"/>
        </w:tabs>
        <w:spacing w:line="240" w:lineRule="auto" w:before="37" w:after="0"/>
        <w:ind w:left="1222" w:right="0" w:hanging="526"/>
        <w:jc w:val="left"/>
        <w:rPr>
          <w:sz w:val="21"/>
        </w:rPr>
      </w:pPr>
      <w:r>
        <w:rPr>
          <w:sz w:val="21"/>
        </w:rPr>
        <w:t>利息</w:t>
      </w:r>
    </w:p>
    <w:p>
      <w:pPr>
        <w:spacing w:after="0" w:line="240" w:lineRule="auto"/>
        <w:jc w:val="left"/>
        <w:rPr>
          <w:sz w:val="21"/>
        </w:rPr>
        <w:sectPr>
          <w:type w:val="continuous"/>
          <w:pgSz w:w="11910" w:h="16840"/>
          <w:pgMar w:top="1040" w:bottom="1180" w:left="960" w:right="940"/>
          <w:cols w:num="3" w:equalWidth="0">
            <w:col w:w="2801" w:space="240"/>
            <w:col w:w="3011" w:space="39"/>
            <w:col w:w="3919"/>
          </w:cols>
        </w:sectPr>
      </w:pPr>
    </w:p>
    <w:p>
      <w:pPr>
        <w:pStyle w:val="BodyText"/>
        <w:spacing w:before="3"/>
        <w:rPr>
          <w:sz w:val="28"/>
        </w:rPr>
      </w:pPr>
    </w:p>
    <w:p>
      <w:pPr>
        <w:spacing w:line="408" w:lineRule="auto" w:before="14"/>
        <w:ind w:left="3019" w:right="3148" w:firstLine="280"/>
        <w:jc w:val="left"/>
        <w:rPr>
          <w:b/>
          <w:sz w:val="28"/>
        </w:rPr>
      </w:pPr>
      <w:r>
        <w:rPr>
          <w:b/>
          <w:sz w:val="28"/>
        </w:rPr>
        <w:t>民生人寿保险股份有限公司 </w:t>
      </w:r>
      <w:r>
        <w:rPr>
          <w:b/>
          <w:w w:val="95"/>
          <w:sz w:val="28"/>
        </w:rPr>
        <w:t>附加民康金生重大疾病保险条款</w:t>
      </w:r>
    </w:p>
    <w:p>
      <w:pPr>
        <w:pStyle w:val="BodyText"/>
        <w:spacing w:before="12"/>
        <w:rPr>
          <w:b/>
          <w:sz w:val="29"/>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8"/>
        <w:rPr>
          <w:sz w:val="27"/>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822pt" to="553.5pt,37.289822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10"/>
        <w:rPr>
          <w:b/>
          <w:sz w:val="11"/>
        </w:rPr>
      </w:pPr>
    </w:p>
    <w:p>
      <w:pPr>
        <w:pStyle w:val="ListParagraph"/>
        <w:numPr>
          <w:ilvl w:val="1"/>
          <w:numId w:val="7"/>
        </w:numPr>
        <w:tabs>
          <w:tab w:pos="906" w:val="left" w:leader="none"/>
          <w:tab w:pos="907" w:val="left" w:leader="none"/>
          <w:tab w:pos="2613" w:val="left" w:leader="none"/>
        </w:tabs>
        <w:spacing w:line="312" w:lineRule="exact" w:before="5" w:after="0"/>
        <w:ind w:left="2613" w:right="132" w:hanging="2389"/>
        <w:jc w:val="left"/>
        <w:rPr>
          <w:sz w:val="18"/>
        </w:rPr>
      </w:pPr>
      <w:r>
        <w:rPr>
          <w:b/>
          <w:w w:val="99"/>
          <w:position w:val="-4"/>
          <w:sz w:val="21"/>
        </w:rPr>
        <w:t>合同构成</w:t>
      </w:r>
      <w:r>
        <w:rPr>
          <w:b/>
          <w:position w:val="-4"/>
          <w:sz w:val="21"/>
        </w:rPr>
        <w:tab/>
      </w:r>
      <w:r>
        <w:rPr>
          <w:sz w:val="18"/>
        </w:rPr>
        <w:t>本附加保险合</w:t>
      </w:r>
      <w:r>
        <w:rPr>
          <w:spacing w:val="-5"/>
          <w:sz w:val="18"/>
        </w:rPr>
        <w:t>同</w:t>
      </w:r>
      <w:r>
        <w:rPr>
          <w:sz w:val="18"/>
        </w:rPr>
        <w:t>（以下简</w:t>
      </w:r>
      <w:r>
        <w:rPr>
          <w:spacing w:val="-5"/>
          <w:sz w:val="18"/>
        </w:rPr>
        <w:t>称</w:t>
      </w:r>
      <w:r>
        <w:rPr>
          <w:sz w:val="18"/>
        </w:rPr>
        <w:t>“本附加合同</w:t>
      </w:r>
      <w:r>
        <w:rPr>
          <w:spacing w:val="-90"/>
          <w:sz w:val="18"/>
        </w:rPr>
        <w:t>”</w:t>
      </w:r>
      <w:r>
        <w:rPr>
          <w:spacing w:val="-5"/>
          <w:sz w:val="18"/>
        </w:rPr>
        <w:t>）</w:t>
      </w:r>
      <w:r>
        <w:rPr>
          <w:sz w:val="18"/>
        </w:rPr>
        <w:t>附加于本公司规定的主保险合</w:t>
      </w:r>
      <w:r>
        <w:rPr>
          <w:spacing w:val="-5"/>
          <w:sz w:val="18"/>
        </w:rPr>
        <w:t>同</w:t>
      </w:r>
      <w:r>
        <w:rPr>
          <w:sz w:val="18"/>
        </w:rPr>
        <w:t>（以下简</w:t>
      </w:r>
      <w:r>
        <w:rPr>
          <w:spacing w:val="-5"/>
          <w:sz w:val="18"/>
        </w:rPr>
        <w:t>称</w:t>
      </w:r>
      <w:r>
        <w:rPr>
          <w:sz w:val="18"/>
        </w:rPr>
        <w:t>“主合同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39"/>
        <w:ind w:left="2613" w:right="221"/>
      </w:pPr>
      <w:r>
        <w:rPr/>
        <w:t>除本附加合同另有约定外，其他未尽事宜以主合同条款为准。如果主合同与本附加合同的条款内容互有冲突，则以本附加合同为准。</w:t>
      </w:r>
    </w:p>
    <w:p>
      <w:pPr>
        <w:pStyle w:val="BodyText"/>
        <w:spacing w:before="10"/>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合同效力</w:t>
        <w:tab/>
      </w:r>
      <w:r>
        <w:rPr>
          <w:sz w:val="18"/>
        </w:rPr>
        <w:t>本附加合同的效力在发生下列情形之一时自动终止：</w:t>
      </w:r>
    </w:p>
    <w:p>
      <w:pPr>
        <w:pStyle w:val="BodyText"/>
        <w:spacing w:before="22"/>
        <w:ind w:left="2613"/>
        <w:jc w:val="both"/>
      </w:pPr>
      <w:r>
        <w:rPr/>
        <w:t>1、 主合同解除、期满或终止；</w:t>
      </w:r>
    </w:p>
    <w:p>
      <w:pPr>
        <w:pStyle w:val="BodyText"/>
        <w:ind w:left="2613"/>
        <w:jc w:val="both"/>
      </w:pPr>
      <w:r>
        <w:rPr/>
        <w:t>2、 本附加合同期满；</w:t>
      </w:r>
    </w:p>
    <w:p>
      <w:pPr>
        <w:pStyle w:val="BodyText"/>
        <w:ind w:left="2613"/>
        <w:jc w:val="both"/>
      </w:pPr>
      <w:r>
        <w:rPr/>
        <w:t>3、 出现主合同或本附加合同内的其它约定终止情况。</w:t>
      </w:r>
    </w:p>
    <w:p>
      <w:pPr>
        <w:pStyle w:val="BodyText"/>
        <w:spacing w:before="2"/>
        <w:rPr>
          <w:sz w:val="23"/>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合同成立与生效</w:t>
        <w:tab/>
      </w:r>
      <w:r>
        <w:rPr>
          <w:sz w:val="18"/>
        </w:rPr>
        <w:t>自您提出保险申请，本公司同意承保，本附加合同成立。</w:t>
      </w:r>
    </w:p>
    <w:p>
      <w:pPr>
        <w:pStyle w:val="BodyText"/>
        <w:spacing w:before="22"/>
        <w:ind w:left="2613"/>
        <w:jc w:val="both"/>
      </w:pPr>
      <w:r>
        <w:rPr/>
        <w:t>本附加合同的成立日、生效日以保险单载明的日期为准。</w:t>
      </w:r>
    </w:p>
    <w:p>
      <w:pPr>
        <w:pStyle w:val="BodyText"/>
        <w:spacing w:line="316" w:lineRule="auto"/>
        <w:ind w:left="2613" w:right="221"/>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line="316" w:lineRule="auto"/>
        <w:ind w:left="2613" w:right="221"/>
      </w:pPr>
      <w:r>
        <w:rPr/>
        <w:t>在保险期间内，我们自收到您交纳的首期保险费的次日零时起开始承担本附加合同约定的保险责任。</w:t>
      </w:r>
    </w:p>
    <w:p>
      <w:pPr>
        <w:pStyle w:val="BodyText"/>
        <w:spacing w:before="19"/>
        <w:ind w:left="2613"/>
      </w:pPr>
      <w:r>
        <w:rPr/>
        <w:t>如果我们未收到您交纳的首期保险费，我们将不承担本附加合同的保险责任。</w:t>
      </w:r>
    </w:p>
    <w:p>
      <w:pPr>
        <w:pStyle w:val="BodyText"/>
        <w:spacing w:line="316" w:lineRule="auto"/>
        <w:ind w:left="2613" w:right="221"/>
      </w:pPr>
      <w:r>
        <w:rPr/>
        <w:t>自本附加合同生效之日起十五日内，如果本公司未收到首期保险费，则本附加合同于生效后第十五日的二十四时自动终止。</w:t>
      </w:r>
    </w:p>
    <w:p>
      <w:pPr>
        <w:pStyle w:val="BodyText"/>
        <w:spacing w:before="9"/>
        <w:rPr>
          <w:sz w:val="15"/>
        </w:rPr>
      </w:pPr>
    </w:p>
    <w:p>
      <w:pPr>
        <w:pStyle w:val="ListParagraph"/>
        <w:numPr>
          <w:ilvl w:val="1"/>
          <w:numId w:val="7"/>
        </w:numPr>
        <w:tabs>
          <w:tab w:pos="908" w:val="left" w:leader="none"/>
        </w:tabs>
        <w:spacing w:line="312" w:lineRule="exact" w:before="0" w:after="0"/>
        <w:ind w:left="2613" w:right="288" w:hanging="2389"/>
        <w:jc w:val="both"/>
        <w:rPr>
          <w:sz w:val="18"/>
        </w:rPr>
      </w:pPr>
      <w:r>
        <w:rPr>
          <w:b/>
          <w:spacing w:val="0"/>
          <w:position w:val="-4"/>
          <w:sz w:val="21"/>
        </w:rPr>
        <w:t>犹豫期         </w:t>
      </w:r>
      <w:r>
        <w:rPr>
          <w:sz w:val="18"/>
        </w:rPr>
        <w:t>自您签收本附加合同次日起，有十天的犹豫期。在此期间请您认真审视本附加合同，如果您认为本附加合同与您的需求不相符，您可以在此期间提出解除本附加合同。您解除本附加合同须同时解除主合同。我们将无息退还您所交的全部保险费。</w:t>
      </w:r>
    </w:p>
    <w:p>
      <w:pPr>
        <w:pStyle w:val="BodyText"/>
        <w:spacing w:line="316" w:lineRule="auto" w:before="39"/>
        <w:ind w:left="2613" w:right="221" w:hanging="1"/>
        <w:jc w:val="both"/>
      </w:pPr>
      <w:r>
        <w:rPr/>
        <w:t>解除合同时，您需要填写书面申请书，并提供您的合同及</w:t>
      </w:r>
      <w:r>
        <w:rPr>
          <w:b/>
          <w:w w:val="99"/>
        </w:rPr>
        <w:t>有效身份证件</w:t>
      </w:r>
      <w:r>
        <w:rPr/>
        <w:t>（</w:t>
      </w:r>
      <w:r>
        <w:rPr>
          <w:spacing w:val="-14"/>
        </w:rPr>
        <w:t>见 </w:t>
      </w:r>
      <w:r>
        <w:rPr/>
        <w:t>8.1</w:t>
      </w:r>
      <w:r>
        <w:rPr>
          <w:spacing w:val="-90"/>
        </w:rPr>
        <w:t>）</w:t>
      </w:r>
      <w:r>
        <w:rPr/>
        <w:t>。自您书面申请解除合同之日起，本附加合同效力即行终止，对合同解除前发生的保险事故，我们不承担给付保险金的责任。</w:t>
      </w:r>
    </w:p>
    <w:p>
      <w:pPr>
        <w:pStyle w:val="BodyText"/>
        <w:spacing w:before="11"/>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保险期间</w:t>
        <w:tab/>
      </w:r>
      <w:r>
        <w:rPr>
          <w:sz w:val="18"/>
        </w:rPr>
        <w:t>本附加合同保险期间与主合同一致，且须与主合同同时投保。</w:t>
      </w:r>
    </w:p>
    <w:p>
      <w:pPr>
        <w:pStyle w:val="BodyText"/>
        <w:spacing w:before="2"/>
        <w:rPr>
          <w:sz w:val="1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37.289913pt" to="553.5pt,37.289913pt" stroked="true" strokeweight=".4799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10"/>
        <w:rPr>
          <w:b/>
          <w:sz w:val="11"/>
        </w:rPr>
      </w:pPr>
    </w:p>
    <w:p>
      <w:pPr>
        <w:pStyle w:val="ListParagraph"/>
        <w:numPr>
          <w:ilvl w:val="1"/>
          <w:numId w:val="8"/>
        </w:numPr>
        <w:tabs>
          <w:tab w:pos="906" w:val="left" w:leader="none"/>
          <w:tab w:pos="907" w:val="left" w:leader="none"/>
          <w:tab w:pos="2613" w:val="left" w:leader="none"/>
        </w:tabs>
        <w:spacing w:line="240" w:lineRule="auto" w:before="44" w:after="0"/>
        <w:ind w:left="906" w:right="0" w:hanging="682"/>
        <w:jc w:val="left"/>
        <w:rPr>
          <w:sz w:val="18"/>
        </w:rPr>
      </w:pPr>
      <w:r>
        <w:rPr>
          <w:b/>
          <w:position w:val="-4"/>
          <w:sz w:val="21"/>
        </w:rPr>
        <w:t>保险金额</w:t>
        <w:tab/>
      </w:r>
      <w:r>
        <w:rPr>
          <w:sz w:val="18"/>
        </w:rPr>
        <w:t>本附加合同保险金额是本附加合同所附加主合同的保险金额。</w:t>
      </w:r>
    </w:p>
    <w:p>
      <w:pPr>
        <w:spacing w:after="0" w:line="240" w:lineRule="auto"/>
        <w:jc w:val="left"/>
        <w:rPr>
          <w:sz w:val="18"/>
        </w:rPr>
        <w:sectPr>
          <w:headerReference w:type="default" r:id="rId9"/>
          <w:pgSz w:w="11910" w:h="16840"/>
          <w:pgMar w:header="877" w:footer="981" w:top="1100" w:bottom="1180" w:left="1080" w:right="720"/>
        </w:sectPr>
      </w:pPr>
    </w:p>
    <w:p>
      <w:pPr>
        <w:pStyle w:val="BodyText"/>
        <w:spacing w:before="3"/>
        <w:rPr>
          <w:sz w:val="20"/>
        </w:rPr>
      </w:pPr>
    </w:p>
    <w:p>
      <w:pPr>
        <w:pStyle w:val="ListParagraph"/>
        <w:numPr>
          <w:ilvl w:val="1"/>
          <w:numId w:val="8"/>
        </w:numPr>
        <w:tabs>
          <w:tab w:pos="906" w:val="left" w:leader="none"/>
          <w:tab w:pos="907" w:val="left" w:leader="none"/>
          <w:tab w:pos="2613" w:val="left" w:leader="none"/>
        </w:tabs>
        <w:spacing w:line="240" w:lineRule="auto" w:before="44" w:after="0"/>
        <w:ind w:left="906" w:right="0" w:hanging="682"/>
        <w:jc w:val="left"/>
        <w:rPr>
          <w:sz w:val="18"/>
        </w:rPr>
      </w:pPr>
      <w:r>
        <w:rPr>
          <w:b/>
          <w:position w:val="-4"/>
          <w:sz w:val="21"/>
        </w:rPr>
        <w:t>保险责任</w:t>
        <w:tab/>
      </w:r>
      <w:r>
        <w:rPr>
          <w:sz w:val="18"/>
        </w:rPr>
        <w:t>在本附加合同有效期内，本公司按下列规定承担保险责任：</w:t>
      </w:r>
    </w:p>
    <w:p>
      <w:pPr>
        <w:pStyle w:val="BodyText"/>
        <w:spacing w:before="12"/>
        <w:rPr>
          <w:sz w:val="24"/>
        </w:rPr>
      </w:pPr>
    </w:p>
    <w:p>
      <w:pPr>
        <w:spacing w:after="0"/>
        <w:rPr>
          <w:sz w:val="24"/>
        </w:rPr>
        <w:sectPr>
          <w:pgSz w:w="11910" w:h="16840"/>
          <w:pgMar w:header="877" w:footer="981" w:top="1100" w:bottom="1180" w:left="1080" w:right="720"/>
        </w:sectPr>
      </w:pPr>
    </w:p>
    <w:p>
      <w:pPr>
        <w:pStyle w:val="Heading2"/>
        <w:spacing w:line="340" w:lineRule="auto" w:before="59"/>
        <w:ind w:left="907"/>
      </w:pPr>
      <w:r>
        <w:rPr/>
        <w:t>重大疾病保险金</w:t>
      </w:r>
    </w:p>
    <w:p>
      <w:pPr>
        <w:pStyle w:val="BodyText"/>
        <w:spacing w:line="316" w:lineRule="auto" w:before="44"/>
        <w:ind w:left="821" w:right="131"/>
      </w:pPr>
      <w:r>
        <w:rPr/>
        <w:br w:type="column"/>
      </w:r>
      <w:r>
        <w:rPr>
          <w:spacing w:val="-5"/>
        </w:rPr>
        <w:t>自本附加合同生效</w:t>
      </w:r>
      <w:r>
        <w:rPr/>
        <w:t>（或复效</w:t>
      </w:r>
      <w:r>
        <w:rPr>
          <w:spacing w:val="-40"/>
        </w:rPr>
        <w:t>）</w:t>
      </w:r>
      <w:r>
        <w:rPr>
          <w:spacing w:val="-3"/>
        </w:rPr>
        <w:t>之日起一百八十天后至合同期满，若被保险人首次</w:t>
      </w:r>
      <w:r>
        <w:rPr>
          <w:b/>
          <w:spacing w:val="-20"/>
        </w:rPr>
        <w:t>发病</w:t>
      </w:r>
      <w:r>
        <w:rPr/>
        <w:t>（</w:t>
      </w:r>
      <w:r>
        <w:rPr>
          <w:spacing w:val="-24"/>
        </w:rPr>
        <w:t>见 </w:t>
      </w:r>
      <w:r>
        <w:rPr/>
        <w:t>8.2） 并经本公司</w:t>
      </w:r>
      <w:r>
        <w:rPr>
          <w:b/>
          <w:spacing w:val="-4"/>
        </w:rPr>
        <w:t>指定或认可的医疗机构</w:t>
      </w:r>
      <w:r>
        <w:rPr/>
        <w:t>（</w:t>
      </w:r>
      <w:r>
        <w:rPr>
          <w:spacing w:val="-23"/>
        </w:rPr>
        <w:t>见 </w:t>
      </w:r>
      <w:r>
        <w:rPr>
          <w:spacing w:val="-10"/>
        </w:rPr>
        <w:t>8.3）</w:t>
      </w:r>
      <w:r>
        <w:rPr/>
        <w:t>确诊初次患上本附加合同附表一约定的一项或多项重大疾病，本公司按照主合同的保险金额向重大疾病保险金受益人给付重大疾病保险金。若被保险人经本公司指定或认可的医疗机构确诊初次患上本附加合同附表一约定的一项或多项重大疾病，并且首次发病时间在本附加合同生效（或复效）之日起一百八十天内（包括第一百八十天</w:t>
      </w:r>
      <w:r>
        <w:rPr>
          <w:spacing w:val="-90"/>
        </w:rPr>
        <w:t>）</w:t>
      </w:r>
      <w:r>
        <w:rPr>
          <w:spacing w:val="-5"/>
        </w:rPr>
        <w:t>，本公司向您无息返还本附加合同及主合同的全部保险费，本附加合同终止，同时主合同终止。</w:t>
      </w:r>
    </w:p>
    <w:p>
      <w:pPr>
        <w:spacing w:after="0" w:line="316" w:lineRule="auto"/>
        <w:sectPr>
          <w:type w:val="continuous"/>
          <w:pgSz w:w="11910" w:h="16840"/>
          <w:pgMar w:top="1040" w:bottom="1180" w:left="1080" w:right="720"/>
          <w:cols w:num="2" w:equalWidth="0">
            <w:col w:w="1752" w:space="40"/>
            <w:col w:w="8318"/>
          </w:cols>
        </w:sectPr>
      </w:pPr>
    </w:p>
    <w:p>
      <w:pPr>
        <w:pStyle w:val="BodyText"/>
        <w:spacing w:before="4"/>
        <w:rPr>
          <w:sz w:val="15"/>
        </w:rPr>
      </w:pPr>
    </w:p>
    <w:p>
      <w:pPr>
        <w:spacing w:after="0"/>
        <w:rPr>
          <w:sz w:val="15"/>
        </w:rPr>
        <w:sectPr>
          <w:type w:val="continuous"/>
          <w:pgSz w:w="11910" w:h="16840"/>
          <w:pgMar w:top="1040" w:bottom="1180" w:left="1080" w:right="720"/>
        </w:sectPr>
      </w:pPr>
    </w:p>
    <w:p>
      <w:pPr>
        <w:pStyle w:val="Heading2"/>
        <w:spacing w:line="340" w:lineRule="auto" w:before="59"/>
        <w:ind w:left="907"/>
      </w:pPr>
      <w:r>
        <w:rPr/>
        <w:t>重大疾病 </w:t>
      </w:r>
      <w:r>
        <w:rPr>
          <w:w w:val="95"/>
        </w:rPr>
        <w:t>康复补贴金</w:t>
      </w:r>
    </w:p>
    <w:p>
      <w:pPr>
        <w:pStyle w:val="BodyText"/>
        <w:spacing w:line="316" w:lineRule="auto" w:before="44"/>
        <w:ind w:left="612" w:right="247"/>
        <w:jc w:val="both"/>
      </w:pPr>
      <w:r>
        <w:rPr/>
        <w:br w:type="column"/>
      </w:r>
      <w:r>
        <w:rPr/>
        <w:t>自本附加合同生效（或复效）之日起一百八十天后至合同期满，若被保险人首次发病并经本公司指定或认可的医疗机构确诊初次患上本附加合同附表一约定的一项或多项重大疾病，本公司每月向重大疾病保险金受益人给付人民币两千元的重大疾病康复补贴金，给付三十六个月，共人民币七万两千元整。给付完毕后本附加合同终止，同时主合同终止。</w:t>
      </w:r>
    </w:p>
    <w:p>
      <w:pPr>
        <w:spacing w:after="0" w:line="316" w:lineRule="auto"/>
        <w:jc w:val="both"/>
        <w:sectPr>
          <w:type w:val="continuous"/>
          <w:pgSz w:w="11910" w:h="16840"/>
          <w:pgMar w:top="1040" w:bottom="1180" w:left="1080" w:right="720"/>
          <w:cols w:num="2" w:equalWidth="0">
            <w:col w:w="1961" w:space="40"/>
            <w:col w:w="8109"/>
          </w:cols>
        </w:sectPr>
      </w:pPr>
    </w:p>
    <w:p>
      <w:pPr>
        <w:pStyle w:val="BodyText"/>
        <w:spacing w:before="5"/>
        <w:rPr>
          <w:sz w:val="15"/>
        </w:rPr>
      </w:pPr>
    </w:p>
    <w:p>
      <w:pPr>
        <w:pStyle w:val="ListParagraph"/>
        <w:numPr>
          <w:ilvl w:val="1"/>
          <w:numId w:val="8"/>
        </w:numPr>
        <w:tabs>
          <w:tab w:pos="906" w:val="left" w:leader="none"/>
          <w:tab w:pos="907" w:val="left" w:leader="none"/>
          <w:tab w:pos="2613" w:val="left" w:leader="none"/>
        </w:tabs>
        <w:spacing w:line="240" w:lineRule="auto" w:before="45" w:after="0"/>
        <w:ind w:left="906" w:right="0" w:hanging="682"/>
        <w:jc w:val="left"/>
        <w:rPr>
          <w:sz w:val="18"/>
        </w:rPr>
      </w:pPr>
      <w:r>
        <w:rPr>
          <w:b/>
          <w:position w:val="-4"/>
          <w:sz w:val="21"/>
        </w:rPr>
        <w:t>责任免除</w:t>
        <w:tab/>
      </w:r>
      <w:r>
        <w:rPr>
          <w:sz w:val="18"/>
        </w:rPr>
        <w:t>被保险人因下列情形之一导致患本附加合同约定的重大疾病的，本公司不承担保险责任：</w:t>
      </w:r>
    </w:p>
    <w:p>
      <w:pPr>
        <w:pStyle w:val="Heading3"/>
        <w:spacing w:before="22"/>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4"/>
          <w:w w:val="99"/>
          <w:sz w:val="18"/>
        </w:rPr>
        <w:t>或驾驶无有效行驶证</w:t>
      </w:r>
      <w:r>
        <w:rPr>
          <w:sz w:val="18"/>
        </w:rPr>
        <w:t>（见</w:t>
      </w:r>
    </w:p>
    <w:p>
      <w:pPr>
        <w:spacing w:before="76"/>
        <w:ind w:left="3010" w:right="0" w:firstLine="0"/>
        <w:jc w:val="left"/>
        <w:rPr>
          <w:b/>
          <w:sz w:val="18"/>
        </w:rPr>
      </w:pPr>
      <w:r>
        <w:rPr>
          <w:w w:val="95"/>
          <w:sz w:val="18"/>
        </w:rPr>
        <w:t>8.7）</w:t>
      </w:r>
      <w:r>
        <w:rPr>
          <w:b/>
          <w:w w:val="95"/>
          <w:sz w:val="18"/>
        </w:rPr>
        <w:t>的机动车；</w:t>
      </w:r>
    </w:p>
    <w:p>
      <w:pPr>
        <w:pStyle w:val="Heading3"/>
        <w:spacing w:before="76"/>
        <w:rPr>
          <w:b w:val="0"/>
        </w:rPr>
      </w:pPr>
      <w:r>
        <w:rPr>
          <w:spacing w:val="0"/>
          <w:w w:val="99"/>
        </w:rPr>
        <w:t>7</w:t>
      </w:r>
      <w:r>
        <w:rPr>
          <w:w w:val="99"/>
        </w:rPr>
        <w:t>、</w:t>
      </w:r>
      <w:r>
        <w:rPr>
          <w:spacing w:val="35"/>
        </w:rPr>
        <w:t> </w:t>
      </w:r>
      <w:r>
        <w:rPr>
          <w:spacing w:val="-3"/>
          <w:w w:val="99"/>
        </w:rPr>
        <w:t>被保险人在本附加合同生效日起二年内患艾滋病</w:t>
      </w:r>
      <w:r>
        <w:rPr>
          <w:b w:val="0"/>
        </w:rPr>
        <w:t>（</w:t>
      </w:r>
      <w:r>
        <w:rPr>
          <w:b w:val="0"/>
          <w:spacing w:val="-23"/>
        </w:rPr>
        <w:t>见 </w:t>
      </w:r>
      <w:r>
        <w:rPr>
          <w:b w:val="0"/>
        </w:rPr>
        <w:t>8.8</w:t>
      </w:r>
      <w:r>
        <w:rPr>
          <w:b w:val="0"/>
          <w:spacing w:val="-146"/>
        </w:rPr>
        <w:t>）</w:t>
      </w:r>
      <w:r>
        <w:rPr>
          <w:spacing w:val="0"/>
          <w:w w:val="99"/>
        </w:rPr>
        <w:t>（A</w:t>
      </w:r>
      <w:r>
        <w:rPr>
          <w:w w:val="99"/>
        </w:rPr>
        <w:t>I</w:t>
      </w:r>
      <w:r>
        <w:rPr>
          <w:spacing w:val="0"/>
          <w:w w:val="99"/>
        </w:rPr>
        <w:t>DS</w:t>
      </w:r>
      <w:r>
        <w:rPr>
          <w:spacing w:val="-56"/>
          <w:w w:val="99"/>
        </w:rPr>
        <w:t>）</w:t>
      </w:r>
      <w:r>
        <w:rPr>
          <w:spacing w:val="-7"/>
          <w:w w:val="99"/>
        </w:rPr>
        <w:t>或感染艾滋病病毒</w:t>
      </w:r>
      <w:r>
        <w:rPr>
          <w:b w:val="0"/>
        </w:rPr>
        <w:t>（见</w:t>
      </w:r>
    </w:p>
    <w:p>
      <w:pPr>
        <w:spacing w:before="76"/>
        <w:ind w:left="3030"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3"/>
        <w:spacing w:before="76"/>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ind w:left="2613" w:right="247"/>
      </w:pPr>
      <w:r>
        <w:rPr/>
        <w:t>因上述情形之一导致被保险人患本附加合同约定的重大疾病的，本公司向您或其他权利人退还本附加合同的</w:t>
      </w:r>
      <w:r>
        <w:rPr>
          <w:b/>
          <w:w w:val="99"/>
        </w:rPr>
        <w:t>现金价值</w:t>
      </w:r>
      <w:r>
        <w:rPr>
          <w:spacing w:val="-2"/>
        </w:rPr>
        <w:t>（</w:t>
      </w:r>
      <w:r>
        <w:rPr>
          <w:spacing w:val="-23"/>
        </w:rPr>
        <w:t>见 </w:t>
      </w:r>
      <w:r>
        <w:rPr/>
        <w:t>8.10</w:t>
      </w:r>
      <w:r>
        <w:rPr>
          <w:spacing w:val="-90"/>
        </w:rPr>
        <w:t>）</w:t>
      </w:r>
      <w:r>
        <w:rPr/>
        <w:t>，本附加合同终止。</w:t>
      </w:r>
    </w:p>
    <w:p>
      <w:pPr>
        <w:pStyle w:val="Heading1"/>
        <w:tabs>
          <w:tab w:pos="907" w:val="left" w:leader="none"/>
        </w:tabs>
        <w:spacing w:before="118"/>
      </w:pPr>
      <w:r>
        <w:rPr/>
        <w:pict>
          <v:line style="position:absolute;mso-position-horizontal-relative:page;mso-position-vertical-relative:paragraph;z-index:1168;mso-wrap-distance-left:0;mso-wrap-distance-right:0" from="59.82pt,43.189911pt" to="553.5pt,43.189911pt" stroked="true" strokeweight=".48001pt" strokecolor="#000000">
            <v:stroke dashstyle="solid"/>
            <w10:wrap type="topAndBottom"/>
          </v:line>
        </w:pict>
      </w:r>
      <w:r>
        <w:rPr>
          <w:rFonts w:ascii="Yu Gothic" w:eastAsia="Yu Gothic" w:hint="eastAsia"/>
          <w:position w:val="-3"/>
          <w:sz w:val="40"/>
        </w:rPr>
        <w:t>O</w:t>
        <w:tab/>
      </w:r>
      <w:r>
        <w:rPr>
          <w:w w:val="95"/>
        </w:rPr>
        <w:t>如何申请领取保险金</w:t>
      </w:r>
    </w:p>
    <w:p>
      <w:pPr>
        <w:pStyle w:val="BodyText"/>
        <w:spacing w:before="10"/>
        <w:rPr>
          <w:b/>
          <w:sz w:val="11"/>
        </w:rPr>
      </w:pPr>
    </w:p>
    <w:p>
      <w:pPr>
        <w:pStyle w:val="ListParagraph"/>
        <w:numPr>
          <w:ilvl w:val="1"/>
          <w:numId w:val="9"/>
        </w:numPr>
        <w:tabs>
          <w:tab w:pos="907" w:val="left" w:leader="none"/>
          <w:tab w:pos="908" w:val="left" w:leader="none"/>
          <w:tab w:pos="2613" w:val="left" w:leader="none"/>
        </w:tabs>
        <w:spacing w:line="240" w:lineRule="auto" w:before="44" w:after="0"/>
        <w:ind w:left="2613" w:right="0" w:hanging="2389"/>
        <w:jc w:val="left"/>
        <w:rPr>
          <w:sz w:val="18"/>
        </w:rPr>
      </w:pPr>
      <w:r>
        <w:rPr>
          <w:b/>
          <w:position w:val="-4"/>
          <w:sz w:val="21"/>
        </w:rPr>
        <w:t>受益人的指定</w:t>
        <w:tab/>
      </w:r>
      <w:r>
        <w:rPr>
          <w:sz w:val="18"/>
        </w:rPr>
        <w:t>除另有指定之外，本附加合同的受益人为被保险人本人。</w:t>
      </w:r>
    </w:p>
    <w:p>
      <w:pPr>
        <w:pStyle w:val="BodyText"/>
        <w:spacing w:before="10"/>
        <w:rPr>
          <w:sz w:val="29"/>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保险金的申请</w:t>
        <w:tab/>
      </w:r>
      <w:r>
        <w:rPr>
          <w:sz w:val="18"/>
        </w:rPr>
        <w:t>1、重大疾病保险金</w:t>
      </w:r>
    </w:p>
    <w:p>
      <w:pPr>
        <w:pStyle w:val="BodyText"/>
        <w:spacing w:line="316" w:lineRule="auto" w:before="21"/>
        <w:ind w:left="2613" w:right="173"/>
      </w:pPr>
      <w:r>
        <w:rPr/>
        <w:t>重大疾病保险金受益人申请重大疾病保险金时，须填写保险金给付申请书,并提供下列证明材料：</w:t>
      </w:r>
    </w:p>
    <w:p>
      <w:pPr>
        <w:pStyle w:val="ListParagraph"/>
        <w:numPr>
          <w:ilvl w:val="2"/>
          <w:numId w:val="9"/>
        </w:numPr>
        <w:tabs>
          <w:tab w:pos="3034" w:val="left" w:leader="none"/>
        </w:tabs>
        <w:spacing w:line="240" w:lineRule="auto" w:before="18" w:after="0"/>
        <w:ind w:left="3033" w:right="0" w:hanging="420"/>
        <w:jc w:val="left"/>
        <w:rPr>
          <w:sz w:val="18"/>
        </w:rPr>
      </w:pPr>
      <w:r>
        <w:rPr>
          <w:sz w:val="18"/>
        </w:rPr>
        <w:t>保险合同；</w:t>
      </w:r>
    </w:p>
    <w:p>
      <w:pPr>
        <w:pStyle w:val="ListParagraph"/>
        <w:numPr>
          <w:ilvl w:val="2"/>
          <w:numId w:val="9"/>
        </w:numPr>
        <w:tabs>
          <w:tab w:pos="3034" w:val="left" w:leader="none"/>
        </w:tabs>
        <w:spacing w:line="240" w:lineRule="auto" w:before="76" w:after="0"/>
        <w:ind w:left="3033" w:right="0" w:hanging="420"/>
        <w:jc w:val="left"/>
        <w:rPr>
          <w:sz w:val="18"/>
        </w:rPr>
      </w:pPr>
      <w:r>
        <w:rPr>
          <w:sz w:val="18"/>
        </w:rPr>
        <w:t>受益人的有效身份证件；</w:t>
      </w:r>
    </w:p>
    <w:p>
      <w:pPr>
        <w:pStyle w:val="ListParagraph"/>
        <w:numPr>
          <w:ilvl w:val="2"/>
          <w:numId w:val="9"/>
        </w:numPr>
        <w:tabs>
          <w:tab w:pos="3034" w:val="left" w:leader="none"/>
        </w:tabs>
        <w:spacing w:line="316" w:lineRule="auto" w:before="76" w:after="0"/>
        <w:ind w:left="3033" w:right="228" w:hanging="420"/>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9"/>
        </w:numPr>
        <w:tabs>
          <w:tab w:pos="3064" w:val="left" w:leader="none"/>
        </w:tabs>
        <w:spacing w:line="240" w:lineRule="auto" w:before="18" w:after="0"/>
        <w:ind w:left="3063" w:right="0" w:hanging="450"/>
        <w:jc w:val="left"/>
        <w:rPr>
          <w:sz w:val="18"/>
        </w:rPr>
      </w:pPr>
      <w:r>
        <w:rPr>
          <w:sz w:val="18"/>
        </w:rPr>
        <w:t>所能提供的与确认保险事故的性质、原因有关的证明文件和资料。</w:t>
      </w:r>
    </w:p>
    <w:p>
      <w:pPr>
        <w:pStyle w:val="BodyText"/>
        <w:spacing w:before="0"/>
      </w:pPr>
    </w:p>
    <w:p>
      <w:pPr>
        <w:pStyle w:val="BodyText"/>
        <w:spacing w:before="152"/>
        <w:ind w:left="2613"/>
      </w:pPr>
      <w:r>
        <w:rPr/>
        <w:t>以上证明和资料不完整的，本公司将及时一次性通知申请人补充提供有关证明和资料。</w:t>
      </w:r>
    </w:p>
    <w:p>
      <w:pPr>
        <w:spacing w:after="0"/>
        <w:sectPr>
          <w:type w:val="continuous"/>
          <w:pgSz w:w="11910" w:h="16840"/>
          <w:pgMar w:top="1040" w:bottom="1180" w:left="1080" w:right="720"/>
        </w:sectPr>
      </w:pPr>
    </w:p>
    <w:p>
      <w:pPr>
        <w:pStyle w:val="BodyText"/>
        <w:spacing w:before="3"/>
        <w:rPr>
          <w:sz w:val="20"/>
        </w:rPr>
      </w:pPr>
    </w:p>
    <w:p>
      <w:pPr>
        <w:pStyle w:val="BodyText"/>
        <w:spacing w:before="44"/>
        <w:ind w:left="2613"/>
      </w:pPr>
      <w:r>
        <w:rPr/>
        <w:t>2、如委托他人代为申领，还应提供授权委托书及受托人的有效身份证件。</w:t>
      </w:r>
    </w:p>
    <w:p>
      <w:pPr>
        <w:pStyle w:val="BodyText"/>
        <w:spacing w:before="1"/>
        <w:rPr>
          <w:sz w:val="23"/>
        </w:rPr>
      </w:pPr>
    </w:p>
    <w:p>
      <w:pPr>
        <w:pStyle w:val="ListParagraph"/>
        <w:numPr>
          <w:ilvl w:val="1"/>
          <w:numId w:val="9"/>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欠款的扣除</w:t>
        <w:tab/>
      </w:r>
      <w:r>
        <w:rPr>
          <w:sz w:val="18"/>
        </w:rPr>
        <w:t>本公司给付各项保险金、返还现金价值或保险费时，如本附加合同有借款、欠交保险费，则 本公司扣除未清偿的借款及应付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0"/>
        <w:rPr>
          <w:sz w:val="22"/>
        </w:rPr>
      </w:pPr>
    </w:p>
    <w:p>
      <w:pPr>
        <w:pStyle w:val="BodyText"/>
        <w:tabs>
          <w:tab w:pos="907" w:val="left" w:leader="none"/>
          <w:tab w:pos="2613" w:val="left" w:leader="none"/>
        </w:tabs>
        <w:spacing w:line="259" w:lineRule="auto" w:before="0"/>
        <w:ind w:left="2613" w:right="221" w:hanging="2390"/>
      </w:pPr>
      <w:r>
        <w:rPr>
          <w:b/>
          <w:position w:val="-4"/>
          <w:sz w:val="21"/>
        </w:rPr>
        <w:t>3.3</w:t>
        <w:tab/>
        <w:t>诉讼时效</w:t>
        <w:tab/>
      </w:r>
      <w:r>
        <w:rPr/>
        <w:t>本附加合同的受益人向本公司请求给付保险金的诉讼时效期间为二年，自其知道或者应当知 道保险事故发生之日起计算。</w:t>
      </w:r>
    </w:p>
    <w:p>
      <w:pPr>
        <w:pStyle w:val="BodyText"/>
        <w:spacing w:before="4"/>
        <w:rPr>
          <w:sz w:val="21"/>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92;mso-wrap-distance-left:0;mso-wrap-distance-right:0" from="59.82pt,31.398884pt" to="553.5pt,31.398884pt" stroked="true" strokeweight=".48004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10"/>
        <w:rPr>
          <w:b/>
          <w:sz w:val="11"/>
        </w:rPr>
      </w:pPr>
    </w:p>
    <w:p>
      <w:pPr>
        <w:pStyle w:val="BodyText"/>
        <w:tabs>
          <w:tab w:pos="907" w:val="left" w:leader="none"/>
          <w:tab w:pos="2613" w:val="left" w:leader="none"/>
        </w:tabs>
        <w:spacing w:line="259" w:lineRule="auto" w:before="44"/>
        <w:ind w:left="2613" w:right="221" w:hanging="2390"/>
      </w:pPr>
      <w:r>
        <w:rPr>
          <w:b/>
          <w:position w:val="-4"/>
          <w:sz w:val="21"/>
        </w:rPr>
        <w:t>4.1</w:t>
        <w:tab/>
        <w:t>保险费的交付</w:t>
        <w:tab/>
      </w:r>
      <w:r>
        <w:rPr/>
        <w:t>本附加合同保险费的交付方式与主合同相同，且须与主合同同时交付保险费，本附加合同保 险费不能单独交付。</w:t>
      </w:r>
    </w:p>
    <w:p>
      <w:pPr>
        <w:pStyle w:val="BodyText"/>
        <w:spacing w:before="3"/>
        <w:rPr>
          <w:sz w:val="21"/>
        </w:rPr>
      </w:pPr>
    </w:p>
    <w:p>
      <w:pPr>
        <w:tabs>
          <w:tab w:pos="907" w:val="left" w:leader="none"/>
        </w:tabs>
        <w:spacing w:line="558" w:lineRule="exact" w:before="0"/>
        <w:ind w:left="224" w:right="0" w:firstLine="0"/>
        <w:jc w:val="left"/>
        <w:rPr>
          <w:b/>
          <w:sz w:val="24"/>
        </w:rPr>
      </w:pPr>
      <w:r>
        <w:rPr/>
        <w:pict>
          <v:line style="position:absolute;mso-position-horizontal-relative:page;mso-position-vertical-relative:paragraph;z-index:1216;mso-wrap-distance-left:0;mso-wrap-distance-right:0" from="59.82pt,31.433987pt" to="553.5pt,31.433987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11"/>
        <w:rPr>
          <w:b/>
          <w:sz w:val="11"/>
        </w:rPr>
      </w:pPr>
    </w:p>
    <w:p>
      <w:pPr>
        <w:pStyle w:val="ListParagraph"/>
        <w:numPr>
          <w:ilvl w:val="1"/>
          <w:numId w:val="10"/>
        </w:numPr>
        <w:tabs>
          <w:tab w:pos="907" w:val="left" w:leader="none"/>
          <w:tab w:pos="908" w:val="left" w:leader="none"/>
          <w:tab w:pos="2613" w:val="left" w:leader="none"/>
        </w:tabs>
        <w:spacing w:line="259" w:lineRule="auto" w:before="45" w:after="0"/>
        <w:ind w:left="2613" w:right="221" w:hanging="2389"/>
        <w:jc w:val="left"/>
        <w:rPr>
          <w:sz w:val="18"/>
        </w:rPr>
      </w:pPr>
      <w:r>
        <w:rPr>
          <w:b/>
          <w:position w:val="-4"/>
          <w:sz w:val="21"/>
        </w:rPr>
        <w:t>现金价值</w:t>
        <w:tab/>
      </w:r>
      <w:r>
        <w:rPr>
          <w:sz w:val="18"/>
        </w:rPr>
        <w:t>本附加合同保单年度末的现金价值会在保险单上载明，保单年度内的现金价值，您可以向本 公司咨询。</w:t>
      </w:r>
    </w:p>
    <w:p>
      <w:pPr>
        <w:pStyle w:val="BodyText"/>
        <w:spacing w:line="316" w:lineRule="auto" w:before="62"/>
        <w:ind w:left="2613" w:right="221"/>
        <w:jc w:val="both"/>
      </w:pPr>
      <w:r>
        <w:rPr/>
        <w:t>如果被保险人被确诊患有本附加合同附表一中约定的一项或多项重大疾病，且本公司已经按约定给付重大疾病保险金，自本公司履行给付重大疾病保险金责任时刻起，本附加合同的现金价值为零。</w:t>
      </w:r>
    </w:p>
    <w:p>
      <w:pPr>
        <w:pStyle w:val="BodyText"/>
        <w:spacing w:before="9"/>
      </w:pPr>
    </w:p>
    <w:p>
      <w:pPr>
        <w:pStyle w:val="ListParagraph"/>
        <w:numPr>
          <w:ilvl w:val="1"/>
          <w:numId w:val="10"/>
        </w:numPr>
        <w:tabs>
          <w:tab w:pos="907" w:val="left" w:leader="none"/>
          <w:tab w:pos="908" w:val="left" w:leader="none"/>
          <w:tab w:pos="2613" w:val="left" w:leader="none"/>
        </w:tabs>
        <w:spacing w:line="259" w:lineRule="auto" w:before="1" w:after="0"/>
        <w:ind w:left="2613" w:right="221" w:hanging="2389"/>
        <w:jc w:val="left"/>
        <w:rPr>
          <w:sz w:val="18"/>
        </w:rPr>
      </w:pPr>
      <w:r>
        <w:rPr>
          <w:b/>
          <w:position w:val="-4"/>
          <w:sz w:val="21"/>
        </w:rPr>
        <w:t>保险单借款</w:t>
        <w:tab/>
      </w:r>
      <w:r>
        <w:rPr>
          <w:sz w:val="18"/>
        </w:rPr>
        <w:t>您对主合同申请保单借款时，本附加合同应同时进行保单借款，借款比例和利息计算方式与 主合同一致。您不能单独对本附加合同进行保单借款。</w:t>
      </w:r>
    </w:p>
    <w:p>
      <w:pPr>
        <w:pStyle w:val="Heading1"/>
        <w:numPr>
          <w:ilvl w:val="0"/>
          <w:numId w:val="11"/>
        </w:numPr>
        <w:tabs>
          <w:tab w:pos="907" w:val="left" w:leader="none"/>
          <w:tab w:pos="908" w:val="left" w:leader="none"/>
        </w:tabs>
        <w:spacing w:line="240" w:lineRule="auto" w:before="161" w:after="0"/>
        <w:ind w:left="907" w:right="0" w:hanging="683"/>
        <w:jc w:val="left"/>
      </w:pPr>
      <w:r>
        <w:rPr/>
        <w:pict>
          <v:line style="position:absolute;mso-position-horizontal-relative:page;mso-position-vertical-relative:paragraph;z-index:1240;mso-wrap-distance-left:0;mso-wrap-distance-right:0" from="59.82pt,45.339787pt" to="553.5pt,45.339787pt" stroked="true" strokeweight=".48001pt" strokecolor="#000000">
            <v:stroke dashstyle="solid"/>
            <w10:wrap type="topAndBottom"/>
          </v:line>
        </w:pict>
      </w:r>
      <w:r>
        <w:rPr>
          <w:w w:val="95"/>
        </w:rPr>
        <w:t>如何解除保险合同</w:t>
      </w:r>
    </w:p>
    <w:p>
      <w:pPr>
        <w:pStyle w:val="BodyText"/>
        <w:spacing w:before="10"/>
        <w:rPr>
          <w:b/>
          <w:sz w:val="11"/>
        </w:rPr>
      </w:pPr>
    </w:p>
    <w:p>
      <w:pPr>
        <w:spacing w:after="0"/>
        <w:rPr>
          <w:sz w:val="11"/>
        </w:rPr>
        <w:sectPr>
          <w:pgSz w:w="11910" w:h="16840"/>
          <w:pgMar w:header="877" w:footer="981" w:top="1100" w:bottom="1180" w:left="1080" w:right="720"/>
        </w:sectPr>
      </w:pPr>
    </w:p>
    <w:p>
      <w:pPr>
        <w:pStyle w:val="Heading2"/>
        <w:tabs>
          <w:tab w:pos="907" w:val="left" w:leader="none"/>
        </w:tabs>
        <w:spacing w:line="340" w:lineRule="auto" w:before="58"/>
        <w:ind w:left="907" w:hanging="683"/>
      </w:pPr>
      <w:r>
        <w:rPr/>
        <w:t>6.1</w:t>
        <w:tab/>
        <w:t>您解除合同的手 续及风险</w:t>
      </w:r>
    </w:p>
    <w:p>
      <w:pPr>
        <w:pStyle w:val="BodyText"/>
        <w:spacing w:line="316" w:lineRule="auto" w:before="44"/>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288"/>
      </w:pPr>
      <w:r>
        <w:rPr/>
        <w:t>本公司自收到上述证明和材料之日起三十日内，返还本附加合同的现金价值。您解除本附加合同须同时解除主合同。</w:t>
      </w:r>
    </w:p>
    <w:p>
      <w:pPr>
        <w:pStyle w:val="BodyText"/>
        <w:spacing w:before="18"/>
        <w:ind w:left="172"/>
      </w:pPr>
      <w:r>
        <w:rPr/>
        <w:t>您在犹豫期后解除合同会遭受一定损失。</w:t>
      </w:r>
    </w:p>
    <w:p>
      <w:pPr>
        <w:pStyle w:val="BodyText"/>
        <w:ind w:left="172"/>
      </w:pPr>
      <w:r>
        <w:rPr/>
        <w:t>解除合同后，受益人不能对合同解除前发生的保险事故申请给付保险金。</w:t>
      </w:r>
    </w:p>
    <w:p>
      <w:pPr>
        <w:spacing w:after="0"/>
        <w:sectPr>
          <w:type w:val="continuous"/>
          <w:pgSz w:w="11910" w:h="16840"/>
          <w:pgMar w:top="1040" w:bottom="1180" w:left="1080" w:right="720"/>
          <w:cols w:num="2" w:equalWidth="0">
            <w:col w:w="2402" w:space="40"/>
            <w:col w:w="7668"/>
          </w:cols>
        </w:sectPr>
      </w:pPr>
    </w:p>
    <w:p>
      <w:pPr>
        <w:pStyle w:val="BodyText"/>
        <w:spacing w:before="6"/>
        <w:rPr>
          <w:sz w:val="22"/>
        </w:rPr>
      </w:pPr>
    </w:p>
    <w:p>
      <w:pPr>
        <w:pStyle w:val="Heading1"/>
        <w:tabs>
          <w:tab w:pos="907" w:val="left" w:leader="none"/>
        </w:tabs>
        <w:spacing w:line="557" w:lineRule="exact"/>
      </w:pPr>
      <w:r>
        <w:rPr/>
        <w:pict>
          <v:line style="position:absolute;mso-position-horizontal-relative:page;mso-position-vertical-relative:paragraph;z-index:1264;mso-wrap-distance-left:0;mso-wrap-distance-right:0" from="59.82pt,31.391777pt" to="553.5pt,31.391777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3"/>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本附加合同投保范围与主合同相同。</w:t>
      </w:r>
    </w:p>
    <w:p>
      <w:pPr>
        <w:pStyle w:val="BodyText"/>
        <w:spacing w:before="1"/>
        <w:rPr>
          <w:sz w:val="22"/>
        </w:rPr>
      </w:pPr>
    </w:p>
    <w:p>
      <w:pPr>
        <w:tabs>
          <w:tab w:pos="907" w:val="left" w:leader="none"/>
        </w:tabs>
        <w:spacing w:before="0"/>
        <w:ind w:left="224" w:right="0" w:firstLine="0"/>
        <w:jc w:val="left"/>
        <w:rPr>
          <w:b/>
          <w:sz w:val="24"/>
        </w:rPr>
      </w:pPr>
      <w:r>
        <w:rPr/>
        <w:pict>
          <v:line style="position:absolute;mso-position-horizontal-relative:page;mso-position-vertical-relative:paragraph;z-index:1288;mso-wrap-distance-left:0;mso-wrap-distance-right:0" from="59.82pt,37.289799pt" to="553.5pt,37.289799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10"/>
        <w:rPr>
          <w:b/>
          <w:sz w:val="11"/>
        </w:rPr>
      </w:pPr>
    </w:p>
    <w:p>
      <w:pPr>
        <w:tabs>
          <w:tab w:pos="907" w:val="left" w:leader="none"/>
          <w:tab w:pos="2613" w:val="left" w:leader="none"/>
        </w:tabs>
        <w:spacing w:before="44"/>
        <w:ind w:left="224" w:right="0" w:firstLine="0"/>
        <w:jc w:val="left"/>
        <w:rPr>
          <w:sz w:val="18"/>
        </w:rPr>
      </w:pPr>
      <w:r>
        <w:rPr>
          <w:b/>
          <w:position w:val="-4"/>
          <w:sz w:val="21"/>
        </w:rPr>
        <w:t>8.1</w:t>
        <w:tab/>
        <w:t>有效身份证件</w:t>
        <w:tab/>
      </w:r>
      <w:r>
        <w:rPr>
          <w:sz w:val="18"/>
        </w:rPr>
        <w:t>指由政府主管部门规定的证明其身份的证件，如：居民身份证、按规定可使用的有效护照、</w:t>
      </w:r>
    </w:p>
    <w:p>
      <w:pPr>
        <w:spacing w:after="0"/>
        <w:jc w:val="left"/>
        <w:rPr>
          <w:sz w:val="18"/>
        </w:rPr>
        <w:sectPr>
          <w:type w:val="continuous"/>
          <w:pgSz w:w="11910" w:h="16840"/>
          <w:pgMar w:top="1040" w:bottom="1180" w:left="1080" w:right="720"/>
        </w:sectPr>
      </w:pPr>
    </w:p>
    <w:p>
      <w:pPr>
        <w:pStyle w:val="BodyText"/>
        <w:spacing w:before="0"/>
        <w:rPr>
          <w:rFonts w:ascii="Times New Roman"/>
          <w:sz w:val="20"/>
        </w:rPr>
      </w:pPr>
    </w:p>
    <w:p>
      <w:pPr>
        <w:pStyle w:val="BodyText"/>
        <w:spacing w:before="8"/>
        <w:rPr>
          <w:rFonts w:ascii="Times New Roman"/>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1743"/>
        <w:gridCol w:w="7448"/>
      </w:tblGrid>
      <w:tr>
        <w:trPr>
          <w:trHeight w:val="359" w:hRule="atLeast"/>
        </w:trPr>
        <w:tc>
          <w:tcPr>
            <w:tcW w:w="2309" w:type="dxa"/>
            <w:gridSpan w:val="2"/>
          </w:tcPr>
          <w:p>
            <w:pPr>
              <w:pStyle w:val="TableParagraph"/>
              <w:rPr>
                <w:rFonts w:ascii="Times New Roman"/>
                <w:sz w:val="18"/>
              </w:rPr>
            </w:pPr>
          </w:p>
        </w:tc>
        <w:tc>
          <w:tcPr>
            <w:tcW w:w="7448" w:type="dxa"/>
          </w:tcPr>
          <w:p>
            <w:pPr>
              <w:pStyle w:val="TableParagraph"/>
              <w:spacing w:line="180" w:lineRule="exact"/>
              <w:ind w:left="130"/>
              <w:rPr>
                <w:sz w:val="18"/>
              </w:rPr>
            </w:pPr>
            <w:r>
              <w:rPr>
                <w:sz w:val="18"/>
              </w:rPr>
              <w:t>军官证、警官证、士兵证、户口簿等证件。</w:t>
            </w:r>
          </w:p>
        </w:tc>
      </w:tr>
      <w:tr>
        <w:trPr>
          <w:trHeight w:val="850" w:hRule="atLeast"/>
        </w:trPr>
        <w:tc>
          <w:tcPr>
            <w:tcW w:w="566" w:type="dxa"/>
          </w:tcPr>
          <w:p>
            <w:pPr>
              <w:pStyle w:val="TableParagraph"/>
              <w:spacing w:before="138"/>
              <w:ind w:left="50"/>
              <w:rPr>
                <w:b/>
                <w:sz w:val="21"/>
              </w:rPr>
            </w:pPr>
            <w:r>
              <w:rPr>
                <w:b/>
                <w:sz w:val="21"/>
              </w:rPr>
              <w:t>8.2</w:t>
            </w:r>
          </w:p>
        </w:tc>
        <w:tc>
          <w:tcPr>
            <w:tcW w:w="1743" w:type="dxa"/>
          </w:tcPr>
          <w:p>
            <w:pPr>
              <w:pStyle w:val="TableParagraph"/>
              <w:spacing w:before="138"/>
              <w:ind w:left="166"/>
              <w:rPr>
                <w:b/>
                <w:sz w:val="21"/>
              </w:rPr>
            </w:pPr>
            <w:r>
              <w:rPr>
                <w:b/>
                <w:w w:val="95"/>
                <w:sz w:val="21"/>
              </w:rPr>
              <w:t>发病</w:t>
            </w:r>
          </w:p>
        </w:tc>
        <w:tc>
          <w:tcPr>
            <w:tcW w:w="7448" w:type="dxa"/>
          </w:tcPr>
          <w:p>
            <w:pPr>
              <w:pStyle w:val="TableParagraph"/>
              <w:spacing w:line="316" w:lineRule="auto" w:before="124"/>
              <w:ind w:left="130" w:right="48"/>
              <w:rPr>
                <w:sz w:val="18"/>
              </w:rPr>
            </w:pPr>
            <w:r>
              <w:rPr>
                <w:sz w:val="18"/>
              </w:rPr>
              <w:t>指被保险人出现本附加合同附表一所约定的重大疾病的前兆或异常的身体状况，或已经出现足以使一般人士引起注意并寻求诊断、治疗或护理的病症。</w:t>
            </w:r>
          </w:p>
        </w:tc>
      </w:tr>
      <w:tr>
        <w:trPr>
          <w:trHeight w:val="502" w:hRule="atLeast"/>
        </w:trPr>
        <w:tc>
          <w:tcPr>
            <w:tcW w:w="566" w:type="dxa"/>
          </w:tcPr>
          <w:p>
            <w:pPr>
              <w:pStyle w:val="TableParagraph"/>
              <w:spacing w:before="138"/>
              <w:ind w:left="50"/>
              <w:rPr>
                <w:b/>
                <w:sz w:val="21"/>
              </w:rPr>
            </w:pPr>
            <w:r>
              <w:rPr>
                <w:b/>
                <w:sz w:val="21"/>
              </w:rPr>
              <w:t>8.3</w:t>
            </w:r>
          </w:p>
        </w:tc>
        <w:tc>
          <w:tcPr>
            <w:tcW w:w="1743" w:type="dxa"/>
          </w:tcPr>
          <w:p>
            <w:pPr>
              <w:pStyle w:val="TableParagraph"/>
              <w:spacing w:before="138"/>
              <w:ind w:left="166"/>
              <w:rPr>
                <w:b/>
                <w:sz w:val="21"/>
              </w:rPr>
            </w:pPr>
            <w:r>
              <w:rPr>
                <w:b/>
                <w:sz w:val="21"/>
              </w:rPr>
              <w:t>指定或认可的医</w:t>
            </w:r>
          </w:p>
        </w:tc>
        <w:tc>
          <w:tcPr>
            <w:tcW w:w="7448" w:type="dxa"/>
          </w:tcPr>
          <w:p>
            <w:pPr>
              <w:pStyle w:val="TableParagraph"/>
              <w:spacing w:before="124"/>
              <w:ind w:left="130"/>
              <w:rPr>
                <w:sz w:val="18"/>
              </w:rPr>
            </w:pPr>
            <w:r>
              <w:rPr>
                <w:sz w:val="18"/>
              </w:rPr>
              <w:t>指中华人民共和国境内(港澳台地区除外)，投保地所在省、市、自治区范围内的卫生行政部</w:t>
            </w:r>
          </w:p>
        </w:tc>
      </w:tr>
      <w:tr>
        <w:trPr>
          <w:trHeight w:val="483" w:hRule="atLeast"/>
        </w:trPr>
        <w:tc>
          <w:tcPr>
            <w:tcW w:w="566" w:type="dxa"/>
          </w:tcPr>
          <w:p>
            <w:pPr>
              <w:pStyle w:val="TableParagraph"/>
              <w:rPr>
                <w:rFonts w:ascii="Times New Roman"/>
                <w:sz w:val="18"/>
              </w:rPr>
            </w:pPr>
          </w:p>
        </w:tc>
        <w:tc>
          <w:tcPr>
            <w:tcW w:w="1743" w:type="dxa"/>
          </w:tcPr>
          <w:p>
            <w:pPr>
              <w:pStyle w:val="TableParagraph"/>
              <w:spacing w:before="25"/>
              <w:ind w:left="166"/>
              <w:rPr>
                <w:b/>
                <w:sz w:val="21"/>
              </w:rPr>
            </w:pPr>
            <w:r>
              <w:rPr>
                <w:b/>
                <w:sz w:val="21"/>
              </w:rPr>
              <w:t>疗机构</w:t>
            </w:r>
          </w:p>
        </w:tc>
        <w:tc>
          <w:tcPr>
            <w:tcW w:w="7448" w:type="dxa"/>
          </w:tcPr>
          <w:p>
            <w:pPr>
              <w:pStyle w:val="TableParagraph"/>
              <w:spacing w:line="169" w:lineRule="exact"/>
              <w:ind w:left="130"/>
              <w:rPr>
                <w:sz w:val="18"/>
              </w:rPr>
            </w:pPr>
            <w:r>
              <w:rPr>
                <w:sz w:val="18"/>
              </w:rPr>
              <w:t>门认可的二级甲等以上非营利性医疗机构。</w:t>
            </w:r>
          </w:p>
        </w:tc>
      </w:tr>
      <w:tr>
        <w:trPr>
          <w:trHeight w:val="452" w:hRule="atLeast"/>
        </w:trPr>
        <w:tc>
          <w:tcPr>
            <w:tcW w:w="566" w:type="dxa"/>
          </w:tcPr>
          <w:p>
            <w:pPr>
              <w:pStyle w:val="TableParagraph"/>
              <w:spacing w:before="118"/>
              <w:ind w:left="50"/>
              <w:rPr>
                <w:b/>
                <w:sz w:val="21"/>
              </w:rPr>
            </w:pPr>
            <w:r>
              <w:rPr>
                <w:b/>
                <w:sz w:val="21"/>
              </w:rPr>
              <w:t>8.4</w:t>
            </w:r>
          </w:p>
        </w:tc>
        <w:tc>
          <w:tcPr>
            <w:tcW w:w="1743" w:type="dxa"/>
          </w:tcPr>
          <w:p>
            <w:pPr>
              <w:pStyle w:val="TableParagraph"/>
              <w:spacing w:before="118"/>
              <w:ind w:left="91"/>
              <w:rPr>
                <w:b/>
                <w:sz w:val="21"/>
              </w:rPr>
            </w:pPr>
            <w:r>
              <w:rPr>
                <w:b/>
                <w:w w:val="95"/>
                <w:sz w:val="21"/>
              </w:rPr>
              <w:t>毒品</w:t>
            </w:r>
          </w:p>
        </w:tc>
        <w:tc>
          <w:tcPr>
            <w:tcW w:w="7448" w:type="dxa"/>
          </w:tcPr>
          <w:p>
            <w:pPr>
              <w:pStyle w:val="TableParagraph"/>
              <w:spacing w:before="144"/>
              <w:ind w:left="80"/>
              <w:rPr>
                <w:sz w:val="18"/>
              </w:rPr>
            </w:pPr>
            <w:r>
              <w:rPr>
                <w:sz w:val="18"/>
              </w:rPr>
              <w:t>指中华人民共和国刑法规定的鸦片、海洛因、甲基苯丙胺（冰毒</w:t>
            </w:r>
            <w:r>
              <w:rPr>
                <w:spacing w:val="-90"/>
                <w:sz w:val="18"/>
              </w:rPr>
              <w:t>）</w:t>
            </w:r>
            <w:r>
              <w:rPr>
                <w:sz w:val="18"/>
              </w:rPr>
              <w:t>、吗啡、大麻、可卡因以</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1"/>
              <w:rPr>
                <w:sz w:val="18"/>
              </w:rPr>
            </w:pPr>
            <w:r>
              <w:rPr>
                <w:sz w:val="18"/>
              </w:rPr>
              <w:t>及国家规定管制的其他能够使人形成瘾癖的麻醉药品和精神药品，但不包括由医生开具并遵</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1"/>
              <w:rPr>
                <w:sz w:val="18"/>
              </w:rPr>
            </w:pPr>
            <w:r>
              <w:rPr>
                <w:sz w:val="18"/>
              </w:rPr>
              <w:t>医嘱使用的用于治疗疾病但含有毒品成分的处方药品。</w:t>
            </w:r>
          </w:p>
        </w:tc>
      </w:tr>
      <w:tr>
        <w:trPr>
          <w:trHeight w:val="440" w:hRule="atLeast"/>
        </w:trPr>
        <w:tc>
          <w:tcPr>
            <w:tcW w:w="566" w:type="dxa"/>
          </w:tcPr>
          <w:p>
            <w:pPr>
              <w:pStyle w:val="TableParagraph"/>
              <w:spacing w:before="106"/>
              <w:ind w:left="50"/>
              <w:rPr>
                <w:b/>
                <w:sz w:val="21"/>
              </w:rPr>
            </w:pPr>
            <w:r>
              <w:rPr>
                <w:b/>
                <w:sz w:val="21"/>
              </w:rPr>
              <w:t>8.5</w:t>
            </w:r>
          </w:p>
        </w:tc>
        <w:tc>
          <w:tcPr>
            <w:tcW w:w="1743" w:type="dxa"/>
          </w:tcPr>
          <w:p>
            <w:pPr>
              <w:pStyle w:val="TableParagraph"/>
              <w:spacing w:before="106"/>
              <w:ind w:left="91"/>
              <w:rPr>
                <w:b/>
                <w:sz w:val="21"/>
              </w:rPr>
            </w:pPr>
            <w:r>
              <w:rPr>
                <w:b/>
                <w:sz w:val="21"/>
              </w:rPr>
              <w:t>酒后驾驶</w:t>
            </w:r>
          </w:p>
        </w:tc>
        <w:tc>
          <w:tcPr>
            <w:tcW w:w="7448" w:type="dxa"/>
          </w:tcPr>
          <w:p>
            <w:pPr>
              <w:pStyle w:val="TableParagraph"/>
              <w:spacing w:before="132"/>
              <w:ind w:left="80"/>
              <w:rPr>
                <w:sz w:val="18"/>
              </w:rPr>
            </w:pPr>
            <w:r>
              <w:rPr>
                <w:sz w:val="18"/>
              </w:rPr>
              <w:t>指经检测或鉴定，发生事故时车辆驾驶人员每百毫升血液中的酒精含量或呼气酒精含量达到</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0"/>
              <w:rPr>
                <w:sz w:val="18"/>
              </w:rPr>
            </w:pPr>
            <w:r>
              <w:rPr>
                <w:sz w:val="18"/>
              </w:rPr>
              <w:t>或超过一定的标准，公安机关交通管理部门依据《道路交通安全法》的规定认定为饮酒后驾</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0"/>
              <w:rPr>
                <w:sz w:val="18"/>
              </w:rPr>
            </w:pPr>
            <w:r>
              <w:rPr>
                <w:sz w:val="18"/>
              </w:rPr>
              <w:t>驶或醉酒后驾驶。</w:t>
            </w:r>
          </w:p>
        </w:tc>
      </w:tr>
      <w:tr>
        <w:trPr>
          <w:trHeight w:val="432" w:hRule="atLeast"/>
        </w:trPr>
        <w:tc>
          <w:tcPr>
            <w:tcW w:w="566" w:type="dxa"/>
          </w:tcPr>
          <w:p>
            <w:pPr>
              <w:pStyle w:val="TableParagraph"/>
              <w:spacing w:before="106"/>
              <w:ind w:left="50"/>
              <w:rPr>
                <w:b/>
                <w:sz w:val="21"/>
              </w:rPr>
            </w:pPr>
            <w:r>
              <w:rPr>
                <w:b/>
                <w:sz w:val="21"/>
              </w:rPr>
              <w:t>8.6</w:t>
            </w:r>
          </w:p>
        </w:tc>
        <w:tc>
          <w:tcPr>
            <w:tcW w:w="1743" w:type="dxa"/>
          </w:tcPr>
          <w:p>
            <w:pPr>
              <w:pStyle w:val="TableParagraph"/>
              <w:spacing w:before="106"/>
              <w:ind w:left="91"/>
              <w:rPr>
                <w:b/>
                <w:sz w:val="21"/>
              </w:rPr>
            </w:pPr>
            <w:r>
              <w:rPr>
                <w:b/>
                <w:w w:val="95"/>
                <w:sz w:val="21"/>
              </w:rPr>
              <w:t>无合法有效驾驶</w:t>
            </w:r>
          </w:p>
        </w:tc>
        <w:tc>
          <w:tcPr>
            <w:tcW w:w="7448" w:type="dxa"/>
          </w:tcPr>
          <w:p>
            <w:pPr>
              <w:pStyle w:val="TableParagraph"/>
              <w:spacing w:before="132"/>
              <w:ind w:left="80"/>
              <w:rPr>
                <w:sz w:val="18"/>
              </w:rPr>
            </w:pPr>
            <w:r>
              <w:rPr>
                <w:sz w:val="18"/>
              </w:rPr>
              <w:t>指下列情形之一：</w:t>
            </w:r>
          </w:p>
        </w:tc>
      </w:tr>
      <w:tr>
        <w:trPr>
          <w:trHeight w:val="320" w:hRule="atLeast"/>
        </w:trPr>
        <w:tc>
          <w:tcPr>
            <w:tcW w:w="566" w:type="dxa"/>
          </w:tcPr>
          <w:p>
            <w:pPr>
              <w:pStyle w:val="TableParagraph"/>
              <w:rPr>
                <w:rFonts w:ascii="Times New Roman"/>
                <w:sz w:val="18"/>
              </w:rPr>
            </w:pPr>
          </w:p>
        </w:tc>
        <w:tc>
          <w:tcPr>
            <w:tcW w:w="1743" w:type="dxa"/>
          </w:tcPr>
          <w:p>
            <w:pPr>
              <w:pStyle w:val="TableParagraph"/>
              <w:spacing w:line="261" w:lineRule="exact"/>
              <w:ind w:left="91"/>
              <w:rPr>
                <w:b/>
                <w:sz w:val="21"/>
              </w:rPr>
            </w:pPr>
            <w:r>
              <w:rPr>
                <w:b/>
                <w:sz w:val="21"/>
              </w:rPr>
              <w:t>证驾驶</w:t>
            </w:r>
          </w:p>
        </w:tc>
        <w:tc>
          <w:tcPr>
            <w:tcW w:w="7448" w:type="dxa"/>
          </w:tcPr>
          <w:p>
            <w:pPr>
              <w:pStyle w:val="TableParagraph"/>
              <w:spacing w:before="11"/>
              <w:ind w:left="80"/>
              <w:rPr>
                <w:sz w:val="18"/>
              </w:rPr>
            </w:pPr>
            <w:r>
              <w:rPr>
                <w:sz w:val="18"/>
              </w:rPr>
              <w:t>(1) 没有取得驾驶资格；</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0"/>
              <w:rPr>
                <w:sz w:val="18"/>
              </w:rPr>
            </w:pPr>
            <w:r>
              <w:rPr>
                <w:sz w:val="18"/>
              </w:rPr>
              <w:t>(2) 驾驶与驾驶证准驾车型不相符合的车辆；</w:t>
            </w:r>
          </w:p>
        </w:tc>
      </w:tr>
      <w:tr>
        <w:trPr>
          <w:trHeight w:val="311"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0"/>
              <w:rPr>
                <w:sz w:val="18"/>
              </w:rPr>
            </w:pPr>
            <w:r>
              <w:rPr>
                <w:sz w:val="18"/>
              </w:rPr>
              <w:t>(3) 持审验不合格的驾驶证驾驶；</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0"/>
              <w:rPr>
                <w:sz w:val="18"/>
              </w:rPr>
            </w:pPr>
            <w:r>
              <w:rPr>
                <w:sz w:val="18"/>
              </w:rPr>
              <w:t>(4) 持学习驾驶证学习驾车时，无教练员随车指导，或不按指定时间、路线学习驾车。</w:t>
            </w:r>
          </w:p>
        </w:tc>
      </w:tr>
      <w:tr>
        <w:trPr>
          <w:trHeight w:val="441" w:hRule="atLeast"/>
        </w:trPr>
        <w:tc>
          <w:tcPr>
            <w:tcW w:w="566" w:type="dxa"/>
          </w:tcPr>
          <w:p>
            <w:pPr>
              <w:pStyle w:val="TableParagraph"/>
              <w:spacing w:before="107"/>
              <w:ind w:left="50"/>
              <w:rPr>
                <w:b/>
                <w:sz w:val="21"/>
              </w:rPr>
            </w:pPr>
            <w:r>
              <w:rPr>
                <w:b/>
                <w:sz w:val="21"/>
              </w:rPr>
              <w:t>8.7</w:t>
            </w:r>
          </w:p>
        </w:tc>
        <w:tc>
          <w:tcPr>
            <w:tcW w:w="1743" w:type="dxa"/>
          </w:tcPr>
          <w:p>
            <w:pPr>
              <w:pStyle w:val="TableParagraph"/>
              <w:spacing w:before="107"/>
              <w:ind w:left="91"/>
              <w:rPr>
                <w:b/>
                <w:sz w:val="21"/>
              </w:rPr>
            </w:pPr>
            <w:r>
              <w:rPr>
                <w:b/>
                <w:w w:val="95"/>
                <w:sz w:val="21"/>
              </w:rPr>
              <w:t>无有效行驶证</w:t>
            </w:r>
          </w:p>
        </w:tc>
        <w:tc>
          <w:tcPr>
            <w:tcW w:w="7448" w:type="dxa"/>
          </w:tcPr>
          <w:p>
            <w:pPr>
              <w:pStyle w:val="TableParagraph"/>
              <w:spacing w:before="132"/>
              <w:ind w:left="80"/>
              <w:rPr>
                <w:sz w:val="18"/>
              </w:rPr>
            </w:pPr>
            <w:r>
              <w:rPr>
                <w:sz w:val="18"/>
              </w:rPr>
              <w:t>指下列情形之一：</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0"/>
              <w:rPr>
                <w:sz w:val="18"/>
              </w:rPr>
            </w:pPr>
            <w:r>
              <w:rPr>
                <w:sz w:val="18"/>
              </w:rPr>
              <w:t>(1) 机动车被依法注销登记的；</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0"/>
              <w:rPr>
                <w:sz w:val="18"/>
              </w:rPr>
            </w:pPr>
            <w:r>
              <w:rPr>
                <w:sz w:val="18"/>
              </w:rPr>
              <w:t>(2) 未依法按时进行或通过机动车安全技术检验。</w:t>
            </w:r>
          </w:p>
        </w:tc>
      </w:tr>
      <w:tr>
        <w:trPr>
          <w:trHeight w:val="545" w:hRule="atLeast"/>
        </w:trPr>
        <w:tc>
          <w:tcPr>
            <w:tcW w:w="566" w:type="dxa"/>
          </w:tcPr>
          <w:p>
            <w:pPr>
              <w:pStyle w:val="TableParagraph"/>
              <w:spacing w:before="106"/>
              <w:ind w:left="50"/>
              <w:rPr>
                <w:b/>
                <w:sz w:val="21"/>
              </w:rPr>
            </w:pPr>
            <w:r>
              <w:rPr>
                <w:b/>
                <w:sz w:val="21"/>
              </w:rPr>
              <w:t>8.8</w:t>
            </w:r>
          </w:p>
        </w:tc>
        <w:tc>
          <w:tcPr>
            <w:tcW w:w="1743" w:type="dxa"/>
          </w:tcPr>
          <w:p>
            <w:pPr>
              <w:pStyle w:val="TableParagraph"/>
              <w:spacing w:before="106"/>
              <w:ind w:left="91"/>
              <w:rPr>
                <w:b/>
                <w:sz w:val="21"/>
              </w:rPr>
            </w:pPr>
            <w:r>
              <w:rPr>
                <w:b/>
                <w:w w:val="95"/>
                <w:sz w:val="21"/>
              </w:rPr>
              <w:t>艾滋病</w:t>
            </w:r>
          </w:p>
        </w:tc>
        <w:tc>
          <w:tcPr>
            <w:tcW w:w="7448" w:type="dxa"/>
          </w:tcPr>
          <w:p>
            <w:pPr>
              <w:pStyle w:val="TableParagraph"/>
              <w:spacing w:before="132"/>
              <w:ind w:left="80"/>
              <w:rPr>
                <w:sz w:val="18"/>
              </w:rPr>
            </w:pPr>
            <w:r>
              <w:rPr>
                <w:sz w:val="18"/>
              </w:rPr>
              <w:t>获得性免疫力缺乏综合症（AIDS）的简称。</w:t>
            </w:r>
          </w:p>
        </w:tc>
      </w:tr>
      <w:tr>
        <w:trPr>
          <w:trHeight w:val="433" w:hRule="atLeast"/>
        </w:trPr>
        <w:tc>
          <w:tcPr>
            <w:tcW w:w="566" w:type="dxa"/>
          </w:tcPr>
          <w:p>
            <w:pPr>
              <w:pStyle w:val="TableParagraph"/>
              <w:spacing w:before="99"/>
              <w:ind w:left="50"/>
              <w:rPr>
                <w:b/>
                <w:sz w:val="21"/>
              </w:rPr>
            </w:pPr>
            <w:r>
              <w:rPr>
                <w:b/>
                <w:sz w:val="21"/>
              </w:rPr>
              <w:t>8.9</w:t>
            </w:r>
          </w:p>
        </w:tc>
        <w:tc>
          <w:tcPr>
            <w:tcW w:w="1743" w:type="dxa"/>
          </w:tcPr>
          <w:p>
            <w:pPr>
              <w:pStyle w:val="TableParagraph"/>
              <w:spacing w:before="99"/>
              <w:ind w:left="91"/>
              <w:rPr>
                <w:b/>
                <w:sz w:val="21"/>
              </w:rPr>
            </w:pPr>
            <w:r>
              <w:rPr>
                <w:b/>
                <w:w w:val="95"/>
                <w:sz w:val="21"/>
              </w:rPr>
              <w:t>艾滋病病毒</w:t>
            </w:r>
          </w:p>
        </w:tc>
        <w:tc>
          <w:tcPr>
            <w:tcW w:w="7448" w:type="dxa"/>
          </w:tcPr>
          <w:p>
            <w:pPr>
              <w:pStyle w:val="TableParagraph"/>
              <w:spacing w:before="125"/>
              <w:ind w:left="80"/>
              <w:rPr>
                <w:sz w:val="18"/>
              </w:rPr>
            </w:pPr>
            <w:r>
              <w:rPr>
                <w:sz w:val="18"/>
              </w:rPr>
              <w:t>获得性免疫力缺乏综合症病毒（HIV）的简称。获得性免疫力缺乏综合症的定义应按世界卫</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0"/>
              <w:rPr>
                <w:sz w:val="18"/>
              </w:rPr>
            </w:pPr>
            <w:r>
              <w:rPr>
                <w:sz w:val="18"/>
              </w:rPr>
              <w:t>生组织制定的定义为准，如在血液样本中发现获得性免疫力缺乏综合症病毒或其抗体，则可</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10"/>
              <w:ind w:left="80"/>
              <w:rPr>
                <w:sz w:val="18"/>
              </w:rPr>
            </w:pPr>
            <w:r>
              <w:rPr>
                <w:sz w:val="18"/>
              </w:rPr>
              <w:t>认定为感染艾滋病或艾滋病病毒。</w:t>
            </w:r>
          </w:p>
        </w:tc>
      </w:tr>
      <w:tr>
        <w:trPr>
          <w:trHeight w:val="440" w:hRule="atLeast"/>
        </w:trPr>
        <w:tc>
          <w:tcPr>
            <w:tcW w:w="566" w:type="dxa"/>
          </w:tcPr>
          <w:p>
            <w:pPr>
              <w:pStyle w:val="TableParagraph"/>
              <w:spacing w:before="106"/>
              <w:ind w:left="50"/>
              <w:rPr>
                <w:b/>
                <w:sz w:val="21"/>
              </w:rPr>
            </w:pPr>
            <w:r>
              <w:rPr>
                <w:b/>
                <w:sz w:val="21"/>
              </w:rPr>
              <w:t>8.10</w:t>
            </w:r>
          </w:p>
        </w:tc>
        <w:tc>
          <w:tcPr>
            <w:tcW w:w="1743" w:type="dxa"/>
          </w:tcPr>
          <w:p>
            <w:pPr>
              <w:pStyle w:val="TableParagraph"/>
              <w:spacing w:before="106"/>
              <w:ind w:left="91"/>
              <w:rPr>
                <w:b/>
                <w:sz w:val="21"/>
              </w:rPr>
            </w:pPr>
            <w:r>
              <w:rPr>
                <w:b/>
                <w:sz w:val="21"/>
              </w:rPr>
              <w:t>现金价值</w:t>
            </w:r>
          </w:p>
        </w:tc>
        <w:tc>
          <w:tcPr>
            <w:tcW w:w="7448" w:type="dxa"/>
          </w:tcPr>
          <w:p>
            <w:pPr>
              <w:pStyle w:val="TableParagraph"/>
              <w:spacing w:before="132"/>
              <w:ind w:left="80"/>
              <w:rPr>
                <w:sz w:val="18"/>
              </w:rPr>
            </w:pPr>
            <w:r>
              <w:rPr>
                <w:sz w:val="18"/>
              </w:rPr>
              <w:t>指保险单所具有的价值，通常体现为解除合同时，根据精算原理计算的，由本公司退还的那</w:t>
            </w:r>
          </w:p>
        </w:tc>
      </w:tr>
      <w:tr>
        <w:trPr>
          <w:trHeight w:val="410"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8" w:type="dxa"/>
          </w:tcPr>
          <w:p>
            <w:pPr>
              <w:pStyle w:val="TableParagraph"/>
              <w:spacing w:before="3"/>
              <w:ind w:left="80"/>
              <w:rPr>
                <w:sz w:val="18"/>
              </w:rPr>
            </w:pPr>
            <w:r>
              <w:rPr>
                <w:sz w:val="18"/>
              </w:rPr>
              <w:t>部分金额。</w:t>
            </w:r>
          </w:p>
        </w:tc>
      </w:tr>
      <w:tr>
        <w:trPr>
          <w:trHeight w:val="381" w:hRule="atLeast"/>
        </w:trPr>
        <w:tc>
          <w:tcPr>
            <w:tcW w:w="566" w:type="dxa"/>
          </w:tcPr>
          <w:p>
            <w:pPr>
              <w:pStyle w:val="TableParagraph"/>
              <w:spacing w:line="255" w:lineRule="exact" w:before="106"/>
              <w:ind w:left="50"/>
              <w:rPr>
                <w:b/>
                <w:sz w:val="21"/>
              </w:rPr>
            </w:pPr>
            <w:r>
              <w:rPr>
                <w:b/>
                <w:sz w:val="21"/>
              </w:rPr>
              <w:t>8.11</w:t>
            </w:r>
          </w:p>
        </w:tc>
        <w:tc>
          <w:tcPr>
            <w:tcW w:w="1743" w:type="dxa"/>
          </w:tcPr>
          <w:p>
            <w:pPr>
              <w:pStyle w:val="TableParagraph"/>
              <w:spacing w:line="255" w:lineRule="exact" w:before="106"/>
              <w:ind w:left="91"/>
              <w:rPr>
                <w:b/>
                <w:sz w:val="21"/>
              </w:rPr>
            </w:pPr>
            <w:r>
              <w:rPr>
                <w:b/>
                <w:w w:val="95"/>
                <w:sz w:val="21"/>
              </w:rPr>
              <w:t>利息</w:t>
            </w:r>
          </w:p>
        </w:tc>
        <w:tc>
          <w:tcPr>
            <w:tcW w:w="7448" w:type="dxa"/>
          </w:tcPr>
          <w:p>
            <w:pPr>
              <w:pStyle w:val="TableParagraph"/>
              <w:spacing w:line="229" w:lineRule="exact" w:before="132"/>
              <w:ind w:left="80"/>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80"/>
        </w:sectPr>
      </w:pPr>
    </w:p>
    <w:p>
      <w:pPr>
        <w:pStyle w:val="BodyText"/>
        <w:spacing w:before="0"/>
        <w:rPr>
          <w:rFonts w:ascii="Times New Roman"/>
          <w:sz w:val="23"/>
        </w:rPr>
      </w:pPr>
    </w:p>
    <w:p>
      <w:pPr>
        <w:pStyle w:val="Heading3"/>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2"/>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2"/>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2"/>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2"/>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典型临床表现，例如急性胸痛等；</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新近的心电图改变提示急性心肌梗塞；</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心肌酶或肌钙蛋白有诊断意义的升高，或呈符合急性心肌梗塞的动态性变化；</w:t>
      </w:r>
    </w:p>
    <w:p>
      <w:pPr>
        <w:pStyle w:val="ListParagraph"/>
        <w:numPr>
          <w:ilvl w:val="1"/>
          <w:numId w:val="12"/>
        </w:numPr>
        <w:tabs>
          <w:tab w:pos="2883" w:val="left" w:leader="none"/>
        </w:tabs>
        <w:spacing w:line="240" w:lineRule="auto" w:before="75"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2"/>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943" w:val="left" w:leader="none"/>
        </w:tabs>
        <w:spacing w:line="240" w:lineRule="auto" w:before="18" w:after="0"/>
        <w:ind w:left="2942" w:right="0" w:hanging="420"/>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2"/>
        </w:numPr>
        <w:tabs>
          <w:tab w:pos="2943" w:val="left" w:leader="none"/>
        </w:tabs>
        <w:spacing w:line="240" w:lineRule="auto" w:before="76" w:after="0"/>
        <w:ind w:left="2942" w:right="0" w:hanging="420"/>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2"/>
        </w:numPr>
        <w:tabs>
          <w:tab w:pos="2943" w:val="left" w:leader="none"/>
        </w:tabs>
        <w:spacing w:line="316" w:lineRule="auto" w:before="76" w:after="0"/>
        <w:ind w:left="2942" w:right="115"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11"/>
          <w:sz w:val="18"/>
        </w:rPr>
        <w:t>5）</w:t>
      </w:r>
      <w:r>
        <w:rPr>
          <w:sz w:val="18"/>
        </w:rPr>
        <w:t>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3"/>
        <w:numPr>
          <w:ilvl w:val="0"/>
          <w:numId w:val="12"/>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2"/>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2"/>
        </w:numPr>
        <w:tabs>
          <w:tab w:pos="524" w:val="left" w:leader="none"/>
          <w:tab w:pos="525"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2"/>
        </w:numPr>
        <w:tabs>
          <w:tab w:pos="524" w:val="left" w:leader="none"/>
          <w:tab w:pos="525" w:val="left" w:leader="none"/>
          <w:tab w:pos="2522" w:val="left" w:leader="none"/>
        </w:tabs>
        <w:spacing w:line="316" w:lineRule="auto" w:before="1"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3"/>
        <w:numPr>
          <w:ilvl w:val="0"/>
          <w:numId w:val="12"/>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3"/>
        <w:rPr>
          <w:sz w:val="20"/>
        </w:rPr>
      </w:pPr>
    </w:p>
    <w:p>
      <w:pPr>
        <w:pStyle w:val="ListParagraph"/>
        <w:numPr>
          <w:ilvl w:val="1"/>
          <w:numId w:val="12"/>
        </w:numPr>
        <w:tabs>
          <w:tab w:pos="2883" w:val="left" w:leader="none"/>
        </w:tabs>
        <w:spacing w:line="240" w:lineRule="auto" w:before="44" w:after="0"/>
        <w:ind w:left="2882" w:right="0" w:hanging="360"/>
        <w:jc w:val="left"/>
        <w:rPr>
          <w:sz w:val="18"/>
        </w:rPr>
      </w:pPr>
      <w:r>
        <w:rPr>
          <w:sz w:val="18"/>
        </w:rPr>
        <w:t>重度黄疸或黄疸迅速加重；</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肝性脑病；</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B</w:t>
      </w:r>
      <w:r>
        <w:rPr>
          <w:spacing w:val="-7"/>
          <w:sz w:val="18"/>
        </w:rPr>
        <w:t> 超或其他影像学检查显示肝脏体积急速萎缩；</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3"/>
        <w:numPr>
          <w:ilvl w:val="0"/>
          <w:numId w:val="12"/>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3"/>
        </w:numPr>
        <w:tabs>
          <w:tab w:pos="445" w:val="left" w:leader="none"/>
        </w:tabs>
        <w:spacing w:line="240" w:lineRule="auto" w:before="76" w:after="0"/>
        <w:ind w:left="104" w:right="0" w:firstLine="0"/>
        <w:jc w:val="left"/>
        <w:rPr>
          <w:sz w:val="18"/>
        </w:rPr>
      </w:pPr>
      <w:r>
        <w:rPr>
          <w:sz w:val="18"/>
        </w:rPr>
        <w:t>持续性黄疸；</w:t>
      </w:r>
    </w:p>
    <w:p>
      <w:pPr>
        <w:pStyle w:val="ListParagraph"/>
        <w:numPr>
          <w:ilvl w:val="0"/>
          <w:numId w:val="13"/>
        </w:numPr>
        <w:tabs>
          <w:tab w:pos="445" w:val="left" w:leader="none"/>
        </w:tabs>
        <w:spacing w:line="240" w:lineRule="auto" w:before="76" w:after="0"/>
        <w:ind w:left="104" w:right="0" w:firstLine="0"/>
        <w:jc w:val="left"/>
        <w:rPr>
          <w:sz w:val="18"/>
        </w:rPr>
      </w:pPr>
      <w:r>
        <w:rPr>
          <w:sz w:val="18"/>
        </w:rPr>
        <w:t>腹水；</w:t>
      </w:r>
    </w:p>
    <w:p>
      <w:pPr>
        <w:pStyle w:val="ListParagraph"/>
        <w:numPr>
          <w:ilvl w:val="0"/>
          <w:numId w:val="13"/>
        </w:numPr>
        <w:tabs>
          <w:tab w:pos="445" w:val="left" w:leader="none"/>
        </w:tabs>
        <w:spacing w:line="240" w:lineRule="auto" w:before="76" w:after="0"/>
        <w:ind w:left="104" w:right="0" w:firstLine="0"/>
        <w:jc w:val="left"/>
        <w:rPr>
          <w:sz w:val="18"/>
        </w:rPr>
      </w:pPr>
      <w:r>
        <w:rPr>
          <w:sz w:val="18"/>
        </w:rPr>
        <w:t>肝性脑病；</w:t>
      </w:r>
    </w:p>
    <w:p>
      <w:pPr>
        <w:pStyle w:val="ListParagraph"/>
        <w:numPr>
          <w:ilvl w:val="0"/>
          <w:numId w:val="13"/>
        </w:numPr>
        <w:tabs>
          <w:tab w:pos="44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3"/>
        <w:numPr>
          <w:ilvl w:val="0"/>
          <w:numId w:val="12"/>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45" w:val="left" w:leader="none"/>
        </w:tabs>
        <w:spacing w:line="240" w:lineRule="auto" w:before="18" w:after="0"/>
        <w:ind w:left="444" w:right="0" w:hanging="340"/>
        <w:jc w:val="left"/>
        <w:rPr>
          <w:sz w:val="18"/>
        </w:rPr>
      </w:pPr>
      <w:r>
        <w:rPr>
          <w:sz w:val="18"/>
        </w:rPr>
        <w:t>一肢或一肢以上肢体机能完全丧失；</w:t>
      </w:r>
    </w:p>
    <w:p>
      <w:pPr>
        <w:pStyle w:val="ListParagraph"/>
        <w:numPr>
          <w:ilvl w:val="0"/>
          <w:numId w:val="14"/>
        </w:numPr>
        <w:tabs>
          <w:tab w:pos="445" w:val="left" w:leader="none"/>
        </w:tabs>
        <w:spacing w:line="240" w:lineRule="auto" w:before="75" w:after="0"/>
        <w:ind w:left="444" w:right="0" w:hanging="340"/>
        <w:jc w:val="left"/>
        <w:rPr>
          <w:sz w:val="18"/>
        </w:rPr>
      </w:pPr>
      <w:r>
        <w:rPr>
          <w:sz w:val="18"/>
        </w:rPr>
        <w:t>语言能力或咀嚼吞咽能力完全丧失；</w:t>
      </w:r>
    </w:p>
    <w:p>
      <w:pPr>
        <w:pStyle w:val="ListParagraph"/>
        <w:numPr>
          <w:ilvl w:val="0"/>
          <w:numId w:val="14"/>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2"/>
        </w:numPr>
        <w:tabs>
          <w:tab w:pos="525"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862" w:val="left" w:leader="none"/>
        </w:tabs>
        <w:spacing w:line="240" w:lineRule="auto" w:before="19" w:after="0"/>
        <w:ind w:left="2862" w:right="0" w:hanging="340"/>
        <w:jc w:val="left"/>
        <w:rPr>
          <w:sz w:val="18"/>
        </w:rPr>
      </w:pPr>
      <w:r>
        <w:rPr>
          <w:sz w:val="18"/>
        </w:rPr>
        <w:t>眼球缺失或摘除；</w:t>
      </w:r>
    </w:p>
    <w:p>
      <w:pPr>
        <w:pStyle w:val="ListParagraph"/>
        <w:numPr>
          <w:ilvl w:val="1"/>
          <w:numId w:val="12"/>
        </w:numPr>
        <w:tabs>
          <w:tab w:pos="2862" w:val="left" w:leader="none"/>
        </w:tabs>
        <w:spacing w:line="240" w:lineRule="auto" w:before="76" w:after="0"/>
        <w:ind w:left="2862" w:right="0" w:hanging="3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一肢或一肢以上肢体机能完全丧失；</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语言能力或咀嚼吞咽能力完全丧失；</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药物治疗无法控制病情；</w:t>
      </w:r>
    </w:p>
    <w:p>
      <w:pPr>
        <w:pStyle w:val="ListParagraph"/>
        <w:numPr>
          <w:ilvl w:val="1"/>
          <w:numId w:val="12"/>
        </w:numPr>
        <w:tabs>
          <w:tab w:pos="2883" w:val="left" w:leader="none"/>
        </w:tabs>
        <w:spacing w:line="316" w:lineRule="auto" w:before="76" w:after="0"/>
        <w:ind w:left="2882" w:right="520" w:hanging="36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0"/>
          <w:footerReference w:type="default" r:id="rId11"/>
          <w:pgSz w:w="11910" w:h="16840"/>
          <w:pgMar w:header="877" w:footer="0" w:top="1100" w:bottom="280" w:left="1080" w:right="760"/>
        </w:sectPr>
      </w:pPr>
    </w:p>
    <w:p>
      <w:pPr>
        <w:pStyle w:val="Heading3"/>
        <w:numPr>
          <w:ilvl w:val="0"/>
          <w:numId w:val="12"/>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2"/>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2"/>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2"/>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5"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2"/>
        </w:numPr>
        <w:tabs>
          <w:tab w:pos="525" w:val="left" w:leader="none"/>
        </w:tabs>
        <w:spacing w:line="316" w:lineRule="auto" w:before="1" w:after="0"/>
        <w:ind w:left="2522" w:right="210"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pStyle w:val="BodyText"/>
        <w:spacing w:before="74"/>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2"/>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2"/>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3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明确出现因视神经、脑干和脊髓损伤而导致的临床表现；</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散在的身体损害的多样性；</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2"/>
          <w:pgSz w:w="11910" w:h="16840"/>
          <w:pgMar w:footer="981" w:header="877" w:top="1100" w:bottom="1180" w:left="1080" w:right="820"/>
          <w:pgNumType w:start="9"/>
        </w:sectPr>
      </w:pPr>
    </w:p>
    <w:p>
      <w:pPr>
        <w:pStyle w:val="Heading3"/>
        <w:numPr>
          <w:ilvl w:val="0"/>
          <w:numId w:val="12"/>
        </w:numPr>
        <w:tabs>
          <w:tab w:pos="525" w:val="left" w:leader="none"/>
        </w:tabs>
        <w:spacing w:line="240" w:lineRule="auto" w:before="45" w:after="0"/>
        <w:ind w:left="2522" w:right="0" w:hanging="2418"/>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5"/>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5"/>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5"/>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s>
        <w:spacing w:line="316" w:lineRule="auto" w:before="45" w:after="0"/>
        <w:ind w:left="2522" w:right="241"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9"/>
        <w:ind w:left="2522" w:right="280"/>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10"/>
      </w:pPr>
    </w:p>
    <w:p>
      <w:pPr>
        <w:pStyle w:val="ListParagraph"/>
        <w:numPr>
          <w:ilvl w:val="0"/>
          <w:numId w:val="12"/>
        </w:numPr>
        <w:tabs>
          <w:tab w:pos="525"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2"/>
        </w:numPr>
        <w:tabs>
          <w:tab w:pos="2943" w:val="left" w:leader="none"/>
        </w:tabs>
        <w:spacing w:line="240" w:lineRule="auto" w:before="18" w:after="0"/>
        <w:ind w:left="2942" w:right="0" w:hanging="420"/>
        <w:jc w:val="left"/>
        <w:rPr>
          <w:sz w:val="18"/>
        </w:rPr>
      </w:pPr>
      <w:r>
        <w:rPr>
          <w:sz w:val="18"/>
        </w:rPr>
        <w:t>经药物、胸腺手术治疗一年以上无法控制病情，丧失正常工作能力；</w:t>
      </w:r>
    </w:p>
    <w:p>
      <w:pPr>
        <w:pStyle w:val="ListParagraph"/>
        <w:numPr>
          <w:ilvl w:val="1"/>
          <w:numId w:val="12"/>
        </w:numPr>
        <w:tabs>
          <w:tab w:pos="2943" w:val="left" w:leader="none"/>
        </w:tabs>
        <w:spacing w:line="316" w:lineRule="auto" w:before="76" w:after="0"/>
        <w:ind w:left="2942" w:right="220"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2"/>
        </w:numPr>
        <w:tabs>
          <w:tab w:pos="2943" w:val="left" w:leader="none"/>
        </w:tabs>
        <w:spacing w:line="240" w:lineRule="auto" w:before="19" w:after="0"/>
        <w:ind w:left="2942" w:right="0" w:hanging="420"/>
        <w:jc w:val="both"/>
        <w:rPr>
          <w:sz w:val="18"/>
        </w:rPr>
      </w:pPr>
      <w:r>
        <w:rPr>
          <w:sz w:val="18"/>
        </w:rPr>
        <w:t>症状缓解、复发及恶化交替出现，临床接受新斯的明等抗胆碱酯酶药物治疗的病史。</w:t>
      </w:r>
    </w:p>
    <w:p>
      <w:pPr>
        <w:spacing w:after="0" w:line="240" w:lineRule="auto"/>
        <w:jc w:val="both"/>
        <w:rPr>
          <w:sz w:val="18"/>
        </w:rPr>
        <w:sectPr>
          <w:type w:val="continuous"/>
          <w:pgSz w:w="11910" w:h="16840"/>
          <w:pgMar w:top="1040" w:bottom="1180" w:left="1080" w:right="820"/>
        </w:sectPr>
      </w:pPr>
    </w:p>
    <w:p>
      <w:pPr>
        <w:pStyle w:val="BodyText"/>
        <w:spacing w:before="0"/>
        <w:rPr>
          <w:sz w:val="20"/>
        </w:rPr>
      </w:pPr>
    </w:p>
    <w:p>
      <w:pPr>
        <w:pStyle w:val="BodyText"/>
        <w:spacing w:before="7"/>
        <w:rPr>
          <w:sz w:val="17"/>
        </w:rPr>
      </w:pPr>
    </w:p>
    <w:p>
      <w:pPr>
        <w:pStyle w:val="ListParagraph"/>
        <w:numPr>
          <w:ilvl w:val="0"/>
          <w:numId w:val="12"/>
        </w:numPr>
        <w:tabs>
          <w:tab w:pos="585" w:val="left" w:leader="none"/>
          <w:tab w:pos="2582" w:val="left" w:leader="none"/>
        </w:tabs>
        <w:spacing w:line="316" w:lineRule="auto" w:before="45" w:after="0"/>
        <w:ind w:left="2582" w:right="25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20" w:right="700"/>
        </w:sectPr>
      </w:pPr>
    </w:p>
    <w:p>
      <w:pPr>
        <w:pStyle w:val="Heading3"/>
        <w:numPr>
          <w:ilvl w:val="0"/>
          <w:numId w:val="12"/>
        </w:numPr>
        <w:tabs>
          <w:tab w:pos="585" w:val="left" w:leader="none"/>
        </w:tabs>
        <w:spacing w:line="316" w:lineRule="auto" w:before="45" w:after="0"/>
        <w:ind w:left="525" w:right="0" w:hanging="361"/>
        <w:jc w:val="left"/>
      </w:pPr>
      <w:r>
        <w:rPr/>
        <w:t>急性坏死性胰腺炎</w:t>
      </w:r>
    </w:p>
    <w:p>
      <w:pPr>
        <w:pStyle w:val="BodyText"/>
        <w:spacing w:line="316" w:lineRule="auto" w:before="45"/>
        <w:ind w:left="164" w:right="22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00"/>
          <w:cols w:num="2" w:equalWidth="0">
            <w:col w:w="1490" w:space="928"/>
            <w:col w:w="7772"/>
          </w:cols>
        </w:sectPr>
      </w:pPr>
    </w:p>
    <w:p>
      <w:pPr>
        <w:pStyle w:val="BodyText"/>
        <w:spacing w:before="4"/>
        <w:rPr>
          <w:sz w:val="15"/>
        </w:rPr>
      </w:pPr>
    </w:p>
    <w:p>
      <w:pPr>
        <w:pStyle w:val="ListParagraph"/>
        <w:numPr>
          <w:ilvl w:val="0"/>
          <w:numId w:val="12"/>
        </w:numPr>
        <w:tabs>
          <w:tab w:pos="585" w:val="left" w:leader="none"/>
        </w:tabs>
        <w:spacing w:line="316" w:lineRule="auto" w:before="45" w:after="0"/>
        <w:ind w:left="2582" w:right="257"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2"/>
        </w:numPr>
        <w:tabs>
          <w:tab w:pos="3003" w:val="left" w:leader="none"/>
        </w:tabs>
        <w:spacing w:line="240" w:lineRule="auto" w:before="19" w:after="0"/>
        <w:ind w:left="3002" w:right="0" w:hanging="420"/>
        <w:jc w:val="left"/>
        <w:rPr>
          <w:sz w:val="18"/>
        </w:rPr>
      </w:pPr>
      <w:r>
        <w:rPr>
          <w:sz w:val="18"/>
        </w:rPr>
        <w:t>家族史中有其他成员患相同疾病；</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4"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82"/>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3"/>
              <w:rPr>
                <w:b/>
                <w:sz w:val="18"/>
              </w:rPr>
            </w:pPr>
            <w:r>
              <w:rPr>
                <w:b/>
                <w:sz w:val="18"/>
              </w:rPr>
              <w:t>终末期肺病</w:t>
            </w:r>
          </w:p>
        </w:tc>
        <w:tc>
          <w:tcPr>
            <w:tcW w:w="7582" w:type="dxa"/>
          </w:tcPr>
          <w:p>
            <w:pPr>
              <w:pStyle w:val="TableParagraph"/>
              <w:spacing w:line="180" w:lineRule="exact"/>
              <w:ind w:left="97"/>
              <w:rPr>
                <w:sz w:val="18"/>
              </w:rPr>
            </w:pPr>
            <w:r>
              <w:rPr>
                <w:sz w:val="18"/>
              </w:rPr>
              <w:t>由本公司认可的呼吸专科医生确诊被保险人患有终末期肺病而出现慢性呼吸功能衰竭，其诊断</w:t>
            </w:r>
          </w:p>
          <w:p>
            <w:pPr>
              <w:pStyle w:val="TableParagraph"/>
              <w:spacing w:before="76"/>
              <w:ind w:left="97"/>
              <w:rPr>
                <w:sz w:val="18"/>
              </w:rPr>
            </w:pPr>
            <w:r>
              <w:rPr>
                <w:sz w:val="18"/>
              </w:rPr>
              <w:t>标准包括以下各项：</w:t>
            </w:r>
          </w:p>
          <w:p>
            <w:pPr>
              <w:pStyle w:val="TableParagraph"/>
              <w:numPr>
                <w:ilvl w:val="0"/>
                <w:numId w:val="16"/>
              </w:numPr>
              <w:tabs>
                <w:tab w:pos="457" w:val="left" w:leader="none"/>
              </w:tabs>
              <w:spacing w:line="240" w:lineRule="auto" w:before="76" w:after="0"/>
              <w:ind w:left="457"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6"/>
              </w:numPr>
              <w:tabs>
                <w:tab w:pos="457" w:val="left" w:leader="none"/>
              </w:tabs>
              <w:spacing w:line="240" w:lineRule="auto" w:before="76" w:after="0"/>
              <w:ind w:left="457" w:right="0" w:hanging="360"/>
              <w:jc w:val="left"/>
              <w:rPr>
                <w:sz w:val="18"/>
              </w:rPr>
            </w:pPr>
            <w:r>
              <w:rPr>
                <w:sz w:val="18"/>
              </w:rPr>
              <w:t>病人缺氧必须广泛而持续地进行输氧治疗；</w:t>
            </w:r>
          </w:p>
          <w:p>
            <w:pPr>
              <w:pStyle w:val="TableParagraph"/>
              <w:numPr>
                <w:ilvl w:val="0"/>
                <w:numId w:val="16"/>
              </w:numPr>
              <w:tabs>
                <w:tab w:pos="457" w:val="left" w:leader="none"/>
              </w:tabs>
              <w:spacing w:line="240" w:lineRule="auto" w:before="76" w:after="0"/>
              <w:ind w:left="457" w:right="0" w:hanging="360"/>
              <w:jc w:val="left"/>
              <w:rPr>
                <w:sz w:val="18"/>
              </w:rPr>
            </w:pPr>
            <w:r>
              <w:rPr>
                <w:spacing w:val="-4"/>
                <w:sz w:val="18"/>
              </w:rPr>
              <w:t>动脉血气分析氧分压低于 </w:t>
            </w:r>
            <w:r>
              <w:rPr>
                <w:sz w:val="18"/>
              </w:rPr>
              <w:t>55mmHg。</w:t>
            </w:r>
          </w:p>
          <w:p>
            <w:pPr>
              <w:pStyle w:val="TableParagraph"/>
              <w:spacing w:before="76"/>
              <w:ind w:left="97"/>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582"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7"/>
              </w:numPr>
              <w:tabs>
                <w:tab w:pos="518" w:val="left" w:leader="none"/>
              </w:tabs>
              <w:spacing w:line="316" w:lineRule="auto" w:before="76" w:after="0"/>
              <w:ind w:left="517" w:right="222" w:hanging="420"/>
              <w:jc w:val="left"/>
              <w:rPr>
                <w:sz w:val="18"/>
              </w:rPr>
            </w:pPr>
            <w:r>
              <w:rPr>
                <w:sz w:val="18"/>
              </w:rPr>
              <w:t>感染是由于必要的医疗性输血引起的，且医疗性输血是在保单生效日后或复效日后发生的；</w:t>
            </w:r>
          </w:p>
          <w:p>
            <w:pPr>
              <w:pStyle w:val="TableParagraph"/>
              <w:numPr>
                <w:ilvl w:val="0"/>
                <w:numId w:val="17"/>
              </w:numPr>
              <w:tabs>
                <w:tab w:pos="518" w:val="left" w:leader="none"/>
              </w:tabs>
              <w:spacing w:line="240" w:lineRule="auto" w:before="18" w:after="0"/>
              <w:ind w:left="517" w:right="0" w:hanging="420"/>
              <w:jc w:val="left"/>
              <w:rPr>
                <w:sz w:val="18"/>
              </w:rPr>
            </w:pPr>
            <w:r>
              <w:rPr>
                <w:sz w:val="18"/>
              </w:rPr>
              <w:t>提供输血的医疗机构承认该项输血感染为医疗责任事故；</w:t>
            </w:r>
          </w:p>
          <w:p>
            <w:pPr>
              <w:pStyle w:val="TableParagraph"/>
              <w:numPr>
                <w:ilvl w:val="0"/>
                <w:numId w:val="17"/>
              </w:numPr>
              <w:tabs>
                <w:tab w:pos="518" w:val="left" w:leader="none"/>
              </w:tabs>
              <w:spacing w:line="240" w:lineRule="auto" w:before="76" w:after="0"/>
              <w:ind w:left="517" w:right="0" w:hanging="420"/>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82" w:type="dxa"/>
          </w:tcPr>
          <w:p>
            <w:pPr>
              <w:pStyle w:val="TableParagraph"/>
              <w:spacing w:before="124"/>
              <w:ind w:left="96"/>
              <w:rPr>
                <w:sz w:val="18"/>
              </w:rPr>
            </w:pPr>
            <w:r>
              <w:rPr>
                <w:sz w:val="18"/>
              </w:rPr>
              <w:t>是指类风湿性关节炎患者符合以下三项标准的：</w:t>
            </w:r>
          </w:p>
          <w:p>
            <w:pPr>
              <w:pStyle w:val="TableParagraph"/>
              <w:numPr>
                <w:ilvl w:val="0"/>
                <w:numId w:val="18"/>
              </w:numPr>
              <w:tabs>
                <w:tab w:pos="517" w:val="left" w:leader="none"/>
              </w:tabs>
              <w:spacing w:line="316" w:lineRule="auto" w:before="76" w:after="0"/>
              <w:ind w:left="516" w:right="133" w:hanging="420"/>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8"/>
              </w:numPr>
              <w:tabs>
                <w:tab w:pos="517" w:val="left" w:leader="none"/>
              </w:tabs>
              <w:spacing w:line="316" w:lineRule="auto" w:before="19" w:after="0"/>
              <w:ind w:left="516" w:right="48"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8"/>
              </w:numPr>
              <w:tabs>
                <w:tab w:pos="517" w:val="left" w:leader="none"/>
              </w:tabs>
              <w:spacing w:line="240" w:lineRule="auto" w:before="19" w:after="0"/>
              <w:ind w:left="516" w:right="0" w:hanging="420"/>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6" w:right="82"/>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3"/>
              <w:rPr>
                <w:b/>
                <w:sz w:val="18"/>
              </w:rPr>
            </w:pPr>
            <w:r>
              <w:rPr>
                <w:b/>
                <w:w w:val="95"/>
                <w:sz w:val="18"/>
              </w:rPr>
              <w:t>肾髓质囊性病</w:t>
            </w:r>
          </w:p>
        </w:tc>
        <w:tc>
          <w:tcPr>
            <w:tcW w:w="7582"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19"/>
        </w:numPr>
        <w:tabs>
          <w:tab w:pos="3003" w:val="left" w:leader="none"/>
        </w:tabs>
        <w:spacing w:line="240" w:lineRule="auto" w:before="76" w:after="0"/>
        <w:ind w:left="3002" w:right="0" w:hanging="420"/>
        <w:jc w:val="left"/>
        <w:rPr>
          <w:sz w:val="18"/>
        </w:rPr>
      </w:pPr>
      <w:r>
        <w:rPr>
          <w:sz w:val="18"/>
        </w:rPr>
        <w:t>肾髓质有囊肿、肾小管萎缩及间质纤维化等病理改变；</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贫血、多尿及肾功能衰竭等临床表现；</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诊断须由肾组织活检确定。</w:t>
      </w:r>
    </w:p>
    <w:p>
      <w:pPr>
        <w:pStyle w:val="BodyText"/>
        <w:spacing w:before="1"/>
        <w:rPr>
          <w:sz w:val="23"/>
        </w:rPr>
      </w:pPr>
    </w:p>
    <w:p>
      <w:pPr>
        <w:pStyle w:val="ListParagraph"/>
        <w:numPr>
          <w:ilvl w:val="0"/>
          <w:numId w:val="20"/>
        </w:numPr>
        <w:tabs>
          <w:tab w:pos="585" w:val="left" w:leader="none"/>
        </w:tabs>
        <w:spacing w:line="316" w:lineRule="auto" w:before="1" w:after="0"/>
        <w:ind w:left="2582" w:right="25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20"/>
        </w:numPr>
        <w:tabs>
          <w:tab w:pos="585" w:val="left" w:leader="none"/>
          <w:tab w:pos="2582" w:val="left" w:leader="none"/>
        </w:tabs>
        <w:spacing w:line="240" w:lineRule="auto" w:before="0" w:after="0"/>
        <w:ind w:left="2582"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40" w:bottom="1180" w:left="1020" w:right="700"/>
        </w:sectPr>
      </w:pPr>
    </w:p>
    <w:p>
      <w:pPr>
        <w:pStyle w:val="BodyText"/>
        <w:spacing w:before="0"/>
        <w:rPr>
          <w:sz w:val="20"/>
        </w:rPr>
      </w:pPr>
    </w:p>
    <w:p>
      <w:pPr>
        <w:pStyle w:val="BodyText"/>
        <w:spacing w:before="7"/>
        <w:rPr>
          <w:sz w:val="17"/>
        </w:rPr>
      </w:pPr>
    </w:p>
    <w:p>
      <w:pPr>
        <w:pStyle w:val="BodyText"/>
        <w:spacing w:before="45"/>
        <w:ind w:left="144"/>
      </w:pPr>
      <w:r>
        <w:rPr/>
        <w:t>注：</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1"/>
        </w:numPr>
        <w:tabs>
          <w:tab w:pos="985" w:val="left" w:leader="none"/>
        </w:tabs>
        <w:spacing w:line="240" w:lineRule="auto" w:before="76" w:after="0"/>
        <w:ind w:left="984" w:right="0" w:hanging="443"/>
        <w:jc w:val="left"/>
        <w:rPr>
          <w:sz w:val="18"/>
        </w:rPr>
      </w:pPr>
      <w:r>
        <w:rPr>
          <w:spacing w:val="-5"/>
          <w:sz w:val="18"/>
        </w:rPr>
        <w:t>具有有效的中华人民共和国《医师资格证书》；</w:t>
      </w:r>
    </w:p>
    <w:p>
      <w:pPr>
        <w:pStyle w:val="ListParagraph"/>
        <w:numPr>
          <w:ilvl w:val="1"/>
          <w:numId w:val="21"/>
        </w:numPr>
        <w:tabs>
          <w:tab w:pos="985" w:val="left" w:leader="none"/>
        </w:tabs>
        <w:spacing w:line="240" w:lineRule="auto" w:before="76"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21"/>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21"/>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1"/>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1"/>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1"/>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1"/>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1"/>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1"/>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1"/>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1"/>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101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84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46pt;height:11pt;mso-position-horizontal-relative:page;mso-position-vertical-relative:page;z-index:-21064" type="#_x0000_t202" filled="false" stroked="false">
          <v:textbox inset="0,0,0,0">
            <w:txbxContent>
              <w:p>
                <w:pPr>
                  <w:pStyle w:val="BodyText"/>
                  <w:spacing w:line="200" w:lineRule="exact" w:before="0"/>
                  <w:ind w:left="20"/>
                </w:pPr>
                <w:r>
                  <w:rPr/>
                  <w:t>民生附加民康金生重大疾病保险条款</w:t>
                </w:r>
              </w:p>
            </w:txbxContent>
          </v:textbox>
          <w10:wrap type="none"/>
        </v:shape>
      </w:pict>
    </w:r>
    <w:r>
      <w:rPr/>
      <w:pict>
        <v:shape style="position:absolute;margin-left:428.720001pt;margin-top:42.865326pt;width:110pt;height:11pt;mso-position-horizontal-relative:page;mso-position-vertical-relative:page;z-index:-2104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992"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0968" type="#_x0000_t202" filled="false" stroked="false">
          <v:textbox inset="0,0,0,0">
            <w:txbxContent>
              <w:p>
                <w:pPr>
                  <w:pStyle w:val="BodyText"/>
                  <w:spacing w:line="200" w:lineRule="exact" w:before="0"/>
                  <w:ind w:left="20"/>
                </w:pPr>
                <w:r>
                  <w:rPr/>
                  <w:t>民生附加民康金生重大疾病保险条款</w:t>
                </w:r>
              </w:p>
            </w:txbxContent>
          </v:textbox>
          <w10:wrap type="none"/>
        </v:shape>
      </w:pict>
    </w:r>
    <w:r>
      <w:rPr/>
      <w:pict>
        <v:shape style="position:absolute;margin-left:428.720001pt;margin-top:42.865326pt;width:110pt;height:11pt;mso-position-horizontal-relative:page;mso-position-vertical-relative:page;z-index:-2094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920" from="63.720001pt,55.619984pt" to="543.000001pt,55.619984pt" stroked="true" strokeweight=".72003pt" strokecolor="#000000">
          <v:stroke dashstyle="solid"/>
          <w10:wrap type="none"/>
        </v:line>
      </w:pict>
    </w:r>
    <w:r>
      <w:rPr/>
      <w:pict>
        <v:shape style="position:absolute;margin-left:64.220001pt;margin-top:42.865326pt;width:146pt;height:11pt;mso-position-horizontal-relative:page;mso-position-vertical-relative:page;z-index:-20896" type="#_x0000_t202" filled="false" stroked="false">
          <v:textbox inset="0,0,0,0">
            <w:txbxContent>
              <w:p>
                <w:pPr>
                  <w:pStyle w:val="BodyText"/>
                  <w:spacing w:line="200" w:lineRule="exact" w:before="0"/>
                  <w:ind w:left="20"/>
                </w:pPr>
                <w:r>
                  <w:rPr/>
                  <w:t>民生附加民康金生重大疾病保险条款</w:t>
                </w:r>
              </w:p>
            </w:txbxContent>
          </v:textbox>
          <w10:wrap type="none"/>
        </v:shape>
      </w:pict>
    </w:r>
    <w:r>
      <w:rPr/>
      <w:pict>
        <v:shape style="position:absolute;margin-left:428.720001pt;margin-top:42.865326pt;width:110pt;height:11pt;mso-position-horizontal-relative:page;mso-position-vertical-relative:page;z-index:-208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84" w:hanging="443"/>
        <w:jc w:val="left"/>
      </w:pPr>
      <w:rPr>
        <w:rFonts w:hint="default" w:ascii="宋体" w:hAnsi="宋体" w:eastAsia="宋体" w:cs="宋体"/>
        <w:spacing w:val="-90"/>
        <w:w w:val="100"/>
        <w:sz w:val="18"/>
        <w:szCs w:val="18"/>
      </w:rPr>
    </w:lvl>
    <w:lvl w:ilvl="2">
      <w:start w:val="0"/>
      <w:numFmt w:val="bullet"/>
      <w:lvlText w:val="•"/>
      <w:lvlJc w:val="left"/>
      <w:pPr>
        <w:ind w:left="1967" w:hanging="443"/>
      </w:pPr>
      <w:rPr>
        <w:rFonts w:hint="default"/>
      </w:rPr>
    </w:lvl>
    <w:lvl w:ilvl="3">
      <w:start w:val="0"/>
      <w:numFmt w:val="bullet"/>
      <w:lvlText w:val="•"/>
      <w:lvlJc w:val="left"/>
      <w:pPr>
        <w:ind w:left="2954" w:hanging="443"/>
      </w:pPr>
      <w:rPr>
        <w:rFonts w:hint="default"/>
      </w:rPr>
    </w:lvl>
    <w:lvl w:ilvl="4">
      <w:start w:val="0"/>
      <w:numFmt w:val="bullet"/>
      <w:lvlText w:val="•"/>
      <w:lvlJc w:val="left"/>
      <w:pPr>
        <w:ind w:left="3941" w:hanging="443"/>
      </w:pPr>
      <w:rPr>
        <w:rFonts w:hint="default"/>
      </w:rPr>
    </w:lvl>
    <w:lvl w:ilvl="5">
      <w:start w:val="0"/>
      <w:numFmt w:val="bullet"/>
      <w:lvlText w:val="•"/>
      <w:lvlJc w:val="left"/>
      <w:pPr>
        <w:ind w:left="4928" w:hanging="443"/>
      </w:pPr>
      <w:rPr>
        <w:rFonts w:hint="default"/>
      </w:rPr>
    </w:lvl>
    <w:lvl w:ilvl="6">
      <w:start w:val="0"/>
      <w:numFmt w:val="bullet"/>
      <w:lvlText w:val="•"/>
      <w:lvlJc w:val="left"/>
      <w:pPr>
        <w:ind w:left="5915" w:hanging="443"/>
      </w:pPr>
      <w:rPr>
        <w:rFonts w:hint="default"/>
      </w:rPr>
    </w:lvl>
    <w:lvl w:ilvl="7">
      <w:start w:val="0"/>
      <w:numFmt w:val="bullet"/>
      <w:lvlText w:val="•"/>
      <w:lvlJc w:val="left"/>
      <w:pPr>
        <w:ind w:left="6902" w:hanging="443"/>
      </w:pPr>
      <w:rPr>
        <w:rFonts w:hint="default"/>
      </w:rPr>
    </w:lvl>
    <w:lvl w:ilvl="8">
      <w:start w:val="0"/>
      <w:numFmt w:val="bullet"/>
      <w:lvlText w:val="•"/>
      <w:lvlJc w:val="left"/>
      <w:pPr>
        <w:ind w:left="7890" w:hanging="443"/>
      </w:pPr>
      <w:rPr>
        <w:rFonts w:hint="default"/>
      </w:rPr>
    </w:lvl>
  </w:abstractNum>
  <w:abstractNum w:abstractNumId="19">
    <w:multiLevelType w:val="hybridMultilevel"/>
    <w:lvl w:ilvl="0">
      <w:start w:val="39"/>
      <w:numFmt w:val="decimal"/>
      <w:lvlText w:val="%1."/>
      <w:lvlJc w:val="left"/>
      <w:pPr>
        <w:ind w:left="2582" w:hanging="420"/>
        <w:jc w:val="left"/>
      </w:pPr>
      <w:rPr>
        <w:rFonts w:hint="default" w:ascii="宋体" w:hAnsi="宋体" w:eastAsia="宋体" w:cs="宋体"/>
        <w:b/>
        <w:bCs/>
        <w:spacing w:val="0"/>
        <w:w w:val="99"/>
        <w:sz w:val="18"/>
        <w:szCs w:val="18"/>
      </w:rPr>
    </w:lvl>
    <w:lvl w:ilvl="1">
      <w:start w:val="0"/>
      <w:numFmt w:val="bullet"/>
      <w:lvlText w:val="•"/>
      <w:lvlJc w:val="left"/>
      <w:pPr>
        <w:ind w:left="3340" w:hanging="420"/>
      </w:pPr>
      <w:rPr>
        <w:rFonts w:hint="default"/>
      </w:rPr>
    </w:lvl>
    <w:lvl w:ilvl="2">
      <w:start w:val="0"/>
      <w:numFmt w:val="bullet"/>
      <w:lvlText w:val="•"/>
      <w:lvlJc w:val="left"/>
      <w:pPr>
        <w:ind w:left="4100" w:hanging="420"/>
      </w:pPr>
      <w:rPr>
        <w:rFonts w:hint="default"/>
      </w:rPr>
    </w:lvl>
    <w:lvl w:ilvl="3">
      <w:start w:val="0"/>
      <w:numFmt w:val="bullet"/>
      <w:lvlText w:val="•"/>
      <w:lvlJc w:val="left"/>
      <w:pPr>
        <w:ind w:left="4861" w:hanging="420"/>
      </w:pPr>
      <w:rPr>
        <w:rFonts w:hint="default"/>
      </w:rPr>
    </w:lvl>
    <w:lvl w:ilvl="4">
      <w:start w:val="0"/>
      <w:numFmt w:val="bullet"/>
      <w:lvlText w:val="•"/>
      <w:lvlJc w:val="left"/>
      <w:pPr>
        <w:ind w:left="5621" w:hanging="420"/>
      </w:pPr>
      <w:rPr>
        <w:rFonts w:hint="default"/>
      </w:rPr>
    </w:lvl>
    <w:lvl w:ilvl="5">
      <w:start w:val="0"/>
      <w:numFmt w:val="bullet"/>
      <w:lvlText w:val="•"/>
      <w:lvlJc w:val="left"/>
      <w:pPr>
        <w:ind w:left="6382" w:hanging="420"/>
      </w:pPr>
      <w:rPr>
        <w:rFonts w:hint="default"/>
      </w:rPr>
    </w:lvl>
    <w:lvl w:ilvl="6">
      <w:start w:val="0"/>
      <w:numFmt w:val="bullet"/>
      <w:lvlText w:val="•"/>
      <w:lvlJc w:val="left"/>
      <w:pPr>
        <w:ind w:left="7142" w:hanging="420"/>
      </w:pPr>
      <w:rPr>
        <w:rFonts w:hint="default"/>
      </w:rPr>
    </w:lvl>
    <w:lvl w:ilvl="7">
      <w:start w:val="0"/>
      <w:numFmt w:val="bullet"/>
      <w:lvlText w:val="•"/>
      <w:lvlJc w:val="left"/>
      <w:pPr>
        <w:ind w:left="7903" w:hanging="420"/>
      </w:pPr>
      <w:rPr>
        <w:rFonts w:hint="default"/>
      </w:rPr>
    </w:lvl>
    <w:lvl w:ilvl="8">
      <w:start w:val="0"/>
      <w:numFmt w:val="bullet"/>
      <w:lvlText w:val="•"/>
      <w:lvlJc w:val="left"/>
      <w:pPr>
        <w:ind w:left="8663" w:hanging="420"/>
      </w:pPr>
      <w:rPr>
        <w:rFonts w:hint="default"/>
      </w:rPr>
    </w:lvl>
  </w:abstractNum>
  <w:abstractNum w:abstractNumId="17">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4"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3" w:hanging="420"/>
      </w:pPr>
      <w:rPr>
        <w:rFonts w:hint="default"/>
      </w:rPr>
    </w:lvl>
    <w:lvl w:ilvl="8">
      <w:start w:val="0"/>
      <w:numFmt w:val="bullet"/>
      <w:lvlText w:val="•"/>
      <w:lvlJc w:val="left"/>
      <w:pPr>
        <w:ind w:left="6169" w:hanging="420"/>
      </w:pPr>
      <w:rPr>
        <w:rFonts w:hint="default"/>
      </w:rPr>
    </w:lvl>
  </w:abstractNum>
  <w:abstractNum w:abstractNumId="16">
    <w:multiLevelType w:val="hybridMultilevel"/>
    <w:lvl w:ilvl="0">
      <w:start w:val="1"/>
      <w:numFmt w:val="decimal"/>
      <w:lvlText w:val="(%1)"/>
      <w:lvlJc w:val="left"/>
      <w:pPr>
        <w:ind w:left="517"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4"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3" w:hanging="420"/>
      </w:pPr>
      <w:rPr>
        <w:rFonts w:hint="default"/>
      </w:rPr>
    </w:lvl>
    <w:lvl w:ilvl="8">
      <w:start w:val="0"/>
      <w:numFmt w:val="bullet"/>
      <w:lvlText w:val="•"/>
      <w:lvlJc w:val="left"/>
      <w:pPr>
        <w:ind w:left="6169" w:hanging="420"/>
      </w:pPr>
      <w:rPr>
        <w:rFonts w:hint="default"/>
      </w:rPr>
    </w:lvl>
  </w:abstractNum>
  <w:abstractNum w:abstractNumId="15">
    <w:multiLevelType w:val="hybridMultilevel"/>
    <w:lvl w:ilvl="0">
      <w:start w:val="1"/>
      <w:numFmt w:val="decimal"/>
      <w:lvlText w:val="(%1)"/>
      <w:lvlJc w:val="left"/>
      <w:pPr>
        <w:ind w:left="457" w:hanging="360"/>
        <w:jc w:val="left"/>
      </w:pPr>
      <w:rPr>
        <w:rFonts w:hint="default" w:ascii="宋体" w:hAnsi="宋体" w:eastAsia="宋体" w:cs="宋体"/>
        <w:spacing w:val="-46"/>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4"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308" w:hanging="360"/>
      </w:pPr>
      <w:rPr>
        <w:rFonts w:hint="default"/>
      </w:rPr>
    </w:lvl>
    <w:lvl w:ilvl="5">
      <w:start w:val="0"/>
      <w:numFmt w:val="bullet"/>
      <w:lvlText w:val="•"/>
      <w:lvlJc w:val="left"/>
      <w:pPr>
        <w:ind w:left="4021" w:hanging="360"/>
      </w:pPr>
      <w:rPr>
        <w:rFonts w:hint="default"/>
      </w:rPr>
    </w:lvl>
    <w:lvl w:ilvl="6">
      <w:start w:val="0"/>
      <w:numFmt w:val="bullet"/>
      <w:lvlText w:val="•"/>
      <w:lvlJc w:val="left"/>
      <w:pPr>
        <w:ind w:left="4733" w:hanging="360"/>
      </w:pPr>
      <w:rPr>
        <w:rFonts w:hint="default"/>
      </w:rPr>
    </w:lvl>
    <w:lvl w:ilvl="7">
      <w:start w:val="0"/>
      <w:numFmt w:val="bullet"/>
      <w:lvlText w:val="•"/>
      <w:lvlJc w:val="left"/>
      <w:pPr>
        <w:ind w:left="5445" w:hanging="360"/>
      </w:pPr>
      <w:rPr>
        <w:rFonts w:hint="default"/>
      </w:rPr>
    </w:lvl>
    <w:lvl w:ilvl="8">
      <w:start w:val="0"/>
      <w:numFmt w:val="bullet"/>
      <w:lvlText w:val="•"/>
      <w:lvlJc w:val="left"/>
      <w:pPr>
        <w:ind w:left="6157" w:hanging="360"/>
      </w:pPr>
      <w:rPr>
        <w:rFonts w:hint="default"/>
      </w:rPr>
    </w:lvl>
  </w:abstractNum>
  <w:abstractNum w:abstractNumId="18">
    <w:multiLevelType w:val="hybridMultilevel"/>
    <w:lvl w:ilvl="0">
      <w:start w:val="1"/>
      <w:numFmt w:val="decimal"/>
      <w:lvlText w:val="(%1)"/>
      <w:lvlJc w:val="left"/>
      <w:pPr>
        <w:ind w:left="3002" w:hanging="420"/>
        <w:jc w:val="left"/>
      </w:pPr>
      <w:rPr>
        <w:rFonts w:hint="default" w:ascii="宋体" w:hAnsi="宋体" w:eastAsia="宋体" w:cs="宋体"/>
        <w:spacing w:val="-31"/>
        <w:w w:val="100"/>
        <w:sz w:val="18"/>
        <w:szCs w:val="18"/>
      </w:rPr>
    </w:lvl>
    <w:lvl w:ilvl="1">
      <w:start w:val="0"/>
      <w:numFmt w:val="bullet"/>
      <w:lvlText w:val="•"/>
      <w:lvlJc w:val="left"/>
      <w:pPr>
        <w:ind w:left="3718" w:hanging="420"/>
      </w:pPr>
      <w:rPr>
        <w:rFonts w:hint="default"/>
      </w:rPr>
    </w:lvl>
    <w:lvl w:ilvl="2">
      <w:start w:val="0"/>
      <w:numFmt w:val="bullet"/>
      <w:lvlText w:val="•"/>
      <w:lvlJc w:val="left"/>
      <w:pPr>
        <w:ind w:left="4436" w:hanging="420"/>
      </w:pPr>
      <w:rPr>
        <w:rFonts w:hint="default"/>
      </w:rPr>
    </w:lvl>
    <w:lvl w:ilvl="3">
      <w:start w:val="0"/>
      <w:numFmt w:val="bullet"/>
      <w:lvlText w:val="•"/>
      <w:lvlJc w:val="left"/>
      <w:pPr>
        <w:ind w:left="5155" w:hanging="420"/>
      </w:pPr>
      <w:rPr>
        <w:rFonts w:hint="default"/>
      </w:rPr>
    </w:lvl>
    <w:lvl w:ilvl="4">
      <w:start w:val="0"/>
      <w:numFmt w:val="bullet"/>
      <w:lvlText w:val="•"/>
      <w:lvlJc w:val="left"/>
      <w:pPr>
        <w:ind w:left="5873" w:hanging="420"/>
      </w:pPr>
      <w:rPr>
        <w:rFonts w:hint="default"/>
      </w:rPr>
    </w:lvl>
    <w:lvl w:ilvl="5">
      <w:start w:val="0"/>
      <w:numFmt w:val="bullet"/>
      <w:lvlText w:val="•"/>
      <w:lvlJc w:val="left"/>
      <w:pPr>
        <w:ind w:left="6592" w:hanging="420"/>
      </w:pPr>
      <w:rPr>
        <w:rFonts w:hint="default"/>
      </w:rPr>
    </w:lvl>
    <w:lvl w:ilvl="6">
      <w:start w:val="0"/>
      <w:numFmt w:val="bullet"/>
      <w:lvlText w:val="•"/>
      <w:lvlJc w:val="left"/>
      <w:pPr>
        <w:ind w:left="7310" w:hanging="420"/>
      </w:pPr>
      <w:rPr>
        <w:rFonts w:hint="default"/>
      </w:rPr>
    </w:lvl>
    <w:lvl w:ilvl="7">
      <w:start w:val="0"/>
      <w:numFmt w:val="bullet"/>
      <w:lvlText w:val="•"/>
      <w:lvlJc w:val="left"/>
      <w:pPr>
        <w:ind w:left="8029" w:hanging="420"/>
      </w:pPr>
      <w:rPr>
        <w:rFonts w:hint="default"/>
      </w:rPr>
    </w:lvl>
    <w:lvl w:ilvl="8">
      <w:start w:val="0"/>
      <w:numFmt w:val="bullet"/>
      <w:lvlText w:val="•"/>
      <w:lvlJc w:val="left"/>
      <w:pPr>
        <w:ind w:left="8747" w:hanging="420"/>
      </w:pPr>
      <w:rPr>
        <w:rFonts w:hint="default"/>
      </w:rPr>
    </w:lvl>
  </w:abstractNum>
  <w:abstractNum w:abstractNumId="14">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444"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2">
    <w:multiLevelType w:val="hybridMultilevel"/>
    <w:lvl w:ilvl="0">
      <w:start w:val="1"/>
      <w:numFmt w:val="decimal"/>
      <w:lvlText w:val="(%1)"/>
      <w:lvlJc w:val="left"/>
      <w:pPr>
        <w:ind w:left="104"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1">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0" w:hanging="683"/>
      </w:pPr>
      <w:rPr>
        <w:rFonts w:hint="default"/>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1"/>
      <w:numFmt w:val="decimal"/>
      <w:lvlText w:val="(%3)"/>
      <w:lvlJc w:val="left"/>
      <w:pPr>
        <w:ind w:left="3033" w:hanging="420"/>
        <w:jc w:val="left"/>
      </w:pPr>
      <w:rPr>
        <w:rFonts w:hint="default" w:ascii="宋体" w:hAnsi="宋体" w:eastAsia="宋体" w:cs="宋体"/>
        <w:spacing w:val="-31"/>
        <w:w w:val="100"/>
        <w:sz w:val="18"/>
        <w:szCs w:val="18"/>
      </w:rPr>
    </w:lvl>
    <w:lvl w:ilvl="3">
      <w:start w:val="0"/>
      <w:numFmt w:val="bullet"/>
      <w:lvlText w:val="•"/>
      <w:lvlJc w:val="left"/>
      <w:pPr>
        <w:ind w:left="3923" w:hanging="420"/>
      </w:pPr>
      <w:rPr>
        <w:rFonts w:hint="default"/>
      </w:rPr>
    </w:lvl>
    <w:lvl w:ilvl="4">
      <w:start w:val="0"/>
      <w:numFmt w:val="bullet"/>
      <w:lvlText w:val="•"/>
      <w:lvlJc w:val="left"/>
      <w:pPr>
        <w:ind w:left="4806" w:hanging="420"/>
      </w:pPr>
      <w:rPr>
        <w:rFonts w:hint="default"/>
      </w:rPr>
    </w:lvl>
    <w:lvl w:ilvl="5">
      <w:start w:val="0"/>
      <w:numFmt w:val="bullet"/>
      <w:lvlText w:val="•"/>
      <w:lvlJc w:val="left"/>
      <w:pPr>
        <w:ind w:left="5689" w:hanging="420"/>
      </w:pPr>
      <w:rPr>
        <w:rFonts w:hint="default"/>
      </w:rPr>
    </w:lvl>
    <w:lvl w:ilvl="6">
      <w:start w:val="0"/>
      <w:numFmt w:val="bullet"/>
      <w:lvlText w:val="•"/>
      <w:lvlJc w:val="left"/>
      <w:pPr>
        <w:ind w:left="6572" w:hanging="420"/>
      </w:pPr>
      <w:rPr>
        <w:rFonts w:hint="default"/>
      </w:rPr>
    </w:lvl>
    <w:lvl w:ilvl="7">
      <w:start w:val="0"/>
      <w:numFmt w:val="bullet"/>
      <w:lvlText w:val="•"/>
      <w:lvlJc w:val="left"/>
      <w:pPr>
        <w:ind w:left="7455" w:hanging="420"/>
      </w:pPr>
      <w:rPr>
        <w:rFonts w:hint="default"/>
      </w:rPr>
    </w:lvl>
    <w:lvl w:ilvl="8">
      <w:start w:val="0"/>
      <w:numFmt w:val="bullet"/>
      <w:lvlText w:val="•"/>
      <w:lvlJc w:val="left"/>
      <w:pPr>
        <w:ind w:left="8338" w:hanging="42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position w:val="-4"/>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5">
    <w:multiLevelType w:val="hybridMultilevel"/>
    <w:lvl w:ilvl="0">
      <w:start w:val="8"/>
      <w:numFmt w:val="decimal"/>
      <w:lvlText w:val="%1"/>
      <w:lvlJc w:val="left"/>
      <w:pPr>
        <w:ind w:left="1117" w:hanging="421"/>
        <w:jc w:val="left"/>
      </w:pPr>
      <w:rPr>
        <w:rFonts w:hint="default"/>
      </w:rPr>
    </w:lvl>
    <w:lvl w:ilvl="1">
      <w:start w:val="1"/>
      <w:numFmt w:val="decimal"/>
      <w:lvlText w:val="%1.%2"/>
      <w:lvlJc w:val="left"/>
      <w:pPr>
        <w:ind w:left="1117" w:hanging="421"/>
        <w:jc w:val="left"/>
      </w:pPr>
      <w:rPr>
        <w:rFonts w:hint="default" w:ascii="宋体" w:hAnsi="宋体" w:eastAsia="宋体" w:cs="宋体"/>
        <w:spacing w:val="-2"/>
        <w:w w:val="100"/>
        <w:sz w:val="21"/>
        <w:szCs w:val="21"/>
      </w:rPr>
    </w:lvl>
    <w:lvl w:ilvl="2">
      <w:start w:val="0"/>
      <w:numFmt w:val="bullet"/>
      <w:lvlText w:val="•"/>
      <w:lvlJc w:val="left"/>
      <w:pPr>
        <w:ind w:left="1678" w:hanging="421"/>
      </w:pPr>
      <w:rPr>
        <w:rFonts w:hint="default"/>
      </w:rPr>
    </w:lvl>
    <w:lvl w:ilvl="3">
      <w:start w:val="0"/>
      <w:numFmt w:val="bullet"/>
      <w:lvlText w:val="•"/>
      <w:lvlJc w:val="left"/>
      <w:pPr>
        <w:ind w:left="1957" w:hanging="421"/>
      </w:pPr>
      <w:rPr>
        <w:rFonts w:hint="default"/>
      </w:rPr>
    </w:lvl>
    <w:lvl w:ilvl="4">
      <w:start w:val="0"/>
      <w:numFmt w:val="bullet"/>
      <w:lvlText w:val="•"/>
      <w:lvlJc w:val="left"/>
      <w:pPr>
        <w:ind w:left="2237" w:hanging="421"/>
      </w:pPr>
      <w:rPr>
        <w:rFonts w:hint="default"/>
      </w:rPr>
    </w:lvl>
    <w:lvl w:ilvl="5">
      <w:start w:val="0"/>
      <w:numFmt w:val="bullet"/>
      <w:lvlText w:val="•"/>
      <w:lvlJc w:val="left"/>
      <w:pPr>
        <w:ind w:left="2516" w:hanging="421"/>
      </w:pPr>
      <w:rPr>
        <w:rFonts w:hint="default"/>
      </w:rPr>
    </w:lvl>
    <w:lvl w:ilvl="6">
      <w:start w:val="0"/>
      <w:numFmt w:val="bullet"/>
      <w:lvlText w:val="•"/>
      <w:lvlJc w:val="left"/>
      <w:pPr>
        <w:ind w:left="2795" w:hanging="421"/>
      </w:pPr>
      <w:rPr>
        <w:rFonts w:hint="default"/>
      </w:rPr>
    </w:lvl>
    <w:lvl w:ilvl="7">
      <w:start w:val="0"/>
      <w:numFmt w:val="bullet"/>
      <w:lvlText w:val="•"/>
      <w:lvlJc w:val="left"/>
      <w:pPr>
        <w:ind w:left="3075" w:hanging="421"/>
      </w:pPr>
      <w:rPr>
        <w:rFonts w:hint="default"/>
      </w:rPr>
    </w:lvl>
    <w:lvl w:ilvl="8">
      <w:start w:val="0"/>
      <w:numFmt w:val="bullet"/>
      <w:lvlText w:val="•"/>
      <w:lvlJc w:val="left"/>
      <w:pPr>
        <w:ind w:left="3354" w:hanging="421"/>
      </w:pPr>
      <w:rPr>
        <w:rFonts w:hint="default"/>
      </w:rPr>
    </w:lvl>
  </w:abstractNum>
  <w:abstractNum w:abstractNumId="4">
    <w:multiLevelType w:val="hybridMultilevel"/>
    <w:lvl w:ilvl="0">
      <w:start w:val="5"/>
      <w:numFmt w:val="decimal"/>
      <w:lvlText w:val="%1"/>
      <w:lvlJc w:val="left"/>
      <w:pPr>
        <w:ind w:left="1323" w:hanging="421"/>
        <w:jc w:val="left"/>
      </w:pPr>
      <w:rPr>
        <w:rFonts w:hint="default"/>
      </w:rPr>
    </w:lvl>
    <w:lvl w:ilvl="1">
      <w:start w:val="1"/>
      <w:numFmt w:val="decimal"/>
      <w:lvlText w:val="%1.%2"/>
      <w:lvlJc w:val="left"/>
      <w:pPr>
        <w:ind w:left="1323" w:hanging="421"/>
        <w:jc w:val="left"/>
      </w:pPr>
      <w:rPr>
        <w:rFonts w:hint="default" w:ascii="宋体" w:hAnsi="宋体" w:eastAsia="宋体" w:cs="宋体"/>
        <w:spacing w:val="-2"/>
        <w:w w:val="100"/>
        <w:sz w:val="21"/>
        <w:szCs w:val="21"/>
      </w:rPr>
    </w:lvl>
    <w:lvl w:ilvl="2">
      <w:start w:val="0"/>
      <w:numFmt w:val="bullet"/>
      <w:lvlText w:val="•"/>
      <w:lvlJc w:val="left"/>
      <w:pPr>
        <w:ind w:left="1658" w:hanging="421"/>
      </w:pPr>
      <w:rPr>
        <w:rFonts w:hint="default"/>
      </w:rPr>
    </w:lvl>
    <w:lvl w:ilvl="3">
      <w:start w:val="0"/>
      <w:numFmt w:val="bullet"/>
      <w:lvlText w:val="•"/>
      <w:lvlJc w:val="left"/>
      <w:pPr>
        <w:ind w:left="1827" w:hanging="421"/>
      </w:pPr>
      <w:rPr>
        <w:rFonts w:hint="default"/>
      </w:rPr>
    </w:lvl>
    <w:lvl w:ilvl="4">
      <w:start w:val="0"/>
      <w:numFmt w:val="bullet"/>
      <w:lvlText w:val="•"/>
      <w:lvlJc w:val="left"/>
      <w:pPr>
        <w:ind w:left="199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34" w:hanging="421"/>
      </w:pPr>
      <w:rPr>
        <w:rFonts w:hint="default"/>
      </w:rPr>
    </w:lvl>
    <w:lvl w:ilvl="7">
      <w:start w:val="0"/>
      <w:numFmt w:val="bullet"/>
      <w:lvlText w:val="•"/>
      <w:lvlJc w:val="left"/>
      <w:pPr>
        <w:ind w:left="2503" w:hanging="421"/>
      </w:pPr>
      <w:rPr>
        <w:rFonts w:hint="default"/>
      </w:rPr>
    </w:lvl>
    <w:lvl w:ilvl="8">
      <w:start w:val="0"/>
      <w:numFmt w:val="bullet"/>
      <w:lvlText w:val="•"/>
      <w:lvlJc w:val="left"/>
      <w:pPr>
        <w:ind w:left="2672" w:hanging="421"/>
      </w:pPr>
      <w:rPr>
        <w:rFonts w:hint="default"/>
      </w:rPr>
    </w:lvl>
  </w:abstractNum>
  <w:abstractNum w:abstractNumId="3">
    <w:multiLevelType w:val="hybridMultilevel"/>
    <w:lvl w:ilvl="0">
      <w:start w:val="3"/>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2">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1">
    <w:multiLevelType w:val="hybridMultilevel"/>
    <w:lvl w:ilvl="0">
      <w:start w:val="1"/>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1">
    <w:abstractNumId w:val="20"/>
  </w:num>
  <w:num w:numId="20">
    <w:abstractNumId w:val="19"/>
  </w:num>
  <w:num w:numId="18">
    <w:abstractNumId w:val="17"/>
  </w:num>
  <w:num w:numId="17">
    <w:abstractNumId w:val="16"/>
  </w:num>
  <w:num w:numId="16">
    <w:abstractNumId w:val="15"/>
  </w:num>
  <w:num w:numId="19">
    <w:abstractNumId w:val="18"/>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ind w:left="692"/>
      <w:outlineLvl w:val="2"/>
    </w:pPr>
    <w:rPr>
      <w:rFonts w:ascii="宋体" w:hAnsi="宋体" w:eastAsia="宋体" w:cs="宋体"/>
      <w:b/>
      <w:bCs/>
      <w:sz w:val="21"/>
      <w:szCs w:val="21"/>
    </w:rPr>
  </w:style>
  <w:style w:styleId="Heading3" w:type="paragraph">
    <w:name w:val="Heading 3"/>
    <w:basedOn w:val="Normal"/>
    <w:uiPriority w:val="1"/>
    <w:qFormat/>
    <w:pPr>
      <w:spacing w:before="45"/>
      <w:ind w:left="2613"/>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&lt;4D6963726F736F667420576F7264202D20B8BDBCFE332D3220C3F1C9FAB8BDBCD3C3F1BFB5BDF0C9FAD6D8B4F3BCB2B2A1B1A3CFD5CCF5BFEE&gt;</dc:title>
  <dcterms:created xsi:type="dcterms:W3CDTF">2018-10-19T23:18:40Z</dcterms:created>
  <dcterms:modified xsi:type="dcterms:W3CDTF">2018-10-19T23:18:40Z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vt:lpwstr>
  </property>
  <property fmtid="{D5CDD505-2E9C-101B-9397-08002B2CF9AE}" pid="4" name="LastSaved">
    <vt:filetime>2018-10-19T00:00:00Z</vt:filetime>
  </property>
</Properties>
</file>