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1479"/>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7"/>
        <w:rPr>
          <w:rFonts w:ascii="Times New Roman"/>
          <w:sz w:val="27"/>
        </w:rPr>
      </w:pPr>
    </w:p>
    <w:p>
      <w:pPr>
        <w:spacing w:line="506" w:lineRule="exact" w:before="0"/>
        <w:ind w:left="255"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5059045</wp:posOffset>
            </wp:positionH>
            <wp:positionV relativeFrom="paragraph">
              <wp:posOffset>-903880</wp:posOffset>
            </wp:positionV>
            <wp:extent cx="1781175"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81175" cy="1076325"/>
                    </a:xfrm>
                    <a:prstGeom prst="rect">
                      <a:avLst/>
                    </a:prstGeom>
                  </pic:spPr>
                </pic:pic>
              </a:graphicData>
            </a:graphic>
          </wp:anchor>
        </w:drawing>
      </w:r>
      <w:r>
        <w:rPr>
          <w:rFonts w:ascii="微软雅黑" w:eastAsia="微软雅黑" w:hint="eastAsia"/>
          <w:b/>
          <w:sz w:val="32"/>
        </w:rPr>
        <w:t>百年附加福瑞安康提前给付重大疾病保险条款</w:t>
      </w:r>
    </w:p>
    <w:p>
      <w:pPr>
        <w:pStyle w:val="BodyText"/>
        <w:rPr>
          <w:rFonts w:ascii="微软雅黑"/>
          <w:b/>
          <w:sz w:val="20"/>
        </w:rPr>
      </w:pPr>
    </w:p>
    <w:p>
      <w:pPr>
        <w:pStyle w:val="BodyText"/>
        <w:rPr>
          <w:rFonts w:ascii="微软雅黑"/>
          <w:b/>
          <w:sz w:val="20"/>
        </w:rPr>
      </w:pPr>
    </w:p>
    <w:p>
      <w:pPr>
        <w:pStyle w:val="BodyText"/>
        <w:spacing w:before="4"/>
        <w:rPr>
          <w:rFonts w:ascii="微软雅黑"/>
          <w:b/>
          <w:sz w:val="15"/>
        </w:rPr>
      </w:pPr>
      <w:r>
        <w:rPr/>
        <w:pict>
          <v:line style="position:absolute;mso-position-horizontal-relative:page;mso-position-vertical-relative:paragraph;z-index:0;mso-wrap-distance-left:0;mso-wrap-distance-right:0" from="66.599998pt,15.530206pt" to="528.599998pt,15.530206pt" stroked="true" strokeweight=".75pt" strokecolor="#000000">
            <v:stroke dashstyle="solid"/>
            <w10:wrap type="topAndBottom"/>
          </v:line>
        </w:pict>
      </w:r>
      <w:r>
        <w:rPr/>
        <w:pict>
          <v:shape style="position:absolute;margin-left:231.5pt;margin-top:27.750206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20"/>
        </w:rPr>
      </w:pPr>
    </w:p>
    <w:p>
      <w:pPr>
        <w:pStyle w:val="BodyText"/>
        <w:rPr>
          <w:rFonts w:ascii="微软雅黑"/>
          <w:b/>
          <w:sz w:val="20"/>
        </w:rPr>
      </w:pPr>
    </w:p>
    <w:p>
      <w:pPr>
        <w:pStyle w:val="BodyText"/>
        <w:spacing w:before="4"/>
        <w:rPr>
          <w:rFonts w:ascii="微软雅黑"/>
          <w:b/>
          <w:sz w:val="25"/>
        </w:rPr>
      </w:pPr>
    </w:p>
    <w:p>
      <w:pPr>
        <w:pStyle w:val="BodyText"/>
        <w:spacing w:before="37"/>
        <w:ind w:left="1918"/>
      </w:pPr>
      <w:r>
        <w:rPr/>
        <w:t>本阅读指引有助于您理解条款，对本附加合同内容的解释以条款为准。</w:t>
      </w:r>
    </w:p>
    <w:p>
      <w:pPr>
        <w:pStyle w:val="BodyText"/>
        <w:rPr>
          <w:sz w:val="20"/>
        </w:rPr>
      </w:pPr>
    </w:p>
    <w:p>
      <w:pPr>
        <w:pStyle w:val="BodyText"/>
        <w:rPr>
          <w:sz w:val="20"/>
        </w:rPr>
      </w:pPr>
    </w:p>
    <w:p>
      <w:pPr>
        <w:tabs>
          <w:tab w:pos="973" w:val="left" w:leader="none"/>
        </w:tabs>
        <w:spacing w:before="138"/>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rPr>
          <w:sz w:val="22"/>
        </w:rPr>
      </w:pPr>
    </w:p>
    <w:p>
      <w:pPr>
        <w:pStyle w:val="BodyText"/>
        <w:spacing w:before="5"/>
        <w:rPr>
          <w:sz w:val="27"/>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BodyText"/>
        <w:rPr>
          <w:sz w:val="22"/>
        </w:rPr>
      </w:pPr>
    </w:p>
    <w:p>
      <w:pPr>
        <w:pStyle w:val="BodyText"/>
        <w:spacing w:before="4"/>
        <w:rPr>
          <w:sz w:val="27"/>
        </w:rPr>
      </w:pPr>
    </w:p>
    <w:p>
      <w:pPr>
        <w:spacing w:before="1"/>
        <w:ind w:left="697" w:right="0" w:firstLine="0"/>
        <w:jc w:val="left"/>
        <w:rPr>
          <w:sz w:val="21"/>
        </w:rPr>
      </w:pPr>
      <w:r>
        <w:rPr>
          <w:b/>
          <w:sz w:val="21"/>
        </w:rPr>
        <w:t>条款是保险合同的重要内容，为充分保障您的权益，请您仔细阅读本条款</w:t>
      </w:r>
      <w:r>
        <w:rPr>
          <w:sz w:val="21"/>
        </w:rPr>
        <w:t>。</w:t>
      </w:r>
    </w:p>
    <w:p>
      <w:pPr>
        <w:spacing w:after="0"/>
        <w:jc w:val="left"/>
        <w:rPr>
          <w:sz w:val="21"/>
        </w:rPr>
        <w:sectPr>
          <w:headerReference w:type="default" r:id="rId5"/>
          <w:footerReference w:type="default" r:id="rId6"/>
          <w:type w:val="continuous"/>
          <w:pgSz w:w="11910" w:h="16840"/>
          <w:pgMar w:header="566" w:footer="664" w:top="1000" w:bottom="860" w:left="1000" w:right="1000"/>
          <w:pgNumType w:start="1"/>
        </w:sectPr>
      </w:pPr>
    </w:p>
    <w:p>
      <w:pPr>
        <w:pStyle w:val="BodyText"/>
        <w:spacing w:before="5"/>
        <w:rPr>
          <w:sz w:val="26"/>
        </w:rPr>
      </w:pPr>
    </w:p>
    <w:p>
      <w:pPr>
        <w:spacing w:before="45" w:after="24"/>
        <w:ind w:left="87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92"/>
        <w:gridCol w:w="3420"/>
        <w:gridCol w:w="3197"/>
      </w:tblGrid>
      <w:tr>
        <w:trPr>
          <w:trHeight w:val="6340" w:hRule="atLeast"/>
        </w:trPr>
        <w:tc>
          <w:tcPr>
            <w:tcW w:w="3092" w:type="dxa"/>
          </w:tcPr>
          <w:p>
            <w:pPr>
              <w:pStyle w:val="TableParagraph"/>
              <w:spacing w:before="60"/>
              <w:ind w:left="152"/>
              <w:rPr>
                <w:b/>
                <w:sz w:val="21"/>
              </w:rPr>
            </w:pPr>
            <w:r>
              <w:rPr>
                <w:b/>
                <w:sz w:val="21"/>
              </w:rPr>
              <w:t>1． 您与我们订立的合同</w:t>
            </w:r>
          </w:p>
          <w:p>
            <w:pPr>
              <w:pStyle w:val="TableParagraph"/>
              <w:numPr>
                <w:ilvl w:val="1"/>
                <w:numId w:val="2"/>
              </w:numPr>
              <w:tabs>
                <w:tab w:pos="919" w:val="left" w:leader="none"/>
              </w:tabs>
              <w:spacing w:line="240" w:lineRule="auto" w:before="36" w:after="0"/>
              <w:ind w:left="918" w:right="0" w:hanging="405"/>
              <w:jc w:val="left"/>
              <w:rPr>
                <w:sz w:val="21"/>
              </w:rPr>
            </w:pPr>
            <w:r>
              <w:rPr>
                <w:spacing w:val="-1"/>
                <w:sz w:val="21"/>
              </w:rPr>
              <w:t>合同构成</w:t>
            </w:r>
          </w:p>
          <w:p>
            <w:pPr>
              <w:pStyle w:val="TableParagraph"/>
              <w:numPr>
                <w:ilvl w:val="1"/>
                <w:numId w:val="2"/>
              </w:numPr>
              <w:tabs>
                <w:tab w:pos="919" w:val="left" w:leader="none"/>
              </w:tabs>
              <w:spacing w:line="240" w:lineRule="auto" w:before="36" w:after="0"/>
              <w:ind w:left="918" w:right="0" w:hanging="405"/>
              <w:jc w:val="left"/>
              <w:rPr>
                <w:sz w:val="21"/>
              </w:rPr>
            </w:pPr>
            <w:r>
              <w:rPr>
                <w:spacing w:val="-3"/>
                <w:sz w:val="21"/>
              </w:rPr>
              <w:t>合同成立与生效</w:t>
            </w:r>
          </w:p>
          <w:p>
            <w:pPr>
              <w:pStyle w:val="TableParagraph"/>
              <w:numPr>
                <w:ilvl w:val="1"/>
                <w:numId w:val="2"/>
              </w:numPr>
              <w:tabs>
                <w:tab w:pos="919" w:val="left" w:leader="none"/>
              </w:tabs>
              <w:spacing w:line="240" w:lineRule="auto" w:before="36" w:after="0"/>
              <w:ind w:left="918" w:right="0" w:hanging="405"/>
              <w:jc w:val="left"/>
              <w:rPr>
                <w:sz w:val="21"/>
              </w:rPr>
            </w:pPr>
            <w:r>
              <w:rPr>
                <w:spacing w:val="-1"/>
                <w:sz w:val="21"/>
              </w:rPr>
              <w:t>投保年龄</w:t>
            </w:r>
          </w:p>
          <w:p>
            <w:pPr>
              <w:pStyle w:val="TableParagraph"/>
              <w:numPr>
                <w:ilvl w:val="1"/>
                <w:numId w:val="2"/>
              </w:numPr>
              <w:tabs>
                <w:tab w:pos="919" w:val="left" w:leader="none"/>
              </w:tabs>
              <w:spacing w:line="240" w:lineRule="auto" w:before="36" w:after="0"/>
              <w:ind w:left="918" w:right="0" w:hanging="405"/>
              <w:jc w:val="left"/>
              <w:rPr>
                <w:sz w:val="21"/>
              </w:rPr>
            </w:pPr>
            <w:r>
              <w:rPr>
                <w:sz w:val="21"/>
              </w:rPr>
              <w:t>犹豫期</w:t>
            </w:r>
          </w:p>
          <w:p>
            <w:pPr>
              <w:pStyle w:val="TableParagraph"/>
              <w:spacing w:before="36"/>
              <w:ind w:left="152"/>
              <w:rPr>
                <w:b/>
                <w:sz w:val="21"/>
              </w:rPr>
            </w:pPr>
            <w:r>
              <w:rPr>
                <w:b/>
                <w:sz w:val="21"/>
              </w:rPr>
              <w:t>2． 我们提供的保障</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基本保额</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保险期间</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保险责任</w:t>
            </w:r>
          </w:p>
          <w:p>
            <w:pPr>
              <w:pStyle w:val="TableParagraph"/>
              <w:numPr>
                <w:ilvl w:val="1"/>
                <w:numId w:val="3"/>
              </w:numPr>
              <w:tabs>
                <w:tab w:pos="936" w:val="left" w:leader="none"/>
              </w:tabs>
              <w:spacing w:line="240" w:lineRule="auto" w:before="36" w:after="0"/>
              <w:ind w:left="935" w:right="0" w:hanging="422"/>
              <w:jc w:val="left"/>
              <w:rPr>
                <w:sz w:val="21"/>
              </w:rPr>
            </w:pPr>
            <w:r>
              <w:rPr>
                <w:spacing w:val="-3"/>
                <w:sz w:val="21"/>
              </w:rPr>
              <w:t>责任免除</w:t>
            </w:r>
          </w:p>
          <w:p>
            <w:pPr>
              <w:pStyle w:val="TableParagraph"/>
              <w:numPr>
                <w:ilvl w:val="0"/>
                <w:numId w:val="4"/>
              </w:numPr>
              <w:tabs>
                <w:tab w:pos="471" w:val="left" w:leader="none"/>
              </w:tabs>
              <w:spacing w:line="240" w:lineRule="auto" w:before="36" w:after="0"/>
              <w:ind w:left="470" w:right="0" w:hanging="318"/>
              <w:jc w:val="left"/>
              <w:rPr>
                <w:b/>
                <w:sz w:val="21"/>
              </w:rPr>
            </w:pPr>
            <w:r>
              <w:rPr>
                <w:b/>
                <w:sz w:val="21"/>
              </w:rPr>
              <w:t>重大疾病</w:t>
            </w:r>
          </w:p>
          <w:p>
            <w:pPr>
              <w:pStyle w:val="TableParagraph"/>
              <w:numPr>
                <w:ilvl w:val="1"/>
                <w:numId w:val="4"/>
              </w:numPr>
              <w:tabs>
                <w:tab w:pos="936" w:val="left" w:leader="none"/>
              </w:tabs>
              <w:spacing w:line="240" w:lineRule="auto" w:before="36" w:after="0"/>
              <w:ind w:left="935" w:right="0" w:hanging="422"/>
              <w:jc w:val="left"/>
              <w:rPr>
                <w:sz w:val="21"/>
              </w:rPr>
            </w:pPr>
            <w:r>
              <w:rPr>
                <w:spacing w:val="-3"/>
                <w:sz w:val="21"/>
              </w:rPr>
              <w:t>重大疾病范围</w:t>
            </w:r>
          </w:p>
          <w:p>
            <w:pPr>
              <w:pStyle w:val="TableParagraph"/>
              <w:numPr>
                <w:ilvl w:val="1"/>
                <w:numId w:val="4"/>
              </w:numPr>
              <w:tabs>
                <w:tab w:pos="936" w:val="left" w:leader="none"/>
              </w:tabs>
              <w:spacing w:line="240" w:lineRule="auto" w:before="37" w:after="0"/>
              <w:ind w:left="935" w:right="0" w:hanging="422"/>
              <w:jc w:val="left"/>
              <w:rPr>
                <w:sz w:val="21"/>
              </w:rPr>
            </w:pPr>
            <w:r>
              <w:rPr>
                <w:spacing w:val="-3"/>
                <w:sz w:val="21"/>
              </w:rPr>
              <w:t>重大疾病定义</w:t>
            </w:r>
          </w:p>
          <w:p>
            <w:pPr>
              <w:pStyle w:val="TableParagraph"/>
              <w:numPr>
                <w:ilvl w:val="0"/>
                <w:numId w:val="4"/>
              </w:numPr>
              <w:tabs>
                <w:tab w:pos="471" w:val="left" w:leader="none"/>
              </w:tabs>
              <w:spacing w:line="240" w:lineRule="auto" w:before="37" w:after="0"/>
              <w:ind w:left="470" w:right="0" w:hanging="318"/>
              <w:jc w:val="left"/>
              <w:rPr>
                <w:b/>
                <w:sz w:val="21"/>
              </w:rPr>
            </w:pPr>
            <w:r>
              <w:rPr>
                <w:b/>
                <w:sz w:val="21"/>
              </w:rPr>
              <w:t>特定疾病</w:t>
            </w:r>
          </w:p>
          <w:p>
            <w:pPr>
              <w:pStyle w:val="TableParagraph"/>
              <w:numPr>
                <w:ilvl w:val="1"/>
                <w:numId w:val="4"/>
              </w:numPr>
              <w:tabs>
                <w:tab w:pos="936" w:val="left" w:leader="none"/>
              </w:tabs>
              <w:spacing w:line="273" w:lineRule="auto" w:before="37" w:after="0"/>
              <w:ind w:left="152" w:right="879" w:firstLine="361"/>
              <w:jc w:val="left"/>
              <w:rPr>
                <w:b/>
                <w:sz w:val="21"/>
              </w:rPr>
            </w:pPr>
            <w:r>
              <w:rPr>
                <w:spacing w:val="-3"/>
                <w:sz w:val="21"/>
              </w:rPr>
              <w:t>特定疾病定义</w:t>
            </w:r>
            <w:r>
              <w:rPr>
                <w:b/>
                <w:spacing w:val="-3"/>
                <w:sz w:val="21"/>
              </w:rPr>
              <w:t>5．保险金的申请</w:t>
            </w:r>
          </w:p>
          <w:p>
            <w:pPr>
              <w:pStyle w:val="TableParagraph"/>
              <w:numPr>
                <w:ilvl w:val="1"/>
                <w:numId w:val="5"/>
              </w:numPr>
              <w:tabs>
                <w:tab w:pos="936" w:val="left" w:leader="none"/>
              </w:tabs>
              <w:spacing w:line="240" w:lineRule="auto" w:before="7" w:after="0"/>
              <w:ind w:left="935" w:right="0" w:hanging="422"/>
              <w:jc w:val="left"/>
              <w:rPr>
                <w:sz w:val="21"/>
              </w:rPr>
            </w:pPr>
            <w:r>
              <w:rPr>
                <w:spacing w:val="-2"/>
                <w:sz w:val="21"/>
              </w:rPr>
              <w:t>受益人</w:t>
            </w:r>
          </w:p>
          <w:p>
            <w:pPr>
              <w:pStyle w:val="TableParagraph"/>
              <w:numPr>
                <w:ilvl w:val="1"/>
                <w:numId w:val="5"/>
              </w:numPr>
              <w:tabs>
                <w:tab w:pos="936" w:val="left" w:leader="none"/>
              </w:tabs>
              <w:spacing w:line="240" w:lineRule="auto" w:before="36" w:after="0"/>
              <w:ind w:left="935" w:right="0" w:hanging="422"/>
              <w:jc w:val="left"/>
              <w:rPr>
                <w:sz w:val="21"/>
              </w:rPr>
            </w:pPr>
            <w:r>
              <w:rPr>
                <w:spacing w:val="-3"/>
                <w:sz w:val="21"/>
              </w:rPr>
              <w:t>保险事故通知</w:t>
            </w:r>
          </w:p>
          <w:p>
            <w:pPr>
              <w:pStyle w:val="TableParagraph"/>
              <w:numPr>
                <w:ilvl w:val="1"/>
                <w:numId w:val="5"/>
              </w:numPr>
              <w:tabs>
                <w:tab w:pos="936" w:val="left" w:leader="none"/>
              </w:tabs>
              <w:spacing w:line="240" w:lineRule="auto" w:before="36" w:after="0"/>
              <w:ind w:left="935" w:right="0" w:hanging="422"/>
              <w:jc w:val="left"/>
              <w:rPr>
                <w:sz w:val="21"/>
              </w:rPr>
            </w:pPr>
            <w:r>
              <w:rPr>
                <w:spacing w:val="-3"/>
                <w:sz w:val="21"/>
              </w:rPr>
              <w:t>保险金申请</w:t>
            </w:r>
          </w:p>
          <w:p>
            <w:pPr>
              <w:pStyle w:val="TableParagraph"/>
              <w:numPr>
                <w:ilvl w:val="1"/>
                <w:numId w:val="5"/>
              </w:numPr>
              <w:tabs>
                <w:tab w:pos="936" w:val="left" w:leader="none"/>
              </w:tabs>
              <w:spacing w:line="240" w:lineRule="auto" w:before="36" w:after="0"/>
              <w:ind w:left="935" w:right="0" w:hanging="422"/>
              <w:jc w:val="left"/>
              <w:rPr>
                <w:sz w:val="21"/>
              </w:rPr>
            </w:pPr>
            <w:r>
              <w:rPr>
                <w:spacing w:val="-3"/>
                <w:sz w:val="21"/>
              </w:rPr>
              <w:t>委托他人代为申请保</w:t>
            </w:r>
          </w:p>
        </w:tc>
        <w:tc>
          <w:tcPr>
            <w:tcW w:w="3420" w:type="dxa"/>
          </w:tcPr>
          <w:p>
            <w:pPr>
              <w:pStyle w:val="TableParagraph"/>
              <w:spacing w:before="60"/>
              <w:ind w:left="933"/>
              <w:rPr>
                <w:sz w:val="21"/>
              </w:rPr>
            </w:pPr>
            <w:r>
              <w:rPr>
                <w:sz w:val="21"/>
              </w:rPr>
              <w:t>险金</w:t>
            </w:r>
          </w:p>
          <w:p>
            <w:pPr>
              <w:pStyle w:val="TableParagraph"/>
              <w:numPr>
                <w:ilvl w:val="1"/>
                <w:numId w:val="6"/>
              </w:numPr>
              <w:tabs>
                <w:tab w:pos="936" w:val="left" w:leader="none"/>
              </w:tabs>
              <w:spacing w:line="240" w:lineRule="auto" w:before="36" w:after="0"/>
              <w:ind w:left="935" w:right="0" w:hanging="422"/>
              <w:jc w:val="left"/>
              <w:rPr>
                <w:sz w:val="21"/>
              </w:rPr>
            </w:pPr>
            <w:r>
              <w:rPr>
                <w:spacing w:val="-3"/>
                <w:sz w:val="21"/>
              </w:rPr>
              <w:t>提供补充材料</w:t>
            </w:r>
          </w:p>
          <w:p>
            <w:pPr>
              <w:pStyle w:val="TableParagraph"/>
              <w:numPr>
                <w:ilvl w:val="1"/>
                <w:numId w:val="6"/>
              </w:numPr>
              <w:tabs>
                <w:tab w:pos="936" w:val="left" w:leader="none"/>
              </w:tabs>
              <w:spacing w:line="240" w:lineRule="auto" w:before="36" w:after="0"/>
              <w:ind w:left="935" w:right="0" w:hanging="422"/>
              <w:jc w:val="left"/>
              <w:rPr>
                <w:sz w:val="21"/>
              </w:rPr>
            </w:pPr>
            <w:r>
              <w:rPr>
                <w:spacing w:val="-3"/>
                <w:sz w:val="21"/>
              </w:rPr>
              <w:t>保险金给付</w:t>
            </w:r>
          </w:p>
          <w:p>
            <w:pPr>
              <w:pStyle w:val="TableParagraph"/>
              <w:numPr>
                <w:ilvl w:val="1"/>
                <w:numId w:val="6"/>
              </w:numPr>
              <w:tabs>
                <w:tab w:pos="936" w:val="left" w:leader="none"/>
              </w:tabs>
              <w:spacing w:line="240" w:lineRule="auto" w:before="36" w:after="0"/>
              <w:ind w:left="935" w:right="0" w:hanging="422"/>
              <w:jc w:val="left"/>
              <w:rPr>
                <w:sz w:val="21"/>
              </w:rPr>
            </w:pPr>
            <w:r>
              <w:rPr>
                <w:spacing w:val="-3"/>
                <w:sz w:val="21"/>
              </w:rPr>
              <w:t>诉讼时效</w:t>
            </w:r>
          </w:p>
          <w:p>
            <w:pPr>
              <w:pStyle w:val="TableParagraph"/>
              <w:spacing w:before="36"/>
              <w:ind w:left="153"/>
              <w:rPr>
                <w:b/>
                <w:sz w:val="21"/>
              </w:rPr>
            </w:pPr>
            <w:r>
              <w:rPr>
                <w:b/>
                <w:sz w:val="21"/>
              </w:rPr>
              <w:t>6．保险费的交纳</w:t>
            </w:r>
          </w:p>
          <w:p>
            <w:pPr>
              <w:pStyle w:val="TableParagraph"/>
              <w:numPr>
                <w:ilvl w:val="1"/>
                <w:numId w:val="7"/>
              </w:numPr>
              <w:tabs>
                <w:tab w:pos="936" w:val="left" w:leader="none"/>
              </w:tabs>
              <w:spacing w:line="240" w:lineRule="auto" w:before="36" w:after="0"/>
              <w:ind w:left="935" w:right="0" w:hanging="422"/>
              <w:jc w:val="left"/>
              <w:rPr>
                <w:sz w:val="21"/>
              </w:rPr>
            </w:pPr>
            <w:r>
              <w:rPr>
                <w:spacing w:val="-3"/>
                <w:sz w:val="21"/>
              </w:rPr>
              <w:t>保险费的交纳</w:t>
            </w:r>
          </w:p>
          <w:p>
            <w:pPr>
              <w:pStyle w:val="TableParagraph"/>
              <w:numPr>
                <w:ilvl w:val="1"/>
                <w:numId w:val="7"/>
              </w:numPr>
              <w:tabs>
                <w:tab w:pos="936" w:val="left" w:leader="none"/>
              </w:tabs>
              <w:spacing w:line="240" w:lineRule="auto" w:before="36" w:after="0"/>
              <w:ind w:left="935" w:right="0" w:hanging="422"/>
              <w:jc w:val="left"/>
              <w:rPr>
                <w:sz w:val="21"/>
              </w:rPr>
            </w:pPr>
            <w:r>
              <w:rPr>
                <w:spacing w:val="-2"/>
                <w:sz w:val="21"/>
              </w:rPr>
              <w:t>宽限期</w:t>
            </w:r>
          </w:p>
          <w:p>
            <w:pPr>
              <w:pStyle w:val="TableParagraph"/>
              <w:numPr>
                <w:ilvl w:val="0"/>
                <w:numId w:val="8"/>
              </w:numPr>
              <w:tabs>
                <w:tab w:pos="470" w:val="left" w:leader="none"/>
              </w:tabs>
              <w:spacing w:line="240" w:lineRule="auto" w:before="36" w:after="0"/>
              <w:ind w:left="469" w:right="0" w:hanging="316"/>
              <w:jc w:val="left"/>
              <w:rPr>
                <w:b/>
                <w:sz w:val="21"/>
              </w:rPr>
            </w:pPr>
            <w:r>
              <w:rPr>
                <w:b/>
                <w:sz w:val="21"/>
              </w:rPr>
              <w:t>合同效力中止与恢复</w:t>
            </w:r>
          </w:p>
          <w:p>
            <w:pPr>
              <w:pStyle w:val="TableParagraph"/>
              <w:numPr>
                <w:ilvl w:val="1"/>
                <w:numId w:val="8"/>
              </w:numPr>
              <w:tabs>
                <w:tab w:pos="936" w:val="left" w:leader="none"/>
              </w:tabs>
              <w:spacing w:line="240" w:lineRule="auto" w:before="36" w:after="0"/>
              <w:ind w:left="935" w:right="0" w:hanging="422"/>
              <w:jc w:val="left"/>
              <w:rPr>
                <w:sz w:val="21"/>
              </w:rPr>
            </w:pPr>
            <w:r>
              <w:rPr>
                <w:spacing w:val="-3"/>
                <w:sz w:val="21"/>
              </w:rPr>
              <w:t>效力中止</w:t>
            </w:r>
          </w:p>
          <w:p>
            <w:pPr>
              <w:pStyle w:val="TableParagraph"/>
              <w:numPr>
                <w:ilvl w:val="1"/>
                <w:numId w:val="8"/>
              </w:numPr>
              <w:tabs>
                <w:tab w:pos="936" w:val="left" w:leader="none"/>
              </w:tabs>
              <w:spacing w:line="240" w:lineRule="auto" w:before="36" w:after="0"/>
              <w:ind w:left="935" w:right="0" w:hanging="422"/>
              <w:jc w:val="left"/>
              <w:rPr>
                <w:sz w:val="21"/>
              </w:rPr>
            </w:pPr>
            <w:r>
              <w:rPr>
                <w:spacing w:val="-3"/>
                <w:sz w:val="21"/>
              </w:rPr>
              <w:t>效力恢复</w:t>
            </w:r>
          </w:p>
          <w:p>
            <w:pPr>
              <w:pStyle w:val="TableParagraph"/>
              <w:numPr>
                <w:ilvl w:val="0"/>
                <w:numId w:val="8"/>
              </w:numPr>
              <w:tabs>
                <w:tab w:pos="470" w:val="left" w:leader="none"/>
              </w:tabs>
              <w:spacing w:line="240" w:lineRule="auto" w:before="36" w:after="0"/>
              <w:ind w:left="469" w:right="0" w:hanging="316"/>
              <w:jc w:val="left"/>
              <w:rPr>
                <w:b/>
                <w:sz w:val="21"/>
              </w:rPr>
            </w:pPr>
            <w:r>
              <w:rPr>
                <w:b/>
                <w:sz w:val="21"/>
              </w:rPr>
              <w:t>犹豫期后的合同解除</w:t>
            </w:r>
          </w:p>
          <w:p>
            <w:pPr>
              <w:pStyle w:val="TableParagraph"/>
              <w:numPr>
                <w:ilvl w:val="1"/>
                <w:numId w:val="8"/>
              </w:numPr>
              <w:tabs>
                <w:tab w:pos="936" w:val="left" w:leader="none"/>
              </w:tabs>
              <w:spacing w:line="240" w:lineRule="auto" w:before="36" w:after="0"/>
              <w:ind w:left="935" w:right="0" w:hanging="422"/>
              <w:jc w:val="left"/>
              <w:rPr>
                <w:sz w:val="21"/>
              </w:rPr>
            </w:pPr>
            <w:r>
              <w:rPr>
                <w:spacing w:val="-3"/>
                <w:sz w:val="21"/>
              </w:rPr>
              <w:t>您解除合同的手续</w:t>
            </w:r>
          </w:p>
          <w:p>
            <w:pPr>
              <w:pStyle w:val="TableParagraph"/>
              <w:spacing w:before="37"/>
              <w:ind w:left="153"/>
              <w:rPr>
                <w:b/>
                <w:sz w:val="21"/>
              </w:rPr>
            </w:pPr>
            <w:r>
              <w:rPr>
                <w:b/>
                <w:sz w:val="21"/>
              </w:rPr>
              <w:t>9．明确说明与如实告知</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明确说明与如实告知</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本公司合同解除权的限制</w:t>
            </w:r>
          </w:p>
          <w:p>
            <w:pPr>
              <w:pStyle w:val="TableParagraph"/>
              <w:spacing w:before="37"/>
              <w:ind w:left="153"/>
              <w:rPr>
                <w:b/>
                <w:sz w:val="21"/>
              </w:rPr>
            </w:pPr>
            <w:r>
              <w:rPr>
                <w:b/>
                <w:sz w:val="21"/>
              </w:rPr>
              <w:t>10．其他需要关注的事项</w:t>
            </w:r>
          </w:p>
          <w:p>
            <w:pPr>
              <w:pStyle w:val="TableParagraph"/>
              <w:numPr>
                <w:ilvl w:val="1"/>
                <w:numId w:val="10"/>
              </w:numPr>
              <w:tabs>
                <w:tab w:pos="1039" w:val="left" w:leader="none"/>
              </w:tabs>
              <w:spacing w:line="240" w:lineRule="auto" w:before="37" w:after="0"/>
              <w:ind w:left="1038" w:right="0" w:hanging="525"/>
              <w:jc w:val="left"/>
              <w:rPr>
                <w:sz w:val="21"/>
              </w:rPr>
            </w:pPr>
            <w:r>
              <w:rPr>
                <w:spacing w:val="-3"/>
                <w:sz w:val="21"/>
              </w:rPr>
              <w:t>年龄性别错误</w:t>
            </w:r>
          </w:p>
          <w:p>
            <w:pPr>
              <w:pStyle w:val="TableParagraph"/>
              <w:numPr>
                <w:ilvl w:val="1"/>
                <w:numId w:val="10"/>
              </w:numPr>
              <w:tabs>
                <w:tab w:pos="1039" w:val="left" w:leader="none"/>
              </w:tabs>
              <w:spacing w:line="240" w:lineRule="auto" w:before="37" w:after="0"/>
              <w:ind w:left="1038" w:right="0" w:hanging="525"/>
              <w:jc w:val="left"/>
              <w:rPr>
                <w:sz w:val="21"/>
              </w:rPr>
            </w:pPr>
            <w:r>
              <w:rPr>
                <w:spacing w:val="-3"/>
                <w:sz w:val="21"/>
              </w:rPr>
              <w:t>合同效力终止</w:t>
            </w:r>
          </w:p>
          <w:p>
            <w:pPr>
              <w:pStyle w:val="TableParagraph"/>
              <w:numPr>
                <w:ilvl w:val="1"/>
                <w:numId w:val="10"/>
              </w:numPr>
              <w:tabs>
                <w:tab w:pos="1039" w:val="left" w:leader="none"/>
              </w:tabs>
              <w:spacing w:line="240" w:lineRule="auto" w:before="37" w:after="0"/>
              <w:ind w:left="1038" w:right="0" w:hanging="525"/>
              <w:jc w:val="left"/>
              <w:rPr>
                <w:sz w:val="21"/>
              </w:rPr>
            </w:pPr>
            <w:r>
              <w:rPr>
                <w:spacing w:val="-3"/>
                <w:sz w:val="21"/>
              </w:rPr>
              <w:t>与主合同不一致的解决</w:t>
            </w:r>
          </w:p>
          <w:p>
            <w:pPr>
              <w:pStyle w:val="TableParagraph"/>
              <w:spacing w:before="37"/>
              <w:ind w:left="153"/>
              <w:rPr>
                <w:b/>
                <w:sz w:val="21"/>
              </w:rPr>
            </w:pPr>
            <w:r>
              <w:rPr>
                <w:b/>
                <w:sz w:val="21"/>
              </w:rPr>
              <w:t>11. 释义</w:t>
            </w:r>
          </w:p>
        </w:tc>
        <w:tc>
          <w:tcPr>
            <w:tcW w:w="3197" w:type="dxa"/>
          </w:tcPr>
          <w:p>
            <w:pPr>
              <w:pStyle w:val="TableParagraph"/>
              <w:numPr>
                <w:ilvl w:val="1"/>
                <w:numId w:val="11"/>
              </w:numPr>
              <w:tabs>
                <w:tab w:pos="891" w:val="left" w:leader="none"/>
              </w:tabs>
              <w:spacing w:line="240" w:lineRule="auto" w:before="60" w:after="0"/>
              <w:ind w:left="928" w:right="0" w:hanging="564"/>
              <w:jc w:val="left"/>
              <w:rPr>
                <w:sz w:val="21"/>
              </w:rPr>
            </w:pPr>
            <w:r>
              <w:rPr>
                <w:spacing w:val="-3"/>
                <w:sz w:val="21"/>
              </w:rPr>
              <w:t>我们认可的医院</w:t>
            </w:r>
          </w:p>
          <w:p>
            <w:pPr>
              <w:pStyle w:val="TableParagraph"/>
              <w:numPr>
                <w:ilvl w:val="1"/>
                <w:numId w:val="11"/>
              </w:numPr>
              <w:tabs>
                <w:tab w:pos="891" w:val="left" w:leader="none"/>
              </w:tabs>
              <w:spacing w:line="240" w:lineRule="auto" w:before="36" w:after="0"/>
              <w:ind w:left="928" w:right="0" w:hanging="564"/>
              <w:jc w:val="left"/>
              <w:rPr>
                <w:sz w:val="21"/>
              </w:rPr>
            </w:pPr>
            <w:r>
              <w:rPr>
                <w:sz w:val="21"/>
              </w:rPr>
              <w:t>毒品</w:t>
            </w:r>
          </w:p>
          <w:p>
            <w:pPr>
              <w:pStyle w:val="TableParagraph"/>
              <w:numPr>
                <w:ilvl w:val="1"/>
                <w:numId w:val="11"/>
              </w:numPr>
              <w:tabs>
                <w:tab w:pos="891" w:val="left" w:leader="none"/>
              </w:tabs>
              <w:spacing w:line="240" w:lineRule="auto" w:before="36" w:after="0"/>
              <w:ind w:left="928" w:right="0" w:hanging="564"/>
              <w:jc w:val="left"/>
              <w:rPr>
                <w:sz w:val="21"/>
              </w:rPr>
            </w:pPr>
            <w:r>
              <w:rPr>
                <w:spacing w:val="-2"/>
                <w:sz w:val="21"/>
              </w:rPr>
              <w:t>管制药品</w:t>
            </w:r>
          </w:p>
          <w:p>
            <w:pPr>
              <w:pStyle w:val="TableParagraph"/>
              <w:numPr>
                <w:ilvl w:val="1"/>
                <w:numId w:val="11"/>
              </w:numPr>
              <w:tabs>
                <w:tab w:pos="891" w:val="left" w:leader="none"/>
              </w:tabs>
              <w:spacing w:line="240" w:lineRule="auto" w:before="36" w:after="0"/>
              <w:ind w:left="928" w:right="0" w:hanging="564"/>
              <w:jc w:val="left"/>
              <w:rPr>
                <w:sz w:val="21"/>
              </w:rPr>
            </w:pPr>
            <w:r>
              <w:rPr>
                <w:spacing w:val="-2"/>
                <w:sz w:val="21"/>
              </w:rPr>
              <w:t>酒后驾驶</w:t>
            </w:r>
          </w:p>
          <w:p>
            <w:pPr>
              <w:pStyle w:val="TableParagraph"/>
              <w:numPr>
                <w:ilvl w:val="1"/>
                <w:numId w:val="11"/>
              </w:numPr>
              <w:tabs>
                <w:tab w:pos="891" w:val="left" w:leader="none"/>
              </w:tabs>
              <w:spacing w:line="240" w:lineRule="auto" w:before="36" w:after="0"/>
              <w:ind w:left="928" w:right="0" w:hanging="564"/>
              <w:jc w:val="left"/>
              <w:rPr>
                <w:sz w:val="21"/>
              </w:rPr>
            </w:pPr>
            <w:r>
              <w:rPr>
                <w:spacing w:val="-3"/>
                <w:sz w:val="21"/>
              </w:rPr>
              <w:t>无合法有效驾驶证驾驶</w:t>
            </w:r>
          </w:p>
          <w:p>
            <w:pPr>
              <w:pStyle w:val="TableParagraph"/>
              <w:numPr>
                <w:ilvl w:val="1"/>
                <w:numId w:val="11"/>
              </w:numPr>
              <w:tabs>
                <w:tab w:pos="891" w:val="left" w:leader="none"/>
              </w:tabs>
              <w:spacing w:line="240" w:lineRule="auto" w:before="36" w:after="0"/>
              <w:ind w:left="928" w:right="0" w:hanging="564"/>
              <w:jc w:val="left"/>
              <w:rPr>
                <w:sz w:val="21"/>
              </w:rPr>
            </w:pPr>
            <w:r>
              <w:rPr>
                <w:spacing w:val="-3"/>
                <w:sz w:val="21"/>
              </w:rPr>
              <w:t>无有效行驶证</w:t>
            </w:r>
          </w:p>
          <w:p>
            <w:pPr>
              <w:pStyle w:val="TableParagraph"/>
              <w:numPr>
                <w:ilvl w:val="1"/>
                <w:numId w:val="11"/>
              </w:numPr>
              <w:tabs>
                <w:tab w:pos="891" w:val="left" w:leader="none"/>
              </w:tabs>
              <w:spacing w:line="240" w:lineRule="auto" w:before="36" w:after="0"/>
              <w:ind w:left="928" w:right="0" w:hanging="564"/>
              <w:jc w:val="left"/>
              <w:rPr>
                <w:sz w:val="21"/>
              </w:rPr>
            </w:pPr>
            <w:r>
              <w:rPr>
                <w:spacing w:val="-2"/>
                <w:sz w:val="21"/>
              </w:rPr>
              <w:t>机动车</w:t>
            </w:r>
          </w:p>
          <w:p>
            <w:pPr>
              <w:pStyle w:val="TableParagraph"/>
              <w:numPr>
                <w:ilvl w:val="1"/>
                <w:numId w:val="11"/>
              </w:numPr>
              <w:tabs>
                <w:tab w:pos="893" w:val="left" w:leader="none"/>
              </w:tabs>
              <w:spacing w:line="273" w:lineRule="auto" w:before="36" w:after="0"/>
              <w:ind w:left="928" w:right="128" w:hanging="566"/>
              <w:jc w:val="left"/>
              <w:rPr>
                <w:sz w:val="21"/>
              </w:rPr>
            </w:pPr>
            <w:r>
              <w:rPr>
                <w:spacing w:val="1"/>
                <w:sz w:val="21"/>
              </w:rPr>
              <w:t>感染艾滋病病毒或患艾滋病</w:t>
            </w:r>
          </w:p>
          <w:p>
            <w:pPr>
              <w:pStyle w:val="TableParagraph"/>
              <w:numPr>
                <w:ilvl w:val="1"/>
                <w:numId w:val="11"/>
              </w:numPr>
              <w:tabs>
                <w:tab w:pos="891" w:val="left" w:leader="none"/>
              </w:tabs>
              <w:spacing w:line="240" w:lineRule="auto" w:before="7" w:after="0"/>
              <w:ind w:left="928" w:right="0" w:hanging="564"/>
              <w:jc w:val="left"/>
              <w:rPr>
                <w:sz w:val="21"/>
              </w:rPr>
            </w:pPr>
            <w:r>
              <w:rPr>
                <w:spacing w:val="-3"/>
                <w:sz w:val="21"/>
              </w:rPr>
              <w:t>遗传性疾病</w:t>
            </w:r>
          </w:p>
          <w:p>
            <w:pPr>
              <w:pStyle w:val="TableParagraph"/>
              <w:numPr>
                <w:ilvl w:val="1"/>
                <w:numId w:val="11"/>
              </w:numPr>
              <w:tabs>
                <w:tab w:pos="999" w:val="left" w:leader="none"/>
              </w:tabs>
              <w:spacing w:line="268" w:lineRule="auto" w:before="31" w:after="0"/>
              <w:ind w:left="993" w:right="131" w:hanging="629"/>
              <w:jc w:val="left"/>
              <w:rPr>
                <w:sz w:val="21"/>
              </w:rPr>
            </w:pPr>
            <w:r>
              <w:rPr>
                <w:spacing w:val="-10"/>
                <w:position w:val="1"/>
                <w:sz w:val="21"/>
              </w:rPr>
              <w:t>先天性畸形、变</w:t>
            </w:r>
            <w:r>
              <w:rPr>
                <w:sz w:val="21"/>
              </w:rPr>
              <w:t>形或染色体异常</w:t>
            </w:r>
          </w:p>
          <w:p>
            <w:pPr>
              <w:pStyle w:val="TableParagraph"/>
              <w:numPr>
                <w:ilvl w:val="1"/>
                <w:numId w:val="11"/>
              </w:numPr>
              <w:tabs>
                <w:tab w:pos="996" w:val="left" w:leader="none"/>
              </w:tabs>
              <w:spacing w:line="240" w:lineRule="auto" w:before="12" w:after="0"/>
              <w:ind w:left="995" w:right="0" w:hanging="631"/>
              <w:jc w:val="left"/>
              <w:rPr>
                <w:sz w:val="21"/>
              </w:rPr>
            </w:pPr>
            <w:r>
              <w:rPr>
                <w:spacing w:val="-2"/>
                <w:sz w:val="21"/>
              </w:rPr>
              <w:t>现金价值</w:t>
            </w:r>
          </w:p>
          <w:p>
            <w:pPr>
              <w:pStyle w:val="TableParagraph"/>
              <w:numPr>
                <w:ilvl w:val="1"/>
                <w:numId w:val="11"/>
              </w:numPr>
              <w:tabs>
                <w:tab w:pos="996" w:val="left" w:leader="none"/>
              </w:tabs>
              <w:spacing w:line="240" w:lineRule="auto" w:before="37" w:after="0"/>
              <w:ind w:left="995" w:right="0" w:hanging="631"/>
              <w:jc w:val="left"/>
              <w:rPr>
                <w:sz w:val="21"/>
              </w:rPr>
            </w:pPr>
            <w:r>
              <w:rPr>
                <w:spacing w:val="-2"/>
                <w:sz w:val="21"/>
              </w:rPr>
              <w:t>专科医生</w:t>
            </w:r>
          </w:p>
          <w:p>
            <w:pPr>
              <w:pStyle w:val="TableParagraph"/>
              <w:numPr>
                <w:ilvl w:val="1"/>
                <w:numId w:val="11"/>
              </w:numPr>
              <w:tabs>
                <w:tab w:pos="996" w:val="left" w:leader="none"/>
              </w:tabs>
              <w:spacing w:line="240" w:lineRule="auto" w:before="37" w:after="0"/>
              <w:ind w:left="995" w:right="0" w:hanging="631"/>
              <w:jc w:val="left"/>
              <w:rPr>
                <w:sz w:val="21"/>
              </w:rPr>
            </w:pPr>
            <w:r>
              <w:rPr>
                <w:spacing w:val="-3"/>
                <w:sz w:val="21"/>
              </w:rPr>
              <w:t>肢体机能完全丧失</w:t>
            </w:r>
          </w:p>
          <w:p>
            <w:pPr>
              <w:pStyle w:val="TableParagraph"/>
              <w:numPr>
                <w:ilvl w:val="1"/>
                <w:numId w:val="11"/>
              </w:numPr>
              <w:tabs>
                <w:tab w:pos="996" w:val="left" w:leader="none"/>
              </w:tabs>
              <w:spacing w:line="273" w:lineRule="auto" w:before="37" w:after="0"/>
              <w:ind w:left="993" w:right="292" w:hanging="629"/>
              <w:jc w:val="left"/>
              <w:rPr>
                <w:sz w:val="21"/>
              </w:rPr>
            </w:pPr>
            <w:r>
              <w:rPr>
                <w:spacing w:val="-3"/>
                <w:sz w:val="21"/>
              </w:rPr>
              <w:t>语言能力或咀嚼吞咽能力完全丧失</w:t>
            </w:r>
          </w:p>
          <w:p>
            <w:pPr>
              <w:pStyle w:val="TableParagraph"/>
              <w:numPr>
                <w:ilvl w:val="1"/>
                <w:numId w:val="11"/>
              </w:numPr>
              <w:tabs>
                <w:tab w:pos="996" w:val="left" w:leader="none"/>
              </w:tabs>
              <w:spacing w:line="240" w:lineRule="auto" w:before="2" w:after="0"/>
              <w:ind w:left="995" w:right="0" w:hanging="631"/>
              <w:jc w:val="left"/>
              <w:rPr>
                <w:sz w:val="21"/>
              </w:rPr>
            </w:pPr>
            <w:r>
              <w:rPr>
                <w:spacing w:val="-20"/>
                <w:position w:val="1"/>
                <w:sz w:val="21"/>
              </w:rPr>
              <w:t>六项基本日常生活活动</w:t>
            </w:r>
          </w:p>
          <w:p>
            <w:pPr>
              <w:pStyle w:val="TableParagraph"/>
              <w:numPr>
                <w:ilvl w:val="1"/>
                <w:numId w:val="11"/>
              </w:numPr>
              <w:tabs>
                <w:tab w:pos="996" w:val="left" w:leader="none"/>
              </w:tabs>
              <w:spacing w:line="240" w:lineRule="auto" w:before="27" w:after="0"/>
              <w:ind w:left="995" w:right="0" w:hanging="631"/>
              <w:jc w:val="left"/>
              <w:rPr>
                <w:sz w:val="21"/>
              </w:rPr>
            </w:pPr>
            <w:r>
              <w:rPr>
                <w:position w:val="1"/>
                <w:sz w:val="21"/>
              </w:rPr>
              <w:t>永久不可逆</w:t>
            </w:r>
          </w:p>
          <w:p>
            <w:pPr>
              <w:pStyle w:val="TableParagraph"/>
              <w:numPr>
                <w:ilvl w:val="1"/>
                <w:numId w:val="11"/>
              </w:numPr>
              <w:tabs>
                <w:tab w:pos="996" w:val="left" w:leader="none"/>
              </w:tabs>
              <w:spacing w:line="240" w:lineRule="auto" w:before="32" w:after="0"/>
              <w:ind w:left="995" w:right="0" w:hanging="631"/>
              <w:jc w:val="left"/>
              <w:rPr>
                <w:sz w:val="21"/>
              </w:rPr>
            </w:pPr>
            <w:r>
              <w:rPr>
                <w:spacing w:val="-3"/>
                <w:sz w:val="21"/>
              </w:rPr>
              <w:t>本合同约定利率</w:t>
            </w:r>
          </w:p>
        </w:tc>
      </w:tr>
    </w:tbl>
    <w:p>
      <w:pPr>
        <w:pStyle w:val="BodyText"/>
        <w:spacing w:before="180"/>
        <w:ind w:left="312"/>
      </w:pPr>
      <w:r>
        <w:rPr/>
        <w:t>在本条款中，“您”指投保人，“我们”、“本公司”均指百年人寿保险股份有限公司，“本附加合同”</w:t>
      </w:r>
    </w:p>
    <w:p>
      <w:pPr>
        <w:pStyle w:val="BodyText"/>
        <w:spacing w:before="36"/>
        <w:ind w:left="312"/>
      </w:pPr>
      <w:r>
        <w:rPr/>
        <w:t>（以下简称本合同）指您与我们之间订立的“百年附加福瑞安康提前给付重大疾病保险合同”。</w:t>
      </w:r>
    </w:p>
    <w:p>
      <w:pPr>
        <w:pStyle w:val="BodyText"/>
        <w:spacing w:before="5" w:after="1"/>
        <w:rPr>
          <w:sz w:val="29"/>
        </w:rPr>
      </w:pPr>
    </w:p>
    <w:tbl>
      <w:tblPr>
        <w:tblW w:w="0" w:type="auto"/>
        <w:jc w:val="left"/>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76"/>
        <w:gridCol w:w="7577"/>
      </w:tblGrid>
      <w:tr>
        <w:trPr>
          <w:trHeight w:val="401" w:hRule="atLeast"/>
        </w:trPr>
        <w:tc>
          <w:tcPr>
            <w:tcW w:w="628" w:type="dxa"/>
            <w:tcBorders>
              <w:bottom w:val="single" w:sz="6" w:space="0" w:color="000000"/>
            </w:tcBorders>
          </w:tcPr>
          <w:p>
            <w:pPr>
              <w:pStyle w:val="TableParagraph"/>
              <w:spacing w:line="322" w:lineRule="exact" w:before="0"/>
              <w:ind w:left="0"/>
              <w:rPr>
                <w:b/>
                <w:sz w:val="28"/>
              </w:rPr>
            </w:pPr>
            <w:r>
              <w:rPr>
                <w:b/>
                <w:w w:val="99"/>
                <w:sz w:val="28"/>
              </w:rPr>
              <w:t>⒈</w:t>
            </w:r>
          </w:p>
        </w:tc>
        <w:tc>
          <w:tcPr>
            <w:tcW w:w="9353"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7" w:hRule="atLeast"/>
        </w:trPr>
        <w:tc>
          <w:tcPr>
            <w:tcW w:w="628" w:type="dxa"/>
            <w:tcBorders>
              <w:top w:val="single" w:sz="6" w:space="0" w:color="000000"/>
            </w:tcBorders>
          </w:tcPr>
          <w:p>
            <w:pPr>
              <w:pStyle w:val="TableParagraph"/>
              <w:spacing w:before="151"/>
              <w:ind w:left="0"/>
              <w:rPr>
                <w:b/>
                <w:sz w:val="21"/>
              </w:rPr>
            </w:pPr>
            <w:r>
              <w:rPr>
                <w:b/>
                <w:sz w:val="21"/>
              </w:rPr>
              <w:t>1.1</w:t>
            </w:r>
          </w:p>
        </w:tc>
        <w:tc>
          <w:tcPr>
            <w:tcW w:w="1776" w:type="dxa"/>
            <w:tcBorders>
              <w:top w:val="single" w:sz="6" w:space="0" w:color="000000"/>
            </w:tcBorders>
          </w:tcPr>
          <w:p>
            <w:pPr>
              <w:pStyle w:val="TableParagraph"/>
              <w:spacing w:before="151"/>
              <w:ind w:left="310"/>
              <w:rPr>
                <w:b/>
                <w:sz w:val="21"/>
              </w:rPr>
            </w:pPr>
            <w:r>
              <w:rPr>
                <w:b/>
                <w:sz w:val="21"/>
              </w:rPr>
              <w:t>合同构成</w:t>
            </w:r>
          </w:p>
        </w:tc>
        <w:tc>
          <w:tcPr>
            <w:tcW w:w="7577" w:type="dxa"/>
            <w:tcBorders>
              <w:top w:val="single" w:sz="6" w:space="0" w:color="000000"/>
            </w:tcBorders>
          </w:tcPr>
          <w:p>
            <w:pPr>
              <w:pStyle w:val="TableParagraph"/>
              <w:spacing w:line="273" w:lineRule="auto" w:before="151"/>
              <w:ind w:right="19"/>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right="106"/>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8" w:type="dxa"/>
          </w:tcPr>
          <w:p>
            <w:pPr>
              <w:pStyle w:val="TableParagraph"/>
              <w:ind w:left="0"/>
              <w:rPr>
                <w:b/>
                <w:sz w:val="21"/>
              </w:rPr>
            </w:pPr>
            <w:r>
              <w:rPr>
                <w:b/>
                <w:sz w:val="21"/>
              </w:rPr>
              <w:t>1.2</w:t>
            </w:r>
          </w:p>
        </w:tc>
        <w:tc>
          <w:tcPr>
            <w:tcW w:w="1776" w:type="dxa"/>
          </w:tcPr>
          <w:p>
            <w:pPr>
              <w:pStyle w:val="TableParagraph"/>
              <w:spacing w:line="273" w:lineRule="auto"/>
              <w:ind w:left="310" w:right="197"/>
              <w:rPr>
                <w:b/>
                <w:sz w:val="21"/>
              </w:rPr>
            </w:pPr>
            <w:r>
              <w:rPr>
                <w:b/>
                <w:sz w:val="21"/>
              </w:rPr>
              <w:t>合同成立与生效</w:t>
            </w:r>
          </w:p>
        </w:tc>
        <w:tc>
          <w:tcPr>
            <w:tcW w:w="7577" w:type="dxa"/>
          </w:tcPr>
          <w:p>
            <w:pPr>
              <w:pStyle w:val="TableParagraph"/>
              <w:rPr>
                <w:sz w:val="21"/>
              </w:rPr>
            </w:pPr>
            <w:r>
              <w:rPr>
                <w:sz w:val="21"/>
              </w:rPr>
              <w:t>本合同须与主合同同时投保，本合同成立及生效日与主合同相同。</w:t>
            </w:r>
          </w:p>
        </w:tc>
      </w:tr>
      <w:tr>
        <w:trPr>
          <w:trHeight w:val="492" w:hRule="atLeast"/>
        </w:trPr>
        <w:tc>
          <w:tcPr>
            <w:tcW w:w="628" w:type="dxa"/>
          </w:tcPr>
          <w:p>
            <w:pPr>
              <w:pStyle w:val="TableParagraph"/>
              <w:ind w:left="0"/>
              <w:rPr>
                <w:b/>
                <w:sz w:val="21"/>
              </w:rPr>
            </w:pPr>
            <w:r>
              <w:rPr>
                <w:b/>
                <w:sz w:val="21"/>
              </w:rPr>
              <w:t>1.3</w:t>
            </w:r>
          </w:p>
        </w:tc>
        <w:tc>
          <w:tcPr>
            <w:tcW w:w="1776" w:type="dxa"/>
          </w:tcPr>
          <w:p>
            <w:pPr>
              <w:pStyle w:val="TableParagraph"/>
              <w:ind w:left="310"/>
              <w:rPr>
                <w:b/>
                <w:sz w:val="21"/>
              </w:rPr>
            </w:pPr>
            <w:r>
              <w:rPr>
                <w:b/>
                <w:sz w:val="21"/>
              </w:rPr>
              <w:t>投保年龄</w:t>
            </w:r>
          </w:p>
        </w:tc>
        <w:tc>
          <w:tcPr>
            <w:tcW w:w="7577" w:type="dxa"/>
          </w:tcPr>
          <w:p>
            <w:pPr>
              <w:pStyle w:val="TableParagraph"/>
              <w:rPr>
                <w:sz w:val="21"/>
              </w:rPr>
            </w:pPr>
            <w:r>
              <w:rPr>
                <w:sz w:val="21"/>
              </w:rPr>
              <w:t>本合同投保年龄与主合同相同。</w:t>
            </w:r>
          </w:p>
        </w:tc>
      </w:tr>
      <w:tr>
        <w:trPr>
          <w:trHeight w:val="1792" w:hRule="atLeast"/>
        </w:trPr>
        <w:tc>
          <w:tcPr>
            <w:tcW w:w="628" w:type="dxa"/>
          </w:tcPr>
          <w:p>
            <w:pPr>
              <w:pStyle w:val="TableParagraph"/>
              <w:spacing w:before="77"/>
              <w:ind w:left="0"/>
              <w:rPr>
                <w:b/>
                <w:sz w:val="21"/>
              </w:rPr>
            </w:pPr>
            <w:r>
              <w:rPr>
                <w:b/>
                <w:sz w:val="21"/>
              </w:rPr>
              <w:t>1.4</w:t>
            </w:r>
          </w:p>
        </w:tc>
        <w:tc>
          <w:tcPr>
            <w:tcW w:w="1776" w:type="dxa"/>
          </w:tcPr>
          <w:p>
            <w:pPr>
              <w:pStyle w:val="TableParagraph"/>
              <w:spacing w:before="77"/>
              <w:ind w:left="310"/>
              <w:rPr>
                <w:b/>
                <w:sz w:val="21"/>
              </w:rPr>
            </w:pPr>
            <w:r>
              <w:rPr>
                <w:b/>
                <w:sz w:val="21"/>
              </w:rPr>
              <w:t>犹豫期</w:t>
            </w:r>
          </w:p>
        </w:tc>
        <w:tc>
          <w:tcPr>
            <w:tcW w:w="7577" w:type="dxa"/>
          </w:tcPr>
          <w:p>
            <w:pPr>
              <w:pStyle w:val="TableParagraph"/>
              <w:spacing w:line="273" w:lineRule="auto" w:before="77"/>
              <w:ind w:right="101"/>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488" w:hRule="atLeast"/>
        </w:trPr>
        <w:tc>
          <w:tcPr>
            <w:tcW w:w="628" w:type="dxa"/>
          </w:tcPr>
          <w:p>
            <w:pPr>
              <w:pStyle w:val="TableParagraph"/>
              <w:spacing w:line="347" w:lineRule="exact" w:before="122"/>
              <w:ind w:left="0"/>
              <w:rPr>
                <w:b/>
                <w:sz w:val="28"/>
              </w:rPr>
            </w:pPr>
            <w:r>
              <w:rPr>
                <w:b/>
                <w:w w:val="99"/>
                <w:sz w:val="28"/>
              </w:rPr>
              <w:t>⒉</w:t>
            </w:r>
          </w:p>
        </w:tc>
        <w:tc>
          <w:tcPr>
            <w:tcW w:w="9353" w:type="dxa"/>
            <w:gridSpan w:val="2"/>
          </w:tcPr>
          <w:p>
            <w:pPr>
              <w:pStyle w:val="TableParagraph"/>
              <w:spacing w:before="118"/>
              <w:ind w:left="310"/>
              <w:rPr>
                <w:b/>
                <w:sz w:val="24"/>
              </w:rPr>
            </w:pPr>
            <w:r>
              <w:rPr>
                <w:b/>
                <w:w w:val="95"/>
                <w:sz w:val="24"/>
              </w:rPr>
              <w:t>我们提供的保障</w:t>
            </w:r>
          </w:p>
        </w:tc>
      </w:tr>
    </w:tbl>
    <w:p>
      <w:pPr>
        <w:spacing w:after="0"/>
        <w:rPr>
          <w:sz w:val="24"/>
        </w:rPr>
        <w:sectPr>
          <w:pgSz w:w="11910" w:h="16840"/>
          <w:pgMar w:header="566" w:footer="664" w:top="1000" w:bottom="860" w:left="820" w:right="680"/>
        </w:sectPr>
      </w:pPr>
    </w:p>
    <w:p>
      <w:pPr>
        <w:pStyle w:val="BodyText"/>
        <w:rPr>
          <w:rFonts w:ascii="Times New Roman"/>
          <w:sz w:val="20"/>
        </w:rPr>
      </w:pPr>
      <w:r>
        <w:rPr/>
        <w:drawing>
          <wp:anchor distT="0" distB="0" distL="0" distR="0" allowOverlap="1" layoutInCell="1" locked="0" behindDoc="1" simplePos="0" relativeHeight="268397735">
            <wp:simplePos x="0" y="0"/>
            <wp:positionH relativeFrom="page">
              <wp:posOffset>5184013</wp:posOffset>
            </wp:positionH>
            <wp:positionV relativeFrom="page">
              <wp:posOffset>3506596</wp:posOffset>
            </wp:positionV>
            <wp:extent cx="62864" cy="9429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397759">
            <wp:simplePos x="0" y="0"/>
            <wp:positionH relativeFrom="page">
              <wp:posOffset>5584825</wp:posOffset>
            </wp:positionH>
            <wp:positionV relativeFrom="page">
              <wp:posOffset>4611496</wp:posOffset>
            </wp:positionV>
            <wp:extent cx="62864" cy="9429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2864" cy="94297"/>
                    </a:xfrm>
                    <a:prstGeom prst="rect">
                      <a:avLst/>
                    </a:prstGeom>
                  </pic:spPr>
                </pic:pic>
              </a:graphicData>
            </a:graphic>
          </wp:anchor>
        </w:drawing>
      </w:r>
    </w:p>
    <w:p>
      <w:pPr>
        <w:pStyle w:val="BodyText"/>
        <w:spacing w:before="1" w:after="1"/>
        <w:rPr>
          <w:rFonts w:ascii="Times New Roman"/>
          <w:sz w:val="15"/>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671"/>
        <w:gridCol w:w="7575"/>
      </w:tblGrid>
      <w:tr>
        <w:trPr>
          <w:trHeight w:val="567" w:hRule="atLeast"/>
        </w:trPr>
        <w:tc>
          <w:tcPr>
            <w:tcW w:w="734" w:type="dxa"/>
            <w:tcBorders>
              <w:top w:val="single" w:sz="6" w:space="0" w:color="000000"/>
            </w:tcBorders>
          </w:tcPr>
          <w:p>
            <w:pPr>
              <w:pStyle w:val="TableParagraph"/>
              <w:spacing w:before="151"/>
              <w:ind w:left="0"/>
              <w:rPr>
                <w:b/>
                <w:sz w:val="21"/>
              </w:rPr>
            </w:pPr>
            <w:r>
              <w:rPr>
                <w:b/>
                <w:sz w:val="21"/>
              </w:rPr>
              <w:t>2.1</w:t>
            </w:r>
          </w:p>
        </w:tc>
        <w:tc>
          <w:tcPr>
            <w:tcW w:w="1671" w:type="dxa"/>
            <w:tcBorders>
              <w:top w:val="single" w:sz="6" w:space="0" w:color="000000"/>
            </w:tcBorders>
          </w:tcPr>
          <w:p>
            <w:pPr>
              <w:pStyle w:val="TableParagraph"/>
              <w:spacing w:before="151"/>
              <w:ind w:left="204"/>
              <w:rPr>
                <w:b/>
                <w:sz w:val="21"/>
              </w:rPr>
            </w:pPr>
            <w:r>
              <w:rPr>
                <w:b/>
                <w:sz w:val="21"/>
              </w:rPr>
              <w:t>基本保额</w:t>
            </w:r>
          </w:p>
        </w:tc>
        <w:tc>
          <w:tcPr>
            <w:tcW w:w="7575" w:type="dxa"/>
            <w:tcBorders>
              <w:top w:val="single" w:sz="6" w:space="0" w:color="000000"/>
            </w:tcBorders>
          </w:tcPr>
          <w:p>
            <w:pPr>
              <w:pStyle w:val="TableParagraph"/>
              <w:spacing w:before="151"/>
              <w:ind w:left="197"/>
              <w:rPr>
                <w:sz w:val="21"/>
              </w:rPr>
            </w:pPr>
            <w:r>
              <w:rPr>
                <w:sz w:val="21"/>
              </w:rPr>
              <w:t>本合同的基本保额由您与我们约定并在保险单上载明。</w:t>
            </w:r>
          </w:p>
        </w:tc>
      </w:tr>
      <w:tr>
        <w:trPr>
          <w:trHeight w:val="492" w:hRule="atLeast"/>
        </w:trPr>
        <w:tc>
          <w:tcPr>
            <w:tcW w:w="734" w:type="dxa"/>
          </w:tcPr>
          <w:p>
            <w:pPr>
              <w:pStyle w:val="TableParagraph"/>
              <w:spacing w:before="77"/>
              <w:ind w:left="0"/>
              <w:rPr>
                <w:b/>
                <w:sz w:val="21"/>
              </w:rPr>
            </w:pPr>
            <w:r>
              <w:rPr>
                <w:b/>
                <w:sz w:val="21"/>
              </w:rPr>
              <w:t>2.2</w:t>
            </w:r>
          </w:p>
        </w:tc>
        <w:tc>
          <w:tcPr>
            <w:tcW w:w="1671" w:type="dxa"/>
          </w:tcPr>
          <w:p>
            <w:pPr>
              <w:pStyle w:val="TableParagraph"/>
              <w:spacing w:before="77"/>
              <w:ind w:left="204"/>
              <w:rPr>
                <w:b/>
                <w:sz w:val="21"/>
              </w:rPr>
            </w:pPr>
            <w:r>
              <w:rPr>
                <w:b/>
                <w:sz w:val="21"/>
              </w:rPr>
              <w:t>保险期间</w:t>
            </w:r>
          </w:p>
        </w:tc>
        <w:tc>
          <w:tcPr>
            <w:tcW w:w="7575" w:type="dxa"/>
          </w:tcPr>
          <w:p>
            <w:pPr>
              <w:pStyle w:val="TableParagraph"/>
              <w:spacing w:before="77"/>
              <w:ind w:left="197"/>
              <w:rPr>
                <w:sz w:val="21"/>
              </w:rPr>
            </w:pPr>
            <w:r>
              <w:rPr>
                <w:sz w:val="21"/>
              </w:rPr>
              <w:t>本合同的保险期间与主合同相同。</w:t>
            </w:r>
          </w:p>
        </w:tc>
      </w:tr>
      <w:tr>
        <w:trPr>
          <w:trHeight w:val="492" w:hRule="atLeast"/>
        </w:trPr>
        <w:tc>
          <w:tcPr>
            <w:tcW w:w="734" w:type="dxa"/>
          </w:tcPr>
          <w:p>
            <w:pPr>
              <w:pStyle w:val="TableParagraph"/>
              <w:ind w:left="0"/>
              <w:rPr>
                <w:b/>
                <w:sz w:val="21"/>
              </w:rPr>
            </w:pPr>
            <w:r>
              <w:rPr>
                <w:b/>
                <w:sz w:val="21"/>
              </w:rPr>
              <w:t>2.3</w:t>
            </w:r>
          </w:p>
        </w:tc>
        <w:tc>
          <w:tcPr>
            <w:tcW w:w="1671" w:type="dxa"/>
          </w:tcPr>
          <w:p>
            <w:pPr>
              <w:pStyle w:val="TableParagraph"/>
              <w:ind w:left="204"/>
              <w:rPr>
                <w:b/>
                <w:sz w:val="21"/>
              </w:rPr>
            </w:pPr>
            <w:r>
              <w:rPr>
                <w:b/>
                <w:sz w:val="21"/>
              </w:rPr>
              <w:t>保险责任</w:t>
            </w:r>
          </w:p>
        </w:tc>
        <w:tc>
          <w:tcPr>
            <w:tcW w:w="7575" w:type="dxa"/>
          </w:tcPr>
          <w:p>
            <w:pPr>
              <w:pStyle w:val="TableParagraph"/>
              <w:ind w:left="197"/>
              <w:rPr>
                <w:sz w:val="21"/>
              </w:rPr>
            </w:pPr>
            <w:r>
              <w:rPr>
                <w:sz w:val="21"/>
              </w:rPr>
              <w:t>在本合同有效期间内，我们承担下列保险责任：</w:t>
            </w:r>
          </w:p>
        </w:tc>
      </w:tr>
      <w:tr>
        <w:trPr>
          <w:trHeight w:val="1740" w:hRule="atLeast"/>
        </w:trPr>
        <w:tc>
          <w:tcPr>
            <w:tcW w:w="734" w:type="dxa"/>
          </w:tcPr>
          <w:p>
            <w:pPr>
              <w:pStyle w:val="TableParagraph"/>
              <w:ind w:left="0"/>
              <w:rPr>
                <w:b/>
                <w:sz w:val="21"/>
              </w:rPr>
            </w:pPr>
            <w:r>
              <w:rPr>
                <w:b/>
                <w:sz w:val="21"/>
              </w:rPr>
              <w:t>2.3.1</w:t>
            </w:r>
          </w:p>
        </w:tc>
        <w:tc>
          <w:tcPr>
            <w:tcW w:w="1671" w:type="dxa"/>
          </w:tcPr>
          <w:p>
            <w:pPr>
              <w:pStyle w:val="TableParagraph"/>
              <w:spacing w:line="273" w:lineRule="auto"/>
              <w:ind w:left="204" w:right="198"/>
              <w:rPr>
                <w:b/>
                <w:sz w:val="21"/>
              </w:rPr>
            </w:pPr>
            <w:r>
              <w:rPr>
                <w:b/>
                <w:sz w:val="21"/>
              </w:rPr>
              <w:t>重大疾病保险金</w:t>
            </w:r>
          </w:p>
        </w:tc>
        <w:tc>
          <w:tcPr>
            <w:tcW w:w="7575" w:type="dxa"/>
          </w:tcPr>
          <w:p>
            <w:pPr>
              <w:pStyle w:val="TableParagraph"/>
              <w:spacing w:line="273" w:lineRule="auto"/>
              <w:ind w:left="197" w:right="102"/>
              <w:rPr>
                <w:rFonts w:ascii="黑体" w:eastAsia="黑体" w:hint="eastAsia"/>
                <w:b/>
                <w:sz w:val="21"/>
              </w:rPr>
            </w:pPr>
            <w:r>
              <w:rPr>
                <w:rFonts w:ascii="黑体" w:eastAsia="黑体" w:hint="eastAsia"/>
                <w:b/>
                <w:sz w:val="21"/>
              </w:rPr>
              <w:t>在本合同Th</w:t>
            </w:r>
            <w:r>
              <w:rPr>
                <w:rFonts w:ascii="黑体" w:eastAsia="黑体" w:hint="eastAsia"/>
                <w:b/>
                <w:spacing w:val="-3"/>
                <w:sz w:val="21"/>
              </w:rPr>
              <w:t>效日或本合同中止后的最后复效日</w:t>
            </w:r>
            <w:r>
              <w:rPr>
                <w:rFonts w:ascii="黑体" w:eastAsia="黑体" w:hint="eastAsia"/>
                <w:b/>
                <w:sz w:val="21"/>
              </w:rPr>
              <w:t>（</w:t>
            </w:r>
            <w:r>
              <w:rPr>
                <w:rFonts w:ascii="黑体" w:eastAsia="黑体" w:hint="eastAsia"/>
                <w:b/>
                <w:spacing w:val="-2"/>
                <w:sz w:val="21"/>
              </w:rPr>
              <w:t>以较迟者为准</w:t>
            </w:r>
            <w:r>
              <w:rPr>
                <w:rFonts w:ascii="黑体" w:eastAsia="黑体" w:hint="eastAsia"/>
                <w:b/>
                <w:sz w:val="21"/>
              </w:rPr>
              <w:t>）起180</w:t>
            </w:r>
            <w:r>
              <w:rPr>
                <w:rFonts w:ascii="黑体" w:eastAsia="黑体" w:hint="eastAsia"/>
                <w:b/>
                <w:spacing w:val="-2"/>
                <w:sz w:val="21"/>
              </w:rPr>
              <w:t>日以后， 被保险人经我们认可的医院</w:t>
            </w:r>
            <w:r>
              <w:rPr>
                <w:rFonts w:ascii="黑体" w:eastAsia="黑体" w:hint="eastAsia"/>
                <w:b/>
                <w:position w:val="11"/>
                <w:sz w:val="11"/>
              </w:rPr>
              <w:t>［11.1］</w:t>
            </w:r>
            <w:r>
              <w:rPr>
                <w:rFonts w:ascii="黑体" w:eastAsia="黑体" w:hint="eastAsia"/>
                <w:b/>
                <w:spacing w:val="-3"/>
                <w:sz w:val="21"/>
              </w:rPr>
              <w:t>确诊初次患上一种或多种本合同所约定的重大疾病，我们按本合同的基本保额、本合同及其所附于的主合同现金价值之和与本合同及其所附于的主合同累计已交保险费三者相比的较大者给付保险金，本合同及其所附于的主合同效力终止。</w:t>
            </w:r>
          </w:p>
        </w:tc>
      </w:tr>
      <w:tr>
        <w:trPr>
          <w:trHeight w:val="1428" w:hRule="atLeast"/>
        </w:trPr>
        <w:tc>
          <w:tcPr>
            <w:tcW w:w="734" w:type="dxa"/>
          </w:tcPr>
          <w:p>
            <w:pPr>
              <w:pStyle w:val="TableParagraph"/>
              <w:ind w:left="0"/>
              <w:rPr>
                <w:b/>
                <w:sz w:val="21"/>
              </w:rPr>
            </w:pPr>
            <w:r>
              <w:rPr>
                <w:b/>
                <w:sz w:val="21"/>
              </w:rPr>
              <w:t>2.3.2</w:t>
            </w:r>
          </w:p>
        </w:tc>
        <w:tc>
          <w:tcPr>
            <w:tcW w:w="1671" w:type="dxa"/>
          </w:tcPr>
          <w:p>
            <w:pPr>
              <w:pStyle w:val="TableParagraph"/>
              <w:spacing w:line="273" w:lineRule="auto"/>
              <w:ind w:left="204" w:right="198"/>
              <w:rPr>
                <w:b/>
                <w:sz w:val="21"/>
              </w:rPr>
            </w:pPr>
            <w:r>
              <w:rPr>
                <w:b/>
                <w:sz w:val="21"/>
              </w:rPr>
              <w:t>恶性肿瘤保险金</w:t>
            </w:r>
          </w:p>
        </w:tc>
        <w:tc>
          <w:tcPr>
            <w:tcW w:w="7575" w:type="dxa"/>
          </w:tcPr>
          <w:p>
            <w:pPr>
              <w:pStyle w:val="TableParagraph"/>
              <w:spacing w:line="273" w:lineRule="auto"/>
              <w:ind w:left="197" w:right="99"/>
              <w:rPr>
                <w:rFonts w:ascii="黑体" w:hAnsi="黑体" w:eastAsia="黑体" w:hint="eastAsia"/>
                <w:b/>
                <w:sz w:val="21"/>
              </w:rPr>
            </w:pPr>
            <w:r>
              <w:rPr>
                <w:rFonts w:ascii="黑体" w:hAnsi="黑体" w:eastAsia="黑体" w:hint="eastAsia"/>
                <w:b/>
                <w:sz w:val="21"/>
              </w:rPr>
              <w:t>在本合同Th</w:t>
            </w:r>
            <w:r>
              <w:rPr>
                <w:rFonts w:ascii="黑体" w:hAnsi="黑体" w:eastAsia="黑体" w:hint="eastAsia"/>
                <w:b/>
                <w:spacing w:val="-3"/>
                <w:sz w:val="21"/>
              </w:rPr>
              <w:t>效日或本合同中止后的最后复效日</w:t>
            </w:r>
            <w:r>
              <w:rPr>
                <w:rFonts w:ascii="黑体" w:hAnsi="黑体" w:eastAsia="黑体" w:hint="eastAsia"/>
                <w:b/>
                <w:sz w:val="21"/>
              </w:rPr>
              <w:t>（</w:t>
            </w:r>
            <w:r>
              <w:rPr>
                <w:rFonts w:ascii="黑体" w:hAnsi="黑体" w:eastAsia="黑体" w:hint="eastAsia"/>
                <w:b/>
                <w:spacing w:val="-2"/>
                <w:sz w:val="21"/>
              </w:rPr>
              <w:t>以较迟者为准</w:t>
            </w:r>
            <w:r>
              <w:rPr>
                <w:rFonts w:ascii="黑体" w:hAnsi="黑体" w:eastAsia="黑体" w:hint="eastAsia"/>
                <w:b/>
                <w:sz w:val="21"/>
              </w:rPr>
              <w:t>）起180</w:t>
            </w:r>
            <w:r>
              <w:rPr>
                <w:rFonts w:ascii="黑体" w:hAnsi="黑体" w:eastAsia="黑体" w:hint="eastAsia"/>
                <w:b/>
                <w:spacing w:val="-1"/>
                <w:sz w:val="21"/>
              </w:rPr>
              <w:t>日以后， </w:t>
            </w:r>
            <w:r>
              <w:rPr>
                <w:rFonts w:ascii="黑体" w:hAnsi="黑体" w:eastAsia="黑体" w:hint="eastAsia"/>
                <w:b/>
                <w:spacing w:val="-3"/>
                <w:sz w:val="21"/>
              </w:rPr>
              <w:t>被保险人经我们认可的医院确诊初次患上本合同所指的恶性肿瘤，我们除给付</w:t>
            </w:r>
            <w:r>
              <w:rPr>
                <w:rFonts w:ascii="黑体" w:hAnsi="黑体" w:eastAsia="黑体" w:hint="eastAsia"/>
                <w:b/>
                <w:spacing w:val="-4"/>
                <w:sz w:val="21"/>
              </w:rPr>
              <w:t>重大疾病保险金以外，还按本合同基本保额的</w:t>
            </w:r>
            <w:r>
              <w:rPr>
                <w:rFonts w:ascii="黑体" w:hAnsi="黑体" w:eastAsia="黑体" w:hint="eastAsia"/>
                <w:b/>
                <w:sz w:val="21"/>
              </w:rPr>
              <w:t>50</w:t>
            </w:r>
            <w:r>
              <w:rPr>
                <w:rFonts w:ascii="黑体" w:hAnsi="黑体" w:eastAsia="黑体" w:hint="eastAsia"/>
                <w:b/>
                <w:spacing w:val="-11"/>
                <w:sz w:val="21"/>
              </w:rPr>
              <w:t>给付保险金，本合同及其所附</w:t>
            </w:r>
            <w:r>
              <w:rPr>
                <w:rFonts w:ascii="黑体" w:hAnsi="黑体" w:eastAsia="黑体" w:hint="eastAsia"/>
                <w:b/>
                <w:spacing w:val="-1"/>
                <w:sz w:val="21"/>
              </w:rPr>
              <w:t>于的主合同效力终止。</w:t>
            </w:r>
          </w:p>
        </w:tc>
      </w:tr>
      <w:tr>
        <w:trPr>
          <w:trHeight w:val="2364" w:hRule="atLeast"/>
        </w:trPr>
        <w:tc>
          <w:tcPr>
            <w:tcW w:w="734" w:type="dxa"/>
          </w:tcPr>
          <w:p>
            <w:pPr>
              <w:pStyle w:val="TableParagraph"/>
              <w:ind w:left="0"/>
              <w:rPr>
                <w:b/>
                <w:sz w:val="21"/>
              </w:rPr>
            </w:pPr>
            <w:r>
              <w:rPr>
                <w:b/>
                <w:sz w:val="21"/>
              </w:rPr>
              <w:t>2.3.3</w:t>
            </w:r>
          </w:p>
        </w:tc>
        <w:tc>
          <w:tcPr>
            <w:tcW w:w="1671" w:type="dxa"/>
          </w:tcPr>
          <w:p>
            <w:pPr>
              <w:pStyle w:val="TableParagraph"/>
              <w:spacing w:line="273" w:lineRule="auto"/>
              <w:ind w:left="204" w:right="198"/>
              <w:rPr>
                <w:b/>
                <w:sz w:val="21"/>
              </w:rPr>
            </w:pPr>
            <w:r>
              <w:rPr>
                <w:b/>
                <w:sz w:val="21"/>
              </w:rPr>
              <w:t>特定疾病保险金</w:t>
            </w:r>
          </w:p>
        </w:tc>
        <w:tc>
          <w:tcPr>
            <w:tcW w:w="7575" w:type="dxa"/>
          </w:tcPr>
          <w:p>
            <w:pPr>
              <w:pStyle w:val="TableParagraph"/>
              <w:spacing w:line="273" w:lineRule="auto"/>
              <w:ind w:left="197" w:right="99"/>
              <w:rPr>
                <w:rFonts w:ascii="黑体" w:hAnsi="黑体" w:eastAsia="黑体" w:hint="eastAsia"/>
                <w:b/>
                <w:sz w:val="21"/>
              </w:rPr>
            </w:pPr>
            <w:r>
              <w:rPr>
                <w:rFonts w:ascii="黑体" w:hAnsi="黑体" w:eastAsia="黑体" w:hint="eastAsia"/>
                <w:b/>
                <w:sz w:val="21"/>
              </w:rPr>
              <w:t>在本合同Th</w:t>
            </w:r>
            <w:r>
              <w:rPr>
                <w:rFonts w:ascii="黑体" w:hAnsi="黑体" w:eastAsia="黑体" w:hint="eastAsia"/>
                <w:b/>
                <w:spacing w:val="-3"/>
                <w:sz w:val="21"/>
              </w:rPr>
              <w:t>效日或本合同中止后的最后复效日</w:t>
            </w:r>
            <w:r>
              <w:rPr>
                <w:rFonts w:ascii="黑体" w:hAnsi="黑体" w:eastAsia="黑体" w:hint="eastAsia"/>
                <w:b/>
                <w:sz w:val="21"/>
              </w:rPr>
              <w:t>（</w:t>
            </w:r>
            <w:r>
              <w:rPr>
                <w:rFonts w:ascii="黑体" w:hAnsi="黑体" w:eastAsia="黑体" w:hint="eastAsia"/>
                <w:b/>
                <w:spacing w:val="-2"/>
                <w:sz w:val="21"/>
              </w:rPr>
              <w:t>以较迟者为准</w:t>
            </w:r>
            <w:r>
              <w:rPr>
                <w:rFonts w:ascii="黑体" w:hAnsi="黑体" w:eastAsia="黑体" w:hint="eastAsia"/>
                <w:b/>
                <w:sz w:val="21"/>
              </w:rPr>
              <w:t>）起180</w:t>
            </w:r>
            <w:r>
              <w:rPr>
                <w:rFonts w:ascii="黑体" w:hAnsi="黑体" w:eastAsia="黑体" w:hint="eastAsia"/>
                <w:b/>
                <w:spacing w:val="-2"/>
                <w:sz w:val="21"/>
              </w:rPr>
              <w:t>日以后， </w:t>
            </w:r>
            <w:r>
              <w:rPr>
                <w:rFonts w:ascii="黑体" w:hAnsi="黑体" w:eastAsia="黑体" w:hint="eastAsia"/>
                <w:b/>
                <w:spacing w:val="-3"/>
                <w:sz w:val="21"/>
              </w:rPr>
              <w:t>被保险人经我们认可的医院确诊初次患上一种或多种本合同所约定的特定疾病且首次发病时间在本合同</w:t>
            </w:r>
            <w:r>
              <w:rPr>
                <w:rFonts w:ascii="黑体" w:hAnsi="黑体" w:eastAsia="黑体" w:hint="eastAsia"/>
                <w:b/>
                <w:sz w:val="21"/>
              </w:rPr>
              <w:t>Th</w:t>
            </w:r>
            <w:r>
              <w:rPr>
                <w:rFonts w:ascii="黑体" w:hAnsi="黑体" w:eastAsia="黑体" w:hint="eastAsia"/>
                <w:b/>
                <w:spacing w:val="-3"/>
                <w:sz w:val="21"/>
              </w:rPr>
              <w:t>效</w:t>
            </w:r>
            <w:r>
              <w:rPr>
                <w:rFonts w:ascii="黑体" w:hAnsi="黑体" w:eastAsia="黑体" w:hint="eastAsia"/>
                <w:b/>
                <w:sz w:val="21"/>
              </w:rPr>
              <w:t>（</w:t>
            </w:r>
            <w:r>
              <w:rPr>
                <w:rFonts w:ascii="黑体" w:hAnsi="黑体" w:eastAsia="黑体" w:hint="eastAsia"/>
                <w:b/>
                <w:spacing w:val="-1"/>
                <w:sz w:val="21"/>
              </w:rPr>
              <w:t>或最后复效</w:t>
            </w:r>
            <w:r>
              <w:rPr>
                <w:rFonts w:ascii="黑体" w:hAnsi="黑体" w:eastAsia="黑体" w:hint="eastAsia"/>
                <w:b/>
                <w:spacing w:val="-3"/>
                <w:sz w:val="21"/>
              </w:rPr>
              <w:t>）</w:t>
            </w:r>
            <w:r>
              <w:rPr>
                <w:rFonts w:ascii="黑体" w:hAnsi="黑体" w:eastAsia="黑体" w:hint="eastAsia"/>
                <w:b/>
                <w:spacing w:val="-2"/>
                <w:sz w:val="21"/>
              </w:rPr>
              <w:t>之日起</w:t>
            </w:r>
            <w:r>
              <w:rPr>
                <w:rFonts w:ascii="黑体" w:hAnsi="黑体" w:eastAsia="黑体" w:hint="eastAsia"/>
                <w:b/>
                <w:sz w:val="21"/>
              </w:rPr>
              <w:t>180</w:t>
            </w:r>
            <w:r>
              <w:rPr>
                <w:rFonts w:ascii="黑体" w:hAnsi="黑体" w:eastAsia="黑体" w:hint="eastAsia"/>
                <w:b/>
                <w:spacing w:val="-2"/>
                <w:sz w:val="21"/>
              </w:rPr>
              <w:t>日以后，经我们查核属</w:t>
            </w:r>
            <w:r>
              <w:rPr>
                <w:rFonts w:ascii="黑体" w:hAnsi="黑体" w:eastAsia="黑体" w:hint="eastAsia"/>
                <w:b/>
                <w:spacing w:val="-3"/>
                <w:sz w:val="21"/>
              </w:rPr>
              <w:t>实确在本合同责任范围内，我们按本合同基本保额的</w:t>
            </w:r>
            <w:r>
              <w:rPr>
                <w:rFonts w:ascii="黑体" w:hAnsi="黑体" w:eastAsia="黑体" w:hint="eastAsia"/>
                <w:b/>
                <w:sz w:val="21"/>
              </w:rPr>
              <w:t>30</w:t>
            </w:r>
            <w:r>
              <w:rPr>
                <w:rFonts w:ascii="黑体" w:hAnsi="黑体" w:eastAsia="黑体" w:hint="eastAsia"/>
                <w:b/>
                <w:spacing w:val="-12"/>
                <w:sz w:val="21"/>
              </w:rPr>
              <w:t>给付特定疾病保险金，</w:t>
            </w:r>
            <w:r>
              <w:rPr>
                <w:rFonts w:ascii="黑体" w:hAnsi="黑体" w:eastAsia="黑体" w:hint="eastAsia"/>
                <w:b/>
                <w:spacing w:val="-104"/>
                <w:sz w:val="21"/>
              </w:rPr>
              <w:t> </w:t>
            </w:r>
            <w:r>
              <w:rPr>
                <w:rFonts w:ascii="黑体" w:hAnsi="黑体" w:eastAsia="黑体" w:hint="eastAsia"/>
                <w:b/>
                <w:spacing w:val="-2"/>
                <w:sz w:val="21"/>
              </w:rPr>
              <w:t>但给付以一次为限，给付金额最高为人民币</w:t>
            </w:r>
            <w:r>
              <w:rPr>
                <w:rFonts w:ascii="黑体" w:hAnsi="黑体" w:eastAsia="黑体" w:hint="eastAsia"/>
                <w:b/>
                <w:sz w:val="21"/>
              </w:rPr>
              <w:t>10</w:t>
            </w:r>
            <w:r>
              <w:rPr>
                <w:rFonts w:ascii="黑体" w:hAnsi="黑体" w:eastAsia="黑体" w:hint="eastAsia"/>
                <w:b/>
                <w:spacing w:val="-2"/>
                <w:sz w:val="21"/>
              </w:rPr>
              <w:t>万元，本合同继续有效。</w:t>
            </w:r>
          </w:p>
          <w:p>
            <w:pPr>
              <w:pStyle w:val="TableParagraph"/>
              <w:spacing w:line="273" w:lineRule="auto" w:before="7"/>
              <w:ind w:left="197" w:right="208"/>
              <w:rPr>
                <w:rFonts w:ascii="黑体" w:eastAsia="黑体" w:hint="eastAsia"/>
                <w:b/>
                <w:sz w:val="21"/>
              </w:rPr>
            </w:pPr>
            <w:r>
              <w:rPr>
                <w:rFonts w:ascii="黑体" w:eastAsia="黑体" w:hint="eastAsia"/>
                <w:b/>
                <w:sz w:val="21"/>
              </w:rPr>
              <w:t>给付特定疾病保险金后，我们将豁免本合同及其所附于的主合同的特定疾病确认日后的下一保单年度及以后余下各期的保险费，本合同继续有效。</w:t>
            </w:r>
          </w:p>
        </w:tc>
      </w:tr>
      <w:tr>
        <w:trPr>
          <w:trHeight w:val="3077" w:hRule="atLeast"/>
        </w:trPr>
        <w:tc>
          <w:tcPr>
            <w:tcW w:w="734" w:type="dxa"/>
          </w:tcPr>
          <w:p>
            <w:pPr>
              <w:pStyle w:val="TableParagraph"/>
              <w:ind w:left="0"/>
              <w:rPr>
                <w:b/>
                <w:sz w:val="21"/>
              </w:rPr>
            </w:pPr>
            <w:r>
              <w:rPr>
                <w:b/>
                <w:sz w:val="21"/>
              </w:rPr>
              <w:t>2.3.4</w:t>
            </w:r>
          </w:p>
        </w:tc>
        <w:tc>
          <w:tcPr>
            <w:tcW w:w="1671" w:type="dxa"/>
          </w:tcPr>
          <w:p>
            <w:pPr>
              <w:pStyle w:val="TableParagraph"/>
              <w:ind w:left="204"/>
              <w:rPr>
                <w:b/>
                <w:sz w:val="21"/>
              </w:rPr>
            </w:pPr>
            <w:r>
              <w:rPr>
                <w:b/>
                <w:sz w:val="21"/>
              </w:rPr>
              <w:t>等待期</w:t>
            </w:r>
          </w:p>
        </w:tc>
        <w:tc>
          <w:tcPr>
            <w:tcW w:w="7575" w:type="dxa"/>
          </w:tcPr>
          <w:p>
            <w:pPr>
              <w:pStyle w:val="TableParagraph"/>
              <w:spacing w:line="273" w:lineRule="auto"/>
              <w:ind w:left="197" w:right="104"/>
              <w:jc w:val="both"/>
              <w:rPr>
                <w:rFonts w:ascii="黑体" w:eastAsia="黑体" w:hint="eastAsia"/>
                <w:b/>
                <w:sz w:val="21"/>
              </w:rPr>
            </w:pPr>
            <w:r>
              <w:rPr>
                <w:rFonts w:ascii="黑体" w:eastAsia="黑体" w:hint="eastAsia"/>
                <w:b/>
                <w:sz w:val="21"/>
              </w:rPr>
              <w:t>本合同Th</w:t>
            </w:r>
            <w:r>
              <w:rPr>
                <w:rFonts w:ascii="黑体" w:eastAsia="黑体" w:hint="eastAsia"/>
                <w:b/>
                <w:spacing w:val="-2"/>
                <w:sz w:val="21"/>
              </w:rPr>
              <w:t>效日或本合同中止后的最后复效日</w:t>
            </w:r>
            <w:r>
              <w:rPr>
                <w:rFonts w:ascii="黑体" w:eastAsia="黑体" w:hint="eastAsia"/>
                <w:b/>
                <w:spacing w:val="-3"/>
                <w:sz w:val="21"/>
              </w:rPr>
              <w:t>（</w:t>
            </w:r>
            <w:r>
              <w:rPr>
                <w:rFonts w:ascii="黑体" w:eastAsia="黑体" w:hint="eastAsia"/>
                <w:b/>
                <w:spacing w:val="-2"/>
                <w:sz w:val="21"/>
              </w:rPr>
              <w:t>以较迟者为准</w:t>
            </w:r>
            <w:r>
              <w:rPr>
                <w:rFonts w:ascii="黑体" w:eastAsia="黑体" w:hint="eastAsia"/>
                <w:b/>
                <w:sz w:val="21"/>
              </w:rPr>
              <w:t>）起 180</w:t>
            </w:r>
            <w:r>
              <w:rPr>
                <w:rFonts w:ascii="黑体" w:eastAsia="黑体" w:hint="eastAsia"/>
                <w:b/>
                <w:spacing w:val="-2"/>
                <w:sz w:val="21"/>
              </w:rPr>
              <w:t> 日为等待</w:t>
            </w:r>
            <w:r>
              <w:rPr>
                <w:rFonts w:ascii="黑体" w:eastAsia="黑体" w:hint="eastAsia"/>
                <w:b/>
                <w:spacing w:val="-1"/>
                <w:sz w:val="21"/>
              </w:rPr>
              <w:t>期。等待期是指本合同</w:t>
            </w:r>
            <w:r>
              <w:rPr>
                <w:rFonts w:ascii="黑体" w:eastAsia="黑体" w:hint="eastAsia"/>
                <w:b/>
                <w:sz w:val="21"/>
              </w:rPr>
              <w:t>Th效后我们不承担保险责任的一段时间。发Th以下情形之一时，我们不承担保险责任，但无息返还本合同及其所附于的主合同已交的</w:t>
            </w:r>
            <w:r>
              <w:rPr>
                <w:rFonts w:ascii="黑体" w:eastAsia="黑体" w:hint="eastAsia"/>
                <w:b/>
                <w:spacing w:val="-3"/>
                <w:sz w:val="21"/>
              </w:rPr>
              <w:t>保险费，本合同及其所附于的主合同效力终止。</w:t>
            </w:r>
          </w:p>
          <w:p>
            <w:pPr>
              <w:pStyle w:val="TableParagraph"/>
              <w:spacing w:line="273" w:lineRule="auto" w:before="7"/>
              <w:ind w:left="197" w:right="110"/>
              <w:jc w:val="both"/>
              <w:rPr>
                <w:rFonts w:ascii="黑体" w:eastAsia="黑体" w:hint="eastAsia"/>
                <w:b/>
                <w:sz w:val="21"/>
              </w:rPr>
            </w:pPr>
            <w:r>
              <w:rPr>
                <w:rFonts w:ascii="黑体" w:eastAsia="黑体" w:hint="eastAsia"/>
                <w:b/>
                <w:spacing w:val="-3"/>
                <w:sz w:val="21"/>
              </w:rPr>
              <w:t>（1）等待期内被保险人经我们认可的医院确诊初次患上一种或多种本合同所约定的重大疾病；</w:t>
            </w:r>
          </w:p>
          <w:p>
            <w:pPr>
              <w:pStyle w:val="TableParagraph"/>
              <w:spacing w:line="273" w:lineRule="auto" w:before="7"/>
              <w:ind w:left="197" w:right="107"/>
              <w:jc w:val="both"/>
              <w:rPr>
                <w:rFonts w:ascii="黑体" w:eastAsia="黑体" w:hint="eastAsia"/>
                <w:b/>
                <w:sz w:val="21"/>
              </w:rPr>
            </w:pPr>
            <w:r>
              <w:rPr>
                <w:rFonts w:ascii="黑体" w:eastAsia="黑体" w:hint="eastAsia"/>
                <w:b/>
                <w:spacing w:val="-1"/>
                <w:sz w:val="21"/>
              </w:rPr>
              <w:t>（2）等待期内被保险人已经发</w:t>
            </w:r>
            <w:r>
              <w:rPr>
                <w:rFonts w:ascii="黑体" w:eastAsia="黑体" w:hint="eastAsia"/>
                <w:b/>
                <w:sz w:val="21"/>
              </w:rPr>
              <w:t>Th</w:t>
            </w:r>
            <w:r>
              <w:rPr>
                <w:rFonts w:ascii="黑体" w:eastAsia="黑体" w:hint="eastAsia"/>
                <w:b/>
                <w:spacing w:val="-3"/>
                <w:sz w:val="21"/>
              </w:rPr>
              <w:t>的疾病、症状或病理改变且延续到等待期以后经我们认可的医院确诊初次患上一种或多种本合同所约定的重大疾病。</w:t>
            </w:r>
          </w:p>
          <w:p>
            <w:pPr>
              <w:pStyle w:val="TableParagraph"/>
              <w:spacing w:before="7"/>
              <w:ind w:left="197"/>
              <w:jc w:val="both"/>
              <w:rPr>
                <w:rFonts w:ascii="黑体" w:eastAsia="黑体" w:hint="eastAsia"/>
                <w:b/>
                <w:sz w:val="21"/>
              </w:rPr>
            </w:pPr>
            <w:r>
              <w:rPr>
                <w:rFonts w:ascii="黑体" w:eastAsia="黑体" w:hint="eastAsia"/>
                <w:b/>
                <w:sz w:val="21"/>
              </w:rPr>
              <w:t>若因意外伤害导致上述情形，不受上述时间的限制。</w:t>
            </w:r>
          </w:p>
        </w:tc>
      </w:tr>
      <w:tr>
        <w:trPr>
          <w:trHeight w:val="3895" w:hRule="atLeast"/>
        </w:trPr>
        <w:tc>
          <w:tcPr>
            <w:tcW w:w="734" w:type="dxa"/>
          </w:tcPr>
          <w:p>
            <w:pPr>
              <w:pStyle w:val="TableParagraph"/>
              <w:spacing w:line="262" w:lineRule="exact" w:before="0"/>
              <w:ind w:left="0"/>
              <w:rPr>
                <w:b/>
                <w:sz w:val="21"/>
              </w:rPr>
            </w:pPr>
            <w:r>
              <w:rPr>
                <w:b/>
                <w:sz w:val="21"/>
              </w:rPr>
              <w:t>2.4</w:t>
            </w:r>
          </w:p>
        </w:tc>
        <w:tc>
          <w:tcPr>
            <w:tcW w:w="1671" w:type="dxa"/>
          </w:tcPr>
          <w:p>
            <w:pPr>
              <w:pStyle w:val="TableParagraph"/>
              <w:spacing w:line="262" w:lineRule="exact" w:before="0"/>
              <w:ind w:left="204"/>
              <w:rPr>
                <w:b/>
                <w:sz w:val="21"/>
              </w:rPr>
            </w:pPr>
            <w:r>
              <w:rPr>
                <w:b/>
                <w:sz w:val="21"/>
              </w:rPr>
              <w:t>责任免除</w:t>
            </w:r>
          </w:p>
        </w:tc>
        <w:tc>
          <w:tcPr>
            <w:tcW w:w="7575" w:type="dxa"/>
            <w:tcBorders>
              <w:right w:val="single" w:sz="4" w:space="0" w:color="FFFFFF"/>
            </w:tcBorders>
          </w:tcPr>
          <w:p>
            <w:pPr>
              <w:pStyle w:val="TableParagraph"/>
              <w:spacing w:line="273" w:lineRule="auto" w:before="0"/>
              <w:ind w:left="197" w:right="202"/>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before="20"/>
              <w:ind w:left="197"/>
              <w:rPr>
                <w:rFonts w:ascii="黑体" w:eastAsia="黑体" w:hint="eastAsia"/>
                <w:b/>
                <w:sz w:val="21"/>
              </w:rPr>
            </w:pPr>
            <w:r>
              <w:rPr>
                <w:rFonts w:ascii="黑体" w:eastAsia="黑体" w:hint="eastAsia"/>
                <w:b/>
                <w:sz w:val="21"/>
              </w:rPr>
              <w:t>（1）投保人对被保险人的故意杀害、故意伤害；</w:t>
            </w:r>
          </w:p>
          <w:p>
            <w:pPr>
              <w:pStyle w:val="TableParagraph"/>
              <w:spacing w:before="37"/>
              <w:ind w:left="197"/>
              <w:rPr>
                <w:rFonts w:ascii="黑体" w:eastAsia="黑体" w:hint="eastAsia"/>
                <w:b/>
                <w:sz w:val="21"/>
              </w:rPr>
            </w:pPr>
            <w:r>
              <w:rPr>
                <w:rFonts w:ascii="黑体" w:eastAsia="黑体" w:hint="eastAsia"/>
                <w:b/>
                <w:sz w:val="21"/>
              </w:rPr>
              <w:t>（2）因被保险人故意犯罪或抗拒依法采取的刑事强制措施；</w:t>
            </w:r>
          </w:p>
          <w:p>
            <w:pPr>
              <w:pStyle w:val="TableParagraph"/>
              <w:spacing w:before="54"/>
              <w:ind w:left="197"/>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［11.2］</w:t>
            </w:r>
            <w:r>
              <w:rPr>
                <w:rFonts w:ascii="黑体" w:eastAsia="黑体" w:hint="eastAsia"/>
                <w:b/>
                <w:sz w:val="21"/>
              </w:rPr>
              <w:t>或未遵医嘱使用管制药品</w:t>
            </w:r>
            <w:r>
              <w:rPr>
                <w:rFonts w:ascii="黑体" w:eastAsia="黑体" w:hint="eastAsia"/>
                <w:b/>
                <w:position w:val="11"/>
                <w:sz w:val="11"/>
              </w:rPr>
              <w:t>［11.3］</w:t>
            </w:r>
            <w:r>
              <w:rPr>
                <w:rFonts w:ascii="黑体" w:eastAsia="黑体" w:hint="eastAsia"/>
                <w:b/>
                <w:sz w:val="21"/>
              </w:rPr>
              <w:t>；</w:t>
            </w:r>
          </w:p>
          <w:p>
            <w:pPr>
              <w:pStyle w:val="TableParagraph"/>
              <w:spacing w:before="40"/>
              <w:ind w:left="197"/>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［11.4］</w:t>
            </w:r>
            <w:r>
              <w:rPr>
                <w:rFonts w:ascii="黑体" w:eastAsia="黑体" w:hint="eastAsia"/>
                <w:b/>
                <w:sz w:val="21"/>
              </w:rPr>
              <w:t>、无合法有效驾驶证驾驶</w:t>
            </w:r>
            <w:r>
              <w:rPr>
                <w:rFonts w:ascii="黑体" w:eastAsia="黑体" w:hint="eastAsia"/>
                <w:b/>
                <w:position w:val="11"/>
                <w:sz w:val="11"/>
              </w:rPr>
              <w:t>［11.5］</w:t>
            </w:r>
            <w:r>
              <w:rPr>
                <w:rFonts w:ascii="黑体" w:eastAsia="黑体" w:hint="eastAsia"/>
                <w:b/>
                <w:sz w:val="21"/>
              </w:rPr>
              <w:t>或驾驶无有效行驶证</w:t>
            </w:r>
          </w:p>
          <w:p>
            <w:pPr>
              <w:pStyle w:val="TableParagraph"/>
              <w:spacing w:before="36"/>
              <w:ind w:left="713"/>
              <w:rPr>
                <w:rFonts w:ascii="黑体" w:eastAsia="黑体" w:hint="eastAsia"/>
                <w:b/>
                <w:sz w:val="21"/>
              </w:rPr>
            </w:pPr>
            <w:r>
              <w:rPr>
                <w:rFonts w:ascii="黑体" w:eastAsia="黑体" w:hint="eastAsia"/>
                <w:b/>
                <w:w w:val="95"/>
                <w:sz w:val="11"/>
              </w:rPr>
              <w:t>［11.6］</w:t>
            </w:r>
            <w:r>
              <w:rPr>
                <w:rFonts w:ascii="黑体" w:eastAsia="黑体" w:hint="eastAsia"/>
                <w:b/>
                <w:w w:val="95"/>
                <w:position w:val="-10"/>
                <w:sz w:val="21"/>
              </w:rPr>
              <w:t>的机动车</w:t>
            </w:r>
            <w:r>
              <w:rPr>
                <w:rFonts w:ascii="黑体" w:eastAsia="黑体" w:hint="eastAsia"/>
                <w:b/>
                <w:w w:val="95"/>
                <w:sz w:val="11"/>
              </w:rPr>
              <w:t>［11.7］</w:t>
            </w:r>
            <w:r>
              <w:rPr>
                <w:rFonts w:ascii="黑体" w:eastAsia="黑体" w:hint="eastAsia"/>
                <w:b/>
                <w:w w:val="95"/>
                <w:position w:val="-10"/>
                <w:sz w:val="21"/>
              </w:rPr>
              <w:t>；</w:t>
            </w:r>
          </w:p>
          <w:p>
            <w:pPr>
              <w:pStyle w:val="TableParagraph"/>
              <w:spacing w:line="273" w:lineRule="auto" w:before="37"/>
              <w:ind w:left="713" w:right="73" w:hanging="51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［11.8］</w:t>
            </w:r>
            <w:r>
              <w:rPr>
                <w:rFonts w:ascii="黑体" w:eastAsia="黑体" w:hint="eastAsia"/>
                <w:b/>
                <w:sz w:val="21"/>
              </w:rPr>
              <w:t>（因本条款第3.2.34项所导致的除外）；</w:t>
            </w:r>
          </w:p>
          <w:p>
            <w:pPr>
              <w:pStyle w:val="TableParagraph"/>
              <w:spacing w:line="273" w:lineRule="exact" w:before="0"/>
              <w:ind w:left="197" w:right="-29"/>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39"/>
              <w:ind w:left="197"/>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［11.9］</w:t>
            </w:r>
            <w:r>
              <w:rPr>
                <w:rFonts w:ascii="黑体" w:eastAsia="黑体" w:hint="eastAsia"/>
                <w:b/>
                <w:sz w:val="21"/>
              </w:rPr>
              <w:t>，先天性畸形、变形或染色体异常</w:t>
            </w:r>
            <w:r>
              <w:rPr>
                <w:rFonts w:ascii="黑体" w:eastAsia="黑体" w:hint="eastAsia"/>
                <w:b/>
                <w:position w:val="11"/>
                <w:sz w:val="11"/>
              </w:rPr>
              <w:t>［11.10］</w:t>
            </w:r>
            <w:r>
              <w:rPr>
                <w:rFonts w:ascii="黑体" w:eastAsia="黑体" w:hint="eastAsia"/>
                <w:b/>
                <w:sz w:val="21"/>
              </w:rPr>
              <w:t>。</w:t>
            </w:r>
          </w:p>
          <w:p>
            <w:pPr>
              <w:pStyle w:val="TableParagraph"/>
              <w:spacing w:before="176"/>
              <w:ind w:left="197"/>
              <w:rPr>
                <w:rFonts w:ascii="黑体" w:eastAsia="黑体" w:hint="eastAsia"/>
                <w:b/>
                <w:sz w:val="21"/>
              </w:rPr>
            </w:pPr>
            <w:r>
              <w:rPr>
                <w:rFonts w:ascii="黑体" w:eastAsia="黑体" w:hint="eastAsia"/>
                <w:b/>
                <w:sz w:val="21"/>
              </w:rPr>
              <w:t>发Th上述第（1）项情形导致被保险人身故的，本合同效力终止。已交足2年以</w:t>
            </w:r>
          </w:p>
        </w:tc>
      </w:tr>
    </w:tbl>
    <w:p>
      <w:pPr>
        <w:spacing w:after="0"/>
        <w:rPr>
          <w:rFonts w:ascii="黑体" w:eastAsia="黑体" w:hint="eastAsia"/>
          <w:sz w:val="21"/>
        </w:rPr>
        <w:sectPr>
          <w:pgSz w:w="11910" w:h="16840"/>
          <w:pgMar w:header="566" w:footer="664" w:top="1000" w:bottom="860" w:left="1000" w:right="680"/>
        </w:sectPr>
      </w:pPr>
    </w:p>
    <w:p>
      <w:pPr>
        <w:pStyle w:val="BodyText"/>
        <w:rPr>
          <w:rFonts w:ascii="Times New Roman"/>
          <w:sz w:val="20"/>
        </w:rPr>
      </w:pPr>
    </w:p>
    <w:p>
      <w:pPr>
        <w:pStyle w:val="BodyText"/>
        <w:spacing w:before="3"/>
        <w:rPr>
          <w:rFonts w:ascii="Times New Roman"/>
          <w:sz w:val="1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1670"/>
        <w:gridCol w:w="7565"/>
      </w:tblGrid>
      <w:tr>
        <w:trPr>
          <w:trHeight w:val="1052" w:hRule="atLeast"/>
        </w:trPr>
        <w:tc>
          <w:tcPr>
            <w:tcW w:w="832" w:type="dxa"/>
          </w:tcPr>
          <w:p>
            <w:pPr>
              <w:pStyle w:val="TableParagraph"/>
              <w:spacing w:before="0"/>
              <w:ind w:left="0"/>
              <w:rPr>
                <w:rFonts w:ascii="Times New Roman"/>
                <w:sz w:val="20"/>
              </w:rPr>
            </w:pPr>
          </w:p>
        </w:tc>
        <w:tc>
          <w:tcPr>
            <w:tcW w:w="1670" w:type="dxa"/>
          </w:tcPr>
          <w:p>
            <w:pPr>
              <w:pStyle w:val="TableParagraph"/>
              <w:spacing w:before="0"/>
              <w:ind w:left="0"/>
              <w:rPr>
                <w:rFonts w:ascii="Times New Roman"/>
                <w:sz w:val="20"/>
              </w:rPr>
            </w:pPr>
          </w:p>
        </w:tc>
        <w:tc>
          <w:tcPr>
            <w:tcW w:w="7565" w:type="dxa"/>
          </w:tcPr>
          <w:p>
            <w:pPr>
              <w:pStyle w:val="TableParagraph"/>
              <w:spacing w:line="235" w:lineRule="exact" w:before="0"/>
              <w:rPr>
                <w:rFonts w:ascii="黑体" w:eastAsia="黑体" w:hint="eastAsia"/>
                <w:b/>
                <w:sz w:val="21"/>
              </w:rPr>
            </w:pPr>
            <w:r>
              <w:rPr>
                <w:rFonts w:ascii="黑体" w:eastAsia="黑体" w:hint="eastAsia"/>
                <w:b/>
                <w:sz w:val="21"/>
              </w:rPr>
              <w:t>上保险费的，我们向身故保险金受益人退还本合同当时的现金价值</w:t>
            </w:r>
            <w:r>
              <w:rPr>
                <w:rFonts w:ascii="黑体" w:eastAsia="黑体" w:hint="eastAsia"/>
                <w:b/>
                <w:position w:val="11"/>
                <w:sz w:val="11"/>
              </w:rPr>
              <w:t>［11.11］</w:t>
            </w:r>
            <w:r>
              <w:rPr>
                <w:rFonts w:ascii="黑体" w:eastAsia="黑体" w:hint="eastAsia"/>
                <w:b/>
                <w:sz w:val="21"/>
              </w:rPr>
              <w:t>。</w:t>
            </w:r>
          </w:p>
          <w:p>
            <w:pPr>
              <w:pStyle w:val="TableParagraph"/>
              <w:spacing w:line="273" w:lineRule="auto" w:before="37"/>
              <w:ind w:right="197"/>
              <w:rPr>
                <w:rFonts w:ascii="黑体" w:eastAsia="黑体" w:hint="eastAsia"/>
                <w:b/>
                <w:sz w:val="21"/>
              </w:rPr>
            </w:pPr>
            <w:r>
              <w:rPr>
                <w:rFonts w:ascii="黑体" w:eastAsia="黑体" w:hint="eastAsia"/>
                <w:b/>
                <w:sz w:val="21"/>
              </w:rPr>
              <w:t>发Th上述其他情形导致被保险人身故的，本合同效力终止，我们向投保人退还本合同当时的现金价值。</w:t>
            </w:r>
          </w:p>
        </w:tc>
      </w:tr>
      <w:tr>
        <w:trPr>
          <w:trHeight w:val="571" w:hRule="atLeast"/>
        </w:trPr>
        <w:tc>
          <w:tcPr>
            <w:tcW w:w="832" w:type="dxa"/>
            <w:tcBorders>
              <w:bottom w:val="single" w:sz="8" w:space="0" w:color="000000"/>
            </w:tcBorders>
          </w:tcPr>
          <w:p>
            <w:pPr>
              <w:pStyle w:val="TableParagraph"/>
              <w:spacing w:before="122"/>
              <w:ind w:left="98"/>
              <w:rPr>
                <w:b/>
                <w:sz w:val="28"/>
              </w:rPr>
            </w:pPr>
            <w:r>
              <w:rPr>
                <w:b/>
                <w:w w:val="99"/>
                <w:sz w:val="28"/>
              </w:rPr>
              <w:t>⒊</w:t>
            </w:r>
          </w:p>
        </w:tc>
        <w:tc>
          <w:tcPr>
            <w:tcW w:w="1670" w:type="dxa"/>
            <w:tcBorders>
              <w:bottom w:val="single" w:sz="8" w:space="0" w:color="000000"/>
            </w:tcBorders>
          </w:tcPr>
          <w:p>
            <w:pPr>
              <w:pStyle w:val="TableParagraph"/>
              <w:spacing w:before="118"/>
              <w:ind w:left="205"/>
              <w:rPr>
                <w:b/>
                <w:sz w:val="24"/>
              </w:rPr>
            </w:pPr>
            <w:r>
              <w:rPr>
                <w:b/>
                <w:sz w:val="24"/>
              </w:rPr>
              <w:t>重大疾病</w:t>
            </w:r>
          </w:p>
        </w:tc>
        <w:tc>
          <w:tcPr>
            <w:tcW w:w="7565" w:type="dxa"/>
            <w:tcBorders>
              <w:bottom w:val="single" w:sz="8" w:space="0" w:color="000000"/>
            </w:tcBorders>
          </w:tcPr>
          <w:p>
            <w:pPr>
              <w:pStyle w:val="TableParagraph"/>
              <w:spacing w:before="0"/>
              <w:ind w:left="0"/>
              <w:rPr>
                <w:rFonts w:ascii="Times New Roman"/>
                <w:sz w:val="20"/>
              </w:rPr>
            </w:pPr>
          </w:p>
        </w:tc>
      </w:tr>
      <w:tr>
        <w:trPr>
          <w:trHeight w:val="1508" w:hRule="atLeast"/>
        </w:trPr>
        <w:tc>
          <w:tcPr>
            <w:tcW w:w="832" w:type="dxa"/>
            <w:tcBorders>
              <w:top w:val="single" w:sz="8" w:space="0" w:color="000000"/>
            </w:tcBorders>
          </w:tcPr>
          <w:p>
            <w:pPr>
              <w:pStyle w:val="TableParagraph"/>
              <w:spacing w:before="169"/>
              <w:ind w:left="98"/>
              <w:rPr>
                <w:b/>
                <w:sz w:val="21"/>
              </w:rPr>
            </w:pPr>
            <w:r>
              <w:rPr>
                <w:b/>
                <w:sz w:val="21"/>
              </w:rPr>
              <w:t>3.1</w:t>
            </w:r>
          </w:p>
        </w:tc>
        <w:tc>
          <w:tcPr>
            <w:tcW w:w="1670" w:type="dxa"/>
            <w:tcBorders>
              <w:top w:val="single" w:sz="8" w:space="0" w:color="000000"/>
            </w:tcBorders>
          </w:tcPr>
          <w:p>
            <w:pPr>
              <w:pStyle w:val="TableParagraph"/>
              <w:spacing w:before="128"/>
              <w:ind w:left="205"/>
              <w:rPr>
                <w:b/>
                <w:sz w:val="21"/>
              </w:rPr>
            </w:pPr>
            <w:r>
              <w:rPr>
                <w:b/>
                <w:sz w:val="21"/>
              </w:rPr>
              <w:t>重大疾病范围</w:t>
            </w:r>
          </w:p>
        </w:tc>
        <w:tc>
          <w:tcPr>
            <w:tcW w:w="7565" w:type="dxa"/>
            <w:tcBorders>
              <w:top w:val="single" w:sz="8" w:space="0" w:color="000000"/>
            </w:tcBorders>
          </w:tcPr>
          <w:p>
            <w:pPr>
              <w:pStyle w:val="TableParagraph"/>
              <w:spacing w:line="273" w:lineRule="auto" w:before="169"/>
              <w:ind w:right="93"/>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1" w:hRule="atLeast"/>
        </w:trPr>
        <w:tc>
          <w:tcPr>
            <w:tcW w:w="832" w:type="dxa"/>
          </w:tcPr>
          <w:p>
            <w:pPr>
              <w:pStyle w:val="TableParagraph"/>
              <w:spacing w:before="88"/>
              <w:ind w:left="9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65" w:type="dxa"/>
          </w:tcPr>
          <w:p>
            <w:pPr>
              <w:pStyle w:val="TableParagraph"/>
              <w:spacing w:line="273" w:lineRule="auto" w:before="88"/>
              <w:ind w:right="93"/>
              <w:jc w:val="both"/>
              <w:rPr>
                <w:sz w:val="21"/>
              </w:rPr>
            </w:pPr>
            <w:r>
              <w:rPr>
                <w:spacing w:val="-3"/>
                <w:sz w:val="21"/>
              </w:rPr>
              <w:t>本合同所指重大疾病，是被保险人发生经我们认可的医院</w:t>
            </w:r>
            <w:r>
              <w:rPr>
                <w:b/>
                <w:sz w:val="21"/>
              </w:rPr>
              <w:t>专科医生</w:t>
            </w:r>
            <w:r>
              <w:rPr>
                <w:b/>
                <w:position w:val="11"/>
                <w:sz w:val="11"/>
              </w:rPr>
              <w:t>［11.12］</w:t>
            </w:r>
            <w:r>
              <w:rPr>
                <w:spacing w:val="-3"/>
                <w:sz w:val="21"/>
              </w:rPr>
              <w:t>明确诊</w:t>
            </w:r>
            <w:r>
              <w:rPr>
                <w:spacing w:val="-10"/>
                <w:sz w:val="21"/>
              </w:rPr>
              <w:t>断，符合以下定义所述条件的疾病、疾病状态或手术，共 </w:t>
            </w:r>
            <w:r>
              <w:rPr>
                <w:sz w:val="21"/>
              </w:rPr>
              <w:t>40</w:t>
            </w:r>
            <w:r>
              <w:rPr>
                <w:spacing w:val="-55"/>
                <w:sz w:val="21"/>
              </w:rPr>
              <w:t> 种。</w:t>
            </w:r>
            <w:r>
              <w:rPr>
                <w:sz w:val="21"/>
              </w:rPr>
              <w:t>（</w:t>
            </w:r>
            <w:r>
              <w:rPr>
                <w:spacing w:val="-3"/>
                <w:sz w:val="21"/>
              </w:rPr>
              <w:t>重大疾病定义</w:t>
            </w:r>
          </w:p>
          <w:p>
            <w:pPr>
              <w:pStyle w:val="TableParagraph"/>
              <w:spacing w:line="273" w:lineRule="auto" w:before="7"/>
              <w:ind w:right="93"/>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5" w:hRule="atLeast"/>
        </w:trPr>
        <w:tc>
          <w:tcPr>
            <w:tcW w:w="832" w:type="dxa"/>
          </w:tcPr>
          <w:p>
            <w:pPr>
              <w:pStyle w:val="TableParagraph"/>
              <w:spacing w:line="262" w:lineRule="exact" w:before="0"/>
              <w:ind w:left="9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65"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jc w:val="both"/>
              <w:rPr>
                <w:sz w:val="21"/>
              </w:rPr>
            </w:pP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72" w:lineRule="exact" w:before="0"/>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jc w:val="both"/>
              <w:rPr>
                <w:rFonts w:ascii="黑体" w:eastAsia="黑体" w:hint="eastAsia"/>
                <w:b/>
                <w:sz w:val="21"/>
              </w:rPr>
            </w:pPr>
            <w:r>
              <w:rPr>
                <w:rFonts w:ascii="黑体" w:eastAsia="黑体" w:hint="eastAsia"/>
                <w:b/>
                <w:sz w:val="21"/>
              </w:rPr>
              <w:t>（1）原位癌；</w:t>
            </w:r>
          </w:p>
          <w:p>
            <w:pPr>
              <w:pStyle w:val="TableParagraph"/>
              <w:spacing w:line="272" w:lineRule="exact" w:before="0"/>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4" w:lineRule="exact" w:before="0"/>
              <w:jc w:val="both"/>
              <w:rPr>
                <w:rFonts w:ascii="黑体" w:eastAsia="黑体" w:hint="eastAsia"/>
                <w:b/>
                <w:sz w:val="21"/>
              </w:rPr>
            </w:pPr>
            <w:r>
              <w:rPr>
                <w:rFonts w:ascii="黑体" w:eastAsia="黑体" w:hint="eastAsia"/>
                <w:b/>
                <w:sz w:val="21"/>
              </w:rPr>
              <w:t>（6）感染艾滋病病毒或患艾滋病期间所患恶性肿瘤。</w:t>
            </w:r>
          </w:p>
        </w:tc>
      </w:tr>
      <w:tr>
        <w:trPr>
          <w:trHeight w:val="180" w:hRule="atLeast"/>
        </w:trPr>
        <w:tc>
          <w:tcPr>
            <w:tcW w:w="832" w:type="dxa"/>
          </w:tcPr>
          <w:p>
            <w:pPr>
              <w:pStyle w:val="TableParagraph"/>
              <w:spacing w:before="0"/>
              <w:ind w:left="0"/>
              <w:rPr>
                <w:rFonts w:ascii="Times New Roman"/>
                <w:sz w:val="12"/>
              </w:rPr>
            </w:pPr>
          </w:p>
        </w:tc>
        <w:tc>
          <w:tcPr>
            <w:tcW w:w="1670" w:type="dxa"/>
          </w:tcPr>
          <w:p>
            <w:pPr>
              <w:pStyle w:val="TableParagraph"/>
              <w:spacing w:before="0"/>
              <w:ind w:left="0"/>
              <w:rPr>
                <w:rFonts w:ascii="Times New Roman"/>
                <w:sz w:val="12"/>
              </w:rPr>
            </w:pPr>
          </w:p>
        </w:tc>
        <w:tc>
          <w:tcPr>
            <w:tcW w:w="7565" w:type="dxa"/>
          </w:tcPr>
          <w:p>
            <w:pPr>
              <w:pStyle w:val="TableParagraph"/>
              <w:spacing w:before="0"/>
              <w:ind w:left="0"/>
              <w:rPr>
                <w:rFonts w:ascii="Times New Roman"/>
                <w:sz w:val="12"/>
              </w:rPr>
            </w:pPr>
          </w:p>
        </w:tc>
      </w:tr>
      <w:tr>
        <w:trPr>
          <w:trHeight w:val="1907" w:hRule="atLeast"/>
        </w:trPr>
        <w:tc>
          <w:tcPr>
            <w:tcW w:w="832" w:type="dxa"/>
          </w:tcPr>
          <w:p>
            <w:pPr>
              <w:pStyle w:val="TableParagraph"/>
              <w:spacing w:line="262" w:lineRule="exact" w:before="0"/>
              <w:ind w:left="98"/>
              <w:rPr>
                <w:b/>
                <w:sz w:val="21"/>
              </w:rPr>
            </w:pPr>
            <w:r>
              <w:rPr>
                <w:b/>
                <w:sz w:val="21"/>
              </w:rPr>
              <w:t>3.2.2</w:t>
            </w:r>
          </w:p>
        </w:tc>
        <w:tc>
          <w:tcPr>
            <w:tcW w:w="1670" w:type="dxa"/>
          </w:tcPr>
          <w:p>
            <w:pPr>
              <w:pStyle w:val="TableParagraph"/>
              <w:spacing w:line="262" w:lineRule="exact" w:before="0"/>
              <w:ind w:left="205"/>
              <w:rPr>
                <w:b/>
                <w:sz w:val="21"/>
              </w:rPr>
            </w:pPr>
            <w:r>
              <w:rPr>
                <w:b/>
                <w:sz w:val="21"/>
              </w:rPr>
              <w:t>急性心肌梗塞</w:t>
            </w:r>
          </w:p>
        </w:tc>
        <w:tc>
          <w:tcPr>
            <w:tcW w:w="7565" w:type="dxa"/>
            <w:tcBorders>
              <w:right w:val="single" w:sz="4" w:space="0" w:color="FFFFFF"/>
            </w:tcBorders>
          </w:tcPr>
          <w:p>
            <w:pPr>
              <w:pStyle w:val="TableParagraph"/>
              <w:spacing w:line="240"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before="0"/>
              <w:ind w:left="724" w:right="93" w:hanging="527"/>
              <w:rPr>
                <w:sz w:val="21"/>
              </w:rPr>
            </w:pPr>
            <w:r>
              <w:rPr>
                <w:sz w:val="21"/>
              </w:rPr>
              <w:t>（3）心肌酶或肌钙蛋白有诊断意义的升高，或呈符合急性心肌梗塞的动态性变化；</w:t>
            </w:r>
          </w:p>
          <w:p>
            <w:pPr>
              <w:pStyle w:val="TableParagraph"/>
              <w:spacing w:line="271" w:lineRule="exact" w:before="2"/>
              <w:ind w:right="-15"/>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2455" w:hRule="atLeast"/>
        </w:trPr>
        <w:tc>
          <w:tcPr>
            <w:tcW w:w="832" w:type="dxa"/>
          </w:tcPr>
          <w:p>
            <w:pPr>
              <w:pStyle w:val="TableParagraph"/>
              <w:spacing w:before="167"/>
              <w:ind w:left="9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65" w:type="dxa"/>
          </w:tcPr>
          <w:p>
            <w:pPr>
              <w:pStyle w:val="TableParagraph"/>
              <w:spacing w:line="273" w:lineRule="auto" w:before="167"/>
              <w:ind w:right="94"/>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rPr>
                <w:sz w:val="21"/>
              </w:rPr>
            </w:pPr>
            <w:r>
              <w:rPr>
                <w:sz w:val="21"/>
              </w:rPr>
              <w:t>（1）一肢或一肢以上</w:t>
            </w:r>
            <w:r>
              <w:rPr>
                <w:b/>
                <w:sz w:val="21"/>
              </w:rPr>
              <w:t>肢体机能完全丧失</w:t>
            </w:r>
            <w:r>
              <w:rPr>
                <w:b/>
                <w:position w:val="11"/>
                <w:sz w:val="11"/>
              </w:rPr>
              <w:t>［11.13］</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［11.14］</w:t>
            </w:r>
            <w:r>
              <w:rPr>
                <w:sz w:val="21"/>
              </w:rPr>
              <w:t>；</w:t>
            </w:r>
          </w:p>
          <w:p>
            <w:pPr>
              <w:pStyle w:val="TableParagraph"/>
              <w:spacing w:line="273" w:lineRule="auto" w:before="38"/>
              <w:ind w:left="724" w:right="27" w:hanging="527"/>
              <w:rPr>
                <w:sz w:val="21"/>
              </w:rPr>
            </w:pPr>
            <w:r>
              <w:rPr>
                <w:sz w:val="21"/>
              </w:rPr>
              <w:t>（3）自主生活能力完全丧失，无法独立完成</w:t>
            </w:r>
            <w:r>
              <w:rPr>
                <w:b/>
                <w:sz w:val="21"/>
              </w:rPr>
              <w:t>六项基本日常生活活动</w:t>
            </w:r>
            <w:r>
              <w:rPr>
                <w:b/>
                <w:position w:val="11"/>
                <w:sz w:val="11"/>
              </w:rPr>
              <w:t>［11.15］</w:t>
            </w:r>
            <w:r>
              <w:rPr>
                <w:sz w:val="21"/>
              </w:rPr>
              <w:t>中的三项或三项以上。</w:t>
            </w:r>
          </w:p>
        </w:tc>
      </w:tr>
      <w:tr>
        <w:trPr>
          <w:trHeight w:val="1287" w:hRule="atLeast"/>
        </w:trPr>
        <w:tc>
          <w:tcPr>
            <w:tcW w:w="832" w:type="dxa"/>
          </w:tcPr>
          <w:p>
            <w:pPr>
              <w:pStyle w:val="TableParagraph"/>
              <w:ind w:left="98"/>
              <w:rPr>
                <w:b/>
                <w:sz w:val="21"/>
              </w:rPr>
            </w:pPr>
            <w:r>
              <w:rPr>
                <w:b/>
                <w:sz w:val="21"/>
              </w:rPr>
              <w:t>3.2.4</w:t>
            </w:r>
          </w:p>
        </w:tc>
        <w:tc>
          <w:tcPr>
            <w:tcW w:w="1670" w:type="dxa"/>
          </w:tcPr>
          <w:p>
            <w:pPr>
              <w:pStyle w:val="TableParagraph"/>
              <w:spacing w:line="273" w:lineRule="auto"/>
              <w:ind w:left="205" w:right="195"/>
              <w:jc w:val="both"/>
              <w:rPr>
                <w:b/>
                <w:sz w:val="21"/>
              </w:rPr>
            </w:pPr>
            <w:r>
              <w:rPr>
                <w:b/>
                <w:sz w:val="21"/>
              </w:rPr>
              <w:t>重大器官移植术或造血干细胞移植术</w:t>
            </w:r>
          </w:p>
        </w:tc>
        <w:tc>
          <w:tcPr>
            <w:tcW w:w="7565" w:type="dxa"/>
          </w:tcPr>
          <w:p>
            <w:pPr>
              <w:pStyle w:val="TableParagraph"/>
              <w:spacing w:line="273" w:lineRule="auto"/>
              <w:ind w:right="94"/>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312" w:lineRule="exact" w:before="2"/>
              <w:ind w:right="93"/>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w:t>
            </w:r>
          </w:p>
        </w:tc>
      </w:tr>
    </w:tbl>
    <w:p>
      <w:pPr>
        <w:spacing w:after="0" w:line="312" w:lineRule="exact"/>
        <w:rPr>
          <w:sz w:val="21"/>
        </w:rPr>
        <w:sectPr>
          <w:pgSz w:w="11910" w:h="16840"/>
          <w:pgMar w:header="566" w:footer="664" w:top="1000" w:bottom="860" w:left="9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331"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ind w:left="92"/>
              <w:rPr>
                <w:sz w:val="21"/>
              </w:rPr>
            </w:pPr>
            <w:r>
              <w:rPr>
                <w:sz w:val="21"/>
              </w:rPr>
              <w:t>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8"/>
              <w:ind w:left="200"/>
              <w:rPr>
                <w:b/>
                <w:sz w:val="21"/>
              </w:rPr>
            </w:pPr>
            <w:r>
              <w:rPr>
                <w:b/>
                <w:sz w:val="21"/>
              </w:rPr>
              <w:t>3.2.10</w:t>
            </w:r>
          </w:p>
        </w:tc>
        <w:tc>
          <w:tcPr>
            <w:tcW w:w="1721" w:type="dxa"/>
          </w:tcPr>
          <w:p>
            <w:pPr>
              <w:pStyle w:val="TableParagraph"/>
              <w:spacing w:line="273" w:lineRule="auto" w:before="168"/>
              <w:ind w:left="149" w:right="121"/>
              <w:rPr>
                <w:b/>
                <w:sz w:val="21"/>
              </w:rPr>
            </w:pPr>
            <w:r>
              <w:rPr>
                <w:b/>
                <w:sz w:val="21"/>
              </w:rPr>
              <w:t>慢性肝功 能衰竭失代偿期</w:t>
            </w:r>
          </w:p>
        </w:tc>
        <w:tc>
          <w:tcPr>
            <w:tcW w:w="7467" w:type="dxa"/>
          </w:tcPr>
          <w:p>
            <w:pPr>
              <w:pStyle w:val="TableParagraph"/>
              <w:spacing w:before="168"/>
              <w:ind w:left="9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r>
        <w:trPr>
          <w:trHeight w:val="1439" w:hRule="atLeast"/>
        </w:trPr>
        <w:tc>
          <w:tcPr>
            <w:tcW w:w="989" w:type="dxa"/>
          </w:tcPr>
          <w:p>
            <w:pPr>
              <w:pStyle w:val="TableParagraph"/>
              <w:spacing w:before="88"/>
              <w:ind w:left="200"/>
              <w:rPr>
                <w:b/>
                <w:sz w:val="21"/>
              </w:rPr>
            </w:pPr>
            <w:r>
              <w:rPr>
                <w:b/>
                <w:sz w:val="21"/>
              </w:rPr>
              <w:t>3.2.12</w:t>
            </w:r>
          </w:p>
        </w:tc>
        <w:tc>
          <w:tcPr>
            <w:tcW w:w="1721" w:type="dxa"/>
          </w:tcPr>
          <w:p>
            <w:pPr>
              <w:pStyle w:val="TableParagraph"/>
              <w:spacing w:before="88"/>
              <w:ind w:left="149"/>
              <w:rPr>
                <w:b/>
                <w:sz w:val="21"/>
              </w:rPr>
            </w:pPr>
            <w:r>
              <w:rPr>
                <w:b/>
                <w:sz w:val="21"/>
              </w:rPr>
              <w:t>双耳失聪</w:t>
            </w:r>
          </w:p>
        </w:tc>
        <w:tc>
          <w:tcPr>
            <w:tcW w:w="7467" w:type="dxa"/>
          </w:tcPr>
          <w:p>
            <w:pPr>
              <w:pStyle w:val="TableParagraph"/>
              <w:spacing w:line="273" w:lineRule="auto" w:before="88"/>
              <w:ind w:left="92" w:right="101"/>
              <w:jc w:val="both"/>
              <w:rPr>
                <w:sz w:val="21"/>
              </w:rPr>
            </w:pPr>
            <w:r>
              <w:rPr>
                <w:spacing w:val="-3"/>
                <w:sz w:val="21"/>
              </w:rPr>
              <w:t>指因疾病或意外伤害导致双耳听力</w:t>
            </w:r>
            <w:r>
              <w:rPr>
                <w:b/>
                <w:spacing w:val="-9"/>
                <w:sz w:val="21"/>
              </w:rPr>
              <w:t>永久不可逆</w:t>
            </w:r>
            <w:r>
              <w:rPr>
                <w:b/>
                <w:spacing w:val="-7"/>
                <w:position w:val="11"/>
                <w:sz w:val="11"/>
              </w:rPr>
              <w:t>［11.16］</w:t>
            </w:r>
            <w:r>
              <w:rPr>
                <w:spacing w:val="-25"/>
                <w:sz w:val="21"/>
              </w:rPr>
              <w:t>性丧失，在 </w:t>
            </w:r>
            <w:r>
              <w:rPr>
                <w:sz w:val="21"/>
              </w:rPr>
              <w:t>500</w:t>
            </w:r>
            <w:r>
              <w:rPr>
                <w:spacing w:val="-36"/>
                <w:sz w:val="21"/>
              </w:rPr>
              <w:t> 赫兹、</w:t>
            </w:r>
            <w:r>
              <w:rPr>
                <w:sz w:val="21"/>
              </w:rPr>
              <w:t>1000</w:t>
            </w:r>
            <w:r>
              <w:rPr>
                <w:spacing w:val="5"/>
                <w:sz w:val="21"/>
              </w:rPr>
              <w:t> 赫</w:t>
            </w:r>
            <w:r>
              <w:rPr>
                <w:spacing w:val="-13"/>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jc w:val="both"/>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663" w:hRule="atLeast"/>
        </w:trPr>
        <w:tc>
          <w:tcPr>
            <w:tcW w:w="989" w:type="dxa"/>
          </w:tcPr>
          <w:p>
            <w:pPr>
              <w:pStyle w:val="TableParagraph"/>
              <w:ind w:left="200"/>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310" w:lineRule="atLeast" w:before="41"/>
              <w:ind w:left="92" w:right="102"/>
              <w:rPr>
                <w:sz w:val="21"/>
              </w:rPr>
            </w:pPr>
            <w:r>
              <w:rPr>
                <w:spacing w:val="-7"/>
                <w:sz w:val="21"/>
              </w:rPr>
              <w:t>指因疾病或意外伤害导致双眼视力永久不可逆性丧失，双眼中较好眼须满足下列</w:t>
            </w:r>
            <w:r>
              <w:rPr>
                <w:spacing w:val="-5"/>
                <w:sz w:val="21"/>
              </w:rPr>
              <w:t>至少一项条件：</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600"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11" w:lineRule="exact" w:before="0"/>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7"/>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2"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1"/>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2" w:lineRule="exact" w:before="0"/>
              <w:ind w:left="179" w:right="132"/>
              <w:jc w:val="center"/>
              <w:rPr>
                <w:b/>
                <w:sz w:val="21"/>
              </w:rPr>
            </w:pPr>
            <w:r>
              <w:rPr>
                <w:b/>
                <w:sz w:val="21"/>
              </w:rPr>
              <w:t>3.2.17</w:t>
            </w:r>
          </w:p>
        </w:tc>
        <w:tc>
          <w:tcPr>
            <w:tcW w:w="1721" w:type="dxa"/>
          </w:tcPr>
          <w:p>
            <w:pPr>
              <w:pStyle w:val="TableParagraph"/>
              <w:spacing w:line="262"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8"/>
              <w:ind w:left="179" w:right="132"/>
              <w:jc w:val="center"/>
              <w:rPr>
                <w:b/>
                <w:sz w:val="21"/>
              </w:rPr>
            </w:pPr>
            <w:r>
              <w:rPr>
                <w:b/>
                <w:sz w:val="21"/>
              </w:rPr>
              <w:t>3.2.18</w:t>
            </w:r>
          </w:p>
        </w:tc>
        <w:tc>
          <w:tcPr>
            <w:tcW w:w="1721" w:type="dxa"/>
          </w:tcPr>
          <w:p>
            <w:pPr>
              <w:pStyle w:val="TableParagraph"/>
              <w:spacing w:before="168"/>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6"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4"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467" w:type="dxa"/>
          </w:tcPr>
          <w:p>
            <w:pPr>
              <w:pStyle w:val="TableParagraph"/>
              <w:spacing w:line="273" w:lineRule="auto"/>
              <w:ind w:left="92" w:right="22"/>
              <w:rPr>
                <w:sz w:val="21"/>
              </w:rPr>
            </w:pPr>
            <w:r>
              <w:rPr>
                <w:sz w:val="21"/>
              </w:rPr>
              <w:t>指烧伤程度为Ⅲ度，且Ⅲ度烧伤面积达到全身体表面积的 20％或 20％以上。体表面积根据《中国新九分法》计算。</w:t>
            </w:r>
          </w:p>
        </w:tc>
      </w:tr>
      <w:tr>
        <w:trPr>
          <w:trHeight w:val="1116"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467" w:type="dxa"/>
          </w:tcPr>
          <w:p>
            <w:pPr>
              <w:pStyle w:val="TableParagraph"/>
              <w:spacing w:line="273" w:lineRule="auto"/>
              <w:ind w:left="92" w:right="1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ind w:left="92"/>
              <w:rPr>
                <w:sz w:val="21"/>
              </w:rPr>
            </w:pPr>
            <w:r>
              <w:rPr>
                <w:sz w:val="21"/>
              </w:rPr>
              <w:t>IV 级，且静息状态下肺动脉平均压超过 30mmHg。</w:t>
            </w:r>
          </w:p>
        </w:tc>
      </w:tr>
      <w:tr>
        <w:trPr>
          <w:trHeight w:val="1115" w:hRule="atLeast"/>
        </w:trPr>
        <w:tc>
          <w:tcPr>
            <w:tcW w:w="989" w:type="dxa"/>
          </w:tcPr>
          <w:p>
            <w:pPr>
              <w:pStyle w:val="TableParagraph"/>
              <w:ind w:left="179" w:right="132"/>
              <w:jc w:val="center"/>
              <w:rPr>
                <w:b/>
                <w:sz w:val="21"/>
              </w:rPr>
            </w:pPr>
            <w:r>
              <w:rPr>
                <w:b/>
                <w:sz w:val="21"/>
              </w:rPr>
              <w:t>3.2.21</w:t>
            </w:r>
          </w:p>
        </w:tc>
        <w:tc>
          <w:tcPr>
            <w:tcW w:w="1721" w:type="dxa"/>
          </w:tcPr>
          <w:p>
            <w:pPr>
              <w:pStyle w:val="TableParagraph"/>
              <w:spacing w:line="273" w:lineRule="auto"/>
              <w:ind w:left="149" w:right="303"/>
              <w:rPr>
                <w:b/>
                <w:sz w:val="21"/>
              </w:rPr>
            </w:pPr>
            <w:r>
              <w:rPr>
                <w:b/>
                <w:sz w:val="21"/>
              </w:rPr>
              <w:t>严重运动神经元病</w:t>
            </w:r>
          </w:p>
        </w:tc>
        <w:tc>
          <w:tcPr>
            <w:tcW w:w="7467" w:type="dxa"/>
          </w:tcPr>
          <w:p>
            <w:pPr>
              <w:pStyle w:val="TableParagraph"/>
              <w:spacing w:line="273" w:lineRule="auto"/>
              <w:ind w:left="92" w:right="2"/>
              <w:jc w:val="both"/>
              <w:rPr>
                <w:rFonts w:ascii="黑体" w:eastAsia="黑体" w:hint="eastAsia"/>
                <w:b/>
                <w:sz w:val="21"/>
              </w:rPr>
            </w:pPr>
            <w:r>
              <w:rPr>
                <w:spacing w:val="-7"/>
                <w:sz w:val="21"/>
              </w:rPr>
              <w:t>是一组中枢神经系统运动神经元的进行性变性疾病，包括进行性脊肌萎缩症、进</w:t>
            </w:r>
            <w:r>
              <w:rPr>
                <w:spacing w:val="-12"/>
                <w:sz w:val="21"/>
              </w:rPr>
              <w:t>行性延髓麻痹症、原发性侧索硬化症、肌萎缩性侧索硬化症。</w:t>
            </w:r>
            <w:r>
              <w:rPr>
                <w:rFonts w:ascii="黑体" w:eastAsia="黑体" w:hint="eastAsia"/>
                <w:b/>
                <w:sz w:val="21"/>
              </w:rPr>
              <w:t>须满足自主Th活能</w:t>
            </w:r>
            <w:r>
              <w:rPr>
                <w:rFonts w:ascii="黑体" w:eastAsia="黑体" w:hint="eastAsia"/>
                <w:b/>
                <w:spacing w:val="-3"/>
                <w:sz w:val="21"/>
              </w:rPr>
              <w:t>力完全丧失，无法独立完成六项基本日常</w:t>
            </w:r>
            <w:r>
              <w:rPr>
                <w:rFonts w:ascii="黑体" w:eastAsia="黑体" w:hint="eastAsia"/>
                <w:b/>
                <w:sz w:val="21"/>
              </w:rPr>
              <w:t>Th</w:t>
            </w:r>
            <w:r>
              <w:rPr>
                <w:rFonts w:ascii="黑体" w:eastAsia="黑体" w:hint="eastAsia"/>
                <w:b/>
                <w:spacing w:val="-3"/>
                <w:sz w:val="21"/>
              </w:rPr>
              <w:t>活活动中的三项或三项以上的条件。</w:t>
            </w:r>
          </w:p>
        </w:tc>
      </w:tr>
      <w:tr>
        <w:trPr>
          <w:trHeight w:val="975" w:hRule="atLeast"/>
        </w:trPr>
        <w:tc>
          <w:tcPr>
            <w:tcW w:w="989" w:type="dxa"/>
          </w:tcPr>
          <w:p>
            <w:pPr>
              <w:pStyle w:val="TableParagraph"/>
              <w:ind w:left="179" w:right="132"/>
              <w:jc w:val="center"/>
              <w:rPr>
                <w:b/>
                <w:sz w:val="21"/>
              </w:rPr>
            </w:pPr>
            <w:r>
              <w:rPr>
                <w:b/>
                <w:sz w:val="21"/>
              </w:rPr>
              <w:t>3.2.22</w:t>
            </w:r>
          </w:p>
        </w:tc>
        <w:tc>
          <w:tcPr>
            <w:tcW w:w="1721" w:type="dxa"/>
          </w:tcPr>
          <w:p>
            <w:pPr>
              <w:pStyle w:val="TableParagraph"/>
              <w:ind w:left="149"/>
              <w:rPr>
                <w:b/>
                <w:sz w:val="21"/>
              </w:rPr>
            </w:pPr>
            <w:r>
              <w:rPr>
                <w:b/>
                <w:sz w:val="21"/>
              </w:rPr>
              <w:t>语言能力丧失</w:t>
            </w:r>
          </w:p>
        </w:tc>
        <w:tc>
          <w:tcPr>
            <w:tcW w:w="7467" w:type="dxa"/>
          </w:tcPr>
          <w:p>
            <w:pPr>
              <w:pStyle w:val="TableParagraph"/>
              <w:spacing w:line="273" w:lineRule="auto"/>
              <w:ind w:left="92" w:right="12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line="255" w:lineRule="exact" w:before="7"/>
              <w:ind w:left="92"/>
              <w:rPr>
                <w:rFonts w:ascii="黑体" w:eastAsia="黑体" w:hint="eastAsia"/>
                <w:b/>
                <w:sz w:val="21"/>
              </w:rPr>
            </w:pPr>
            <w:r>
              <w:rPr>
                <w:rFonts w:ascii="黑体" w:eastAsia="黑体" w:hint="eastAsia"/>
                <w:b/>
                <w:sz w:val="21"/>
              </w:rPr>
              <w:t>精神心理因素所致的语言能力丧失不在保障范围内。</w:t>
            </w:r>
          </w:p>
        </w:tc>
      </w:tr>
    </w:tbl>
    <w:p>
      <w:pPr>
        <w:spacing w:after="0" w:line="255" w:lineRule="exact"/>
        <w:rPr>
          <w:rFonts w:ascii="黑体" w:eastAsia="黑体" w:hint="eastAsia"/>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669"/>
      </w:tblGrid>
      <w:tr>
        <w:trPr>
          <w:trHeight w:val="351" w:hRule="atLeast"/>
        </w:trPr>
        <w:tc>
          <w:tcPr>
            <w:tcW w:w="989" w:type="dxa"/>
          </w:tcPr>
          <w:p>
            <w:pPr>
              <w:pStyle w:val="TableParagraph"/>
              <w:spacing w:before="0"/>
              <w:ind w:left="0"/>
              <w:rPr>
                <w:rFonts w:ascii="Times New Roman"/>
                <w:sz w:val="20"/>
              </w:rPr>
            </w:pPr>
          </w:p>
        </w:tc>
        <w:tc>
          <w:tcPr>
            <w:tcW w:w="1615" w:type="dxa"/>
          </w:tcPr>
          <w:p>
            <w:pPr>
              <w:pStyle w:val="TableParagraph"/>
              <w:spacing w:before="0"/>
              <w:ind w:left="0"/>
              <w:rPr>
                <w:rFonts w:ascii="Times New Roman"/>
                <w:sz w:val="20"/>
              </w:rPr>
            </w:pPr>
          </w:p>
        </w:tc>
        <w:tc>
          <w:tcPr>
            <w:tcW w:w="7669" w:type="dxa"/>
          </w:tcPr>
          <w:p>
            <w:pPr>
              <w:pStyle w:val="TableParagraph"/>
              <w:spacing w:line="211" w:lineRule="exact" w:before="0"/>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spacing w:before="77"/>
              <w:ind w:left="179" w:right="132"/>
              <w:jc w:val="center"/>
              <w:rPr>
                <w:b/>
                <w:sz w:val="21"/>
              </w:rPr>
            </w:pPr>
            <w:r>
              <w:rPr>
                <w:b/>
                <w:sz w:val="21"/>
              </w:rPr>
              <w:t>3.2.23</w:t>
            </w:r>
          </w:p>
        </w:tc>
        <w:tc>
          <w:tcPr>
            <w:tcW w:w="1615" w:type="dxa"/>
          </w:tcPr>
          <w:p>
            <w:pPr>
              <w:pStyle w:val="TableParagraph"/>
              <w:spacing w:line="273" w:lineRule="auto" w:before="77"/>
              <w:ind w:left="149" w:right="197"/>
              <w:rPr>
                <w:b/>
                <w:sz w:val="21"/>
              </w:rPr>
            </w:pPr>
            <w:r>
              <w:rPr>
                <w:b/>
                <w:sz w:val="21"/>
              </w:rPr>
              <w:t>重型再生障碍性贫血</w:t>
            </w:r>
          </w:p>
        </w:tc>
        <w:tc>
          <w:tcPr>
            <w:tcW w:w="7669" w:type="dxa"/>
          </w:tcPr>
          <w:p>
            <w:pPr>
              <w:pStyle w:val="TableParagraph"/>
              <w:spacing w:line="273" w:lineRule="auto" w:before="96"/>
              <w:ind w:right="393"/>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1"/>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669" w:type="dxa"/>
          </w:tcPr>
          <w:p>
            <w:pPr>
              <w:pStyle w:val="TableParagraph"/>
              <w:spacing w:line="273" w:lineRule="auto" w:before="96"/>
              <w:ind w:right="385"/>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spacing w:before="77"/>
              <w:ind w:left="179" w:right="132"/>
              <w:jc w:val="center"/>
              <w:rPr>
                <w:b/>
                <w:sz w:val="21"/>
              </w:rPr>
            </w:pPr>
            <w:r>
              <w:rPr>
                <w:b/>
                <w:sz w:val="21"/>
              </w:rPr>
              <w:t>3.2.25</w:t>
            </w:r>
          </w:p>
        </w:tc>
        <w:tc>
          <w:tcPr>
            <w:tcW w:w="1615" w:type="dxa"/>
          </w:tcPr>
          <w:p>
            <w:pPr>
              <w:pStyle w:val="TableParagraph"/>
              <w:spacing w:line="273" w:lineRule="auto" w:before="77"/>
              <w:ind w:left="149" w:right="197"/>
              <w:rPr>
                <w:b/>
                <w:sz w:val="21"/>
              </w:rPr>
            </w:pPr>
            <w:r>
              <w:rPr>
                <w:b/>
                <w:sz w:val="21"/>
              </w:rPr>
              <w:t>严重多发性硬化症</w:t>
            </w:r>
          </w:p>
        </w:tc>
        <w:tc>
          <w:tcPr>
            <w:tcW w:w="7669" w:type="dxa"/>
          </w:tcPr>
          <w:p>
            <w:pPr>
              <w:pStyle w:val="TableParagraph"/>
              <w:spacing w:line="273" w:lineRule="auto" w:before="77"/>
              <w:ind w:right="198"/>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7" w:hRule="atLeast"/>
        </w:trPr>
        <w:tc>
          <w:tcPr>
            <w:tcW w:w="989" w:type="dxa"/>
          </w:tcPr>
          <w:p>
            <w:pPr>
              <w:pStyle w:val="TableParagraph"/>
              <w:ind w:left="179" w:right="132"/>
              <w:jc w:val="center"/>
              <w:rPr>
                <w:b/>
                <w:sz w:val="21"/>
              </w:rPr>
            </w:pPr>
            <w:r>
              <w:rPr>
                <w:b/>
                <w:sz w:val="21"/>
              </w:rPr>
              <w:t>3.2.26</w:t>
            </w:r>
          </w:p>
        </w:tc>
        <w:tc>
          <w:tcPr>
            <w:tcW w:w="1615" w:type="dxa"/>
          </w:tcPr>
          <w:p>
            <w:pPr>
              <w:pStyle w:val="TableParagraph"/>
              <w:spacing w:line="273" w:lineRule="auto"/>
              <w:ind w:left="149" w:right="197"/>
              <w:rPr>
                <w:b/>
                <w:sz w:val="21"/>
              </w:rPr>
            </w:pPr>
            <w:r>
              <w:rPr>
                <w:b/>
                <w:sz w:val="21"/>
              </w:rPr>
              <w:t>严重原发性心肌病</w:t>
            </w:r>
          </w:p>
        </w:tc>
        <w:tc>
          <w:tcPr>
            <w:tcW w:w="7669" w:type="dxa"/>
          </w:tcPr>
          <w:p>
            <w:pPr>
              <w:pStyle w:val="TableParagraph"/>
              <w:spacing w:line="273" w:lineRule="auto"/>
              <w:ind w:right="198"/>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7"/>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669" w:type="dxa"/>
          </w:tcPr>
          <w:p>
            <w:pPr>
              <w:pStyle w:val="TableParagraph"/>
              <w:spacing w:line="273" w:lineRule="auto"/>
              <w:ind w:right="198"/>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1"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669"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6"/>
              <w:rPr>
                <w:sz w:val="21"/>
              </w:rPr>
            </w:pPr>
            <w:r>
              <w:rPr>
                <w:sz w:val="21"/>
              </w:rPr>
              <w:t>（4) 胸内气体容积升高，超过 170(基值的百分比)；</w:t>
            </w:r>
          </w:p>
          <w:p>
            <w:pPr>
              <w:pStyle w:val="TableParagraph"/>
              <w:spacing w:before="36"/>
              <w:rPr>
                <w:sz w:val="21"/>
              </w:rPr>
            </w:pPr>
            <w:r>
              <w:rPr>
                <w:sz w:val="21"/>
              </w:rPr>
              <w:t>（5) PaO2&lt;60mmHg，PaCO2&gt;50mmHg。</w:t>
            </w:r>
          </w:p>
        </w:tc>
      </w:tr>
      <w:tr>
        <w:trPr>
          <w:trHeight w:val="1428"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669" w:type="dxa"/>
          </w:tcPr>
          <w:p>
            <w:pPr>
              <w:pStyle w:val="TableParagraph"/>
              <w:spacing w:line="273" w:lineRule="auto"/>
              <w:ind w:right="219"/>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r>
        <w:trPr>
          <w:trHeight w:val="1911" w:hRule="atLeast"/>
        </w:trPr>
        <w:tc>
          <w:tcPr>
            <w:tcW w:w="989" w:type="dxa"/>
          </w:tcPr>
          <w:p>
            <w:pPr>
              <w:pStyle w:val="TableParagraph"/>
              <w:ind w:left="179" w:right="132"/>
              <w:jc w:val="center"/>
              <w:rPr>
                <w:b/>
                <w:sz w:val="21"/>
              </w:rPr>
            </w:pPr>
            <w:r>
              <w:rPr>
                <w:b/>
                <w:sz w:val="21"/>
              </w:rPr>
              <w:t>3.2.30</w:t>
            </w:r>
          </w:p>
        </w:tc>
        <w:tc>
          <w:tcPr>
            <w:tcW w:w="1615" w:type="dxa"/>
          </w:tcPr>
          <w:p>
            <w:pPr>
              <w:pStyle w:val="TableParagraph"/>
              <w:spacing w:line="273" w:lineRule="auto"/>
              <w:ind w:left="149" w:right="197"/>
              <w:rPr>
                <w:b/>
                <w:sz w:val="21"/>
              </w:rPr>
            </w:pPr>
            <w:r>
              <w:rPr>
                <w:b/>
                <w:sz w:val="21"/>
              </w:rPr>
              <w:t>系统性红斑狼疮性肾炎</w:t>
            </w:r>
          </w:p>
        </w:tc>
        <w:tc>
          <w:tcPr>
            <w:tcW w:w="7669" w:type="dxa"/>
          </w:tcPr>
          <w:p>
            <w:pPr>
              <w:pStyle w:val="TableParagraph"/>
              <w:spacing w:line="273" w:lineRule="auto"/>
              <w:ind w:right="198"/>
              <w:jc w:val="both"/>
              <w:rPr>
                <w:sz w:val="21"/>
              </w:rPr>
            </w:pPr>
            <w:r>
              <w:rPr>
                <w:spacing w:val="-8"/>
                <w:sz w:val="21"/>
              </w:rPr>
              <w:t>指系统性红斑狼疮累及肾脏导致的功能损害，经肾脏活检，病理结果符合世界卫</w:t>
            </w:r>
            <w:r>
              <w:rPr>
                <w:spacing w:val="-16"/>
                <w:sz w:val="21"/>
              </w:rPr>
              <w:t>生组织</w:t>
            </w:r>
            <w:r>
              <w:rPr>
                <w:spacing w:val="-7"/>
                <w:sz w:val="21"/>
              </w:rPr>
              <w:t>（WHO）</w:t>
            </w:r>
            <w:r>
              <w:rPr>
                <w:spacing w:val="-8"/>
                <w:sz w:val="21"/>
              </w:rPr>
              <w:t>诊断标准定义中的 </w:t>
            </w:r>
            <w:r>
              <w:rPr>
                <w:sz w:val="21"/>
              </w:rPr>
              <w:t>III</w:t>
            </w:r>
            <w:r>
              <w:rPr>
                <w:spacing w:val="-24"/>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jc w:val="both"/>
              <w:rPr>
                <w:sz w:val="21"/>
              </w:rPr>
            </w:pPr>
            <w:r>
              <w:rPr>
                <w:sz w:val="21"/>
              </w:rPr>
              <w:t>世界卫生组织（WHO）狼疮性肾炎分型：</w:t>
            </w:r>
          </w:p>
          <w:p>
            <w:pPr>
              <w:pStyle w:val="TableParagraph"/>
              <w:numPr>
                <w:ilvl w:val="0"/>
                <w:numId w:val="12"/>
              </w:numPr>
              <w:tabs>
                <w:tab w:pos="357" w:val="left" w:leader="none"/>
              </w:tabs>
              <w:spacing w:line="240" w:lineRule="auto" w:before="37" w:after="0"/>
              <w:ind w:left="357" w:right="0" w:hanging="159"/>
              <w:jc w:val="both"/>
              <w:rPr>
                <w:sz w:val="21"/>
              </w:rPr>
            </w:pPr>
            <w:r>
              <w:rPr>
                <w:spacing w:val="-3"/>
                <w:sz w:val="21"/>
              </w:rPr>
              <w:t>型：微小病变型</w:t>
            </w:r>
          </w:p>
          <w:p>
            <w:pPr>
              <w:pStyle w:val="TableParagraph"/>
              <w:numPr>
                <w:ilvl w:val="0"/>
                <w:numId w:val="12"/>
              </w:numPr>
              <w:tabs>
                <w:tab w:pos="463" w:val="left" w:leader="none"/>
              </w:tabs>
              <w:spacing w:line="255" w:lineRule="exact" w:before="37" w:after="0"/>
              <w:ind w:left="462" w:right="0" w:hanging="264"/>
              <w:jc w:val="both"/>
              <w:rPr>
                <w:sz w:val="21"/>
              </w:rPr>
            </w:pPr>
            <w:r>
              <w:rPr>
                <w:spacing w:val="-3"/>
                <w:sz w:val="21"/>
              </w:rPr>
              <w:t>型：系膜增殖性狼疮性肾炎</w:t>
            </w:r>
          </w:p>
        </w:tc>
      </w:tr>
    </w:tbl>
    <w:p>
      <w:pPr>
        <w:spacing w:after="0" w:line="255" w:lineRule="exact"/>
        <w:jc w:val="both"/>
        <w:rPr>
          <w:sz w:val="21"/>
        </w:rPr>
        <w:sectPr>
          <w:pgSz w:w="11910" w:h="16840"/>
          <w:pgMar w:header="566" w:footer="664" w:top="1000" w:bottom="860" w:left="820" w:right="6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666"/>
      </w:tblGrid>
      <w:tr>
        <w:trPr>
          <w:trHeight w:val="1287" w:hRule="atLeast"/>
        </w:trPr>
        <w:tc>
          <w:tcPr>
            <w:tcW w:w="988" w:type="dxa"/>
          </w:tcPr>
          <w:p>
            <w:pPr>
              <w:pStyle w:val="TableParagraph"/>
              <w:spacing w:before="0"/>
              <w:ind w:left="0"/>
              <w:rPr>
                <w:rFonts w:ascii="Times New Roman"/>
                <w:sz w:val="20"/>
              </w:rPr>
            </w:pPr>
          </w:p>
        </w:tc>
        <w:tc>
          <w:tcPr>
            <w:tcW w:w="1707" w:type="dxa"/>
          </w:tcPr>
          <w:p>
            <w:pPr>
              <w:pStyle w:val="TableParagraph"/>
              <w:spacing w:before="0"/>
              <w:ind w:left="0"/>
              <w:rPr>
                <w:rFonts w:ascii="Times New Roman"/>
                <w:sz w:val="20"/>
              </w:rPr>
            </w:pPr>
          </w:p>
        </w:tc>
        <w:tc>
          <w:tcPr>
            <w:tcW w:w="7666" w:type="dxa"/>
          </w:tcPr>
          <w:p>
            <w:pPr>
              <w:pStyle w:val="TableParagraph"/>
              <w:numPr>
                <w:ilvl w:val="0"/>
                <w:numId w:val="13"/>
              </w:numPr>
              <w:tabs>
                <w:tab w:pos="478" w:val="left" w:leader="none"/>
              </w:tabs>
              <w:spacing w:line="211" w:lineRule="exact" w:before="0" w:after="0"/>
              <w:ind w:left="477" w:right="0" w:hanging="370"/>
              <w:jc w:val="left"/>
              <w:rPr>
                <w:sz w:val="21"/>
              </w:rPr>
            </w:pPr>
            <w:r>
              <w:rPr>
                <w:spacing w:val="-3"/>
                <w:sz w:val="21"/>
              </w:rPr>
              <w:t>型：局灶节段增殖性狼疮性肾炎</w:t>
            </w:r>
          </w:p>
          <w:p>
            <w:pPr>
              <w:pStyle w:val="TableParagraph"/>
              <w:numPr>
                <w:ilvl w:val="0"/>
                <w:numId w:val="13"/>
              </w:numPr>
              <w:tabs>
                <w:tab w:pos="372" w:val="left" w:leader="none"/>
              </w:tabs>
              <w:spacing w:line="240" w:lineRule="auto" w:before="37" w:after="0"/>
              <w:ind w:left="371" w:right="0" w:hanging="264"/>
              <w:jc w:val="left"/>
              <w:rPr>
                <w:sz w:val="21"/>
              </w:rPr>
            </w:pPr>
            <w:r>
              <w:rPr>
                <w:spacing w:val="-3"/>
                <w:sz w:val="21"/>
              </w:rPr>
              <w:t>型：弥漫增殖性狼疮性肾炎</w:t>
            </w:r>
          </w:p>
          <w:p>
            <w:pPr>
              <w:pStyle w:val="TableParagraph"/>
              <w:numPr>
                <w:ilvl w:val="0"/>
                <w:numId w:val="13"/>
              </w:numPr>
              <w:tabs>
                <w:tab w:pos="266" w:val="left" w:leader="none"/>
              </w:tabs>
              <w:spacing w:line="240" w:lineRule="auto" w:before="36" w:after="0"/>
              <w:ind w:left="266" w:right="0" w:hanging="159"/>
              <w:jc w:val="left"/>
              <w:rPr>
                <w:sz w:val="21"/>
              </w:rPr>
            </w:pPr>
            <w:r>
              <w:rPr>
                <w:spacing w:val="-3"/>
                <w:sz w:val="21"/>
              </w:rPr>
              <w:t>型：膜性狼疮性肾炎</w:t>
            </w:r>
          </w:p>
          <w:p>
            <w:pPr>
              <w:pStyle w:val="TableParagraph"/>
              <w:numPr>
                <w:ilvl w:val="0"/>
                <w:numId w:val="13"/>
              </w:numPr>
              <w:tabs>
                <w:tab w:pos="372" w:val="left" w:leader="none"/>
              </w:tabs>
              <w:spacing w:line="240" w:lineRule="auto" w:before="36" w:after="0"/>
              <w:ind w:left="371" w:right="0" w:hanging="264"/>
              <w:jc w:val="left"/>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666" w:type="dxa"/>
          </w:tcPr>
          <w:p>
            <w:pPr>
              <w:pStyle w:val="TableParagraph"/>
              <w:spacing w:line="273" w:lineRule="auto"/>
              <w:ind w:left="107" w:right="286"/>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285"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6"/>
              <w:ind w:left="107"/>
              <w:rPr>
                <w:sz w:val="21"/>
              </w:rPr>
            </w:pPr>
            <w:r>
              <w:rPr>
                <w:sz w:val="21"/>
              </w:rPr>
              <w:t>（3）关节的畸形改变至少持续 180 日；</w:t>
            </w:r>
          </w:p>
          <w:p>
            <w:pPr>
              <w:pStyle w:val="TableParagraph"/>
              <w:spacing w:line="273" w:lineRule="auto" w:before="36"/>
              <w:ind w:left="633" w:right="307"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spacing w:before="77"/>
              <w:ind w:left="180" w:right="132"/>
              <w:jc w:val="center"/>
              <w:rPr>
                <w:b/>
                <w:sz w:val="21"/>
              </w:rPr>
            </w:pPr>
            <w:r>
              <w:rPr>
                <w:b/>
                <w:sz w:val="21"/>
              </w:rPr>
              <w:t>3.2.32</w:t>
            </w:r>
          </w:p>
        </w:tc>
        <w:tc>
          <w:tcPr>
            <w:tcW w:w="1707" w:type="dxa"/>
          </w:tcPr>
          <w:p>
            <w:pPr>
              <w:pStyle w:val="TableParagraph"/>
              <w:spacing w:before="77"/>
              <w:ind w:left="150"/>
              <w:rPr>
                <w:b/>
                <w:sz w:val="21"/>
              </w:rPr>
            </w:pPr>
            <w:r>
              <w:rPr>
                <w:b/>
                <w:sz w:val="21"/>
              </w:rPr>
              <w:t>坏死性筋膜炎</w:t>
            </w:r>
          </w:p>
        </w:tc>
        <w:tc>
          <w:tcPr>
            <w:tcW w:w="7666" w:type="dxa"/>
          </w:tcPr>
          <w:p>
            <w:pPr>
              <w:pStyle w:val="TableParagraph"/>
              <w:spacing w:line="273" w:lineRule="auto" w:before="77"/>
              <w:ind w:left="107" w:right="286"/>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8"/>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ind w:left="180" w:right="132"/>
              <w:jc w:val="center"/>
              <w:rPr>
                <w:b/>
                <w:sz w:val="21"/>
              </w:rPr>
            </w:pPr>
            <w:r>
              <w:rPr>
                <w:b/>
                <w:sz w:val="21"/>
              </w:rPr>
              <w:t>3.2.33</w:t>
            </w:r>
          </w:p>
        </w:tc>
        <w:tc>
          <w:tcPr>
            <w:tcW w:w="1707" w:type="dxa"/>
          </w:tcPr>
          <w:p>
            <w:pPr>
              <w:pStyle w:val="TableParagraph"/>
              <w:ind w:left="150"/>
              <w:rPr>
                <w:b/>
                <w:sz w:val="21"/>
              </w:rPr>
            </w:pPr>
            <w:r>
              <w:rPr>
                <w:b/>
                <w:sz w:val="21"/>
              </w:rPr>
              <w:t>重症肌无力</w:t>
            </w:r>
          </w:p>
        </w:tc>
        <w:tc>
          <w:tcPr>
            <w:tcW w:w="7666" w:type="dxa"/>
          </w:tcPr>
          <w:p>
            <w:pPr>
              <w:pStyle w:val="TableParagraph"/>
              <w:spacing w:line="273" w:lineRule="auto"/>
              <w:ind w:left="107" w:right="286"/>
              <w:rPr>
                <w:sz w:val="21"/>
              </w:rPr>
            </w:pPr>
            <w:r>
              <w:rPr>
                <w:spacing w:val="-7"/>
                <w:sz w:val="21"/>
              </w:rPr>
              <w:t>指一种神经与肌肉接头部位传递障碍的自身免疫性疾病，临床特征是局部或全身</w:t>
            </w:r>
            <w:r>
              <w:rPr>
                <w:spacing w:val="-3"/>
                <w:sz w:val="21"/>
              </w:rPr>
              <w:t>肌肉于活动时易于疲劳无力，须经专科医生明确诊断，并满足下列全部条件：</w:t>
            </w:r>
          </w:p>
          <w:p>
            <w:pPr>
              <w:pStyle w:val="TableParagraph"/>
              <w:spacing w:line="273" w:lineRule="auto" w:before="7"/>
              <w:ind w:left="633" w:right="307" w:hanging="527"/>
              <w:rPr>
                <w:sz w:val="21"/>
              </w:rPr>
            </w:pPr>
            <w:r>
              <w:rPr>
                <w:sz w:val="21"/>
              </w:rPr>
              <w:t>（1）经药物治疗或胸腺手术治疗一年以上无法控制病情，症状缓解、复发及恶化交替出现；</w:t>
            </w:r>
          </w:p>
          <w:p>
            <w:pPr>
              <w:pStyle w:val="TableParagraph"/>
              <w:spacing w:line="273" w:lineRule="auto" w:before="7"/>
              <w:ind w:left="633" w:right="307"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666"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410"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6"/>
              <w:ind w:left="102" w:right="288"/>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285"/>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1831" w:hRule="atLeast"/>
        </w:trPr>
        <w:tc>
          <w:tcPr>
            <w:tcW w:w="988" w:type="dxa"/>
          </w:tcPr>
          <w:p>
            <w:pPr>
              <w:pStyle w:val="TableParagraph"/>
              <w:spacing w:before="167"/>
              <w:ind w:left="180" w:right="132"/>
              <w:jc w:val="center"/>
              <w:rPr>
                <w:b/>
                <w:sz w:val="21"/>
              </w:rPr>
            </w:pPr>
            <w:r>
              <w:rPr>
                <w:b/>
                <w:sz w:val="21"/>
              </w:rPr>
              <w:t>3.2.35</w:t>
            </w:r>
          </w:p>
        </w:tc>
        <w:tc>
          <w:tcPr>
            <w:tcW w:w="1707" w:type="dxa"/>
          </w:tcPr>
          <w:p>
            <w:pPr>
              <w:pStyle w:val="TableParagraph"/>
              <w:spacing w:before="167"/>
              <w:ind w:left="150"/>
              <w:rPr>
                <w:b/>
                <w:sz w:val="21"/>
              </w:rPr>
            </w:pPr>
            <w:r>
              <w:rPr>
                <w:b/>
                <w:sz w:val="21"/>
              </w:rPr>
              <w:t>肌营养不良</w:t>
            </w:r>
          </w:p>
        </w:tc>
        <w:tc>
          <w:tcPr>
            <w:tcW w:w="7666" w:type="dxa"/>
          </w:tcPr>
          <w:p>
            <w:pPr>
              <w:pStyle w:val="TableParagraph"/>
              <w:spacing w:line="273" w:lineRule="auto" w:before="167"/>
              <w:ind w:left="107" w:right="286"/>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spacing w:before="7"/>
              <w:ind w:left="107"/>
              <w:rPr>
                <w:sz w:val="21"/>
              </w:rPr>
            </w:pPr>
            <w:r>
              <w:rPr>
                <w:sz w:val="21"/>
              </w:rPr>
              <w:t>（1）肌肉组织活检结果满足肌营养不良症的肌肉细胞变性、坏死等阳性改变；</w:t>
            </w:r>
          </w:p>
          <w:p>
            <w:pPr>
              <w:pStyle w:val="TableParagraph"/>
              <w:spacing w:line="273" w:lineRule="auto" w:before="37"/>
              <w:ind w:left="633" w:right="307" w:hanging="527"/>
              <w:rPr>
                <w:sz w:val="21"/>
              </w:rPr>
            </w:pPr>
            <w:r>
              <w:rPr>
                <w:sz w:val="21"/>
              </w:rPr>
              <w:t>（2）自主生活能力完全丧失，无法独立完成六项基本日常生活活动中的三项或三项以上。</w:t>
            </w:r>
          </w:p>
        </w:tc>
      </w:tr>
      <w:tr>
        <w:trPr>
          <w:trHeight w:val="663" w:hRule="atLeast"/>
        </w:trPr>
        <w:tc>
          <w:tcPr>
            <w:tcW w:w="988" w:type="dxa"/>
          </w:tcPr>
          <w:p>
            <w:pPr>
              <w:pStyle w:val="TableParagraph"/>
              <w:ind w:left="179" w:right="132"/>
              <w:jc w:val="center"/>
              <w:rPr>
                <w:b/>
                <w:sz w:val="21"/>
              </w:rPr>
            </w:pPr>
            <w:r>
              <w:rPr>
                <w:b/>
                <w:sz w:val="21"/>
              </w:rPr>
              <w:t>3.2.36</w:t>
            </w:r>
          </w:p>
        </w:tc>
        <w:tc>
          <w:tcPr>
            <w:tcW w:w="1707" w:type="dxa"/>
          </w:tcPr>
          <w:p>
            <w:pPr>
              <w:pStyle w:val="TableParagraph"/>
              <w:spacing w:line="310" w:lineRule="atLeast" w:before="41"/>
              <w:ind w:left="150" w:right="106"/>
              <w:rPr>
                <w:b/>
                <w:sz w:val="21"/>
              </w:rPr>
            </w:pPr>
            <w:r>
              <w:rPr>
                <w:b/>
                <w:sz w:val="21"/>
              </w:rPr>
              <w:t>严重脊髓 灰质炎</w:t>
            </w:r>
          </w:p>
        </w:tc>
        <w:tc>
          <w:tcPr>
            <w:tcW w:w="7666" w:type="dxa"/>
          </w:tcPr>
          <w:p>
            <w:pPr>
              <w:pStyle w:val="TableParagraph"/>
              <w:spacing w:line="310" w:lineRule="atLeast" w:before="41"/>
              <w:ind w:left="107" w:right="199"/>
              <w:rPr>
                <w:sz w:val="21"/>
              </w:rPr>
            </w:pPr>
            <w:r>
              <w:rPr>
                <w:sz w:val="21"/>
              </w:rPr>
              <w:t>由脊髓灰质炎病毒感染所导致的运动功能障碍或呼吸功能减弱持续三个月以上， 须导致一肢或一肢以上肢体机能永久完全丧失。肢体机能永久完全丧失，指疾病</w:t>
            </w:r>
          </w:p>
        </w:tc>
      </w:tr>
    </w:tbl>
    <w:p>
      <w:pPr>
        <w:spacing w:after="0" w:line="310" w:lineRule="atLeast"/>
        <w:rPr>
          <w:sz w:val="21"/>
        </w:rPr>
        <w:sectPr>
          <w:pgSz w:w="11910" w:h="16840"/>
          <w:pgMar w:header="566" w:footer="664" w:top="1000" w:bottom="860" w:left="820" w:right="500"/>
        </w:sectPr>
      </w:pPr>
    </w:p>
    <w:p>
      <w:pPr>
        <w:pStyle w:val="BodyText"/>
        <w:rPr>
          <w:rFonts w:ascii="Times New Roman"/>
          <w:sz w:val="20"/>
        </w:rPr>
      </w:pPr>
    </w:p>
    <w:p>
      <w:pPr>
        <w:pStyle w:val="BodyText"/>
        <w:spacing w:before="8" w:after="1"/>
        <w:rPr>
          <w:rFonts w:ascii="Times New Roman"/>
          <w:sz w:val="19"/>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724"/>
        <w:gridCol w:w="7445"/>
      </w:tblGrid>
      <w:tr>
        <w:trPr>
          <w:trHeight w:val="366" w:hRule="atLeast"/>
        </w:trPr>
        <w:tc>
          <w:tcPr>
            <w:tcW w:w="873" w:type="dxa"/>
          </w:tcPr>
          <w:p>
            <w:pPr>
              <w:pStyle w:val="TableParagraph"/>
              <w:spacing w:before="0"/>
              <w:ind w:left="0"/>
              <w:rPr>
                <w:rFonts w:ascii="Times New Roman"/>
                <w:sz w:val="20"/>
              </w:rPr>
            </w:pPr>
          </w:p>
        </w:tc>
        <w:tc>
          <w:tcPr>
            <w:tcW w:w="1724" w:type="dxa"/>
          </w:tcPr>
          <w:p>
            <w:pPr>
              <w:pStyle w:val="TableParagraph"/>
              <w:spacing w:before="0"/>
              <w:ind w:left="0"/>
              <w:rPr>
                <w:rFonts w:ascii="Times New Roman"/>
                <w:sz w:val="20"/>
              </w:rPr>
            </w:pPr>
          </w:p>
        </w:tc>
        <w:tc>
          <w:tcPr>
            <w:tcW w:w="7445" w:type="dxa"/>
          </w:tcPr>
          <w:p>
            <w:pPr>
              <w:pStyle w:val="TableParagraph"/>
              <w:spacing w:line="234" w:lineRule="exact" w:before="0"/>
              <w:ind w:left="90" w:right="-15"/>
              <w:rPr>
                <w:sz w:val="21"/>
              </w:rPr>
            </w:pPr>
            <w:r>
              <w:rPr>
                <w:spacing w:val="-11"/>
                <w:sz w:val="21"/>
              </w:rPr>
              <w:t>确诊 </w:t>
            </w:r>
            <w:r>
              <w:rPr>
                <w:rFonts w:ascii="Times New Roman" w:eastAsia="Times New Roman"/>
                <w:sz w:val="21"/>
              </w:rPr>
              <w:t>180</w:t>
            </w:r>
            <w:r>
              <w:rPr>
                <w:rFonts w:ascii="Times New Roman" w:eastAsia="Times New Roman"/>
                <w:spacing w:val="18"/>
                <w:sz w:val="21"/>
              </w:rPr>
              <w:t> </w:t>
            </w:r>
            <w:r>
              <w:rPr>
                <w:spacing w:val="-3"/>
                <w:sz w:val="21"/>
              </w:rPr>
              <w:t>天后，每肢三大关节中的两大关节仍然完全僵硬，或不能随意识活动。</w:t>
            </w:r>
          </w:p>
        </w:tc>
      </w:tr>
      <w:tr>
        <w:trPr>
          <w:trHeight w:val="1108" w:hRule="atLeast"/>
        </w:trPr>
        <w:tc>
          <w:tcPr>
            <w:tcW w:w="873" w:type="dxa"/>
          </w:tcPr>
          <w:p>
            <w:pPr>
              <w:pStyle w:val="TableParagraph"/>
              <w:spacing w:before="69"/>
              <w:ind w:left="85"/>
              <w:rPr>
                <w:b/>
                <w:sz w:val="21"/>
              </w:rPr>
            </w:pPr>
            <w:r>
              <w:rPr>
                <w:b/>
                <w:sz w:val="21"/>
              </w:rPr>
              <w:t>3.2.37</w:t>
            </w:r>
          </w:p>
        </w:tc>
        <w:tc>
          <w:tcPr>
            <w:tcW w:w="1724" w:type="dxa"/>
          </w:tcPr>
          <w:p>
            <w:pPr>
              <w:pStyle w:val="TableParagraph"/>
              <w:spacing w:before="69"/>
              <w:ind w:left="151"/>
              <w:rPr>
                <w:b/>
                <w:sz w:val="21"/>
              </w:rPr>
            </w:pPr>
            <w:r>
              <w:rPr>
                <w:b/>
                <w:sz w:val="21"/>
              </w:rPr>
              <w:t>严重克隆病</w:t>
            </w:r>
          </w:p>
        </w:tc>
        <w:tc>
          <w:tcPr>
            <w:tcW w:w="7445" w:type="dxa"/>
          </w:tcPr>
          <w:p>
            <w:pPr>
              <w:pStyle w:val="TableParagraph"/>
              <w:spacing w:line="264" w:lineRule="auto" w:before="69"/>
              <w:ind w:left="90" w:right="80"/>
              <w:jc w:val="both"/>
              <w:rPr>
                <w:sz w:val="21"/>
              </w:rPr>
            </w:pPr>
            <w:r>
              <w:rPr>
                <w:spacing w:val="-8"/>
                <w:sz w:val="21"/>
              </w:rPr>
              <w:t>指一种胃肠道慢性炎性肉芽肿性疾病，须经专科医师明确诊断，且必须满足下列</w:t>
            </w:r>
            <w:r>
              <w:rPr>
                <w:spacing w:val="-31"/>
                <w:w w:val="100"/>
                <w:sz w:val="21"/>
              </w:rPr>
              <w:t>所有条件：</w:t>
            </w:r>
            <w:r>
              <w:rPr>
                <w:spacing w:val="-2"/>
                <w:w w:val="100"/>
                <w:sz w:val="21"/>
              </w:rPr>
              <w:t>（</w:t>
            </w:r>
            <w:r>
              <w:rPr>
                <w:rFonts w:ascii="Times New Roman" w:eastAsia="Times New Roman"/>
                <w:w w:val="100"/>
                <w:sz w:val="21"/>
              </w:rPr>
              <w:t>1</w:t>
            </w:r>
            <w:r>
              <w:rPr>
                <w:spacing w:val="-22"/>
                <w:w w:val="100"/>
                <w:sz w:val="21"/>
              </w:rPr>
              <w:t>）</w:t>
            </w:r>
            <w:r>
              <w:rPr>
                <w:spacing w:val="-3"/>
                <w:w w:val="100"/>
                <w:sz w:val="21"/>
              </w:rPr>
              <w:t>已经造成瘘管并伴有肠梗阻或肠穿孔</w:t>
            </w:r>
            <w:r>
              <w:rPr>
                <w:spacing w:val="-128"/>
                <w:w w:val="100"/>
                <w:sz w:val="21"/>
              </w:rPr>
              <w:t>；</w:t>
            </w:r>
            <w:r>
              <w:rPr>
                <w:spacing w:val="-1"/>
                <w:w w:val="100"/>
                <w:sz w:val="21"/>
              </w:rPr>
              <w:t>（</w:t>
            </w:r>
            <w:r>
              <w:rPr>
                <w:rFonts w:ascii="Times New Roman" w:eastAsia="Times New Roman"/>
                <w:w w:val="100"/>
                <w:sz w:val="21"/>
              </w:rPr>
              <w:t>2</w:t>
            </w:r>
            <w:r>
              <w:rPr>
                <w:spacing w:val="-25"/>
                <w:w w:val="100"/>
                <w:sz w:val="21"/>
              </w:rPr>
              <w:t>）</w:t>
            </w:r>
            <w:r>
              <w:rPr>
                <w:spacing w:val="-3"/>
                <w:w w:val="100"/>
                <w:sz w:val="21"/>
              </w:rPr>
              <w:t>有结肠镜检查和组织</w:t>
            </w:r>
            <w:r>
              <w:rPr>
                <w:spacing w:val="-3"/>
                <w:sz w:val="21"/>
              </w:rPr>
              <w:t>病理学检查作为诊断依据。</w:t>
            </w:r>
          </w:p>
        </w:tc>
      </w:tr>
      <w:tr>
        <w:trPr>
          <w:trHeight w:val="1428" w:hRule="atLeast"/>
        </w:trPr>
        <w:tc>
          <w:tcPr>
            <w:tcW w:w="873" w:type="dxa"/>
          </w:tcPr>
          <w:p>
            <w:pPr>
              <w:pStyle w:val="TableParagraph"/>
              <w:ind w:left="85"/>
              <w:rPr>
                <w:b/>
                <w:sz w:val="21"/>
              </w:rPr>
            </w:pPr>
            <w:r>
              <w:rPr>
                <w:b/>
                <w:sz w:val="21"/>
              </w:rPr>
              <w:t>3.2.38</w:t>
            </w:r>
          </w:p>
        </w:tc>
        <w:tc>
          <w:tcPr>
            <w:tcW w:w="1724" w:type="dxa"/>
          </w:tcPr>
          <w:p>
            <w:pPr>
              <w:pStyle w:val="TableParagraph"/>
              <w:spacing w:line="273" w:lineRule="auto"/>
              <w:ind w:left="151" w:right="122"/>
              <w:rPr>
                <w:b/>
                <w:sz w:val="21"/>
              </w:rPr>
            </w:pPr>
            <w:r>
              <w:rPr>
                <w:b/>
                <w:sz w:val="21"/>
              </w:rPr>
              <w:t>严重溃疡 性结肠炎</w:t>
            </w:r>
          </w:p>
        </w:tc>
        <w:tc>
          <w:tcPr>
            <w:tcW w:w="7445" w:type="dxa"/>
          </w:tcPr>
          <w:p>
            <w:pPr>
              <w:pStyle w:val="TableParagraph"/>
              <w:spacing w:line="273" w:lineRule="auto"/>
              <w:ind w:left="90" w:right="80"/>
              <w:jc w:val="both"/>
              <w:rPr>
                <w:sz w:val="21"/>
              </w:rPr>
            </w:pPr>
            <w:r>
              <w:rPr>
                <w:spacing w:val="-7"/>
                <w:sz w:val="21"/>
              </w:rPr>
              <w:t>指伴有致命性电解质紊乱的急性暴发性溃疡性结肠炎，病变累及全结肠，表现为</w:t>
            </w:r>
            <w:r>
              <w:rPr>
                <w:spacing w:val="-10"/>
                <w:sz w:val="21"/>
              </w:rPr>
              <w:t>严重的血便和系统性症状体征，治疗通常采取全结肠切除和回肠造瘘术。溃疡性结肠炎必须根据组织病理学特点诊断，并且被保险人已经接受了全结肠切除和回</w:t>
            </w:r>
            <w:r>
              <w:rPr>
                <w:spacing w:val="-5"/>
                <w:sz w:val="21"/>
              </w:rPr>
              <w:t>肠造瘘术。</w:t>
            </w:r>
          </w:p>
        </w:tc>
      </w:tr>
      <w:tr>
        <w:trPr>
          <w:trHeight w:val="2372" w:hRule="atLeast"/>
        </w:trPr>
        <w:tc>
          <w:tcPr>
            <w:tcW w:w="873" w:type="dxa"/>
          </w:tcPr>
          <w:p>
            <w:pPr>
              <w:pStyle w:val="TableParagraph"/>
              <w:ind w:left="85"/>
              <w:rPr>
                <w:b/>
                <w:sz w:val="21"/>
              </w:rPr>
            </w:pPr>
            <w:r>
              <w:rPr>
                <w:b/>
                <w:sz w:val="21"/>
              </w:rPr>
              <w:t>3.2.39</w:t>
            </w:r>
          </w:p>
        </w:tc>
        <w:tc>
          <w:tcPr>
            <w:tcW w:w="1724" w:type="dxa"/>
          </w:tcPr>
          <w:p>
            <w:pPr>
              <w:pStyle w:val="TableParagraph"/>
              <w:ind w:left="151"/>
              <w:rPr>
                <w:b/>
                <w:sz w:val="21"/>
              </w:rPr>
            </w:pPr>
            <w:r>
              <w:rPr>
                <w:b/>
                <w:sz w:val="21"/>
              </w:rPr>
              <w:t>Ｉ型糖尿病</w:t>
            </w:r>
          </w:p>
        </w:tc>
        <w:tc>
          <w:tcPr>
            <w:tcW w:w="7445" w:type="dxa"/>
          </w:tcPr>
          <w:p>
            <w:pPr>
              <w:pStyle w:val="TableParagraph"/>
              <w:ind w:left="90"/>
              <w:rPr>
                <w:sz w:val="21"/>
              </w:rPr>
            </w:pPr>
            <w:r>
              <w:rPr>
                <w:sz w:val="21"/>
              </w:rPr>
              <w:t>指经内分泌专科医生明确诊断为Ｉ型糖尿病，且须同时满足下列条件：</w:t>
            </w:r>
          </w:p>
          <w:p>
            <w:pPr>
              <w:pStyle w:val="TableParagraph"/>
              <w:numPr>
                <w:ilvl w:val="0"/>
                <w:numId w:val="14"/>
              </w:numPr>
              <w:tabs>
                <w:tab w:pos="723" w:val="left" w:leader="none"/>
              </w:tabs>
              <w:spacing w:line="240" w:lineRule="auto" w:before="36" w:after="0"/>
              <w:ind w:left="722" w:right="0" w:hanging="632"/>
              <w:jc w:val="left"/>
              <w:rPr>
                <w:sz w:val="21"/>
              </w:rPr>
            </w:pPr>
            <w:r>
              <w:rPr>
                <w:spacing w:val="-5"/>
                <w:sz w:val="21"/>
              </w:rPr>
              <w:t>必须持续性地依赖外源性胰岛素维持生命至少 </w:t>
            </w:r>
            <w:r>
              <w:rPr>
                <w:rFonts w:ascii="Times New Roman" w:eastAsia="Times New Roman"/>
                <w:sz w:val="21"/>
              </w:rPr>
              <w:t>180</w:t>
            </w:r>
            <w:r>
              <w:rPr>
                <w:rFonts w:ascii="Times New Roman" w:eastAsia="Times New Roman"/>
                <w:spacing w:val="12"/>
                <w:sz w:val="21"/>
              </w:rPr>
              <w:t> </w:t>
            </w:r>
            <w:r>
              <w:rPr>
                <w:spacing w:val="-2"/>
                <w:sz w:val="21"/>
              </w:rPr>
              <w:t>天以上。</w:t>
            </w:r>
          </w:p>
          <w:p>
            <w:pPr>
              <w:pStyle w:val="TableParagraph"/>
              <w:numPr>
                <w:ilvl w:val="0"/>
                <w:numId w:val="14"/>
              </w:numPr>
              <w:tabs>
                <w:tab w:pos="723" w:val="left" w:leader="none"/>
              </w:tabs>
              <w:spacing w:line="240" w:lineRule="auto" w:before="20" w:after="0"/>
              <w:ind w:left="722" w:right="0" w:hanging="632"/>
              <w:jc w:val="left"/>
              <w:rPr>
                <w:sz w:val="21"/>
              </w:rPr>
            </w:pPr>
            <w:r>
              <w:rPr>
                <w:spacing w:val="-9"/>
                <w:sz w:val="21"/>
              </w:rPr>
              <w:t>血胰岛素测定、血 </w:t>
            </w:r>
            <w:r>
              <w:rPr>
                <w:rFonts w:ascii="Times New Roman" w:eastAsia="Times New Roman"/>
                <w:sz w:val="21"/>
              </w:rPr>
              <w:t>C</w:t>
            </w:r>
            <w:r>
              <w:rPr>
                <w:rFonts w:ascii="Times New Roman" w:eastAsia="Times New Roman"/>
                <w:spacing w:val="7"/>
                <w:sz w:val="21"/>
              </w:rPr>
              <w:t> </w:t>
            </w:r>
            <w:r>
              <w:rPr>
                <w:spacing w:val="-11"/>
                <w:sz w:val="21"/>
              </w:rPr>
              <w:t>肽测定或尿 </w:t>
            </w:r>
            <w:r>
              <w:rPr>
                <w:rFonts w:ascii="Times New Roman" w:eastAsia="Times New Roman"/>
                <w:sz w:val="21"/>
              </w:rPr>
              <w:t>C</w:t>
            </w:r>
            <w:r>
              <w:rPr>
                <w:rFonts w:ascii="Times New Roman" w:eastAsia="Times New Roman"/>
                <w:spacing w:val="3"/>
                <w:sz w:val="21"/>
              </w:rPr>
              <w:t> </w:t>
            </w:r>
            <w:r>
              <w:rPr>
                <w:spacing w:val="-3"/>
                <w:sz w:val="21"/>
              </w:rPr>
              <w:t>肽测定结果异常。</w:t>
            </w:r>
          </w:p>
          <w:p>
            <w:pPr>
              <w:pStyle w:val="TableParagraph"/>
              <w:numPr>
                <w:ilvl w:val="0"/>
                <w:numId w:val="14"/>
              </w:numPr>
              <w:tabs>
                <w:tab w:pos="723" w:val="left" w:leader="none"/>
              </w:tabs>
              <w:spacing w:line="240" w:lineRule="auto" w:before="20" w:after="0"/>
              <w:ind w:left="722" w:right="0" w:hanging="632"/>
              <w:jc w:val="left"/>
              <w:rPr>
                <w:sz w:val="21"/>
              </w:rPr>
            </w:pPr>
            <w:r>
              <w:rPr>
                <w:spacing w:val="-3"/>
                <w:sz w:val="21"/>
              </w:rPr>
              <w:t>出现下述三种并发症之一或一种以上：</w:t>
            </w:r>
          </w:p>
          <w:p>
            <w:pPr>
              <w:pStyle w:val="TableParagraph"/>
              <w:numPr>
                <w:ilvl w:val="0"/>
                <w:numId w:val="15"/>
              </w:numPr>
              <w:tabs>
                <w:tab w:pos="687" w:val="left" w:leader="none"/>
              </w:tabs>
              <w:spacing w:line="240" w:lineRule="auto" w:before="21" w:after="0"/>
              <w:ind w:left="686" w:right="0" w:hanging="278"/>
              <w:jc w:val="left"/>
              <w:rPr>
                <w:sz w:val="21"/>
              </w:rPr>
            </w:pPr>
            <w:r>
              <w:rPr>
                <w:spacing w:val="-3"/>
                <w:sz w:val="21"/>
              </w:rPr>
              <w:t>并发增殖性视网膜病变；</w:t>
            </w:r>
          </w:p>
          <w:p>
            <w:pPr>
              <w:pStyle w:val="TableParagraph"/>
              <w:numPr>
                <w:ilvl w:val="0"/>
                <w:numId w:val="15"/>
              </w:numPr>
              <w:tabs>
                <w:tab w:pos="687" w:val="left" w:leader="none"/>
              </w:tabs>
              <w:spacing w:line="240" w:lineRule="auto" w:before="21" w:after="0"/>
              <w:ind w:left="686" w:right="0" w:hanging="278"/>
              <w:jc w:val="left"/>
              <w:rPr>
                <w:sz w:val="21"/>
              </w:rPr>
            </w:pPr>
            <w:r>
              <w:rPr>
                <w:spacing w:val="-3"/>
                <w:sz w:val="21"/>
              </w:rPr>
              <w:t>并发心脏病变，并须植入心脏起搏器进行治疗；</w:t>
            </w:r>
          </w:p>
          <w:p>
            <w:pPr>
              <w:pStyle w:val="TableParagraph"/>
              <w:numPr>
                <w:ilvl w:val="0"/>
                <w:numId w:val="15"/>
              </w:numPr>
              <w:tabs>
                <w:tab w:pos="687" w:val="left" w:leader="none"/>
              </w:tabs>
              <w:spacing w:line="240" w:lineRule="auto" w:before="21" w:after="0"/>
              <w:ind w:left="686" w:right="0" w:hanging="278"/>
              <w:jc w:val="left"/>
              <w:rPr>
                <w:sz w:val="21"/>
              </w:rPr>
            </w:pPr>
            <w:r>
              <w:rPr>
                <w:spacing w:val="-3"/>
                <w:sz w:val="21"/>
              </w:rPr>
              <w:t>至少一个脚趾发生坏疽并已达到手术切除指征。</w:t>
            </w:r>
          </w:p>
        </w:tc>
      </w:tr>
      <w:tr>
        <w:trPr>
          <w:trHeight w:val="1168" w:hRule="atLeast"/>
        </w:trPr>
        <w:tc>
          <w:tcPr>
            <w:tcW w:w="873" w:type="dxa"/>
          </w:tcPr>
          <w:p>
            <w:pPr>
              <w:pStyle w:val="TableParagraph"/>
              <w:spacing w:before="68"/>
              <w:ind w:left="85"/>
              <w:rPr>
                <w:b/>
                <w:sz w:val="21"/>
              </w:rPr>
            </w:pPr>
            <w:r>
              <w:rPr>
                <w:b/>
                <w:sz w:val="21"/>
              </w:rPr>
              <w:t>3.2.40</w:t>
            </w:r>
          </w:p>
        </w:tc>
        <w:tc>
          <w:tcPr>
            <w:tcW w:w="1724" w:type="dxa"/>
          </w:tcPr>
          <w:p>
            <w:pPr>
              <w:pStyle w:val="TableParagraph"/>
              <w:spacing w:line="273" w:lineRule="auto" w:before="68"/>
              <w:ind w:left="151" w:right="122"/>
              <w:rPr>
                <w:b/>
                <w:sz w:val="21"/>
              </w:rPr>
            </w:pPr>
            <w:r>
              <w:rPr>
                <w:b/>
                <w:sz w:val="21"/>
              </w:rPr>
              <w:t>急性坏死 性胰腺炎开腹手术</w:t>
            </w:r>
          </w:p>
        </w:tc>
        <w:tc>
          <w:tcPr>
            <w:tcW w:w="7445" w:type="dxa"/>
          </w:tcPr>
          <w:p>
            <w:pPr>
              <w:pStyle w:val="TableParagraph"/>
              <w:spacing w:line="273" w:lineRule="auto" w:before="68"/>
              <w:ind w:left="90" w:right="81"/>
              <w:rPr>
                <w:sz w:val="21"/>
              </w:rPr>
            </w:pPr>
            <w:r>
              <w:rPr>
                <w:spacing w:val="-7"/>
                <w:sz w:val="21"/>
              </w:rPr>
              <w:t>指由本公司认可的专科医生确诊为急性坏死性胰腺炎，并已经接受了坏死组织清</w:t>
            </w:r>
            <w:r>
              <w:rPr>
                <w:spacing w:val="-5"/>
                <w:sz w:val="21"/>
              </w:rPr>
              <w:t>除、病灶切除或胰腺部分切除的手术治疗。</w:t>
            </w:r>
          </w:p>
          <w:p>
            <w:pPr>
              <w:pStyle w:val="TableParagraph"/>
              <w:spacing w:before="7"/>
              <w:ind w:left="90"/>
              <w:rPr>
                <w:sz w:val="21"/>
              </w:rPr>
            </w:pPr>
            <w:r>
              <w:rPr>
                <w:sz w:val="21"/>
              </w:rPr>
              <w:t>因酒精中毒引起的急性胰腺炎除外。</w:t>
            </w:r>
          </w:p>
        </w:tc>
      </w:tr>
      <w:tr>
        <w:trPr>
          <w:trHeight w:val="630" w:hRule="atLeast"/>
        </w:trPr>
        <w:tc>
          <w:tcPr>
            <w:tcW w:w="873" w:type="dxa"/>
            <w:tcBorders>
              <w:bottom w:val="single" w:sz="6" w:space="0" w:color="000000"/>
            </w:tcBorders>
          </w:tcPr>
          <w:p>
            <w:pPr>
              <w:pStyle w:val="TableParagraph"/>
              <w:spacing w:before="114"/>
              <w:ind w:left="85"/>
              <w:rPr>
                <w:b/>
                <w:sz w:val="28"/>
              </w:rPr>
            </w:pPr>
            <w:r>
              <w:rPr>
                <w:b/>
                <w:w w:val="99"/>
                <w:sz w:val="28"/>
              </w:rPr>
              <w:t>⒋</w:t>
            </w:r>
          </w:p>
        </w:tc>
        <w:tc>
          <w:tcPr>
            <w:tcW w:w="1724" w:type="dxa"/>
            <w:tcBorders>
              <w:bottom w:val="single" w:sz="6" w:space="0" w:color="000000"/>
            </w:tcBorders>
          </w:tcPr>
          <w:p>
            <w:pPr>
              <w:pStyle w:val="TableParagraph"/>
              <w:spacing w:before="144"/>
              <w:ind w:left="151"/>
              <w:rPr>
                <w:b/>
                <w:sz w:val="24"/>
              </w:rPr>
            </w:pPr>
            <w:r>
              <w:rPr>
                <w:b/>
                <w:sz w:val="24"/>
              </w:rPr>
              <w:t>特定疾病</w:t>
            </w:r>
          </w:p>
        </w:tc>
        <w:tc>
          <w:tcPr>
            <w:tcW w:w="7445" w:type="dxa"/>
            <w:tcBorders>
              <w:bottom w:val="single" w:sz="6" w:space="0" w:color="000000"/>
            </w:tcBorders>
          </w:tcPr>
          <w:p>
            <w:pPr>
              <w:pStyle w:val="TableParagraph"/>
              <w:spacing w:before="0"/>
              <w:ind w:left="0"/>
              <w:rPr>
                <w:rFonts w:ascii="Times New Roman"/>
                <w:sz w:val="20"/>
              </w:rPr>
            </w:pPr>
          </w:p>
        </w:tc>
      </w:tr>
      <w:tr>
        <w:trPr>
          <w:trHeight w:val="1214" w:hRule="atLeast"/>
        </w:trPr>
        <w:tc>
          <w:tcPr>
            <w:tcW w:w="873" w:type="dxa"/>
            <w:tcBorders>
              <w:top w:val="single" w:sz="6" w:space="0" w:color="000000"/>
            </w:tcBorders>
          </w:tcPr>
          <w:p>
            <w:pPr>
              <w:pStyle w:val="TableParagraph"/>
              <w:spacing w:before="175"/>
              <w:ind w:left="85"/>
              <w:rPr>
                <w:b/>
                <w:sz w:val="21"/>
              </w:rPr>
            </w:pPr>
            <w:r>
              <w:rPr>
                <w:b/>
                <w:sz w:val="21"/>
              </w:rPr>
              <w:t>4.1</w:t>
            </w:r>
          </w:p>
        </w:tc>
        <w:tc>
          <w:tcPr>
            <w:tcW w:w="1724" w:type="dxa"/>
            <w:tcBorders>
              <w:top w:val="single" w:sz="6" w:space="0" w:color="000000"/>
            </w:tcBorders>
          </w:tcPr>
          <w:p>
            <w:pPr>
              <w:pStyle w:val="TableParagraph"/>
              <w:spacing w:before="175"/>
              <w:ind w:left="151"/>
              <w:rPr>
                <w:b/>
                <w:sz w:val="21"/>
              </w:rPr>
            </w:pPr>
            <w:r>
              <w:rPr>
                <w:b/>
                <w:sz w:val="21"/>
              </w:rPr>
              <w:t>特定疾病定义</w:t>
            </w:r>
          </w:p>
        </w:tc>
        <w:tc>
          <w:tcPr>
            <w:tcW w:w="7445" w:type="dxa"/>
            <w:tcBorders>
              <w:top w:val="single" w:sz="6" w:space="0" w:color="000000"/>
            </w:tcBorders>
          </w:tcPr>
          <w:p>
            <w:pPr>
              <w:pStyle w:val="TableParagraph"/>
              <w:spacing w:line="273" w:lineRule="auto" w:before="175"/>
              <w:ind w:left="90" w:right="80"/>
              <w:jc w:val="both"/>
              <w:rPr>
                <w:sz w:val="21"/>
              </w:rPr>
            </w:pPr>
            <w:r>
              <w:rPr>
                <w:spacing w:val="-10"/>
                <w:sz w:val="21"/>
              </w:rPr>
              <w:t>本合同所指特定疾病，是被保险人经我们认可的医院专科医生明确诊断，发生符合以下定义所述条件的疾病、疾病状态或手术，共计十种。特定疾病的名称及定</w:t>
            </w:r>
            <w:r>
              <w:rPr>
                <w:spacing w:val="-6"/>
                <w:sz w:val="21"/>
              </w:rPr>
              <w:t>义如下：</w:t>
            </w:r>
          </w:p>
        </w:tc>
      </w:tr>
      <w:tr>
        <w:trPr>
          <w:trHeight w:val="2067" w:hRule="atLeast"/>
        </w:trPr>
        <w:tc>
          <w:tcPr>
            <w:tcW w:w="873" w:type="dxa"/>
          </w:tcPr>
          <w:p>
            <w:pPr>
              <w:pStyle w:val="TableParagraph"/>
              <w:ind w:left="85"/>
              <w:rPr>
                <w:b/>
                <w:sz w:val="21"/>
              </w:rPr>
            </w:pPr>
            <w:r>
              <w:rPr>
                <w:b/>
                <w:sz w:val="21"/>
              </w:rPr>
              <w:t>4.1.1</w:t>
            </w:r>
          </w:p>
        </w:tc>
        <w:tc>
          <w:tcPr>
            <w:tcW w:w="1724" w:type="dxa"/>
          </w:tcPr>
          <w:p>
            <w:pPr>
              <w:pStyle w:val="TableParagraph"/>
              <w:spacing w:line="273" w:lineRule="auto"/>
              <w:ind w:left="151" w:right="122"/>
              <w:jc w:val="both"/>
              <w:rPr>
                <w:b/>
                <w:sz w:val="21"/>
              </w:rPr>
            </w:pPr>
            <w:r>
              <w:rPr>
                <w:b/>
                <w:sz w:val="21"/>
              </w:rPr>
              <w:t>极早期的 恶性肿瘤或恶 性病变</w:t>
            </w:r>
          </w:p>
        </w:tc>
        <w:tc>
          <w:tcPr>
            <w:tcW w:w="7445" w:type="dxa"/>
          </w:tcPr>
          <w:p>
            <w:pPr>
              <w:pStyle w:val="TableParagraph"/>
              <w:ind w:left="90"/>
              <w:rPr>
                <w:sz w:val="21"/>
              </w:rPr>
            </w:pPr>
            <w:r>
              <w:rPr>
                <w:sz w:val="21"/>
              </w:rPr>
              <w:t>指经组织病理学检查被明确诊断为下列恶性病变，并且接受了相应的治疗。</w:t>
            </w:r>
          </w:p>
          <w:p>
            <w:pPr>
              <w:pStyle w:val="TableParagraph"/>
              <w:spacing w:before="36"/>
              <w:ind w:left="90"/>
              <w:rPr>
                <w:sz w:val="21"/>
              </w:rPr>
            </w:pPr>
            <w:r>
              <w:rPr>
                <w:sz w:val="21"/>
              </w:rPr>
              <w:t>（</w:t>
            </w:r>
            <w:r>
              <w:rPr>
                <w:rFonts w:ascii="Times New Roman" w:eastAsia="Times New Roman"/>
                <w:sz w:val="21"/>
              </w:rPr>
              <w:t>1</w:t>
            </w:r>
            <w:r>
              <w:rPr>
                <w:sz w:val="21"/>
              </w:rPr>
              <w:t>）原位癌；</w:t>
            </w:r>
          </w:p>
          <w:p>
            <w:pPr>
              <w:pStyle w:val="TableParagraph"/>
              <w:spacing w:before="20"/>
              <w:ind w:left="9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9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90"/>
              <w:rPr>
                <w:sz w:val="21"/>
              </w:rPr>
            </w:pPr>
            <w:r>
              <w:rPr>
                <w:sz w:val="21"/>
              </w:rPr>
              <w:t>（</w:t>
            </w:r>
            <w:r>
              <w:rPr>
                <w:rFonts w:ascii="Times New Roman" w:eastAsia="Times New Roman"/>
                <w:sz w:val="21"/>
              </w:rPr>
              <w:t>4</w:t>
            </w:r>
            <w:r>
              <w:rPr>
                <w:sz w:val="21"/>
              </w:rPr>
              <w:t>）皮肤癌；</w:t>
            </w:r>
          </w:p>
          <w:p>
            <w:pPr>
              <w:pStyle w:val="TableParagraph"/>
              <w:spacing w:before="20"/>
              <w:ind w:left="9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036" w:hRule="atLeast"/>
        </w:trPr>
        <w:tc>
          <w:tcPr>
            <w:tcW w:w="873" w:type="dxa"/>
          </w:tcPr>
          <w:p>
            <w:pPr>
              <w:pStyle w:val="TableParagraph"/>
              <w:spacing w:before="61"/>
              <w:ind w:left="85"/>
              <w:rPr>
                <w:b/>
                <w:sz w:val="21"/>
              </w:rPr>
            </w:pPr>
            <w:r>
              <w:rPr>
                <w:b/>
                <w:sz w:val="21"/>
              </w:rPr>
              <w:t>4.1.2</w:t>
            </w:r>
          </w:p>
        </w:tc>
        <w:tc>
          <w:tcPr>
            <w:tcW w:w="1724" w:type="dxa"/>
          </w:tcPr>
          <w:p>
            <w:pPr>
              <w:pStyle w:val="TableParagraph"/>
              <w:spacing w:line="273" w:lineRule="auto" w:before="61"/>
              <w:ind w:left="151" w:right="87"/>
              <w:rPr>
                <w:b/>
                <w:sz w:val="21"/>
              </w:rPr>
            </w:pPr>
            <w:r>
              <w:rPr>
                <w:b/>
                <w:sz w:val="21"/>
              </w:rPr>
              <w:t>不典型的急性心肌梗塞</w:t>
            </w:r>
          </w:p>
        </w:tc>
        <w:tc>
          <w:tcPr>
            <w:tcW w:w="7445" w:type="dxa"/>
          </w:tcPr>
          <w:p>
            <w:pPr>
              <w:pStyle w:val="TableParagraph"/>
              <w:spacing w:before="61"/>
              <w:ind w:left="90"/>
              <w:rPr>
                <w:sz w:val="21"/>
              </w:rPr>
            </w:pPr>
            <w:r>
              <w:rPr>
                <w:sz w:val="21"/>
              </w:rPr>
              <w:t>指被临床诊断为急性心肌梗塞并接受了急性心肌梗塞治疗，虽然未达到重大疾病</w:t>
            </w:r>
          </w:p>
          <w:p>
            <w:pPr>
              <w:pStyle w:val="TableParagraph"/>
              <w:spacing w:before="37"/>
              <w:ind w:left="90"/>
              <w:rPr>
                <w:sz w:val="21"/>
              </w:rPr>
            </w:pPr>
            <w:r>
              <w:rPr>
                <w:sz w:val="21"/>
              </w:rPr>
              <w:t>“急性心肌梗塞”的给付标准，但满足下列全部条件：</w:t>
            </w:r>
          </w:p>
          <w:p>
            <w:pPr>
              <w:pStyle w:val="TableParagraph"/>
              <w:spacing w:before="37"/>
              <w:ind w:left="90"/>
              <w:rPr>
                <w:sz w:val="21"/>
              </w:rPr>
            </w:pPr>
            <w:r>
              <w:rPr>
                <w:sz w:val="21"/>
              </w:rPr>
              <w:t>（1）肌钙蛋白有诊断意义的升高；</w:t>
            </w:r>
          </w:p>
          <w:p>
            <w:pPr>
              <w:pStyle w:val="TableParagraph"/>
              <w:spacing w:before="37"/>
              <w:ind w:left="90"/>
              <w:rPr>
                <w:sz w:val="21"/>
              </w:rPr>
            </w:pPr>
            <w:r>
              <w:rPr>
                <w:sz w:val="21"/>
              </w:rPr>
              <w:t>（2）心电图有损伤性的ST 段改变但未出现病理Q 波。</w:t>
            </w:r>
          </w:p>
          <w:p>
            <w:pPr>
              <w:pStyle w:val="TableParagraph"/>
              <w:spacing w:line="273" w:lineRule="auto" w:before="37"/>
              <w:ind w:left="90" w:right="81"/>
              <w:rPr>
                <w:sz w:val="21"/>
              </w:rPr>
            </w:pPr>
            <w:r>
              <w:rPr>
                <w:spacing w:val="-6"/>
                <w:sz w:val="21"/>
              </w:rPr>
              <w:t>如果被保险人在出现不典型的急性心肌梗塞后接受冠状动脉介入手术治疗，该冠</w:t>
            </w:r>
            <w:r>
              <w:rPr>
                <w:spacing w:val="-4"/>
                <w:sz w:val="21"/>
              </w:rPr>
              <w:t>状动脉介入手术与不典型的急性心肌梗塞视为同一轻症疾病。</w:t>
            </w:r>
          </w:p>
        </w:tc>
      </w:tr>
      <w:tr>
        <w:trPr>
          <w:trHeight w:val="1287" w:hRule="atLeast"/>
        </w:trPr>
        <w:tc>
          <w:tcPr>
            <w:tcW w:w="873" w:type="dxa"/>
          </w:tcPr>
          <w:p>
            <w:pPr>
              <w:pStyle w:val="TableParagraph"/>
              <w:ind w:left="85"/>
              <w:rPr>
                <w:b/>
                <w:sz w:val="21"/>
              </w:rPr>
            </w:pPr>
            <w:r>
              <w:rPr>
                <w:b/>
                <w:sz w:val="21"/>
              </w:rPr>
              <w:t>4.1.3</w:t>
            </w:r>
          </w:p>
        </w:tc>
        <w:tc>
          <w:tcPr>
            <w:tcW w:w="1724" w:type="dxa"/>
          </w:tcPr>
          <w:p>
            <w:pPr>
              <w:pStyle w:val="TableParagraph"/>
              <w:spacing w:line="273" w:lineRule="auto"/>
              <w:ind w:left="151" w:right="122"/>
              <w:rPr>
                <w:b/>
                <w:sz w:val="21"/>
              </w:rPr>
            </w:pPr>
            <w:r>
              <w:rPr>
                <w:b/>
                <w:sz w:val="21"/>
              </w:rPr>
              <w:t>冠状动脉 介入手术</w:t>
            </w:r>
          </w:p>
        </w:tc>
        <w:tc>
          <w:tcPr>
            <w:tcW w:w="7445" w:type="dxa"/>
          </w:tcPr>
          <w:p>
            <w:pPr>
              <w:pStyle w:val="TableParagraph"/>
              <w:spacing w:line="273" w:lineRule="auto"/>
              <w:ind w:left="90" w:right="80"/>
              <w:rPr>
                <w:sz w:val="21"/>
              </w:rPr>
            </w:pPr>
            <w:r>
              <w:rPr>
                <w:spacing w:val="-8"/>
                <w:sz w:val="21"/>
              </w:rPr>
              <w:t>指为了治疗明显的冠状动脉狭窄性疾病，首次实际实施了冠状动脉球囊扩张成形</w:t>
            </w:r>
            <w:r>
              <w:rPr>
                <w:spacing w:val="-5"/>
                <w:sz w:val="21"/>
              </w:rPr>
              <w:t>术、冠状动脉支架植入术或激光冠状动脉成形术。</w:t>
            </w:r>
          </w:p>
          <w:p>
            <w:pPr>
              <w:pStyle w:val="TableParagraph"/>
              <w:spacing w:line="312" w:lineRule="exact" w:before="3"/>
              <w:ind w:left="90" w:right="81"/>
              <w:rPr>
                <w:sz w:val="21"/>
              </w:rPr>
            </w:pPr>
            <w:r>
              <w:rPr>
                <w:spacing w:val="-6"/>
                <w:sz w:val="21"/>
              </w:rPr>
              <w:t>如果被保险人在出现不典型的急性心肌梗塞后接受冠状动脉介入手术治疗，该冠</w:t>
            </w:r>
            <w:r>
              <w:rPr>
                <w:spacing w:val="-4"/>
                <w:sz w:val="21"/>
              </w:rPr>
              <w:t>状动脉介入手术与不典型的急性心肌梗塞视为同一轻症疾病。</w:t>
            </w:r>
          </w:p>
        </w:tc>
      </w:tr>
    </w:tbl>
    <w:p>
      <w:pPr>
        <w:spacing w:after="0" w:line="312" w:lineRule="exact"/>
        <w:rPr>
          <w:sz w:val="21"/>
        </w:rPr>
        <w:sectPr>
          <w:pgSz w:w="11910" w:h="16840"/>
          <w:pgMar w:header="566" w:footer="664" w:top="1000" w:bottom="860" w:left="940" w:right="700"/>
        </w:sectPr>
      </w:pPr>
    </w:p>
    <w:p>
      <w:pPr>
        <w:pStyle w:val="BodyText"/>
        <w:rPr>
          <w:rFonts w:ascii="Times New Roman"/>
          <w:sz w:val="20"/>
        </w:rPr>
      </w:pPr>
    </w:p>
    <w:p>
      <w:pPr>
        <w:pStyle w:val="BodyText"/>
        <w:spacing w:before="4"/>
        <w:rPr>
          <w:rFonts w:ascii="Times New Roman"/>
          <w:sz w:val="20"/>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708"/>
        <w:gridCol w:w="7481"/>
      </w:tblGrid>
      <w:tr>
        <w:trPr>
          <w:trHeight w:val="2224" w:hRule="atLeast"/>
        </w:trPr>
        <w:tc>
          <w:tcPr>
            <w:tcW w:w="893" w:type="dxa"/>
          </w:tcPr>
          <w:p>
            <w:pPr>
              <w:pStyle w:val="TableParagraph"/>
              <w:spacing w:line="211" w:lineRule="exact" w:before="0"/>
              <w:ind w:left="105"/>
              <w:rPr>
                <w:b/>
                <w:sz w:val="21"/>
              </w:rPr>
            </w:pPr>
            <w:r>
              <w:rPr>
                <w:b/>
                <w:sz w:val="21"/>
              </w:rPr>
              <w:t>4.1.4</w:t>
            </w:r>
          </w:p>
        </w:tc>
        <w:tc>
          <w:tcPr>
            <w:tcW w:w="1708" w:type="dxa"/>
          </w:tcPr>
          <w:p>
            <w:pPr>
              <w:pStyle w:val="TableParagraph"/>
              <w:spacing w:line="211" w:lineRule="exact" w:before="0"/>
              <w:ind w:left="151"/>
              <w:rPr>
                <w:b/>
                <w:sz w:val="21"/>
              </w:rPr>
            </w:pPr>
            <w:r>
              <w:rPr>
                <w:b/>
                <w:sz w:val="21"/>
              </w:rPr>
              <w:t>特定脑中 风后</w:t>
            </w:r>
          </w:p>
          <w:p>
            <w:pPr>
              <w:pStyle w:val="TableParagraph"/>
              <w:spacing w:before="37"/>
              <w:ind w:left="151"/>
              <w:rPr>
                <w:b/>
                <w:sz w:val="21"/>
              </w:rPr>
            </w:pPr>
            <w:r>
              <w:rPr>
                <w:b/>
                <w:sz w:val="21"/>
              </w:rPr>
              <w:t>遗症</w:t>
            </w:r>
          </w:p>
        </w:tc>
        <w:tc>
          <w:tcPr>
            <w:tcW w:w="7481" w:type="dxa"/>
          </w:tcPr>
          <w:p>
            <w:pPr>
              <w:pStyle w:val="TableParagraph"/>
              <w:spacing w:line="211" w:lineRule="exact" w:before="0"/>
              <w:ind w:left="106"/>
              <w:rPr>
                <w:sz w:val="21"/>
              </w:rPr>
            </w:pPr>
            <w:r>
              <w:rPr>
                <w:sz w:val="21"/>
              </w:rPr>
              <w:t>指因脑血管的突发病变引起脑血管出血、栓塞或梗塞，并导致神经系统永久性的</w:t>
            </w:r>
          </w:p>
          <w:p>
            <w:pPr>
              <w:pStyle w:val="TableParagraph"/>
              <w:spacing w:line="273" w:lineRule="auto" w:before="37"/>
              <w:ind w:left="106" w:right="434"/>
              <w:rPr>
                <w:sz w:val="21"/>
              </w:rPr>
            </w:pPr>
            <w:r>
              <w:rPr>
                <w:spacing w:val="-5"/>
                <w:sz w:val="21"/>
              </w:rPr>
              <w:t>功能障碍。神经系统永久性的功能障碍，指疾病确诊 </w:t>
            </w:r>
            <w:r>
              <w:rPr>
                <w:sz w:val="21"/>
              </w:rPr>
              <w:t>180</w:t>
            </w:r>
            <w:r>
              <w:rPr>
                <w:spacing w:val="-8"/>
                <w:sz w:val="21"/>
              </w:rPr>
              <w:t> 天后，仍遗留下列</w:t>
            </w:r>
            <w:r>
              <w:rPr>
                <w:spacing w:val="-5"/>
                <w:sz w:val="21"/>
              </w:rPr>
              <w:t>一种或一种以上障碍：</w:t>
            </w:r>
          </w:p>
          <w:p>
            <w:pPr>
              <w:pStyle w:val="TableParagraph"/>
              <w:spacing w:line="273" w:lineRule="auto" w:before="7"/>
              <w:ind w:left="106" w:right="103"/>
              <w:rPr>
                <w:sz w:val="21"/>
              </w:rPr>
            </w:pPr>
            <w:r>
              <w:rPr>
                <w:spacing w:val="-15"/>
                <w:sz w:val="21"/>
              </w:rPr>
              <w:t>（1）</w:t>
            </w:r>
            <w:r>
              <w:rPr>
                <w:spacing w:val="-6"/>
                <w:sz w:val="21"/>
              </w:rPr>
              <w:t>一肢或一肢以上肢体机能部分丧失，其肢体肌力为Ⅲ级,或小于Ⅲ级但尚未</w:t>
            </w:r>
            <w:r>
              <w:rPr>
                <w:spacing w:val="-4"/>
                <w:sz w:val="21"/>
              </w:rPr>
              <w:t>达到脑中风后遗症的给付标准；</w:t>
            </w:r>
          </w:p>
          <w:p>
            <w:pPr>
              <w:pStyle w:val="TableParagraph"/>
              <w:spacing w:line="273" w:lineRule="auto" w:before="7"/>
              <w:ind w:left="106" w:right="122"/>
              <w:rPr>
                <w:sz w:val="21"/>
              </w:rPr>
            </w:pPr>
            <w:r>
              <w:rPr>
                <w:sz w:val="21"/>
              </w:rPr>
              <w:t>（2）自主生活能力部分丧失，无法独立完成六项基本日常生活活动中的两项。短暂性脑缺血发作（TIA）和腔隙性脑梗塞不在保障范围内 。</w:t>
            </w:r>
          </w:p>
        </w:tc>
      </w:tr>
      <w:tr>
        <w:trPr>
          <w:trHeight w:val="803" w:hRule="atLeast"/>
        </w:trPr>
        <w:tc>
          <w:tcPr>
            <w:tcW w:w="893" w:type="dxa"/>
          </w:tcPr>
          <w:p>
            <w:pPr>
              <w:pStyle w:val="TableParagraph"/>
              <w:ind w:left="105"/>
              <w:rPr>
                <w:b/>
                <w:sz w:val="21"/>
              </w:rPr>
            </w:pPr>
            <w:r>
              <w:rPr>
                <w:b/>
                <w:sz w:val="21"/>
              </w:rPr>
              <w:t>4.1.5</w:t>
            </w:r>
          </w:p>
        </w:tc>
        <w:tc>
          <w:tcPr>
            <w:tcW w:w="1708" w:type="dxa"/>
          </w:tcPr>
          <w:p>
            <w:pPr>
              <w:pStyle w:val="TableParagraph"/>
              <w:spacing w:line="273" w:lineRule="auto"/>
              <w:ind w:left="151" w:right="106"/>
              <w:rPr>
                <w:b/>
                <w:sz w:val="21"/>
              </w:rPr>
            </w:pPr>
            <w:r>
              <w:rPr>
                <w:b/>
                <w:sz w:val="21"/>
              </w:rPr>
              <w:t>心脏瓣膜 介入手术</w:t>
            </w:r>
          </w:p>
        </w:tc>
        <w:tc>
          <w:tcPr>
            <w:tcW w:w="7481" w:type="dxa"/>
          </w:tcPr>
          <w:p>
            <w:pPr>
              <w:pStyle w:val="TableParagraph"/>
              <w:spacing w:line="273" w:lineRule="auto"/>
              <w:ind w:left="106" w:right="100"/>
              <w:rPr>
                <w:sz w:val="21"/>
              </w:rPr>
            </w:pPr>
            <w:r>
              <w:rPr>
                <w:spacing w:val="-10"/>
                <w:sz w:val="21"/>
              </w:rPr>
              <w:t>指为了治疗心脏瓣膜疾病，实际实施了非开胸的经胸壁打孔内镜手术或经皮经导</w:t>
            </w:r>
            <w:r>
              <w:rPr>
                <w:spacing w:val="-5"/>
                <w:sz w:val="21"/>
              </w:rPr>
              <w:t>管介入手术进行的心脏瓣膜置换或修复手术。</w:t>
            </w:r>
          </w:p>
        </w:tc>
      </w:tr>
      <w:tr>
        <w:trPr>
          <w:trHeight w:val="2293" w:hRule="atLeast"/>
        </w:trPr>
        <w:tc>
          <w:tcPr>
            <w:tcW w:w="893" w:type="dxa"/>
          </w:tcPr>
          <w:p>
            <w:pPr>
              <w:pStyle w:val="TableParagraph"/>
              <w:ind w:left="105"/>
              <w:rPr>
                <w:b/>
                <w:sz w:val="21"/>
              </w:rPr>
            </w:pPr>
            <w:r>
              <w:rPr>
                <w:b/>
                <w:sz w:val="21"/>
              </w:rPr>
              <w:t>4.1.6</w:t>
            </w:r>
          </w:p>
        </w:tc>
        <w:tc>
          <w:tcPr>
            <w:tcW w:w="1708" w:type="dxa"/>
          </w:tcPr>
          <w:p>
            <w:pPr>
              <w:pStyle w:val="TableParagraph"/>
              <w:ind w:left="151"/>
              <w:rPr>
                <w:b/>
                <w:sz w:val="21"/>
              </w:rPr>
            </w:pPr>
            <w:r>
              <w:rPr>
                <w:b/>
                <w:sz w:val="21"/>
              </w:rPr>
              <w:t>视力严重受损</w:t>
            </w:r>
          </w:p>
        </w:tc>
        <w:tc>
          <w:tcPr>
            <w:tcW w:w="7481" w:type="dxa"/>
          </w:tcPr>
          <w:p>
            <w:pPr>
              <w:pStyle w:val="TableParagraph"/>
              <w:spacing w:line="273" w:lineRule="auto"/>
              <w:ind w:left="106" w:right="102"/>
              <w:rPr>
                <w:sz w:val="21"/>
              </w:rPr>
            </w:pPr>
            <w:r>
              <w:rPr>
                <w:spacing w:val="-7"/>
                <w:sz w:val="21"/>
              </w:rPr>
              <w:t>指因疾病或意外伤害导致双目视力永久不可逆性丧失，虽然未达到重大疾病“双</w:t>
            </w:r>
            <w:r>
              <w:rPr>
                <w:spacing w:val="-3"/>
                <w:sz w:val="21"/>
              </w:rPr>
              <w:t>目失明”的给付标准，但满足下列全部条件：</w:t>
            </w:r>
          </w:p>
          <w:p>
            <w:pPr>
              <w:pStyle w:val="TableParagraph"/>
              <w:spacing w:line="273" w:lineRule="auto" w:before="7"/>
              <w:ind w:left="106" w:right="103"/>
              <w:rPr>
                <w:sz w:val="21"/>
              </w:rPr>
            </w:pPr>
            <w:r>
              <w:rPr>
                <w:sz w:val="21"/>
              </w:rPr>
              <w:t>（1）双眼中较好眼矫正视力低于 0.1（采用国际标准视力表，如果使用其他视力表应进行换算）；</w:t>
            </w:r>
          </w:p>
          <w:p>
            <w:pPr>
              <w:pStyle w:val="TableParagraph"/>
              <w:spacing w:before="7"/>
              <w:ind w:left="106"/>
              <w:rPr>
                <w:sz w:val="21"/>
              </w:rPr>
            </w:pPr>
            <w:r>
              <w:rPr>
                <w:sz w:val="21"/>
              </w:rPr>
              <w:t>（2）视野半径小于 20 度。</w:t>
            </w:r>
          </w:p>
          <w:p>
            <w:pPr>
              <w:pStyle w:val="TableParagraph"/>
              <w:spacing w:line="237" w:lineRule="auto" w:before="17"/>
              <w:ind w:left="106" w:right="101"/>
              <w:rPr>
                <w:sz w:val="21"/>
              </w:rPr>
            </w:pPr>
            <w:r>
              <w:rPr>
                <w:spacing w:val="-10"/>
                <w:sz w:val="21"/>
              </w:rPr>
              <w:t>申请理赔时，被保险人年龄必须在 </w:t>
            </w:r>
            <w:r>
              <w:rPr>
                <w:sz w:val="21"/>
              </w:rPr>
              <w:t>3</w:t>
            </w:r>
            <w:r>
              <w:rPr>
                <w:spacing w:val="-11"/>
                <w:sz w:val="21"/>
              </w:rPr>
              <w:t> 周岁以上，并且须提供理赔当时的视力丧失</w:t>
            </w:r>
            <w:r>
              <w:rPr>
                <w:spacing w:val="-6"/>
                <w:sz w:val="21"/>
              </w:rPr>
              <w:t>诊断及检查证据。</w:t>
            </w:r>
          </w:p>
        </w:tc>
      </w:tr>
      <w:tr>
        <w:trPr>
          <w:trHeight w:val="795" w:hRule="atLeast"/>
        </w:trPr>
        <w:tc>
          <w:tcPr>
            <w:tcW w:w="893" w:type="dxa"/>
          </w:tcPr>
          <w:p>
            <w:pPr>
              <w:pStyle w:val="TableParagraph"/>
              <w:spacing w:before="68"/>
              <w:ind w:left="105"/>
              <w:rPr>
                <w:b/>
                <w:sz w:val="21"/>
              </w:rPr>
            </w:pPr>
            <w:r>
              <w:rPr>
                <w:b/>
                <w:sz w:val="21"/>
              </w:rPr>
              <w:t>4.1.7</w:t>
            </w:r>
          </w:p>
        </w:tc>
        <w:tc>
          <w:tcPr>
            <w:tcW w:w="1708" w:type="dxa"/>
          </w:tcPr>
          <w:p>
            <w:pPr>
              <w:pStyle w:val="TableParagraph"/>
              <w:spacing w:line="273" w:lineRule="auto" w:before="68"/>
              <w:ind w:left="151" w:right="104"/>
              <w:rPr>
                <w:b/>
                <w:sz w:val="21"/>
              </w:rPr>
            </w:pPr>
            <w:r>
              <w:rPr>
                <w:b/>
                <w:sz w:val="21"/>
              </w:rPr>
              <w:t>较小面积 III 度烧伤</w:t>
            </w:r>
          </w:p>
        </w:tc>
        <w:tc>
          <w:tcPr>
            <w:tcW w:w="7481" w:type="dxa"/>
          </w:tcPr>
          <w:p>
            <w:pPr>
              <w:pStyle w:val="TableParagraph"/>
              <w:spacing w:line="273" w:lineRule="auto" w:before="68"/>
              <w:ind w:left="106" w:right="22"/>
              <w:rPr>
                <w:sz w:val="21"/>
              </w:rPr>
            </w:pPr>
            <w:r>
              <w:rPr>
                <w:sz w:val="21"/>
              </w:rPr>
              <w:t>指烧伤程度为Ⅲ度，且Ⅲ度烧伤的面积达到全身体表面积的 15％或 15％以上。体表面积根据《中国新九分法》计算。</w:t>
            </w:r>
          </w:p>
        </w:tc>
      </w:tr>
      <w:tr>
        <w:trPr>
          <w:trHeight w:val="772" w:hRule="atLeast"/>
        </w:trPr>
        <w:tc>
          <w:tcPr>
            <w:tcW w:w="893" w:type="dxa"/>
          </w:tcPr>
          <w:p>
            <w:pPr>
              <w:pStyle w:val="TableParagraph"/>
              <w:ind w:left="105"/>
              <w:rPr>
                <w:b/>
                <w:sz w:val="21"/>
              </w:rPr>
            </w:pPr>
            <w:r>
              <w:rPr>
                <w:b/>
                <w:sz w:val="21"/>
              </w:rPr>
              <w:t>4.1.8</w:t>
            </w:r>
          </w:p>
        </w:tc>
        <w:tc>
          <w:tcPr>
            <w:tcW w:w="1708" w:type="dxa"/>
          </w:tcPr>
          <w:p>
            <w:pPr>
              <w:pStyle w:val="TableParagraph"/>
              <w:ind w:left="151"/>
              <w:rPr>
                <w:b/>
                <w:sz w:val="21"/>
              </w:rPr>
            </w:pPr>
            <w:r>
              <w:rPr>
                <w:b/>
                <w:sz w:val="21"/>
              </w:rPr>
              <w:t>主动脉内手术</w:t>
            </w:r>
          </w:p>
        </w:tc>
        <w:tc>
          <w:tcPr>
            <w:tcW w:w="7481" w:type="dxa"/>
          </w:tcPr>
          <w:p>
            <w:pPr>
              <w:pStyle w:val="TableParagraph"/>
              <w:ind w:left="106"/>
              <w:rPr>
                <w:sz w:val="21"/>
              </w:rPr>
            </w:pPr>
            <w:r>
              <w:rPr>
                <w:sz w:val="21"/>
              </w:rPr>
              <w:t>指为了治疗主动脉疾病实际实施了经皮经导管进行的动脉内手术。</w:t>
            </w:r>
          </w:p>
          <w:p>
            <w:pPr>
              <w:pStyle w:val="TableParagraph"/>
              <w:spacing w:before="15"/>
              <w:ind w:left="106"/>
              <w:rPr>
                <w:sz w:val="21"/>
              </w:rPr>
            </w:pPr>
            <w:r>
              <w:rPr>
                <w:sz w:val="21"/>
              </w:rPr>
              <w:t>主动脉指胸主动脉和腹主动脉，不包括胸主动脉和腹主动脉的分支血管。</w:t>
            </w:r>
          </w:p>
        </w:tc>
      </w:tr>
      <w:tr>
        <w:trPr>
          <w:trHeight w:val="1781" w:hRule="atLeast"/>
        </w:trPr>
        <w:tc>
          <w:tcPr>
            <w:tcW w:w="893" w:type="dxa"/>
          </w:tcPr>
          <w:p>
            <w:pPr>
              <w:pStyle w:val="TableParagraph"/>
              <w:spacing w:before="67"/>
              <w:ind w:left="105"/>
              <w:rPr>
                <w:b/>
                <w:sz w:val="21"/>
              </w:rPr>
            </w:pPr>
            <w:r>
              <w:rPr>
                <w:b/>
                <w:sz w:val="21"/>
              </w:rPr>
              <w:t>4.1.9</w:t>
            </w:r>
          </w:p>
        </w:tc>
        <w:tc>
          <w:tcPr>
            <w:tcW w:w="1708" w:type="dxa"/>
          </w:tcPr>
          <w:p>
            <w:pPr>
              <w:pStyle w:val="TableParagraph"/>
              <w:spacing w:line="273" w:lineRule="auto" w:before="67"/>
              <w:ind w:left="151" w:right="104"/>
              <w:jc w:val="both"/>
              <w:rPr>
                <w:b/>
                <w:sz w:val="21"/>
              </w:rPr>
            </w:pPr>
            <w:r>
              <w:rPr>
                <w:b/>
                <w:spacing w:val="-5"/>
                <w:sz w:val="21"/>
              </w:rPr>
              <w:t>脑垂体瘤、脑囊</w:t>
            </w:r>
            <w:r>
              <w:rPr>
                <w:b/>
                <w:spacing w:val="-6"/>
                <w:sz w:val="21"/>
              </w:rPr>
              <w:t>肿、脑动脉瘤及脑血管瘤</w:t>
            </w:r>
          </w:p>
        </w:tc>
        <w:tc>
          <w:tcPr>
            <w:tcW w:w="7481" w:type="dxa"/>
          </w:tcPr>
          <w:p>
            <w:pPr>
              <w:pStyle w:val="TableParagraph"/>
              <w:spacing w:line="273" w:lineRule="auto" w:before="67"/>
              <w:ind w:left="106" w:right="103"/>
              <w:rPr>
                <w:sz w:val="21"/>
              </w:rPr>
            </w:pPr>
            <w:r>
              <w:rPr>
                <w:sz w:val="21"/>
              </w:rPr>
              <w:t>指经头颅断层扫描（CT）、核磁共振（MRI）或其他影像学检查被确诊为下列病变，并实际接受了手术或放射治疗。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15"/>
              <w:ind w:left="106"/>
              <w:rPr>
                <w:sz w:val="21"/>
              </w:rPr>
            </w:pPr>
            <w:r>
              <w:rPr>
                <w:sz w:val="21"/>
              </w:rPr>
              <w:t>（3）脑动脉瘤、脑血管瘤。</w:t>
            </w:r>
          </w:p>
        </w:tc>
      </w:tr>
      <w:tr>
        <w:trPr>
          <w:trHeight w:val="1247" w:hRule="atLeast"/>
        </w:trPr>
        <w:tc>
          <w:tcPr>
            <w:tcW w:w="893" w:type="dxa"/>
          </w:tcPr>
          <w:p>
            <w:pPr>
              <w:pStyle w:val="TableParagraph"/>
              <w:spacing w:line="262" w:lineRule="exact" w:before="0"/>
              <w:ind w:left="105"/>
              <w:rPr>
                <w:b/>
                <w:sz w:val="21"/>
              </w:rPr>
            </w:pPr>
            <w:r>
              <w:rPr>
                <w:b/>
                <w:sz w:val="21"/>
              </w:rPr>
              <w:t>4.1.10</w:t>
            </w:r>
          </w:p>
        </w:tc>
        <w:tc>
          <w:tcPr>
            <w:tcW w:w="1708" w:type="dxa"/>
          </w:tcPr>
          <w:p>
            <w:pPr>
              <w:pStyle w:val="TableParagraph"/>
              <w:spacing w:line="262" w:lineRule="exact" w:before="0"/>
              <w:ind w:left="151"/>
              <w:rPr>
                <w:b/>
                <w:sz w:val="21"/>
              </w:rPr>
            </w:pPr>
            <w:r>
              <w:rPr>
                <w:b/>
                <w:sz w:val="21"/>
              </w:rPr>
              <w:t>重度头部外伤</w:t>
            </w:r>
          </w:p>
        </w:tc>
        <w:tc>
          <w:tcPr>
            <w:tcW w:w="7481" w:type="dxa"/>
            <w:tcBorders>
              <w:right w:val="single" w:sz="4" w:space="0" w:color="FFFFFF"/>
            </w:tcBorders>
          </w:tcPr>
          <w:p>
            <w:pPr>
              <w:pStyle w:val="TableParagraph"/>
              <w:spacing w:line="273" w:lineRule="auto" w:before="0"/>
              <w:ind w:left="106" w:right="-15"/>
              <w:rPr>
                <w:sz w:val="21"/>
              </w:rPr>
            </w:pPr>
            <w:r>
              <w:rPr>
                <w:spacing w:val="-9"/>
                <w:sz w:val="21"/>
              </w:rPr>
              <w:t>指因头部遭受机械性外力，引起脑重要部位损伤，导致神经系统永久性的功能障</w:t>
            </w:r>
            <w:r>
              <w:rPr>
                <w:spacing w:val="-16"/>
                <w:sz w:val="21"/>
              </w:rPr>
              <w:t>碍。须由头颅断层扫描（CT）</w:t>
            </w:r>
            <w:r>
              <w:rPr>
                <w:spacing w:val="-19"/>
                <w:sz w:val="21"/>
              </w:rPr>
              <w:t>、核磁共振检查</w:t>
            </w:r>
            <w:r>
              <w:rPr>
                <w:spacing w:val="-13"/>
                <w:sz w:val="21"/>
              </w:rPr>
              <w:t>（MRI）</w:t>
            </w:r>
            <w:r>
              <w:rPr>
                <w:spacing w:val="-9"/>
                <w:sz w:val="21"/>
              </w:rPr>
              <w:t>或正电子发射断层扫描</w:t>
            </w:r>
            <w:r>
              <w:rPr>
                <w:sz w:val="21"/>
              </w:rPr>
              <w:t>（PET） </w:t>
            </w:r>
            <w:r>
              <w:rPr>
                <w:spacing w:val="-3"/>
                <w:sz w:val="21"/>
              </w:rPr>
              <w:t>等影像学检查证实。神经系统永久性的功能障碍，指脑损伤 </w:t>
            </w:r>
            <w:r>
              <w:rPr>
                <w:sz w:val="21"/>
              </w:rPr>
              <w:t>180</w:t>
            </w:r>
            <w:r>
              <w:rPr>
                <w:spacing w:val="-1"/>
                <w:sz w:val="21"/>
              </w:rPr>
              <w:t> 天后，仍完全</w:t>
            </w:r>
            <w:r>
              <w:rPr>
                <w:spacing w:val="-3"/>
                <w:sz w:val="21"/>
              </w:rPr>
              <w:t>丧失自主生活能力，无法独立完成六项基本日常生活活动中的二项或以上。</w:t>
            </w:r>
          </w:p>
        </w:tc>
      </w:tr>
      <w:tr>
        <w:trPr>
          <w:trHeight w:val="812" w:hRule="atLeast"/>
        </w:trPr>
        <w:tc>
          <w:tcPr>
            <w:tcW w:w="893" w:type="dxa"/>
            <w:tcBorders>
              <w:bottom w:val="single" w:sz="6" w:space="0" w:color="000000"/>
            </w:tcBorders>
          </w:tcPr>
          <w:p>
            <w:pPr>
              <w:pStyle w:val="TableParagraph"/>
              <w:spacing w:before="1"/>
              <w:ind w:left="0"/>
              <w:rPr>
                <w:rFonts w:ascii="Times New Roman"/>
                <w:sz w:val="23"/>
              </w:rPr>
            </w:pPr>
          </w:p>
          <w:p>
            <w:pPr>
              <w:pStyle w:val="TableParagraph"/>
              <w:spacing w:before="0"/>
              <w:ind w:left="105"/>
              <w:rPr>
                <w:b/>
                <w:sz w:val="28"/>
              </w:rPr>
            </w:pPr>
            <w:r>
              <w:rPr>
                <w:b/>
                <w:w w:val="99"/>
                <w:sz w:val="28"/>
              </w:rPr>
              <w:t>⒌</w:t>
            </w:r>
          </w:p>
        </w:tc>
        <w:tc>
          <w:tcPr>
            <w:tcW w:w="1708" w:type="dxa"/>
            <w:tcBorders>
              <w:bottom w:val="single" w:sz="6" w:space="0" w:color="000000"/>
            </w:tcBorders>
          </w:tcPr>
          <w:p>
            <w:pPr>
              <w:pStyle w:val="TableParagraph"/>
              <w:spacing w:before="8"/>
              <w:ind w:left="0"/>
              <w:rPr>
                <w:rFonts w:ascii="Times New Roman"/>
                <w:sz w:val="25"/>
              </w:rPr>
            </w:pPr>
          </w:p>
          <w:p>
            <w:pPr>
              <w:pStyle w:val="TableParagraph"/>
              <w:spacing w:before="0"/>
              <w:ind w:left="151"/>
              <w:rPr>
                <w:b/>
                <w:sz w:val="24"/>
              </w:rPr>
            </w:pPr>
            <w:r>
              <w:rPr>
                <w:b/>
                <w:w w:val="95"/>
                <w:sz w:val="24"/>
              </w:rPr>
              <w:t>保险金的申请</w:t>
            </w:r>
          </w:p>
        </w:tc>
        <w:tc>
          <w:tcPr>
            <w:tcW w:w="7481" w:type="dxa"/>
            <w:tcBorders>
              <w:bottom w:val="single" w:sz="6" w:space="0" w:color="000000"/>
            </w:tcBorders>
          </w:tcPr>
          <w:p>
            <w:pPr>
              <w:pStyle w:val="TableParagraph"/>
              <w:spacing w:before="0"/>
              <w:ind w:left="0"/>
              <w:rPr>
                <w:rFonts w:ascii="Times New Roman"/>
                <w:sz w:val="20"/>
              </w:rPr>
            </w:pPr>
          </w:p>
        </w:tc>
      </w:tr>
      <w:tr>
        <w:trPr>
          <w:trHeight w:val="1808" w:hRule="atLeast"/>
        </w:trPr>
        <w:tc>
          <w:tcPr>
            <w:tcW w:w="893" w:type="dxa"/>
            <w:tcBorders>
              <w:top w:val="single" w:sz="6" w:space="0" w:color="000000"/>
            </w:tcBorders>
          </w:tcPr>
          <w:p>
            <w:pPr>
              <w:pStyle w:val="TableParagraph"/>
              <w:spacing w:before="144"/>
              <w:ind w:left="105"/>
              <w:rPr>
                <w:b/>
                <w:sz w:val="21"/>
              </w:rPr>
            </w:pPr>
            <w:r>
              <w:rPr>
                <w:b/>
                <w:sz w:val="21"/>
              </w:rPr>
              <w:t>5.1</w:t>
            </w:r>
          </w:p>
        </w:tc>
        <w:tc>
          <w:tcPr>
            <w:tcW w:w="1708" w:type="dxa"/>
            <w:tcBorders>
              <w:top w:val="single" w:sz="6" w:space="0" w:color="000000"/>
            </w:tcBorders>
          </w:tcPr>
          <w:p>
            <w:pPr>
              <w:pStyle w:val="TableParagraph"/>
              <w:spacing w:before="144"/>
              <w:ind w:left="151"/>
              <w:rPr>
                <w:b/>
                <w:sz w:val="21"/>
              </w:rPr>
            </w:pPr>
            <w:r>
              <w:rPr>
                <w:b/>
                <w:sz w:val="21"/>
              </w:rPr>
              <w:t>受益人</w:t>
            </w:r>
          </w:p>
        </w:tc>
        <w:tc>
          <w:tcPr>
            <w:tcW w:w="7481" w:type="dxa"/>
            <w:tcBorders>
              <w:top w:val="single" w:sz="6" w:space="0" w:color="000000"/>
            </w:tcBorders>
          </w:tcPr>
          <w:p>
            <w:pPr>
              <w:pStyle w:val="TableParagraph"/>
              <w:spacing w:before="144"/>
              <w:ind w:left="106"/>
              <w:rPr>
                <w:sz w:val="21"/>
              </w:rPr>
            </w:pPr>
            <w:r>
              <w:rPr>
                <w:sz w:val="21"/>
              </w:rPr>
              <w:t>除另有约定外，本合同重大疾病保险金的受益人为被保险人本人。</w:t>
            </w:r>
          </w:p>
          <w:p>
            <w:pPr>
              <w:pStyle w:val="TableParagraph"/>
              <w:spacing w:line="273" w:lineRule="auto" w:before="37"/>
              <w:ind w:left="106" w:right="101"/>
              <w:rPr>
                <w:sz w:val="21"/>
              </w:rPr>
            </w:pPr>
            <w:r>
              <w:rPr>
                <w:spacing w:val="-7"/>
                <w:sz w:val="21"/>
              </w:rPr>
              <w:t>被保险人为无民事行为能力人或限制民事行为能力人的，可以由其监护人指定受益人。</w:t>
            </w:r>
          </w:p>
          <w:p>
            <w:pPr>
              <w:pStyle w:val="TableParagraph"/>
              <w:spacing w:line="273" w:lineRule="auto" w:before="7"/>
              <w:ind w:left="106" w:right="15"/>
              <w:rPr>
                <w:sz w:val="21"/>
              </w:rPr>
            </w:pPr>
            <w:r>
              <w:rPr>
                <w:sz w:val="21"/>
              </w:rPr>
              <w:t>受益人故意造成被保险人身故、伤残、疾病的，或者故意杀害被保险人未遂的， 该受益人丧失受益权。</w:t>
            </w:r>
          </w:p>
        </w:tc>
      </w:tr>
      <w:tr>
        <w:trPr>
          <w:trHeight w:val="1291" w:hRule="atLeast"/>
        </w:trPr>
        <w:tc>
          <w:tcPr>
            <w:tcW w:w="893" w:type="dxa"/>
          </w:tcPr>
          <w:p>
            <w:pPr>
              <w:pStyle w:val="TableParagraph"/>
              <w:ind w:left="105"/>
              <w:rPr>
                <w:b/>
                <w:sz w:val="21"/>
              </w:rPr>
            </w:pPr>
            <w:r>
              <w:rPr>
                <w:b/>
                <w:sz w:val="21"/>
              </w:rPr>
              <w:t>5.2</w:t>
            </w:r>
          </w:p>
        </w:tc>
        <w:tc>
          <w:tcPr>
            <w:tcW w:w="1708" w:type="dxa"/>
          </w:tcPr>
          <w:p>
            <w:pPr>
              <w:pStyle w:val="TableParagraph"/>
              <w:ind w:left="151"/>
              <w:rPr>
                <w:b/>
                <w:sz w:val="21"/>
              </w:rPr>
            </w:pPr>
            <w:r>
              <w:rPr>
                <w:b/>
                <w:sz w:val="21"/>
              </w:rPr>
              <w:t>保险事故通知</w:t>
            </w:r>
          </w:p>
        </w:tc>
        <w:tc>
          <w:tcPr>
            <w:tcW w:w="7481" w:type="dxa"/>
          </w:tcPr>
          <w:p>
            <w:pPr>
              <w:pStyle w:val="TableParagraph"/>
              <w:ind w:left="106"/>
              <w:rPr>
                <w:sz w:val="21"/>
              </w:rPr>
            </w:pPr>
            <w:r>
              <w:rPr>
                <w:sz w:val="21"/>
              </w:rPr>
              <w:t>请您、被保险人、受益人或其他有权领取保险金的人在知道保险事故发生之日起</w:t>
            </w:r>
          </w:p>
          <w:p>
            <w:pPr>
              <w:pStyle w:val="TableParagraph"/>
              <w:spacing w:line="310" w:lineRule="atLeast" w:before="5"/>
              <w:ind w:left="106" w:right="103"/>
              <w:rPr>
                <w:sz w:val="22"/>
              </w:rPr>
            </w:pPr>
            <w:r>
              <w:rPr>
                <w:sz w:val="21"/>
              </w:rPr>
              <w:t>10</w:t>
            </w:r>
            <w:r>
              <w:rPr>
                <w:spacing w:val="-3"/>
                <w:sz w:val="21"/>
              </w:rPr>
              <w:t>日内通知我们，</w:t>
            </w:r>
            <w:r>
              <w:rPr>
                <w:spacing w:val="-2"/>
                <w:sz w:val="22"/>
              </w:rPr>
              <w:t>否则</w:t>
            </w:r>
            <w:r>
              <w:rPr>
                <w:spacing w:val="-3"/>
                <w:sz w:val="21"/>
              </w:rPr>
              <w:t>您、被保险人、受益人或其他有权领取保险金的人</w:t>
            </w:r>
            <w:r>
              <w:rPr>
                <w:spacing w:val="-3"/>
                <w:sz w:val="22"/>
              </w:rPr>
              <w:t>需承</w:t>
            </w:r>
            <w:r>
              <w:rPr>
                <w:spacing w:val="-9"/>
                <w:sz w:val="22"/>
              </w:rPr>
              <w:t>担由于延迟通知致使我们增加的勘查、检验等费用，</w:t>
            </w:r>
            <w:r>
              <w:rPr>
                <w:spacing w:val="-3"/>
                <w:sz w:val="21"/>
              </w:rPr>
              <w:t>因不可抗力导致的通知延</w:t>
            </w:r>
            <w:r>
              <w:rPr>
                <w:spacing w:val="-1"/>
                <w:sz w:val="21"/>
              </w:rPr>
              <w:t>迟除外</w:t>
            </w:r>
            <w:r>
              <w:rPr>
                <w:sz w:val="22"/>
              </w:rPr>
              <w:t>。</w:t>
            </w:r>
          </w:p>
        </w:tc>
      </w:tr>
    </w:tbl>
    <w:p>
      <w:pPr>
        <w:spacing w:after="0" w:line="310" w:lineRule="atLeast"/>
        <w:rPr>
          <w:sz w:val="22"/>
        </w:rPr>
        <w:sectPr>
          <w:pgSz w:w="11910" w:h="16840"/>
          <w:pgMar w:header="566" w:footer="664" w:top="1000" w:bottom="860" w:left="9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780"/>
        <w:gridCol w:w="7576"/>
      </w:tblGrid>
      <w:tr>
        <w:trPr>
          <w:trHeight w:val="1689" w:hRule="atLeast"/>
        </w:trPr>
        <w:tc>
          <w:tcPr>
            <w:tcW w:w="766" w:type="dxa"/>
          </w:tcPr>
          <w:p>
            <w:pPr>
              <w:pStyle w:val="TableParagraph"/>
              <w:spacing w:before="0"/>
              <w:ind w:left="0"/>
              <w:rPr>
                <w:rFonts w:ascii="Times New Roman"/>
                <w:sz w:val="20"/>
              </w:rPr>
            </w:pPr>
          </w:p>
        </w:tc>
        <w:tc>
          <w:tcPr>
            <w:tcW w:w="1780" w:type="dxa"/>
          </w:tcPr>
          <w:p>
            <w:pPr>
              <w:pStyle w:val="TableParagraph"/>
              <w:spacing w:before="0"/>
              <w:ind w:left="0"/>
              <w:rPr>
                <w:rFonts w:ascii="Times New Roman"/>
                <w:sz w:val="20"/>
              </w:rPr>
            </w:pPr>
          </w:p>
        </w:tc>
        <w:tc>
          <w:tcPr>
            <w:tcW w:w="7576" w:type="dxa"/>
          </w:tcPr>
          <w:p>
            <w:pPr>
              <w:pStyle w:val="TableParagraph"/>
              <w:spacing w:line="211" w:lineRule="exact" w:before="0"/>
              <w:ind w:left="193"/>
              <w:rPr>
                <w:rFonts w:ascii="黑体" w:eastAsia="黑体" w:hint="eastAsia"/>
                <w:b/>
                <w:sz w:val="21"/>
              </w:rPr>
            </w:pPr>
            <w:r>
              <w:rPr>
                <w:rFonts w:ascii="黑体" w:eastAsia="黑体" w:hint="eastAsia"/>
                <w:b/>
                <w:sz w:val="21"/>
              </w:rPr>
              <w:t>如果您、被保险人、受益人或其他有权领取保险金的人故意或者因重大过失未</w:t>
            </w:r>
          </w:p>
          <w:p>
            <w:pPr>
              <w:pStyle w:val="TableParagraph"/>
              <w:spacing w:line="273" w:lineRule="auto" w:before="37"/>
              <w:ind w:left="193" w:right="212"/>
              <w:jc w:val="both"/>
              <w:rPr>
                <w:rFonts w:ascii="黑体" w:eastAsia="黑体" w:hint="eastAsia"/>
                <w:b/>
                <w:sz w:val="21"/>
              </w:rPr>
            </w:pPr>
            <w:r>
              <w:rPr>
                <w:rFonts w:ascii="黑体" w:eastAsia="黑体" w:hint="eastAsia"/>
                <w:b/>
                <w:sz w:val="21"/>
              </w:rPr>
              <w:t>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808" w:hRule="atLeast"/>
        </w:trPr>
        <w:tc>
          <w:tcPr>
            <w:tcW w:w="766" w:type="dxa"/>
          </w:tcPr>
          <w:p>
            <w:pPr>
              <w:pStyle w:val="TableParagraph"/>
              <w:spacing w:line="262" w:lineRule="exact" w:before="0"/>
              <w:ind w:left="137"/>
              <w:rPr>
                <w:b/>
                <w:sz w:val="21"/>
              </w:rPr>
            </w:pPr>
            <w:r>
              <w:rPr>
                <w:b/>
                <w:sz w:val="21"/>
              </w:rPr>
              <w:t>5.3</w:t>
            </w:r>
          </w:p>
        </w:tc>
        <w:tc>
          <w:tcPr>
            <w:tcW w:w="1780" w:type="dxa"/>
          </w:tcPr>
          <w:p>
            <w:pPr>
              <w:pStyle w:val="TableParagraph"/>
              <w:spacing w:line="262" w:lineRule="exact" w:before="0"/>
              <w:ind w:left="310"/>
              <w:rPr>
                <w:b/>
                <w:sz w:val="21"/>
              </w:rPr>
            </w:pPr>
            <w:r>
              <w:rPr>
                <w:b/>
                <w:sz w:val="21"/>
              </w:rPr>
              <w:t>保险金申请</w:t>
            </w:r>
          </w:p>
        </w:tc>
        <w:tc>
          <w:tcPr>
            <w:tcW w:w="7576" w:type="dxa"/>
            <w:tcBorders>
              <w:right w:val="single" w:sz="4" w:space="0" w:color="FFFFFF"/>
            </w:tcBorders>
          </w:tcPr>
          <w:p>
            <w:pPr>
              <w:pStyle w:val="TableParagraph"/>
              <w:spacing w:line="262" w:lineRule="exact" w:before="0"/>
              <w:ind w:left="193"/>
              <w:rPr>
                <w:sz w:val="21"/>
              </w:rPr>
            </w:pPr>
            <w:r>
              <w:rPr>
                <w:sz w:val="21"/>
              </w:rPr>
              <w:t>申请人须填写保险金给付申请书，并须提供下列证明和资料：</w:t>
            </w:r>
          </w:p>
          <w:p>
            <w:pPr>
              <w:pStyle w:val="TableParagraph"/>
              <w:spacing w:before="37"/>
              <w:ind w:left="193"/>
              <w:rPr>
                <w:sz w:val="21"/>
              </w:rPr>
            </w:pPr>
            <w:r>
              <w:rPr>
                <w:sz w:val="21"/>
              </w:rPr>
              <w:t>（1）理赔申请书；</w:t>
            </w:r>
          </w:p>
          <w:p>
            <w:pPr>
              <w:pStyle w:val="TableParagraph"/>
              <w:spacing w:before="37"/>
              <w:ind w:left="193"/>
              <w:rPr>
                <w:sz w:val="21"/>
              </w:rPr>
            </w:pPr>
            <w:r>
              <w:rPr>
                <w:sz w:val="21"/>
              </w:rPr>
              <w:t>（2）保险合同；</w:t>
            </w:r>
          </w:p>
          <w:p>
            <w:pPr>
              <w:pStyle w:val="TableParagraph"/>
              <w:spacing w:before="37"/>
              <w:ind w:left="193"/>
              <w:rPr>
                <w:sz w:val="21"/>
              </w:rPr>
            </w:pPr>
            <w:r>
              <w:rPr>
                <w:sz w:val="21"/>
              </w:rPr>
              <w:t>（3）被保险人法定有效身份证明；</w:t>
            </w:r>
          </w:p>
          <w:p>
            <w:pPr>
              <w:pStyle w:val="TableParagraph"/>
              <w:spacing w:before="37"/>
              <w:ind w:left="193"/>
              <w:rPr>
                <w:sz w:val="21"/>
              </w:rPr>
            </w:pPr>
            <w:r>
              <w:rPr>
                <w:sz w:val="21"/>
              </w:rPr>
              <w:t>（4）申请人的法定有效身份证明及关系证明；</w:t>
            </w:r>
          </w:p>
          <w:p>
            <w:pPr>
              <w:pStyle w:val="TableParagraph"/>
              <w:spacing w:line="273" w:lineRule="auto" w:before="37"/>
              <w:ind w:left="720" w:right="123" w:hanging="527"/>
              <w:jc w:val="both"/>
              <w:rPr>
                <w:sz w:val="21"/>
              </w:rPr>
            </w:pPr>
            <w:r>
              <w:rPr>
                <w:sz w:val="21"/>
              </w:rPr>
              <w:t>（5）能够证明符合约定重大疾病定义的我们认可的医院出具的医学诊断书、医疗病历、检查报告以及其他医学证明文件或司法鉴定机构出具的法医鉴定报告；</w:t>
            </w:r>
          </w:p>
          <w:p>
            <w:pPr>
              <w:pStyle w:val="TableParagraph"/>
              <w:spacing w:before="8"/>
              <w:ind w:left="193"/>
              <w:rPr>
                <w:sz w:val="21"/>
              </w:rPr>
            </w:pPr>
            <w:r>
              <w:rPr>
                <w:spacing w:val="-15"/>
                <w:sz w:val="21"/>
              </w:rPr>
              <w:t>（6）</w:t>
            </w:r>
            <w:r>
              <w:rPr>
                <w:spacing w:val="-6"/>
                <w:sz w:val="21"/>
              </w:rPr>
              <w:t>申请人所能提供的与确认保险事故的性质、原因等有关的其他证明和资料。</w:t>
            </w:r>
          </w:p>
        </w:tc>
      </w:tr>
      <w:tr>
        <w:trPr>
          <w:trHeight w:val="894" w:hRule="atLeast"/>
        </w:trPr>
        <w:tc>
          <w:tcPr>
            <w:tcW w:w="766" w:type="dxa"/>
          </w:tcPr>
          <w:p>
            <w:pPr>
              <w:pStyle w:val="TableParagraph"/>
              <w:spacing w:before="167"/>
              <w:ind w:left="137"/>
              <w:rPr>
                <w:b/>
                <w:sz w:val="21"/>
              </w:rPr>
            </w:pPr>
            <w:r>
              <w:rPr>
                <w:b/>
                <w:sz w:val="21"/>
              </w:rPr>
              <w:t>5.4</w:t>
            </w:r>
          </w:p>
        </w:tc>
        <w:tc>
          <w:tcPr>
            <w:tcW w:w="1780" w:type="dxa"/>
          </w:tcPr>
          <w:p>
            <w:pPr>
              <w:pStyle w:val="TableParagraph"/>
              <w:spacing w:line="273" w:lineRule="auto" w:before="167"/>
              <w:ind w:left="310" w:right="200"/>
              <w:rPr>
                <w:b/>
                <w:sz w:val="21"/>
              </w:rPr>
            </w:pPr>
            <w:r>
              <w:rPr>
                <w:b/>
                <w:sz w:val="21"/>
              </w:rPr>
              <w:t>委托他人代为申请保险金</w:t>
            </w:r>
          </w:p>
        </w:tc>
        <w:tc>
          <w:tcPr>
            <w:tcW w:w="7576" w:type="dxa"/>
          </w:tcPr>
          <w:p>
            <w:pPr>
              <w:pStyle w:val="TableParagraph"/>
              <w:spacing w:line="237" w:lineRule="auto" w:before="148"/>
              <w:ind w:left="193" w:right="116"/>
              <w:rPr>
                <w:sz w:val="21"/>
              </w:rPr>
            </w:pPr>
            <w:r>
              <w:rPr>
                <w:sz w:val="21"/>
              </w:rPr>
              <w:t>若申请人委托他人代为申请保险金，受委托人还应提供申请人亲笔签字的授权委托书、受委托人的法定有效身份证明等相关证明文件。</w:t>
            </w:r>
          </w:p>
        </w:tc>
      </w:tr>
      <w:tr>
        <w:trPr>
          <w:trHeight w:val="803" w:hRule="atLeast"/>
        </w:trPr>
        <w:tc>
          <w:tcPr>
            <w:tcW w:w="766" w:type="dxa"/>
          </w:tcPr>
          <w:p>
            <w:pPr>
              <w:pStyle w:val="TableParagraph"/>
              <w:ind w:left="137"/>
              <w:rPr>
                <w:b/>
                <w:sz w:val="21"/>
              </w:rPr>
            </w:pPr>
            <w:r>
              <w:rPr>
                <w:b/>
                <w:sz w:val="21"/>
              </w:rPr>
              <w:t>5.5</w:t>
            </w:r>
          </w:p>
        </w:tc>
        <w:tc>
          <w:tcPr>
            <w:tcW w:w="1780" w:type="dxa"/>
          </w:tcPr>
          <w:p>
            <w:pPr>
              <w:pStyle w:val="TableParagraph"/>
              <w:ind w:left="310"/>
              <w:rPr>
                <w:b/>
                <w:sz w:val="21"/>
              </w:rPr>
            </w:pPr>
            <w:r>
              <w:rPr>
                <w:b/>
                <w:sz w:val="21"/>
              </w:rPr>
              <w:t>提供补充材料</w:t>
            </w:r>
          </w:p>
        </w:tc>
        <w:tc>
          <w:tcPr>
            <w:tcW w:w="7576" w:type="dxa"/>
          </w:tcPr>
          <w:p>
            <w:pPr>
              <w:pStyle w:val="TableParagraph"/>
              <w:spacing w:line="273" w:lineRule="auto"/>
              <w:ind w:left="193" w:right="108"/>
              <w:rPr>
                <w:sz w:val="21"/>
              </w:rPr>
            </w:pPr>
            <w:r>
              <w:rPr>
                <w:spacing w:val="-8"/>
                <w:sz w:val="21"/>
              </w:rPr>
              <w:t>以上保险金申请的证明和资料不完整的，我们将一次性通知申请人补充提供有关</w:t>
            </w:r>
            <w:r>
              <w:rPr>
                <w:spacing w:val="-5"/>
                <w:sz w:val="21"/>
              </w:rPr>
              <w:t>的证明和资料。</w:t>
            </w:r>
          </w:p>
        </w:tc>
      </w:tr>
      <w:tr>
        <w:trPr>
          <w:trHeight w:val="4548" w:hRule="atLeast"/>
        </w:trPr>
        <w:tc>
          <w:tcPr>
            <w:tcW w:w="766" w:type="dxa"/>
          </w:tcPr>
          <w:p>
            <w:pPr>
              <w:pStyle w:val="TableParagraph"/>
              <w:ind w:left="137"/>
              <w:rPr>
                <w:b/>
                <w:sz w:val="21"/>
              </w:rPr>
            </w:pPr>
            <w:r>
              <w:rPr>
                <w:b/>
                <w:sz w:val="21"/>
              </w:rPr>
              <w:t>5.6</w:t>
            </w:r>
          </w:p>
        </w:tc>
        <w:tc>
          <w:tcPr>
            <w:tcW w:w="1780" w:type="dxa"/>
          </w:tcPr>
          <w:p>
            <w:pPr>
              <w:pStyle w:val="TableParagraph"/>
              <w:ind w:left="310"/>
              <w:rPr>
                <w:b/>
                <w:sz w:val="21"/>
              </w:rPr>
            </w:pPr>
            <w:r>
              <w:rPr>
                <w:b/>
                <w:sz w:val="21"/>
              </w:rPr>
              <w:t>保险金给付</w:t>
            </w:r>
          </w:p>
        </w:tc>
        <w:tc>
          <w:tcPr>
            <w:tcW w:w="7576" w:type="dxa"/>
          </w:tcPr>
          <w:p>
            <w:pPr>
              <w:pStyle w:val="TableParagraph"/>
              <w:ind w:left="193"/>
              <w:rPr>
                <w:sz w:val="21"/>
              </w:rPr>
            </w:pPr>
            <w:r>
              <w:rPr>
                <w:sz w:val="21"/>
              </w:rPr>
              <w:t>（1）我们在收到保险金给付申请书及合同约定的证明和资料后，将在 5 日内作</w:t>
            </w:r>
          </w:p>
          <w:p>
            <w:pPr>
              <w:pStyle w:val="TableParagraph"/>
              <w:spacing w:line="273" w:lineRule="auto" w:before="36"/>
              <w:ind w:left="720" w:right="24"/>
              <w:rPr>
                <w:sz w:val="21"/>
              </w:rPr>
            </w:pPr>
            <w:r>
              <w:rPr>
                <w:spacing w:val="-11"/>
                <w:sz w:val="21"/>
              </w:rPr>
              <w:t>出核定；情形复杂的，在 </w:t>
            </w:r>
            <w:r>
              <w:rPr>
                <w:sz w:val="21"/>
              </w:rPr>
              <w:t>30</w:t>
            </w:r>
            <w:r>
              <w:rPr>
                <w:spacing w:val="-11"/>
                <w:sz w:val="21"/>
              </w:rPr>
              <w:t> 日内作出核定，但合同另有约定的除外。我们</w:t>
            </w:r>
            <w:r>
              <w:rPr>
                <w:spacing w:val="-8"/>
                <w:sz w:val="21"/>
              </w:rPr>
              <w:t>应当将核定结果通知被保险人或者受益人；对属于保险责任的，在与被保</w:t>
            </w:r>
            <w:r>
              <w:rPr>
                <w:spacing w:val="-7"/>
                <w:sz w:val="21"/>
              </w:rPr>
              <w:t>险人或者受益人达成给付保险金的协议后 </w:t>
            </w:r>
            <w:r>
              <w:rPr>
                <w:sz w:val="21"/>
              </w:rPr>
              <w:t>10</w:t>
            </w:r>
            <w:r>
              <w:rPr>
                <w:spacing w:val="-8"/>
                <w:sz w:val="21"/>
              </w:rPr>
              <w:t> 日内，履行给付保险金义务。</w:t>
            </w:r>
            <w:r>
              <w:rPr>
                <w:spacing w:val="-7"/>
                <w:sz w:val="21"/>
              </w:rPr>
              <w:t>本合同对给付保险金的期限有约定的，我们应当按照约定履行给付保险金义务。</w:t>
            </w:r>
          </w:p>
          <w:p>
            <w:pPr>
              <w:pStyle w:val="TableParagraph"/>
              <w:spacing w:line="273" w:lineRule="auto" w:before="7"/>
              <w:ind w:left="720" w:right="114" w:hanging="527"/>
              <w:jc w:val="both"/>
              <w:rPr>
                <w:sz w:val="21"/>
              </w:rPr>
            </w:pPr>
            <w:r>
              <w:rPr>
                <w:sz w:val="21"/>
              </w:rPr>
              <w:t>（2）我们未及时履行前款规定义务的，除支付保险金外，应当赔偿被保险人或者受益人因此受到的损失。</w:t>
            </w:r>
          </w:p>
          <w:p>
            <w:pPr>
              <w:pStyle w:val="TableParagraph"/>
              <w:spacing w:line="273" w:lineRule="auto" w:before="7"/>
              <w:ind w:left="720" w:right="108" w:hanging="527"/>
              <w:jc w:val="both"/>
              <w:rPr>
                <w:sz w:val="21"/>
              </w:rPr>
            </w:pPr>
            <w:r>
              <w:rPr>
                <w:sz w:val="21"/>
              </w:rPr>
              <w:t>（3）</w:t>
            </w:r>
            <w:r>
              <w:rPr>
                <w:spacing w:val="-3"/>
                <w:sz w:val="21"/>
              </w:rPr>
              <w:t>我们依照前款的规定作出核定后，对不属于保险责任的，应当自作出核定</w:t>
            </w:r>
            <w:r>
              <w:rPr>
                <w:spacing w:val="-9"/>
                <w:sz w:val="21"/>
              </w:rPr>
              <w:t>之日起 </w:t>
            </w:r>
            <w:r>
              <w:rPr>
                <w:sz w:val="21"/>
              </w:rPr>
              <w:t>3</w:t>
            </w:r>
            <w:r>
              <w:rPr>
                <w:spacing w:val="-7"/>
                <w:sz w:val="21"/>
              </w:rPr>
              <w:t> 日内向被保险人或者受益人发出拒绝给付保险金通知书，并说明理由。</w:t>
            </w:r>
          </w:p>
          <w:p>
            <w:pPr>
              <w:pStyle w:val="TableParagraph"/>
              <w:spacing w:line="264" w:lineRule="auto" w:before="7"/>
              <w:ind w:left="720" w:right="108" w:hanging="527"/>
              <w:jc w:val="both"/>
              <w:rPr>
                <w:sz w:val="21"/>
              </w:rPr>
            </w:pPr>
            <w:r>
              <w:rPr>
                <w:spacing w:val="-15"/>
                <w:sz w:val="21"/>
              </w:rPr>
              <w:t>（4）</w:t>
            </w:r>
            <w:r>
              <w:rPr>
                <w:spacing w:val="-5"/>
                <w:sz w:val="21"/>
              </w:rPr>
              <w:t>我们在收到保险金给付申请书及有关证明和资料之日起 </w:t>
            </w:r>
            <w:r>
              <w:rPr>
                <w:rFonts w:ascii="Times New Roman" w:eastAsia="Times New Roman"/>
                <w:sz w:val="21"/>
              </w:rPr>
              <w:t>60 </w:t>
            </w:r>
            <w:r>
              <w:rPr>
                <w:spacing w:val="-9"/>
                <w:sz w:val="21"/>
              </w:rPr>
              <w:t>日内，对给付保</w:t>
            </w:r>
            <w:r>
              <w:rPr>
                <w:spacing w:val="-5"/>
                <w:sz w:val="21"/>
              </w:rPr>
              <w:t>险金的数额不能确定的，应当根据已有证明和资料可以确定的数额先予支</w:t>
            </w:r>
            <w:r>
              <w:rPr>
                <w:spacing w:val="-3"/>
                <w:sz w:val="21"/>
              </w:rPr>
              <w:t>付；我们最终确定给付保险金的数额后，应当支付相应的差额。</w:t>
            </w:r>
          </w:p>
        </w:tc>
      </w:tr>
      <w:tr>
        <w:trPr>
          <w:trHeight w:val="864" w:hRule="atLeast"/>
        </w:trPr>
        <w:tc>
          <w:tcPr>
            <w:tcW w:w="766" w:type="dxa"/>
          </w:tcPr>
          <w:p>
            <w:pPr>
              <w:pStyle w:val="TableParagraph"/>
              <w:ind w:left="137"/>
              <w:rPr>
                <w:b/>
                <w:sz w:val="21"/>
              </w:rPr>
            </w:pPr>
            <w:r>
              <w:rPr>
                <w:b/>
                <w:sz w:val="21"/>
              </w:rPr>
              <w:t>5.7</w:t>
            </w:r>
          </w:p>
        </w:tc>
        <w:tc>
          <w:tcPr>
            <w:tcW w:w="1780" w:type="dxa"/>
          </w:tcPr>
          <w:p>
            <w:pPr>
              <w:pStyle w:val="TableParagraph"/>
              <w:ind w:left="310"/>
              <w:rPr>
                <w:b/>
                <w:sz w:val="21"/>
              </w:rPr>
            </w:pPr>
            <w:r>
              <w:rPr>
                <w:b/>
                <w:sz w:val="21"/>
              </w:rPr>
              <w:t>诉讼时效</w:t>
            </w:r>
          </w:p>
        </w:tc>
        <w:tc>
          <w:tcPr>
            <w:tcW w:w="7576" w:type="dxa"/>
          </w:tcPr>
          <w:p>
            <w:pPr>
              <w:pStyle w:val="TableParagraph"/>
              <w:spacing w:line="273" w:lineRule="auto"/>
              <w:ind w:left="193" w:right="109"/>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69" w:hRule="atLeast"/>
        </w:trPr>
        <w:tc>
          <w:tcPr>
            <w:tcW w:w="766" w:type="dxa"/>
            <w:tcBorders>
              <w:bottom w:val="single" w:sz="6" w:space="0" w:color="000000"/>
            </w:tcBorders>
          </w:tcPr>
          <w:p>
            <w:pPr>
              <w:pStyle w:val="TableParagraph"/>
              <w:spacing w:before="115"/>
              <w:ind w:left="137"/>
              <w:rPr>
                <w:b/>
                <w:sz w:val="28"/>
              </w:rPr>
            </w:pPr>
            <w:r>
              <w:rPr>
                <w:b/>
                <w:w w:val="99"/>
                <w:sz w:val="28"/>
              </w:rPr>
              <w:t>⒍</w:t>
            </w:r>
          </w:p>
        </w:tc>
        <w:tc>
          <w:tcPr>
            <w:tcW w:w="1780" w:type="dxa"/>
            <w:tcBorders>
              <w:bottom w:val="single" w:sz="6" w:space="0" w:color="000000"/>
            </w:tcBorders>
          </w:tcPr>
          <w:p>
            <w:pPr>
              <w:pStyle w:val="TableParagraph"/>
              <w:spacing w:before="145"/>
              <w:ind w:left="310"/>
              <w:rPr>
                <w:b/>
                <w:sz w:val="24"/>
              </w:rPr>
            </w:pPr>
            <w:r>
              <w:rPr>
                <w:b/>
                <w:w w:val="95"/>
                <w:sz w:val="24"/>
              </w:rPr>
              <w:t>保险费的交纳</w:t>
            </w:r>
          </w:p>
        </w:tc>
        <w:tc>
          <w:tcPr>
            <w:tcW w:w="7576" w:type="dxa"/>
            <w:tcBorders>
              <w:bottom w:val="single" w:sz="6" w:space="0" w:color="000000"/>
            </w:tcBorders>
          </w:tcPr>
          <w:p>
            <w:pPr>
              <w:pStyle w:val="TableParagraph"/>
              <w:spacing w:before="0"/>
              <w:ind w:left="0"/>
              <w:rPr>
                <w:rFonts w:ascii="Times New Roman"/>
                <w:sz w:val="20"/>
              </w:rPr>
            </w:pPr>
          </w:p>
        </w:tc>
      </w:tr>
      <w:tr>
        <w:trPr>
          <w:trHeight w:val="1175" w:hRule="atLeast"/>
        </w:trPr>
        <w:tc>
          <w:tcPr>
            <w:tcW w:w="766" w:type="dxa"/>
            <w:tcBorders>
              <w:top w:val="single" w:sz="6" w:space="0" w:color="000000"/>
            </w:tcBorders>
          </w:tcPr>
          <w:p>
            <w:pPr>
              <w:pStyle w:val="TableParagraph"/>
              <w:spacing w:before="136"/>
              <w:ind w:left="137"/>
              <w:rPr>
                <w:b/>
                <w:sz w:val="21"/>
              </w:rPr>
            </w:pPr>
            <w:r>
              <w:rPr>
                <w:b/>
                <w:sz w:val="21"/>
              </w:rPr>
              <w:t>6.1</w:t>
            </w:r>
          </w:p>
        </w:tc>
        <w:tc>
          <w:tcPr>
            <w:tcW w:w="1780" w:type="dxa"/>
            <w:tcBorders>
              <w:top w:val="single" w:sz="6" w:space="0" w:color="000000"/>
            </w:tcBorders>
          </w:tcPr>
          <w:p>
            <w:pPr>
              <w:pStyle w:val="TableParagraph"/>
              <w:spacing w:before="136"/>
              <w:ind w:left="310"/>
              <w:rPr>
                <w:b/>
                <w:sz w:val="21"/>
              </w:rPr>
            </w:pPr>
            <w:r>
              <w:rPr>
                <w:b/>
                <w:sz w:val="21"/>
              </w:rPr>
              <w:t>保险费的交纳</w:t>
            </w:r>
          </w:p>
        </w:tc>
        <w:tc>
          <w:tcPr>
            <w:tcW w:w="7576" w:type="dxa"/>
            <w:tcBorders>
              <w:top w:val="single" w:sz="6" w:space="0" w:color="000000"/>
            </w:tcBorders>
          </w:tcPr>
          <w:p>
            <w:pPr>
              <w:pStyle w:val="TableParagraph"/>
              <w:spacing w:before="136"/>
              <w:ind w:left="193"/>
              <w:rPr>
                <w:sz w:val="21"/>
              </w:rPr>
            </w:pPr>
            <w:r>
              <w:rPr>
                <w:sz w:val="21"/>
              </w:rPr>
              <w:t>本合同的交费频次和交费期间由您和我们约定并在保险单上载明。</w:t>
            </w:r>
          </w:p>
          <w:p>
            <w:pPr>
              <w:pStyle w:val="TableParagraph"/>
              <w:spacing w:line="273" w:lineRule="auto" w:before="37"/>
              <w:ind w:left="193" w:right="174"/>
              <w:rPr>
                <w:sz w:val="21"/>
              </w:rPr>
            </w:pPr>
            <w:r>
              <w:rPr>
                <w:sz w:val="21"/>
              </w:rPr>
              <w:t>分期支付保险费的，在交纳首期保险费后，您应当按照约定，在每个保险费约定交纳日交纳其余各期的保险费。</w:t>
            </w:r>
          </w:p>
        </w:tc>
      </w:tr>
      <w:tr>
        <w:trPr>
          <w:trHeight w:val="351" w:hRule="atLeast"/>
        </w:trPr>
        <w:tc>
          <w:tcPr>
            <w:tcW w:w="766" w:type="dxa"/>
          </w:tcPr>
          <w:p>
            <w:pPr>
              <w:pStyle w:val="TableParagraph"/>
              <w:spacing w:line="255" w:lineRule="exact"/>
              <w:ind w:left="137"/>
              <w:rPr>
                <w:b/>
                <w:sz w:val="21"/>
              </w:rPr>
            </w:pPr>
            <w:r>
              <w:rPr>
                <w:b/>
                <w:sz w:val="21"/>
              </w:rPr>
              <w:t>6.2</w:t>
            </w:r>
          </w:p>
        </w:tc>
        <w:tc>
          <w:tcPr>
            <w:tcW w:w="1780" w:type="dxa"/>
          </w:tcPr>
          <w:p>
            <w:pPr>
              <w:pStyle w:val="TableParagraph"/>
              <w:spacing w:line="255" w:lineRule="exact"/>
              <w:ind w:left="310"/>
              <w:rPr>
                <w:b/>
                <w:sz w:val="21"/>
              </w:rPr>
            </w:pPr>
            <w:r>
              <w:rPr>
                <w:b/>
                <w:sz w:val="21"/>
              </w:rPr>
              <w:t>宽限期</w:t>
            </w:r>
          </w:p>
        </w:tc>
        <w:tc>
          <w:tcPr>
            <w:tcW w:w="7576" w:type="dxa"/>
          </w:tcPr>
          <w:p>
            <w:pPr>
              <w:pStyle w:val="TableParagraph"/>
              <w:spacing w:line="255" w:lineRule="exact"/>
              <w:ind w:left="193"/>
              <w:rPr>
                <w:sz w:val="21"/>
              </w:rPr>
            </w:pPr>
            <w:r>
              <w:rPr>
                <w:sz w:val="21"/>
              </w:rPr>
              <w:t>您交纳首期保险费后，如果您以后到期未交纳保险费，自保险费应交日起 60 日</w:t>
            </w:r>
          </w:p>
        </w:tc>
      </w:tr>
    </w:tbl>
    <w:p>
      <w:pPr>
        <w:spacing w:after="0" w:line="255" w:lineRule="exact"/>
        <w:rPr>
          <w:sz w:val="21"/>
        </w:rPr>
        <w:sectPr>
          <w:pgSz w:w="11910" w:h="16840"/>
          <w:pgMar w:header="566" w:footer="664" w:top="1000" w:bottom="860" w:left="880" w:right="660"/>
        </w:sectPr>
      </w:pPr>
    </w:p>
    <w:p>
      <w:pPr>
        <w:pStyle w:val="BodyText"/>
        <w:rPr>
          <w:rFonts w:ascii="Times New Roman"/>
          <w:sz w:val="20"/>
        </w:rPr>
      </w:pPr>
    </w:p>
    <w:p>
      <w:pPr>
        <w:pStyle w:val="BodyText"/>
        <w:spacing w:before="4"/>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76"/>
        <w:gridCol w:w="7595"/>
      </w:tblGrid>
      <w:tr>
        <w:trPr>
          <w:trHeight w:val="1348" w:hRule="atLeast"/>
        </w:trPr>
        <w:tc>
          <w:tcPr>
            <w:tcW w:w="765"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7595" w:type="dxa"/>
          </w:tcPr>
          <w:p>
            <w:pPr>
              <w:pStyle w:val="TableParagraph"/>
              <w:spacing w:line="211" w:lineRule="exact" w:before="0"/>
              <w:rPr>
                <w:sz w:val="21"/>
              </w:rPr>
            </w:pPr>
            <w:r>
              <w:rPr>
                <w:sz w:val="21"/>
              </w:rPr>
              <w:t>内为宽限期。宽限期内发生的保险事故，我们仍会承担保险责任，但在给付保险</w:t>
            </w:r>
          </w:p>
          <w:p>
            <w:pPr>
              <w:pStyle w:val="TableParagraph"/>
              <w:spacing w:before="37"/>
              <w:rPr>
                <w:sz w:val="21"/>
              </w:rPr>
            </w:pPr>
            <w:r>
              <w:rPr>
                <w:sz w:val="21"/>
              </w:rPr>
              <w:t>金时会扣除您欠交的保险费。</w:t>
            </w:r>
          </w:p>
          <w:p>
            <w:pPr>
              <w:pStyle w:val="TableParagraph"/>
              <w:spacing w:line="273" w:lineRule="auto" w:before="36"/>
              <w:ind w:right="123"/>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634" w:hRule="atLeast"/>
        </w:trPr>
        <w:tc>
          <w:tcPr>
            <w:tcW w:w="765" w:type="dxa"/>
            <w:tcBorders>
              <w:bottom w:val="single" w:sz="6" w:space="0" w:color="000000"/>
            </w:tcBorders>
          </w:tcPr>
          <w:p>
            <w:pPr>
              <w:pStyle w:val="TableParagraph"/>
              <w:spacing w:before="114"/>
              <w:ind w:left="137"/>
              <w:rPr>
                <w:b/>
                <w:sz w:val="28"/>
              </w:rPr>
            </w:pPr>
            <w:r>
              <w:rPr>
                <w:b/>
                <w:w w:val="99"/>
                <w:sz w:val="28"/>
              </w:rPr>
              <w:t>⒎</w:t>
            </w:r>
          </w:p>
        </w:tc>
        <w:tc>
          <w:tcPr>
            <w:tcW w:w="9371" w:type="dxa"/>
            <w:gridSpan w:val="2"/>
            <w:tcBorders>
              <w:bottom w:val="single" w:sz="6" w:space="0" w:color="000000"/>
            </w:tcBorders>
          </w:tcPr>
          <w:p>
            <w:pPr>
              <w:pStyle w:val="TableParagraph"/>
              <w:spacing w:before="144"/>
              <w:ind w:left="311"/>
              <w:rPr>
                <w:b/>
                <w:sz w:val="24"/>
              </w:rPr>
            </w:pPr>
            <w:r>
              <w:rPr>
                <w:b/>
                <w:w w:val="95"/>
                <w:sz w:val="24"/>
              </w:rPr>
              <w:t>合同效力的中止与恢复</w:t>
            </w:r>
          </w:p>
        </w:tc>
      </w:tr>
      <w:tr>
        <w:trPr>
          <w:trHeight w:val="1210" w:hRule="atLeast"/>
        </w:trPr>
        <w:tc>
          <w:tcPr>
            <w:tcW w:w="765" w:type="dxa"/>
            <w:tcBorders>
              <w:top w:val="single" w:sz="6" w:space="0" w:color="000000"/>
            </w:tcBorders>
          </w:tcPr>
          <w:p>
            <w:pPr>
              <w:pStyle w:val="TableParagraph"/>
              <w:spacing w:before="171"/>
              <w:ind w:left="137"/>
              <w:rPr>
                <w:b/>
                <w:sz w:val="21"/>
              </w:rPr>
            </w:pPr>
            <w:r>
              <w:rPr>
                <w:b/>
                <w:sz w:val="21"/>
              </w:rPr>
              <w:t>7.1</w:t>
            </w:r>
          </w:p>
        </w:tc>
        <w:tc>
          <w:tcPr>
            <w:tcW w:w="1776" w:type="dxa"/>
            <w:tcBorders>
              <w:top w:val="single" w:sz="6" w:space="0" w:color="000000"/>
            </w:tcBorders>
          </w:tcPr>
          <w:p>
            <w:pPr>
              <w:pStyle w:val="TableParagraph"/>
              <w:spacing w:before="171"/>
              <w:ind w:left="311"/>
              <w:rPr>
                <w:b/>
                <w:sz w:val="21"/>
              </w:rPr>
            </w:pPr>
            <w:r>
              <w:rPr>
                <w:b/>
                <w:sz w:val="21"/>
              </w:rPr>
              <w:t>效力中止</w:t>
            </w:r>
          </w:p>
        </w:tc>
        <w:tc>
          <w:tcPr>
            <w:tcW w:w="7595" w:type="dxa"/>
            <w:tcBorders>
              <w:top w:val="single" w:sz="6" w:space="0" w:color="000000"/>
            </w:tcBorders>
          </w:tcPr>
          <w:p>
            <w:pPr>
              <w:pStyle w:val="TableParagraph"/>
              <w:spacing w:line="273" w:lineRule="auto" w:before="171"/>
              <w:ind w:right="227"/>
              <w:jc w:val="both"/>
              <w:rPr>
                <w:rFonts w:ascii="黑体" w:eastAsia="黑体" w:hint="eastAsia"/>
                <w:b/>
                <w:sz w:val="21"/>
              </w:rPr>
            </w:pPr>
            <w:r>
              <w:rPr>
                <w:rFonts w:ascii="黑体" w:eastAsia="黑体" w:hint="eastAsia"/>
                <w:b/>
                <w:sz w:val="21"/>
              </w:rPr>
              <w:t>如您超过宽限期仍未交纳当期保险费，本合同自宽限期满的次日零时起效力中止。主合同效力中止的同时，本合同的效力也中止。在本合同效力中止期间， 我们不承担保险责任。</w:t>
            </w:r>
          </w:p>
        </w:tc>
      </w:tr>
      <w:tr>
        <w:trPr>
          <w:trHeight w:val="2736" w:hRule="atLeast"/>
        </w:trPr>
        <w:tc>
          <w:tcPr>
            <w:tcW w:w="765" w:type="dxa"/>
          </w:tcPr>
          <w:p>
            <w:pPr>
              <w:pStyle w:val="TableParagraph"/>
              <w:ind w:left="137"/>
              <w:rPr>
                <w:b/>
                <w:sz w:val="21"/>
              </w:rPr>
            </w:pPr>
            <w:r>
              <w:rPr>
                <w:b/>
                <w:sz w:val="21"/>
              </w:rPr>
              <w:t>7.2</w:t>
            </w:r>
          </w:p>
        </w:tc>
        <w:tc>
          <w:tcPr>
            <w:tcW w:w="1776" w:type="dxa"/>
          </w:tcPr>
          <w:p>
            <w:pPr>
              <w:pStyle w:val="TableParagraph"/>
              <w:ind w:left="311"/>
              <w:rPr>
                <w:b/>
                <w:sz w:val="21"/>
              </w:rPr>
            </w:pPr>
            <w:r>
              <w:rPr>
                <w:b/>
                <w:sz w:val="21"/>
              </w:rPr>
              <w:t>效力恢复</w:t>
            </w:r>
          </w:p>
        </w:tc>
        <w:tc>
          <w:tcPr>
            <w:tcW w:w="7595" w:type="dxa"/>
          </w:tcPr>
          <w:p>
            <w:pPr>
              <w:pStyle w:val="TableParagraph"/>
              <w:spacing w:line="273" w:lineRule="auto"/>
              <w:ind w:right="124"/>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7"/>
              <w:ind w:right="169"/>
              <w:jc w:val="both"/>
              <w:rPr>
                <w:sz w:val="21"/>
              </w:rPr>
            </w:pPr>
            <w:r>
              <w:rPr>
                <w:sz w:val="21"/>
              </w:rPr>
              <w:t>经双方达成复效协议，自您补交保险费及利息（按</w:t>
            </w:r>
            <w:r>
              <w:rPr>
                <w:b/>
                <w:sz w:val="21"/>
              </w:rPr>
              <w:t>本合同约定利率</w:t>
            </w:r>
            <w:r>
              <w:rPr>
                <w:b/>
                <w:position w:val="11"/>
                <w:sz w:val="11"/>
              </w:rPr>
              <w:t>［11.17］</w:t>
            </w:r>
            <w:r>
              <w:rPr>
                <w:sz w:val="21"/>
              </w:rPr>
              <w:t>计算） 和其他未还款项的次日零时起，本合同效力恢复。</w:t>
            </w:r>
          </w:p>
          <w:p>
            <w:pPr>
              <w:pStyle w:val="TableParagraph"/>
              <w:spacing w:line="273" w:lineRule="auto" w:before="7"/>
              <w:ind w:right="144"/>
              <w:jc w:val="both"/>
              <w:rPr>
                <w:sz w:val="21"/>
              </w:rPr>
            </w:pPr>
            <w:r>
              <w:rPr>
                <w:sz w:val="21"/>
              </w:rPr>
              <w:t>自本合同效力中止之日起满2年双方未达成复效协议的，本合同效力终止，我们向您退还本合同效力中止时的现金价值。</w:t>
            </w:r>
          </w:p>
          <w:p>
            <w:pPr>
              <w:pStyle w:val="TableParagraph"/>
              <w:spacing w:before="7"/>
              <w:jc w:val="both"/>
              <w:rPr>
                <w:sz w:val="21"/>
              </w:rPr>
            </w:pPr>
            <w:r>
              <w:rPr>
                <w:sz w:val="21"/>
              </w:rPr>
              <w:t>主合同效力中止期间，本合同不得单独申请复效。</w:t>
            </w:r>
          </w:p>
        </w:tc>
      </w:tr>
      <w:tr>
        <w:trPr>
          <w:trHeight w:val="673" w:hRule="atLeast"/>
        </w:trPr>
        <w:tc>
          <w:tcPr>
            <w:tcW w:w="765" w:type="dxa"/>
            <w:tcBorders>
              <w:bottom w:val="single" w:sz="8" w:space="0" w:color="000000"/>
            </w:tcBorders>
          </w:tcPr>
          <w:p>
            <w:pPr>
              <w:pStyle w:val="TableParagraph"/>
              <w:spacing w:before="114"/>
              <w:ind w:left="137"/>
              <w:rPr>
                <w:b/>
                <w:sz w:val="28"/>
              </w:rPr>
            </w:pPr>
            <w:r>
              <w:rPr>
                <w:b/>
                <w:w w:val="99"/>
                <w:sz w:val="28"/>
              </w:rPr>
              <w:t>⒏</w:t>
            </w:r>
          </w:p>
        </w:tc>
        <w:tc>
          <w:tcPr>
            <w:tcW w:w="9371" w:type="dxa"/>
            <w:gridSpan w:val="2"/>
            <w:tcBorders>
              <w:bottom w:val="single" w:sz="8" w:space="0" w:color="000000"/>
            </w:tcBorders>
          </w:tcPr>
          <w:p>
            <w:pPr>
              <w:pStyle w:val="TableParagraph"/>
              <w:spacing w:before="144"/>
              <w:ind w:left="311"/>
              <w:rPr>
                <w:b/>
                <w:sz w:val="24"/>
              </w:rPr>
            </w:pPr>
            <w:r>
              <w:rPr>
                <w:b/>
                <w:w w:val="95"/>
                <w:sz w:val="24"/>
              </w:rPr>
              <w:t>犹豫期后的合同解除</w:t>
            </w:r>
          </w:p>
        </w:tc>
      </w:tr>
      <w:tr>
        <w:trPr>
          <w:trHeight w:val="2402" w:hRule="atLeast"/>
        </w:trPr>
        <w:tc>
          <w:tcPr>
            <w:tcW w:w="765" w:type="dxa"/>
            <w:tcBorders>
              <w:top w:val="single" w:sz="8" w:space="0" w:color="000000"/>
            </w:tcBorders>
          </w:tcPr>
          <w:p>
            <w:pPr>
              <w:pStyle w:val="TableParagraph"/>
              <w:spacing w:before="127"/>
              <w:ind w:left="137"/>
              <w:rPr>
                <w:b/>
                <w:sz w:val="21"/>
              </w:rPr>
            </w:pPr>
            <w:r>
              <w:rPr>
                <w:b/>
                <w:sz w:val="21"/>
              </w:rPr>
              <w:t>8.1</w:t>
            </w:r>
          </w:p>
        </w:tc>
        <w:tc>
          <w:tcPr>
            <w:tcW w:w="1776" w:type="dxa"/>
            <w:tcBorders>
              <w:top w:val="single" w:sz="8" w:space="0" w:color="000000"/>
            </w:tcBorders>
          </w:tcPr>
          <w:p>
            <w:pPr>
              <w:pStyle w:val="TableParagraph"/>
              <w:spacing w:line="273" w:lineRule="auto" w:before="127"/>
              <w:ind w:left="311" w:right="195"/>
              <w:rPr>
                <w:b/>
                <w:sz w:val="21"/>
              </w:rPr>
            </w:pPr>
            <w:r>
              <w:rPr>
                <w:b/>
                <w:sz w:val="21"/>
              </w:rPr>
              <w:t>您解除合同的手续</w:t>
            </w:r>
          </w:p>
        </w:tc>
        <w:tc>
          <w:tcPr>
            <w:tcW w:w="7595" w:type="dxa"/>
            <w:tcBorders>
              <w:top w:val="single" w:sz="8" w:space="0" w:color="000000"/>
            </w:tcBorders>
          </w:tcPr>
          <w:p>
            <w:pPr>
              <w:pStyle w:val="TableParagraph"/>
              <w:spacing w:before="86"/>
              <w:rPr>
                <w:sz w:val="21"/>
              </w:rPr>
            </w:pPr>
            <w:r>
              <w:rPr>
                <w:sz w:val="21"/>
              </w:rPr>
              <w:t>您在犹豫期后，可以书面通知要求解除本合同，并向我们提供下列证明和资料：</w:t>
            </w:r>
          </w:p>
          <w:p>
            <w:pPr>
              <w:pStyle w:val="TableParagraph"/>
              <w:spacing w:before="22"/>
              <w:rPr>
                <w:sz w:val="21"/>
              </w:rPr>
            </w:pPr>
            <w:r>
              <w:rPr>
                <w:sz w:val="21"/>
              </w:rPr>
              <w:t>（1）保险合同；</w:t>
            </w:r>
          </w:p>
          <w:p>
            <w:pPr>
              <w:pStyle w:val="TableParagraph"/>
              <w:spacing w:before="34"/>
              <w:rPr>
                <w:sz w:val="21"/>
              </w:rPr>
            </w:pPr>
            <w:r>
              <w:rPr>
                <w:sz w:val="21"/>
              </w:rPr>
              <w:t>（2）解除合同申请书；</w:t>
            </w:r>
          </w:p>
          <w:p>
            <w:pPr>
              <w:pStyle w:val="TableParagraph"/>
              <w:spacing w:before="39"/>
              <w:rPr>
                <w:sz w:val="21"/>
              </w:rPr>
            </w:pPr>
            <w:r>
              <w:rPr>
                <w:sz w:val="21"/>
              </w:rPr>
              <w:t>（3）您的法定有效身份证明。</w:t>
            </w:r>
          </w:p>
          <w:p>
            <w:pPr>
              <w:pStyle w:val="TableParagraph"/>
              <w:spacing w:line="273" w:lineRule="auto" w:before="20"/>
              <w:ind w:right="124"/>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p>
            <w:pPr>
              <w:pStyle w:val="TableParagraph"/>
              <w:spacing w:before="7"/>
              <w:rPr>
                <w:rFonts w:ascii="黑体" w:eastAsia="黑体" w:hint="eastAsia"/>
                <w:b/>
                <w:sz w:val="21"/>
              </w:rPr>
            </w:pPr>
            <w:r>
              <w:rPr>
                <w:rFonts w:ascii="黑体" w:eastAsia="黑体" w:hint="eastAsia"/>
                <w:b/>
                <w:sz w:val="21"/>
              </w:rPr>
              <w:t>您犹豫期后解除合同会遭受一定损失。</w:t>
            </w:r>
          </w:p>
        </w:tc>
      </w:tr>
      <w:tr>
        <w:trPr>
          <w:trHeight w:val="628" w:hRule="atLeast"/>
        </w:trPr>
        <w:tc>
          <w:tcPr>
            <w:tcW w:w="765" w:type="dxa"/>
            <w:tcBorders>
              <w:bottom w:val="single" w:sz="6" w:space="0" w:color="000000"/>
            </w:tcBorders>
          </w:tcPr>
          <w:p>
            <w:pPr>
              <w:pStyle w:val="TableParagraph"/>
              <w:spacing w:before="114"/>
              <w:ind w:left="137"/>
              <w:rPr>
                <w:b/>
                <w:sz w:val="28"/>
              </w:rPr>
            </w:pPr>
            <w:r>
              <w:rPr>
                <w:b/>
                <w:w w:val="99"/>
                <w:sz w:val="28"/>
              </w:rPr>
              <w:t>⒐</w:t>
            </w:r>
          </w:p>
        </w:tc>
        <w:tc>
          <w:tcPr>
            <w:tcW w:w="9371" w:type="dxa"/>
            <w:gridSpan w:val="2"/>
            <w:tcBorders>
              <w:bottom w:val="single" w:sz="6" w:space="0" w:color="000000"/>
            </w:tcBorders>
          </w:tcPr>
          <w:p>
            <w:pPr>
              <w:pStyle w:val="TableParagraph"/>
              <w:spacing w:before="144"/>
              <w:ind w:left="311"/>
              <w:rPr>
                <w:b/>
                <w:sz w:val="24"/>
              </w:rPr>
            </w:pPr>
            <w:r>
              <w:rPr>
                <w:b/>
                <w:w w:val="95"/>
                <w:sz w:val="24"/>
              </w:rPr>
              <w:t>明确说明与如实告知</w:t>
            </w:r>
          </w:p>
        </w:tc>
      </w:tr>
      <w:tr>
        <w:trPr>
          <w:trHeight w:val="3869" w:hRule="atLeast"/>
        </w:trPr>
        <w:tc>
          <w:tcPr>
            <w:tcW w:w="765" w:type="dxa"/>
            <w:tcBorders>
              <w:top w:val="single" w:sz="6" w:space="0" w:color="000000"/>
            </w:tcBorders>
          </w:tcPr>
          <w:p>
            <w:pPr>
              <w:pStyle w:val="TableParagraph"/>
              <w:spacing w:before="177"/>
              <w:ind w:left="137"/>
              <w:rPr>
                <w:b/>
                <w:sz w:val="21"/>
              </w:rPr>
            </w:pPr>
            <w:r>
              <w:rPr>
                <w:b/>
                <w:sz w:val="21"/>
              </w:rPr>
              <w:t>9.1</w:t>
            </w:r>
          </w:p>
        </w:tc>
        <w:tc>
          <w:tcPr>
            <w:tcW w:w="1776" w:type="dxa"/>
            <w:tcBorders>
              <w:top w:val="single" w:sz="6" w:space="0" w:color="000000"/>
            </w:tcBorders>
          </w:tcPr>
          <w:p>
            <w:pPr>
              <w:pStyle w:val="TableParagraph"/>
              <w:spacing w:line="273" w:lineRule="auto" w:before="177"/>
              <w:ind w:left="311" w:right="195"/>
              <w:rPr>
                <w:b/>
                <w:sz w:val="21"/>
              </w:rPr>
            </w:pPr>
            <w:r>
              <w:rPr>
                <w:b/>
                <w:sz w:val="21"/>
              </w:rPr>
              <w:t>明确说明与如实告知</w:t>
            </w:r>
          </w:p>
        </w:tc>
        <w:tc>
          <w:tcPr>
            <w:tcW w:w="7595" w:type="dxa"/>
            <w:tcBorders>
              <w:top w:val="single" w:sz="6" w:space="0" w:color="000000"/>
            </w:tcBorders>
          </w:tcPr>
          <w:p>
            <w:pPr>
              <w:pStyle w:val="TableParagraph"/>
              <w:spacing w:before="177"/>
              <w:rPr>
                <w:sz w:val="21"/>
              </w:rPr>
            </w:pPr>
            <w:r>
              <w:rPr>
                <w:sz w:val="21"/>
              </w:rPr>
              <w:t>订立本合同时，我们会向您说明本合同的内容。</w:t>
            </w:r>
          </w:p>
          <w:p>
            <w:pPr>
              <w:pStyle w:val="TableParagraph"/>
              <w:spacing w:line="273" w:lineRule="auto" w:before="36"/>
              <w:ind w:right="123"/>
              <w:jc w:val="both"/>
              <w:rPr>
                <w:sz w:val="21"/>
              </w:rPr>
            </w:pPr>
            <w:r>
              <w:rPr>
                <w:spacing w:val="-8"/>
                <w:sz w:val="21"/>
              </w:rPr>
              <w:t>对保险条款中免除我们责任的条款，我们在订立合同时会在投保单、保险单或者</w:t>
            </w:r>
            <w:r>
              <w:rPr>
                <w:spacing w:val="-10"/>
                <w:sz w:val="21"/>
              </w:rPr>
              <w:t>其他保险凭证上作出足以引起您注意的提示，并对该条款的内容以书面或者口头</w:t>
            </w:r>
            <w:r>
              <w:rPr>
                <w:spacing w:val="-5"/>
                <w:sz w:val="21"/>
              </w:rPr>
              <w:t>形式向您作出明确说明，未作提示或明确说明的，该条款不产生效力。</w:t>
            </w:r>
          </w:p>
          <w:p>
            <w:pPr>
              <w:pStyle w:val="TableParagraph"/>
              <w:spacing w:line="273" w:lineRule="auto" w:before="7"/>
              <w:ind w:right="123"/>
              <w:rPr>
                <w:sz w:val="21"/>
              </w:rPr>
            </w:pPr>
            <w:r>
              <w:rPr>
                <w:spacing w:val="-3"/>
                <w:sz w:val="21"/>
              </w:rPr>
              <w:t>我们会就您、被保险人或受益人的有关情况提出书面询问，您应当如实告知。</w:t>
            </w:r>
            <w:r>
              <w:rPr>
                <w:spacing w:val="-7"/>
                <w:sz w:val="21"/>
              </w:rPr>
              <w:t>如果您故意或因重大过失不履行如实告知义务，足以影响我们决定是否同意承保</w:t>
            </w:r>
            <w:r>
              <w:rPr>
                <w:spacing w:val="-5"/>
                <w:sz w:val="21"/>
              </w:rPr>
              <w:t>或者提高保险费率的，我们有权解除本合同。</w:t>
            </w:r>
          </w:p>
          <w:p>
            <w:pPr>
              <w:pStyle w:val="TableParagraph"/>
              <w:spacing w:line="273" w:lineRule="auto" w:before="163"/>
              <w:ind w:right="188"/>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right="227"/>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351" w:hRule="atLeast"/>
        </w:trPr>
        <w:tc>
          <w:tcPr>
            <w:tcW w:w="765" w:type="dxa"/>
          </w:tcPr>
          <w:p>
            <w:pPr>
              <w:pStyle w:val="TableParagraph"/>
              <w:spacing w:line="255" w:lineRule="exact"/>
              <w:ind w:left="137"/>
              <w:rPr>
                <w:b/>
                <w:sz w:val="21"/>
              </w:rPr>
            </w:pPr>
            <w:r>
              <w:rPr>
                <w:b/>
                <w:sz w:val="21"/>
              </w:rPr>
              <w:t>9.2</w:t>
            </w:r>
          </w:p>
        </w:tc>
        <w:tc>
          <w:tcPr>
            <w:tcW w:w="1776" w:type="dxa"/>
          </w:tcPr>
          <w:p>
            <w:pPr>
              <w:pStyle w:val="TableParagraph"/>
              <w:spacing w:line="255" w:lineRule="exact"/>
              <w:ind w:left="311"/>
              <w:rPr>
                <w:b/>
                <w:sz w:val="21"/>
              </w:rPr>
            </w:pPr>
            <w:r>
              <w:rPr>
                <w:b/>
                <w:sz w:val="21"/>
              </w:rPr>
              <w:t>本公司合同解</w:t>
            </w:r>
          </w:p>
        </w:tc>
        <w:tc>
          <w:tcPr>
            <w:tcW w:w="7595" w:type="dxa"/>
          </w:tcPr>
          <w:p>
            <w:pPr>
              <w:pStyle w:val="TableParagraph"/>
              <w:spacing w:line="255" w:lineRule="exact"/>
              <w:rPr>
                <w:sz w:val="21"/>
              </w:rPr>
            </w:pPr>
            <w:r>
              <w:rPr>
                <w:sz w:val="21"/>
              </w:rPr>
              <w:t>您未履行如实告知义务，我们有权解除本合同，但受以下限制：</w:t>
            </w:r>
          </w:p>
        </w:tc>
      </w:tr>
    </w:tbl>
    <w:p>
      <w:pPr>
        <w:spacing w:after="0" w:line="255" w:lineRule="exact"/>
        <w:rPr>
          <w:sz w:val="21"/>
        </w:rPr>
        <w:sectPr>
          <w:pgSz w:w="11910" w:h="16840"/>
          <w:pgMar w:header="566" w:footer="664" w:top="1000" w:bottom="860" w:left="880" w:right="660"/>
        </w:sectPr>
      </w:pPr>
    </w:p>
    <w:p>
      <w:pPr>
        <w:pStyle w:val="BodyText"/>
        <w:rPr>
          <w:rFonts w:ascii="Times New Roman"/>
          <w:sz w:val="20"/>
        </w:rPr>
      </w:pPr>
    </w:p>
    <w:p>
      <w:pPr>
        <w:pStyle w:val="BodyText"/>
        <w:spacing w:before="4"/>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814"/>
        <w:gridCol w:w="7460"/>
      </w:tblGrid>
      <w:tr>
        <w:trPr>
          <w:trHeight w:val="1660" w:hRule="atLeast"/>
        </w:trPr>
        <w:tc>
          <w:tcPr>
            <w:tcW w:w="738" w:type="dxa"/>
          </w:tcPr>
          <w:p>
            <w:pPr>
              <w:pStyle w:val="TableParagraph"/>
              <w:spacing w:before="0"/>
              <w:ind w:left="0"/>
              <w:rPr>
                <w:rFonts w:ascii="Times New Roman"/>
                <w:sz w:val="20"/>
              </w:rPr>
            </w:pPr>
          </w:p>
        </w:tc>
        <w:tc>
          <w:tcPr>
            <w:tcW w:w="1814" w:type="dxa"/>
          </w:tcPr>
          <w:p>
            <w:pPr>
              <w:pStyle w:val="TableParagraph"/>
              <w:spacing w:line="211" w:lineRule="exact" w:before="0"/>
              <w:ind w:left="257"/>
              <w:rPr>
                <w:b/>
                <w:sz w:val="21"/>
              </w:rPr>
            </w:pPr>
            <w:r>
              <w:rPr>
                <w:b/>
                <w:sz w:val="21"/>
              </w:rPr>
              <w:t>除权的限制</w:t>
            </w:r>
          </w:p>
        </w:tc>
        <w:tc>
          <w:tcPr>
            <w:tcW w:w="7460" w:type="dxa"/>
          </w:tcPr>
          <w:p>
            <w:pPr>
              <w:pStyle w:val="TableParagraph"/>
              <w:spacing w:line="211" w:lineRule="exact" w:before="0"/>
              <w:ind w:left="107"/>
              <w:rPr>
                <w:sz w:val="21"/>
              </w:rPr>
            </w:pPr>
            <w:r>
              <w:rPr>
                <w:sz w:val="21"/>
              </w:rPr>
              <w:t>（1）该解除权自我们知道有解除事由之日起，经过 30 日不行使而消灭；</w:t>
            </w:r>
          </w:p>
          <w:p>
            <w:pPr>
              <w:pStyle w:val="TableParagraph"/>
              <w:spacing w:line="273" w:lineRule="auto" w:before="37"/>
              <w:ind w:left="633" w:right="82"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56" w:lineRule="auto" w:before="7"/>
              <w:ind w:left="633" w:right="101"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r>
        <w:trPr>
          <w:trHeight w:val="677" w:hRule="atLeast"/>
        </w:trPr>
        <w:tc>
          <w:tcPr>
            <w:tcW w:w="738" w:type="dxa"/>
            <w:tcBorders>
              <w:bottom w:val="single" w:sz="6" w:space="0" w:color="000000"/>
            </w:tcBorders>
          </w:tcPr>
          <w:p>
            <w:pPr>
              <w:pStyle w:val="TableParagraph"/>
              <w:spacing w:before="114"/>
              <w:ind w:left="57"/>
              <w:rPr>
                <w:b/>
                <w:sz w:val="28"/>
              </w:rPr>
            </w:pPr>
            <w:r>
              <w:rPr>
                <w:b/>
                <w:w w:val="99"/>
                <w:sz w:val="28"/>
              </w:rPr>
              <w:t>⒑</w:t>
            </w:r>
          </w:p>
        </w:tc>
        <w:tc>
          <w:tcPr>
            <w:tcW w:w="9274"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261" w:hRule="atLeast"/>
        </w:trPr>
        <w:tc>
          <w:tcPr>
            <w:tcW w:w="738" w:type="dxa"/>
            <w:tcBorders>
              <w:top w:val="single" w:sz="6" w:space="0" w:color="000000"/>
            </w:tcBorders>
          </w:tcPr>
          <w:p>
            <w:pPr>
              <w:pStyle w:val="TableParagraph"/>
              <w:spacing w:before="128"/>
              <w:ind w:left="57"/>
              <w:rPr>
                <w:b/>
                <w:sz w:val="21"/>
              </w:rPr>
            </w:pPr>
            <w:r>
              <w:rPr>
                <w:b/>
                <w:sz w:val="21"/>
              </w:rPr>
              <w:t>10.1</w:t>
            </w:r>
          </w:p>
        </w:tc>
        <w:tc>
          <w:tcPr>
            <w:tcW w:w="1814" w:type="dxa"/>
            <w:tcBorders>
              <w:top w:val="single" w:sz="6" w:space="0" w:color="000000"/>
            </w:tcBorders>
          </w:tcPr>
          <w:p>
            <w:pPr>
              <w:pStyle w:val="TableParagraph"/>
              <w:spacing w:before="128"/>
              <w:ind w:left="257"/>
              <w:rPr>
                <w:b/>
                <w:sz w:val="21"/>
              </w:rPr>
            </w:pPr>
            <w:r>
              <w:rPr>
                <w:b/>
                <w:sz w:val="21"/>
              </w:rPr>
              <w:t>年龄性别错误</w:t>
            </w:r>
          </w:p>
        </w:tc>
        <w:tc>
          <w:tcPr>
            <w:tcW w:w="7460" w:type="dxa"/>
            <w:tcBorders>
              <w:top w:val="single" w:sz="6" w:space="0" w:color="000000"/>
              <w:right w:val="single" w:sz="4" w:space="0" w:color="FFFFFF"/>
            </w:tcBorders>
          </w:tcPr>
          <w:p>
            <w:pPr>
              <w:pStyle w:val="TableParagraph"/>
              <w:spacing w:line="273" w:lineRule="auto" w:before="128"/>
              <w:ind w:left="107" w:right="74"/>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7"/>
              <w:ind w:left="633" w:right="-29" w:hanging="527"/>
              <w:rPr>
                <w:sz w:val="21"/>
              </w:rPr>
            </w:pPr>
            <w:r>
              <w:rPr>
                <w:sz w:val="21"/>
              </w:rPr>
              <w:t>（1）</w:t>
            </w:r>
            <w:r>
              <w:rPr>
                <w:spacing w:val="-3"/>
                <w:sz w:val="21"/>
              </w:rPr>
              <w:t>您申报的被保险人年龄不真实，并且其真实年龄不符合本合同约定投保年</w:t>
            </w:r>
            <w:r>
              <w:rPr>
                <w:spacing w:val="-11"/>
                <w:sz w:val="21"/>
              </w:rPr>
              <w:t>龄限制的，在保险事故发生之前我们有权解除合同，并向您退还现金价值。</w:t>
            </w:r>
            <w:r>
              <w:rPr>
                <w:spacing w:val="-3"/>
                <w:sz w:val="21"/>
              </w:rPr>
              <w:t>我们行使合同解除权适用本条款</w:t>
            </w:r>
            <w:r>
              <w:rPr>
                <w:sz w:val="21"/>
              </w:rPr>
              <w:t>“9.2</w:t>
            </w:r>
            <w:r>
              <w:rPr>
                <w:spacing w:val="-3"/>
                <w:sz w:val="21"/>
              </w:rPr>
              <w:t>本公司合同解除权的限制”的规定。</w:t>
            </w:r>
          </w:p>
          <w:p>
            <w:pPr>
              <w:pStyle w:val="TableParagraph"/>
              <w:spacing w:line="273" w:lineRule="auto" w:before="8"/>
              <w:ind w:left="633" w:right="72"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7"/>
              <w:ind w:left="633" w:right="96" w:hanging="527"/>
              <w:rPr>
                <w:sz w:val="21"/>
              </w:rPr>
            </w:pPr>
            <w:r>
              <w:rPr>
                <w:sz w:val="21"/>
              </w:rPr>
              <w:t>（3）您申报的被保险人年龄不真实，致使您实交保险费多于应交保险费的，我们会将多收的保险费无息退还给您。</w:t>
            </w:r>
          </w:p>
        </w:tc>
      </w:tr>
      <w:tr>
        <w:trPr>
          <w:trHeight w:val="1206" w:hRule="atLeast"/>
        </w:trPr>
        <w:tc>
          <w:tcPr>
            <w:tcW w:w="738" w:type="dxa"/>
          </w:tcPr>
          <w:p>
            <w:pPr>
              <w:pStyle w:val="TableParagraph"/>
              <w:spacing w:before="167"/>
              <w:ind w:left="57"/>
              <w:rPr>
                <w:b/>
                <w:sz w:val="21"/>
              </w:rPr>
            </w:pPr>
            <w:r>
              <w:rPr>
                <w:b/>
                <w:sz w:val="21"/>
              </w:rPr>
              <w:t>10.2</w:t>
            </w:r>
          </w:p>
        </w:tc>
        <w:tc>
          <w:tcPr>
            <w:tcW w:w="1814" w:type="dxa"/>
          </w:tcPr>
          <w:p>
            <w:pPr>
              <w:pStyle w:val="TableParagraph"/>
              <w:spacing w:before="167"/>
              <w:ind w:left="257"/>
              <w:rPr>
                <w:b/>
                <w:sz w:val="21"/>
              </w:rPr>
            </w:pPr>
            <w:r>
              <w:rPr>
                <w:b/>
                <w:sz w:val="21"/>
              </w:rPr>
              <w:t>合同效力终止</w:t>
            </w:r>
          </w:p>
        </w:tc>
        <w:tc>
          <w:tcPr>
            <w:tcW w:w="7460" w:type="dxa"/>
          </w:tcPr>
          <w:p>
            <w:pPr>
              <w:pStyle w:val="TableParagraph"/>
              <w:spacing w:before="167"/>
              <w:ind w:left="107"/>
              <w:rPr>
                <w:sz w:val="21"/>
              </w:rPr>
            </w:pPr>
            <w:r>
              <w:rPr>
                <w:sz w:val="21"/>
              </w:rPr>
              <w:t>当发生下列情形之一时，本合同效力终止：</w:t>
            </w:r>
          </w:p>
          <w:p>
            <w:pPr>
              <w:pStyle w:val="TableParagraph"/>
              <w:spacing w:before="36"/>
              <w:ind w:left="107"/>
              <w:rPr>
                <w:sz w:val="21"/>
              </w:rPr>
            </w:pPr>
            <w:r>
              <w:rPr>
                <w:sz w:val="21"/>
              </w:rPr>
              <w:t>（1）主合同解除、期满或效力终止；</w:t>
            </w:r>
          </w:p>
          <w:p>
            <w:pPr>
              <w:pStyle w:val="TableParagraph"/>
              <w:spacing w:before="36"/>
              <w:ind w:left="107"/>
              <w:rPr>
                <w:sz w:val="21"/>
              </w:rPr>
            </w:pPr>
            <w:r>
              <w:rPr>
                <w:sz w:val="21"/>
              </w:rPr>
              <w:t>（2）出现主合同或本合同内的其他约定终止的情况。</w:t>
            </w:r>
          </w:p>
        </w:tc>
      </w:tr>
      <w:tr>
        <w:trPr>
          <w:trHeight w:val="856" w:hRule="atLeast"/>
        </w:trPr>
        <w:tc>
          <w:tcPr>
            <w:tcW w:w="738" w:type="dxa"/>
          </w:tcPr>
          <w:p>
            <w:pPr>
              <w:pStyle w:val="TableParagraph"/>
              <w:ind w:left="57"/>
              <w:rPr>
                <w:b/>
                <w:sz w:val="21"/>
              </w:rPr>
            </w:pPr>
            <w:r>
              <w:rPr>
                <w:b/>
                <w:sz w:val="21"/>
              </w:rPr>
              <w:t>10.3</w:t>
            </w:r>
          </w:p>
        </w:tc>
        <w:tc>
          <w:tcPr>
            <w:tcW w:w="1814" w:type="dxa"/>
          </w:tcPr>
          <w:p>
            <w:pPr>
              <w:pStyle w:val="TableParagraph"/>
              <w:spacing w:line="273" w:lineRule="auto"/>
              <w:ind w:left="257" w:right="286"/>
              <w:rPr>
                <w:b/>
                <w:sz w:val="21"/>
              </w:rPr>
            </w:pPr>
            <w:r>
              <w:rPr>
                <w:b/>
                <w:sz w:val="21"/>
              </w:rPr>
              <w:t>与主合同不一致的解决</w:t>
            </w:r>
          </w:p>
        </w:tc>
        <w:tc>
          <w:tcPr>
            <w:tcW w:w="7460" w:type="dxa"/>
          </w:tcPr>
          <w:p>
            <w:pPr>
              <w:pStyle w:val="TableParagraph"/>
              <w:spacing w:line="273" w:lineRule="auto"/>
              <w:ind w:left="107" w:right="79"/>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r>
        <w:trPr>
          <w:trHeight w:val="582" w:hRule="atLeast"/>
        </w:trPr>
        <w:tc>
          <w:tcPr>
            <w:tcW w:w="738" w:type="dxa"/>
            <w:tcBorders>
              <w:bottom w:val="single" w:sz="8" w:space="0" w:color="000000"/>
            </w:tcBorders>
          </w:tcPr>
          <w:p>
            <w:pPr>
              <w:pStyle w:val="TableParagraph"/>
              <w:spacing w:before="122"/>
              <w:ind w:left="57"/>
              <w:rPr>
                <w:b/>
                <w:sz w:val="28"/>
              </w:rPr>
            </w:pPr>
            <w:r>
              <w:rPr>
                <w:b/>
                <w:w w:val="99"/>
                <w:sz w:val="28"/>
              </w:rPr>
              <w:t>⒒</w:t>
            </w:r>
          </w:p>
        </w:tc>
        <w:tc>
          <w:tcPr>
            <w:tcW w:w="1814" w:type="dxa"/>
            <w:tcBorders>
              <w:bottom w:val="single" w:sz="8" w:space="0" w:color="000000"/>
            </w:tcBorders>
          </w:tcPr>
          <w:p>
            <w:pPr>
              <w:pStyle w:val="TableParagraph"/>
              <w:spacing w:before="119"/>
              <w:ind w:left="257"/>
              <w:rPr>
                <w:b/>
                <w:sz w:val="24"/>
              </w:rPr>
            </w:pPr>
            <w:r>
              <w:rPr>
                <w:b/>
                <w:sz w:val="24"/>
              </w:rPr>
              <w:t>释义</w:t>
            </w:r>
          </w:p>
        </w:tc>
        <w:tc>
          <w:tcPr>
            <w:tcW w:w="7460" w:type="dxa"/>
            <w:tcBorders>
              <w:bottom w:val="single" w:sz="8" w:space="0" w:color="000000"/>
            </w:tcBorders>
          </w:tcPr>
          <w:p>
            <w:pPr>
              <w:pStyle w:val="TableParagraph"/>
              <w:spacing w:before="0"/>
              <w:ind w:left="0"/>
              <w:rPr>
                <w:rFonts w:ascii="Times New Roman"/>
                <w:sz w:val="20"/>
              </w:rPr>
            </w:pPr>
          </w:p>
        </w:tc>
      </w:tr>
      <w:tr>
        <w:trPr>
          <w:trHeight w:val="885" w:hRule="atLeast"/>
        </w:trPr>
        <w:tc>
          <w:tcPr>
            <w:tcW w:w="10012" w:type="dxa"/>
            <w:gridSpan w:val="3"/>
            <w:tcBorders>
              <w:top w:val="single" w:sz="8" w:space="0" w:color="000000"/>
            </w:tcBorders>
          </w:tcPr>
          <w:p>
            <w:pPr>
              <w:pStyle w:val="TableParagraph"/>
              <w:spacing w:before="158"/>
              <w:ind w:left="995"/>
              <w:rPr>
                <w:rFonts w:ascii="黑体" w:eastAsia="黑体" w:hint="eastAsia"/>
                <w:b/>
                <w:sz w:val="21"/>
              </w:rPr>
            </w:pPr>
            <w:r>
              <w:rPr>
                <w:rFonts w:ascii="黑体" w:eastAsia="黑体" w:hint="eastAsia"/>
                <w:b/>
                <w:sz w:val="21"/>
              </w:rPr>
              <w:t>本合同中具有特定含义的名词，除非本合同另有释义，适用主合同的释义。</w:t>
            </w:r>
          </w:p>
          <w:p>
            <w:pPr>
              <w:pStyle w:val="TableParagraph"/>
              <w:spacing w:before="37"/>
              <w:ind w:left="995"/>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2141" w:hRule="atLeast"/>
        </w:trPr>
        <w:tc>
          <w:tcPr>
            <w:tcW w:w="738" w:type="dxa"/>
          </w:tcPr>
          <w:p>
            <w:pPr>
              <w:pStyle w:val="TableParagraph"/>
              <w:ind w:left="57"/>
              <w:rPr>
                <w:b/>
                <w:sz w:val="21"/>
              </w:rPr>
            </w:pPr>
            <w:r>
              <w:rPr>
                <w:b/>
                <w:sz w:val="21"/>
              </w:rPr>
              <w:t>11.1</w:t>
            </w:r>
          </w:p>
        </w:tc>
        <w:tc>
          <w:tcPr>
            <w:tcW w:w="1814" w:type="dxa"/>
          </w:tcPr>
          <w:p>
            <w:pPr>
              <w:pStyle w:val="TableParagraph"/>
              <w:spacing w:line="273" w:lineRule="auto"/>
              <w:ind w:left="257" w:right="105"/>
              <w:rPr>
                <w:b/>
                <w:sz w:val="21"/>
              </w:rPr>
            </w:pPr>
            <w:r>
              <w:rPr>
                <w:b/>
                <w:sz w:val="21"/>
              </w:rPr>
              <w:t>我们认可 的医院</w:t>
            </w:r>
          </w:p>
        </w:tc>
        <w:tc>
          <w:tcPr>
            <w:tcW w:w="7460" w:type="dxa"/>
          </w:tcPr>
          <w:p>
            <w:pPr>
              <w:pStyle w:val="TableParagraph"/>
              <w:spacing w:line="273" w:lineRule="auto"/>
              <w:ind w:left="107" w:right="79"/>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7"/>
              <w:ind w:left="107"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6" w:hRule="atLeast"/>
        </w:trPr>
        <w:tc>
          <w:tcPr>
            <w:tcW w:w="738" w:type="dxa"/>
          </w:tcPr>
          <w:p>
            <w:pPr>
              <w:pStyle w:val="TableParagraph"/>
              <w:spacing w:line="262" w:lineRule="exact" w:before="0"/>
              <w:ind w:left="57"/>
              <w:rPr>
                <w:b/>
                <w:sz w:val="21"/>
              </w:rPr>
            </w:pPr>
            <w:r>
              <w:rPr>
                <w:b/>
                <w:sz w:val="21"/>
              </w:rPr>
              <w:t>11.2</w:t>
            </w:r>
          </w:p>
        </w:tc>
        <w:tc>
          <w:tcPr>
            <w:tcW w:w="1814" w:type="dxa"/>
          </w:tcPr>
          <w:p>
            <w:pPr>
              <w:pStyle w:val="TableParagraph"/>
              <w:spacing w:line="262" w:lineRule="exact" w:before="0"/>
              <w:ind w:left="257"/>
              <w:rPr>
                <w:b/>
                <w:sz w:val="21"/>
              </w:rPr>
            </w:pPr>
            <w:r>
              <w:rPr>
                <w:b/>
                <w:sz w:val="21"/>
              </w:rPr>
              <w:t>毒品</w:t>
            </w:r>
          </w:p>
        </w:tc>
        <w:tc>
          <w:tcPr>
            <w:tcW w:w="7460" w:type="dxa"/>
            <w:tcBorders>
              <w:right w:val="single" w:sz="4" w:space="0" w:color="FFFFFF"/>
            </w:tcBorders>
          </w:tcPr>
          <w:p>
            <w:pPr>
              <w:pStyle w:val="TableParagraph"/>
              <w:spacing w:line="273" w:lineRule="auto" w:before="0"/>
              <w:ind w:left="107" w:right="-29"/>
              <w:rPr>
                <w:sz w:val="21"/>
              </w:rPr>
            </w:pPr>
            <w:r>
              <w:rPr>
                <w:spacing w:val="-7"/>
                <w:sz w:val="21"/>
              </w:rPr>
              <w:t>指中华人民共和国刑法规定的鸦片、海洛因、甲基苯丙胺</w:t>
            </w:r>
            <w:r>
              <w:rPr>
                <w:sz w:val="21"/>
              </w:rPr>
              <w:t>（</w:t>
            </w:r>
            <w:r>
              <w:rPr>
                <w:spacing w:val="-2"/>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4" w:hRule="atLeast"/>
        </w:trPr>
        <w:tc>
          <w:tcPr>
            <w:tcW w:w="738" w:type="dxa"/>
          </w:tcPr>
          <w:p>
            <w:pPr>
              <w:pStyle w:val="TableParagraph"/>
              <w:spacing w:before="167"/>
              <w:ind w:left="57"/>
              <w:rPr>
                <w:b/>
                <w:sz w:val="21"/>
              </w:rPr>
            </w:pPr>
            <w:r>
              <w:rPr>
                <w:b/>
                <w:sz w:val="21"/>
              </w:rPr>
              <w:t>11.3</w:t>
            </w:r>
          </w:p>
        </w:tc>
        <w:tc>
          <w:tcPr>
            <w:tcW w:w="1814" w:type="dxa"/>
          </w:tcPr>
          <w:p>
            <w:pPr>
              <w:pStyle w:val="TableParagraph"/>
              <w:spacing w:before="167"/>
              <w:ind w:left="257"/>
              <w:rPr>
                <w:b/>
                <w:sz w:val="21"/>
              </w:rPr>
            </w:pPr>
            <w:r>
              <w:rPr>
                <w:b/>
                <w:sz w:val="21"/>
              </w:rPr>
              <w:t>管制药品</w:t>
            </w:r>
          </w:p>
        </w:tc>
        <w:tc>
          <w:tcPr>
            <w:tcW w:w="7460" w:type="dxa"/>
          </w:tcPr>
          <w:p>
            <w:pPr>
              <w:pStyle w:val="TableParagraph"/>
              <w:spacing w:line="273" w:lineRule="auto" w:before="167"/>
              <w:ind w:left="107" w:right="79"/>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663" w:hRule="atLeast"/>
        </w:trPr>
        <w:tc>
          <w:tcPr>
            <w:tcW w:w="738" w:type="dxa"/>
          </w:tcPr>
          <w:p>
            <w:pPr>
              <w:pStyle w:val="TableParagraph"/>
              <w:ind w:left="57"/>
              <w:rPr>
                <w:b/>
                <w:sz w:val="21"/>
              </w:rPr>
            </w:pPr>
            <w:r>
              <w:rPr>
                <w:b/>
                <w:sz w:val="21"/>
              </w:rPr>
              <w:t>11.4</w:t>
            </w:r>
          </w:p>
        </w:tc>
        <w:tc>
          <w:tcPr>
            <w:tcW w:w="1814" w:type="dxa"/>
          </w:tcPr>
          <w:p>
            <w:pPr>
              <w:pStyle w:val="TableParagraph"/>
              <w:ind w:left="257"/>
              <w:rPr>
                <w:b/>
                <w:sz w:val="21"/>
              </w:rPr>
            </w:pPr>
            <w:r>
              <w:rPr>
                <w:b/>
                <w:sz w:val="21"/>
              </w:rPr>
              <w:t>酒后驾驶</w:t>
            </w:r>
          </w:p>
        </w:tc>
        <w:tc>
          <w:tcPr>
            <w:tcW w:w="7460" w:type="dxa"/>
          </w:tcPr>
          <w:p>
            <w:pPr>
              <w:pStyle w:val="TableParagraph"/>
              <w:spacing w:line="310" w:lineRule="atLeast" w:before="41"/>
              <w:ind w:left="107" w:right="80"/>
              <w:rPr>
                <w:sz w:val="21"/>
              </w:rPr>
            </w:pPr>
            <w:r>
              <w:rPr>
                <w:spacing w:val="-12"/>
                <w:sz w:val="21"/>
              </w:rPr>
              <w:t>指经检测或鉴定，发生保险事故时车辆驾驶人员每百毫升血液中的酒精含量达到</w:t>
            </w:r>
            <w:r>
              <w:rPr>
                <w:spacing w:val="-6"/>
                <w:sz w:val="21"/>
              </w:rPr>
              <w:t>或超过道路交通法规规定的标准。</w:t>
            </w:r>
          </w:p>
        </w:tc>
      </w:tr>
    </w:tbl>
    <w:p>
      <w:pPr>
        <w:spacing w:after="0" w:line="310" w:lineRule="atLeast"/>
        <w:rPr>
          <w:sz w:val="21"/>
        </w:rPr>
        <w:sectPr>
          <w:pgSz w:w="11910" w:h="16840"/>
          <w:pgMar w:header="566" w:footer="664" w:top="1000" w:bottom="860" w:left="960" w:right="7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472"/>
      </w:tblGrid>
      <w:tr>
        <w:trPr>
          <w:trHeight w:val="2536" w:hRule="atLeast"/>
        </w:trPr>
        <w:tc>
          <w:tcPr>
            <w:tcW w:w="934" w:type="dxa"/>
          </w:tcPr>
          <w:p>
            <w:pPr>
              <w:pStyle w:val="TableParagraph"/>
              <w:spacing w:line="211" w:lineRule="exact" w:before="0"/>
              <w:ind w:left="74" w:right="183"/>
              <w:jc w:val="center"/>
              <w:rPr>
                <w:b/>
                <w:sz w:val="21"/>
              </w:rPr>
            </w:pPr>
            <w:r>
              <w:rPr>
                <w:b/>
                <w:sz w:val="21"/>
              </w:rPr>
              <w:t>11.5</w:t>
            </w:r>
          </w:p>
        </w:tc>
        <w:tc>
          <w:tcPr>
            <w:tcW w:w="1772" w:type="dxa"/>
          </w:tcPr>
          <w:p>
            <w:pPr>
              <w:pStyle w:val="TableParagraph"/>
              <w:spacing w:line="211" w:lineRule="exact" w:before="0"/>
              <w:ind w:left="204"/>
              <w:rPr>
                <w:b/>
                <w:sz w:val="21"/>
              </w:rPr>
            </w:pPr>
            <w:r>
              <w:rPr>
                <w:b/>
                <w:sz w:val="21"/>
              </w:rPr>
              <w:t>无合法有效驾</w:t>
            </w:r>
          </w:p>
          <w:p>
            <w:pPr>
              <w:pStyle w:val="TableParagraph"/>
              <w:spacing w:before="37"/>
              <w:ind w:left="204"/>
              <w:rPr>
                <w:b/>
                <w:sz w:val="21"/>
              </w:rPr>
            </w:pPr>
            <w:r>
              <w:rPr>
                <w:b/>
                <w:sz w:val="21"/>
              </w:rPr>
              <w:t>驶证驾驶</w:t>
            </w:r>
          </w:p>
        </w:tc>
        <w:tc>
          <w:tcPr>
            <w:tcW w:w="7472" w:type="dxa"/>
          </w:tcPr>
          <w:p>
            <w:pPr>
              <w:pStyle w:val="TableParagraph"/>
              <w:spacing w:line="211" w:lineRule="exact" w:before="0"/>
              <w:ind w:left="96"/>
              <w:rPr>
                <w:sz w:val="21"/>
              </w:rPr>
            </w:pPr>
            <w:r>
              <w:rPr>
                <w:sz w:val="21"/>
              </w:rPr>
              <w:t>指下列情形之一：</w:t>
            </w:r>
          </w:p>
          <w:p>
            <w:pPr>
              <w:pStyle w:val="TableParagraph"/>
              <w:spacing w:before="37"/>
              <w:ind w:left="96"/>
              <w:rPr>
                <w:sz w:val="21"/>
              </w:rPr>
            </w:pPr>
            <w:r>
              <w:rPr>
                <w:sz w:val="21"/>
              </w:rPr>
              <w:t>（1）没有驾驶证驾驶；</w:t>
            </w:r>
          </w:p>
          <w:p>
            <w:pPr>
              <w:pStyle w:val="TableParagraph"/>
              <w:spacing w:before="36"/>
              <w:ind w:left="96"/>
              <w:rPr>
                <w:sz w:val="21"/>
              </w:rPr>
            </w:pPr>
            <w:r>
              <w:rPr>
                <w:sz w:val="21"/>
              </w:rPr>
              <w:t>（2）驾驶与驾驶证准驾车型不相符合的车辆；</w:t>
            </w:r>
          </w:p>
          <w:p>
            <w:pPr>
              <w:pStyle w:val="TableParagraph"/>
              <w:spacing w:before="36"/>
              <w:ind w:left="96"/>
              <w:rPr>
                <w:sz w:val="21"/>
              </w:rPr>
            </w:pPr>
            <w:r>
              <w:rPr>
                <w:sz w:val="21"/>
              </w:rPr>
              <w:t>（3）驾驶员持审验不合格的驾驶证驾驶；</w:t>
            </w:r>
          </w:p>
          <w:p>
            <w:pPr>
              <w:pStyle w:val="TableParagraph"/>
              <w:spacing w:before="36"/>
              <w:ind w:left="96"/>
              <w:rPr>
                <w:sz w:val="21"/>
              </w:rPr>
            </w:pPr>
            <w:r>
              <w:rPr>
                <w:sz w:val="21"/>
              </w:rPr>
              <w:t>（4）未经公安交通管理部门同意，持未审验的驾驶证驾驶；</w:t>
            </w:r>
          </w:p>
          <w:p>
            <w:pPr>
              <w:pStyle w:val="TableParagraph"/>
              <w:spacing w:line="273" w:lineRule="auto" w:before="36"/>
              <w:ind w:left="622" w:right="107" w:hanging="527"/>
              <w:rPr>
                <w:sz w:val="21"/>
              </w:rPr>
            </w:pPr>
            <w:r>
              <w:rPr>
                <w:sz w:val="21"/>
              </w:rPr>
              <w:t>（5）持学习驾驶证学习驾车时，无教练员随车指导，或不按指定时间、路线学习驾车；</w:t>
            </w:r>
          </w:p>
          <w:p>
            <w:pPr>
              <w:pStyle w:val="TableParagraph"/>
              <w:spacing w:before="7"/>
              <w:ind w:left="96"/>
              <w:rPr>
                <w:sz w:val="21"/>
              </w:rPr>
            </w:pPr>
            <w:r>
              <w:rPr>
                <w:sz w:val="21"/>
              </w:rPr>
              <w:t>（6）公安交通管理部门规定的其他无有效驾驶证驾驶的情况。</w:t>
            </w:r>
          </w:p>
        </w:tc>
      </w:tr>
      <w:tr>
        <w:trPr>
          <w:trHeight w:val="1115" w:hRule="atLeast"/>
        </w:trPr>
        <w:tc>
          <w:tcPr>
            <w:tcW w:w="934" w:type="dxa"/>
          </w:tcPr>
          <w:p>
            <w:pPr>
              <w:pStyle w:val="TableParagraph"/>
              <w:ind w:left="74" w:right="183"/>
              <w:jc w:val="center"/>
              <w:rPr>
                <w:b/>
                <w:sz w:val="21"/>
              </w:rPr>
            </w:pPr>
            <w:r>
              <w:rPr>
                <w:b/>
                <w:sz w:val="21"/>
              </w:rPr>
              <w:t>11.6</w:t>
            </w:r>
          </w:p>
        </w:tc>
        <w:tc>
          <w:tcPr>
            <w:tcW w:w="1772" w:type="dxa"/>
          </w:tcPr>
          <w:p>
            <w:pPr>
              <w:pStyle w:val="TableParagraph"/>
              <w:ind w:left="204"/>
              <w:rPr>
                <w:b/>
                <w:sz w:val="21"/>
              </w:rPr>
            </w:pPr>
            <w:r>
              <w:rPr>
                <w:b/>
                <w:sz w:val="21"/>
              </w:rPr>
              <w:t>无有效行驶证</w:t>
            </w:r>
          </w:p>
        </w:tc>
        <w:tc>
          <w:tcPr>
            <w:tcW w:w="7472" w:type="dxa"/>
          </w:tcPr>
          <w:p>
            <w:pPr>
              <w:pStyle w:val="TableParagraph"/>
              <w:ind w:left="96"/>
              <w:rPr>
                <w:sz w:val="21"/>
              </w:rPr>
            </w:pPr>
            <w:r>
              <w:rPr>
                <w:sz w:val="21"/>
              </w:rPr>
              <w:t>指下列情形之一：</w:t>
            </w:r>
          </w:p>
          <w:p>
            <w:pPr>
              <w:pStyle w:val="TableParagraph"/>
              <w:spacing w:before="36"/>
              <w:ind w:left="96"/>
              <w:rPr>
                <w:sz w:val="21"/>
              </w:rPr>
            </w:pPr>
            <w:r>
              <w:rPr>
                <w:sz w:val="21"/>
              </w:rPr>
              <w:t>（1）没有机动车行驶证；</w:t>
            </w:r>
          </w:p>
          <w:p>
            <w:pPr>
              <w:pStyle w:val="TableParagraph"/>
              <w:spacing w:before="36"/>
              <w:ind w:left="96"/>
              <w:rPr>
                <w:sz w:val="21"/>
              </w:rPr>
            </w:pPr>
            <w:r>
              <w:rPr>
                <w:sz w:val="21"/>
              </w:rPr>
              <w:t>（2）未在法律规定期限内按时进行或通过安全技术检验。</w:t>
            </w:r>
          </w:p>
        </w:tc>
      </w:tr>
      <w:tr>
        <w:trPr>
          <w:trHeight w:val="804" w:hRule="atLeast"/>
        </w:trPr>
        <w:tc>
          <w:tcPr>
            <w:tcW w:w="934" w:type="dxa"/>
          </w:tcPr>
          <w:p>
            <w:pPr>
              <w:pStyle w:val="TableParagraph"/>
              <w:ind w:left="74" w:right="183"/>
              <w:jc w:val="center"/>
              <w:rPr>
                <w:b/>
                <w:sz w:val="21"/>
              </w:rPr>
            </w:pPr>
            <w:r>
              <w:rPr>
                <w:b/>
                <w:sz w:val="21"/>
              </w:rPr>
              <w:t>11.7</w:t>
            </w:r>
          </w:p>
        </w:tc>
        <w:tc>
          <w:tcPr>
            <w:tcW w:w="1772" w:type="dxa"/>
          </w:tcPr>
          <w:p>
            <w:pPr>
              <w:pStyle w:val="TableParagraph"/>
              <w:ind w:left="204"/>
              <w:rPr>
                <w:b/>
                <w:sz w:val="21"/>
              </w:rPr>
            </w:pPr>
            <w:r>
              <w:rPr>
                <w:b/>
                <w:sz w:val="21"/>
              </w:rPr>
              <w:t>机动车</w:t>
            </w:r>
          </w:p>
        </w:tc>
        <w:tc>
          <w:tcPr>
            <w:tcW w:w="7472" w:type="dxa"/>
          </w:tcPr>
          <w:p>
            <w:pPr>
              <w:pStyle w:val="TableParagraph"/>
              <w:spacing w:line="273" w:lineRule="auto"/>
              <w:ind w:left="96" w:right="103"/>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934" w:type="dxa"/>
          </w:tcPr>
          <w:p>
            <w:pPr>
              <w:pStyle w:val="TableParagraph"/>
              <w:ind w:left="74" w:right="183"/>
              <w:jc w:val="center"/>
              <w:rPr>
                <w:b/>
                <w:sz w:val="21"/>
              </w:rPr>
            </w:pPr>
            <w:r>
              <w:rPr>
                <w:b/>
                <w:sz w:val="21"/>
              </w:rPr>
              <w:t>11.8</w:t>
            </w:r>
          </w:p>
        </w:tc>
        <w:tc>
          <w:tcPr>
            <w:tcW w:w="1772" w:type="dxa"/>
          </w:tcPr>
          <w:p>
            <w:pPr>
              <w:pStyle w:val="TableParagraph"/>
              <w:spacing w:line="273" w:lineRule="auto"/>
              <w:ind w:left="204" w:right="299"/>
              <w:rPr>
                <w:b/>
                <w:sz w:val="21"/>
              </w:rPr>
            </w:pPr>
            <w:r>
              <w:rPr>
                <w:b/>
                <w:sz w:val="21"/>
              </w:rPr>
              <w:t>感染艾滋病病毒或患艾滋病</w:t>
            </w:r>
          </w:p>
        </w:tc>
        <w:tc>
          <w:tcPr>
            <w:tcW w:w="7472" w:type="dxa"/>
          </w:tcPr>
          <w:p>
            <w:pPr>
              <w:pStyle w:val="TableParagraph"/>
              <w:spacing w:line="273" w:lineRule="auto"/>
              <w:ind w:left="96" w:right="1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96" w:right="102"/>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934" w:type="dxa"/>
          </w:tcPr>
          <w:p>
            <w:pPr>
              <w:pStyle w:val="TableParagraph"/>
              <w:spacing w:line="262" w:lineRule="exact" w:before="0"/>
              <w:ind w:left="74" w:right="183"/>
              <w:jc w:val="center"/>
              <w:rPr>
                <w:b/>
                <w:sz w:val="21"/>
              </w:rPr>
            </w:pPr>
            <w:r>
              <w:rPr>
                <w:b/>
                <w:sz w:val="21"/>
              </w:rPr>
              <w:t>11.9</w:t>
            </w:r>
          </w:p>
        </w:tc>
        <w:tc>
          <w:tcPr>
            <w:tcW w:w="1772" w:type="dxa"/>
          </w:tcPr>
          <w:p>
            <w:pPr>
              <w:pStyle w:val="TableParagraph"/>
              <w:spacing w:line="262" w:lineRule="exact" w:before="0"/>
              <w:ind w:left="204"/>
              <w:rPr>
                <w:b/>
                <w:sz w:val="21"/>
              </w:rPr>
            </w:pPr>
            <w:r>
              <w:rPr>
                <w:b/>
                <w:sz w:val="21"/>
              </w:rPr>
              <w:t>遗传性疾病</w:t>
            </w:r>
          </w:p>
        </w:tc>
        <w:tc>
          <w:tcPr>
            <w:tcW w:w="7472" w:type="dxa"/>
            <w:tcBorders>
              <w:right w:val="single" w:sz="4" w:space="0" w:color="FFFFFF"/>
            </w:tcBorders>
          </w:tcPr>
          <w:p>
            <w:pPr>
              <w:pStyle w:val="TableParagraph"/>
              <w:spacing w:line="273" w:lineRule="auto" w:before="0"/>
              <w:ind w:left="9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207" w:hRule="atLeast"/>
        </w:trPr>
        <w:tc>
          <w:tcPr>
            <w:tcW w:w="934" w:type="dxa"/>
          </w:tcPr>
          <w:p>
            <w:pPr>
              <w:pStyle w:val="TableParagraph"/>
              <w:spacing w:before="167"/>
              <w:ind w:left="180" w:right="183"/>
              <w:jc w:val="center"/>
              <w:rPr>
                <w:b/>
                <w:sz w:val="21"/>
              </w:rPr>
            </w:pPr>
            <w:r>
              <w:rPr>
                <w:b/>
                <w:sz w:val="21"/>
              </w:rPr>
              <w:t>11.10</w:t>
            </w:r>
          </w:p>
        </w:tc>
        <w:tc>
          <w:tcPr>
            <w:tcW w:w="1772" w:type="dxa"/>
          </w:tcPr>
          <w:p>
            <w:pPr>
              <w:pStyle w:val="TableParagraph"/>
              <w:spacing w:line="273" w:lineRule="auto" w:before="167"/>
              <w:ind w:left="204" w:right="115"/>
              <w:jc w:val="both"/>
              <w:rPr>
                <w:b/>
                <w:sz w:val="21"/>
              </w:rPr>
            </w:pPr>
            <w:r>
              <w:rPr>
                <w:b/>
                <w:spacing w:val="-6"/>
                <w:sz w:val="21"/>
              </w:rPr>
              <w:t>先天性畸形、变</w:t>
            </w:r>
            <w:r>
              <w:rPr>
                <w:b/>
                <w:spacing w:val="7"/>
                <w:sz w:val="21"/>
              </w:rPr>
              <w:t>形 或染色体异常</w:t>
            </w:r>
          </w:p>
        </w:tc>
        <w:tc>
          <w:tcPr>
            <w:tcW w:w="7472" w:type="dxa"/>
          </w:tcPr>
          <w:p>
            <w:pPr>
              <w:pStyle w:val="TableParagraph"/>
              <w:spacing w:line="273" w:lineRule="auto" w:before="167"/>
              <w:ind w:left="96" w:right="103"/>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r>
        <w:trPr>
          <w:trHeight w:val="893" w:hRule="atLeast"/>
        </w:trPr>
        <w:tc>
          <w:tcPr>
            <w:tcW w:w="934" w:type="dxa"/>
          </w:tcPr>
          <w:p>
            <w:pPr>
              <w:pStyle w:val="TableParagraph"/>
              <w:spacing w:before="77"/>
              <w:ind w:left="180" w:right="183"/>
              <w:jc w:val="center"/>
              <w:rPr>
                <w:b/>
                <w:sz w:val="21"/>
              </w:rPr>
            </w:pPr>
            <w:r>
              <w:rPr>
                <w:b/>
                <w:sz w:val="21"/>
              </w:rPr>
              <w:t>11.11</w:t>
            </w:r>
          </w:p>
        </w:tc>
        <w:tc>
          <w:tcPr>
            <w:tcW w:w="1772" w:type="dxa"/>
          </w:tcPr>
          <w:p>
            <w:pPr>
              <w:pStyle w:val="TableParagraph"/>
              <w:spacing w:before="77"/>
              <w:ind w:left="204"/>
              <w:rPr>
                <w:b/>
                <w:sz w:val="21"/>
              </w:rPr>
            </w:pPr>
            <w:r>
              <w:rPr>
                <w:b/>
                <w:sz w:val="21"/>
              </w:rPr>
              <w:t>现金价值</w:t>
            </w:r>
          </w:p>
        </w:tc>
        <w:tc>
          <w:tcPr>
            <w:tcW w:w="7472" w:type="dxa"/>
          </w:tcPr>
          <w:p>
            <w:pPr>
              <w:pStyle w:val="TableParagraph"/>
              <w:spacing w:line="273" w:lineRule="auto" w:before="77"/>
              <w:ind w:left="96" w:right="103"/>
              <w:rPr>
                <w:sz w:val="21"/>
              </w:rPr>
            </w:pPr>
            <w:r>
              <w:rPr>
                <w:spacing w:val="-9"/>
                <w:sz w:val="21"/>
              </w:rPr>
              <w:t>一般指保险单所具有的价值，通常体现为解除本合同时，由我们向您退还的那部</w:t>
            </w:r>
            <w:r>
              <w:rPr>
                <w:spacing w:val="-6"/>
                <w:sz w:val="21"/>
              </w:rPr>
              <w:t>分金额。</w:t>
            </w:r>
          </w:p>
        </w:tc>
      </w:tr>
      <w:tr>
        <w:trPr>
          <w:trHeight w:val="1872" w:hRule="atLeast"/>
        </w:trPr>
        <w:tc>
          <w:tcPr>
            <w:tcW w:w="934" w:type="dxa"/>
          </w:tcPr>
          <w:p>
            <w:pPr>
              <w:pStyle w:val="TableParagraph"/>
              <w:spacing w:line="262" w:lineRule="exact" w:before="0"/>
              <w:ind w:left="180" w:right="183"/>
              <w:jc w:val="center"/>
              <w:rPr>
                <w:b/>
                <w:sz w:val="21"/>
              </w:rPr>
            </w:pPr>
            <w:r>
              <w:rPr>
                <w:b/>
                <w:sz w:val="21"/>
              </w:rPr>
              <w:t>11.12</w:t>
            </w:r>
          </w:p>
        </w:tc>
        <w:tc>
          <w:tcPr>
            <w:tcW w:w="1772" w:type="dxa"/>
          </w:tcPr>
          <w:p>
            <w:pPr>
              <w:pStyle w:val="TableParagraph"/>
              <w:spacing w:line="262" w:lineRule="exact" w:before="0"/>
              <w:ind w:left="204"/>
              <w:rPr>
                <w:b/>
                <w:sz w:val="21"/>
              </w:rPr>
            </w:pPr>
            <w:r>
              <w:rPr>
                <w:b/>
                <w:sz w:val="21"/>
              </w:rPr>
              <w:t>专科医生</w:t>
            </w:r>
          </w:p>
        </w:tc>
        <w:tc>
          <w:tcPr>
            <w:tcW w:w="7472" w:type="dxa"/>
            <w:tcBorders>
              <w:right w:val="single" w:sz="4" w:space="0" w:color="FFFFFF"/>
            </w:tcBorders>
          </w:tcPr>
          <w:p>
            <w:pPr>
              <w:pStyle w:val="TableParagraph"/>
              <w:spacing w:line="262" w:lineRule="exact" w:before="0"/>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before="37"/>
              <w:ind w:left="96"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22" w:right="119" w:hanging="527"/>
              <w:rPr>
                <w:sz w:val="21"/>
              </w:rPr>
            </w:pPr>
            <w:r>
              <w:rPr>
                <w:sz w:val="21"/>
              </w:rPr>
              <w:t>（3）具有有效的中华人民共和国主治医师或主治医师以上职称的《医师职称证书》；</w:t>
            </w:r>
          </w:p>
          <w:p>
            <w:pPr>
              <w:pStyle w:val="TableParagraph"/>
              <w:spacing w:before="7"/>
              <w:ind w:left="96"/>
              <w:rPr>
                <w:sz w:val="21"/>
              </w:rPr>
            </w:pPr>
            <w:r>
              <w:rPr>
                <w:sz w:val="21"/>
              </w:rPr>
              <w:t>（4）在二级或二级以上医院的相应科室从事临床工作 3 年以上。</w:t>
            </w:r>
          </w:p>
        </w:tc>
      </w:tr>
      <w:tr>
        <w:trPr>
          <w:trHeight w:val="895" w:hRule="atLeast"/>
        </w:trPr>
        <w:tc>
          <w:tcPr>
            <w:tcW w:w="934" w:type="dxa"/>
          </w:tcPr>
          <w:p>
            <w:pPr>
              <w:pStyle w:val="TableParagraph"/>
              <w:spacing w:before="167"/>
              <w:ind w:left="180" w:right="183"/>
              <w:jc w:val="center"/>
              <w:rPr>
                <w:b/>
                <w:sz w:val="21"/>
              </w:rPr>
            </w:pPr>
            <w:r>
              <w:rPr>
                <w:b/>
                <w:sz w:val="21"/>
              </w:rPr>
              <w:t>11.13</w:t>
            </w:r>
          </w:p>
        </w:tc>
        <w:tc>
          <w:tcPr>
            <w:tcW w:w="1772" w:type="dxa"/>
          </w:tcPr>
          <w:p>
            <w:pPr>
              <w:pStyle w:val="TableParagraph"/>
              <w:spacing w:line="273" w:lineRule="auto" w:before="167"/>
              <w:ind w:left="204" w:right="117"/>
              <w:rPr>
                <w:b/>
                <w:sz w:val="21"/>
              </w:rPr>
            </w:pPr>
            <w:r>
              <w:rPr>
                <w:b/>
                <w:sz w:val="21"/>
              </w:rPr>
              <w:t>肢体机能 完全丧失</w:t>
            </w:r>
          </w:p>
        </w:tc>
        <w:tc>
          <w:tcPr>
            <w:tcW w:w="7472" w:type="dxa"/>
          </w:tcPr>
          <w:p>
            <w:pPr>
              <w:pStyle w:val="TableParagraph"/>
              <w:spacing w:line="273" w:lineRule="auto" w:before="167"/>
              <w:ind w:left="96"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934" w:type="dxa"/>
          </w:tcPr>
          <w:p>
            <w:pPr>
              <w:pStyle w:val="TableParagraph"/>
              <w:spacing w:before="77"/>
              <w:ind w:left="180" w:right="183"/>
              <w:jc w:val="center"/>
              <w:rPr>
                <w:b/>
                <w:sz w:val="21"/>
              </w:rPr>
            </w:pPr>
            <w:r>
              <w:rPr>
                <w:b/>
                <w:sz w:val="21"/>
              </w:rPr>
              <w:t>11.14</w:t>
            </w:r>
          </w:p>
        </w:tc>
        <w:tc>
          <w:tcPr>
            <w:tcW w:w="1772" w:type="dxa"/>
          </w:tcPr>
          <w:p>
            <w:pPr>
              <w:pStyle w:val="TableParagraph"/>
              <w:spacing w:line="273" w:lineRule="auto" w:before="77"/>
              <w:ind w:left="204" w:right="117"/>
              <w:jc w:val="both"/>
              <w:rPr>
                <w:b/>
                <w:sz w:val="21"/>
              </w:rPr>
            </w:pPr>
            <w:r>
              <w:rPr>
                <w:b/>
                <w:sz w:val="21"/>
              </w:rPr>
              <w:t>语言能力 或咀嚼吞咽能 力完全丧失</w:t>
            </w:r>
          </w:p>
        </w:tc>
        <w:tc>
          <w:tcPr>
            <w:tcW w:w="7472" w:type="dxa"/>
          </w:tcPr>
          <w:p>
            <w:pPr>
              <w:pStyle w:val="TableParagraph"/>
              <w:spacing w:line="273" w:lineRule="auto" w:before="77"/>
              <w:ind w:left="96" w:right="103"/>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663" w:hRule="atLeast"/>
        </w:trPr>
        <w:tc>
          <w:tcPr>
            <w:tcW w:w="934" w:type="dxa"/>
          </w:tcPr>
          <w:p>
            <w:pPr>
              <w:pStyle w:val="TableParagraph"/>
              <w:ind w:left="180" w:right="183"/>
              <w:jc w:val="center"/>
              <w:rPr>
                <w:b/>
                <w:sz w:val="21"/>
              </w:rPr>
            </w:pPr>
            <w:r>
              <w:rPr>
                <w:b/>
                <w:sz w:val="21"/>
              </w:rPr>
              <w:t>11.15</w:t>
            </w:r>
          </w:p>
        </w:tc>
        <w:tc>
          <w:tcPr>
            <w:tcW w:w="1772" w:type="dxa"/>
          </w:tcPr>
          <w:p>
            <w:pPr>
              <w:pStyle w:val="TableParagraph"/>
              <w:spacing w:line="310" w:lineRule="atLeast" w:before="41"/>
              <w:ind w:left="204" w:right="54"/>
              <w:rPr>
                <w:b/>
                <w:sz w:val="21"/>
              </w:rPr>
            </w:pPr>
            <w:r>
              <w:rPr>
                <w:b/>
                <w:sz w:val="21"/>
              </w:rPr>
              <w:t>六项基本日常生活活动</w:t>
            </w:r>
          </w:p>
        </w:tc>
        <w:tc>
          <w:tcPr>
            <w:tcW w:w="7472" w:type="dxa"/>
          </w:tcPr>
          <w:p>
            <w:pPr>
              <w:pStyle w:val="TableParagraph"/>
              <w:ind w:left="96"/>
              <w:rPr>
                <w:sz w:val="21"/>
              </w:rPr>
            </w:pPr>
            <w:r>
              <w:rPr>
                <w:sz w:val="21"/>
              </w:rPr>
              <w:t>六项基本日常生活活动是指：</w:t>
            </w:r>
          </w:p>
          <w:p>
            <w:pPr>
              <w:pStyle w:val="TableParagraph"/>
              <w:spacing w:line="255" w:lineRule="exact" w:before="36"/>
              <w:ind w:left="96"/>
              <w:rPr>
                <w:sz w:val="21"/>
              </w:rPr>
            </w:pPr>
            <w:r>
              <w:rPr>
                <w:sz w:val="21"/>
              </w:rPr>
              <w:t>（1）穿衣：自己能够穿衣及脱衣；</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671"/>
        <w:gridCol w:w="7670"/>
      </w:tblGrid>
      <w:tr>
        <w:trPr>
          <w:trHeight w:val="1600" w:hRule="atLeast"/>
        </w:trPr>
        <w:tc>
          <w:tcPr>
            <w:tcW w:w="934" w:type="dxa"/>
          </w:tcPr>
          <w:p>
            <w:pPr>
              <w:pStyle w:val="TableParagraph"/>
              <w:spacing w:before="0"/>
              <w:ind w:left="0"/>
              <w:rPr>
                <w:rFonts w:ascii="Times New Roman"/>
                <w:sz w:val="20"/>
              </w:rPr>
            </w:pPr>
          </w:p>
        </w:tc>
        <w:tc>
          <w:tcPr>
            <w:tcW w:w="1671" w:type="dxa"/>
          </w:tcPr>
          <w:p>
            <w:pPr>
              <w:pStyle w:val="TableParagraph"/>
              <w:spacing w:before="0"/>
              <w:ind w:left="0"/>
              <w:rPr>
                <w:rFonts w:ascii="Times New Roman"/>
                <w:sz w:val="20"/>
              </w:rPr>
            </w:pPr>
          </w:p>
        </w:tc>
        <w:tc>
          <w:tcPr>
            <w:tcW w:w="7670" w:type="dxa"/>
          </w:tcPr>
          <w:p>
            <w:pPr>
              <w:pStyle w:val="TableParagraph"/>
              <w:spacing w:line="211" w:lineRule="exact" w:before="0"/>
              <w:ind w:left="197"/>
              <w:rPr>
                <w:sz w:val="21"/>
              </w:rPr>
            </w:pPr>
            <w:r>
              <w:rPr>
                <w:sz w:val="21"/>
              </w:rPr>
              <w:t>（2）移动：自己从一个房间到另一个房间；</w:t>
            </w:r>
          </w:p>
          <w:p>
            <w:pPr>
              <w:pStyle w:val="TableParagraph"/>
              <w:spacing w:before="37"/>
              <w:ind w:left="197"/>
              <w:rPr>
                <w:sz w:val="21"/>
              </w:rPr>
            </w:pPr>
            <w:r>
              <w:rPr>
                <w:sz w:val="21"/>
              </w:rPr>
              <w:t>（3）行动：自己上下床或上下轮椅；</w:t>
            </w:r>
          </w:p>
          <w:p>
            <w:pPr>
              <w:pStyle w:val="TableParagraph"/>
              <w:spacing w:before="36"/>
              <w:ind w:left="197"/>
              <w:rPr>
                <w:sz w:val="21"/>
              </w:rPr>
            </w:pPr>
            <w:r>
              <w:rPr>
                <w:sz w:val="21"/>
              </w:rPr>
              <w:t>（4）如厕：自己控制进行大小便；</w:t>
            </w:r>
          </w:p>
          <w:p>
            <w:pPr>
              <w:pStyle w:val="TableParagraph"/>
              <w:spacing w:before="36"/>
              <w:ind w:left="197"/>
              <w:rPr>
                <w:sz w:val="21"/>
              </w:rPr>
            </w:pPr>
            <w:r>
              <w:rPr>
                <w:sz w:val="21"/>
              </w:rPr>
              <w:t>（5）进食：自己从已准备好的碗或碟中取食物放入口中；</w:t>
            </w:r>
          </w:p>
          <w:p>
            <w:pPr>
              <w:pStyle w:val="TableParagraph"/>
              <w:spacing w:before="36"/>
              <w:ind w:left="197"/>
              <w:rPr>
                <w:sz w:val="21"/>
              </w:rPr>
            </w:pPr>
            <w:r>
              <w:rPr>
                <w:sz w:val="21"/>
              </w:rPr>
              <w:t>（6）洗澡：自己进行淋浴或盆浴。</w:t>
            </w:r>
          </w:p>
        </w:tc>
      </w:tr>
      <w:tr>
        <w:trPr>
          <w:trHeight w:val="804" w:hRule="atLeast"/>
        </w:trPr>
        <w:tc>
          <w:tcPr>
            <w:tcW w:w="934" w:type="dxa"/>
          </w:tcPr>
          <w:p>
            <w:pPr>
              <w:pStyle w:val="TableParagraph"/>
              <w:ind w:left="180" w:right="183"/>
              <w:jc w:val="center"/>
              <w:rPr>
                <w:b/>
                <w:sz w:val="21"/>
              </w:rPr>
            </w:pPr>
            <w:r>
              <w:rPr>
                <w:b/>
                <w:sz w:val="21"/>
              </w:rPr>
              <w:t>11.16</w:t>
            </w:r>
          </w:p>
        </w:tc>
        <w:tc>
          <w:tcPr>
            <w:tcW w:w="1671" w:type="dxa"/>
          </w:tcPr>
          <w:p>
            <w:pPr>
              <w:pStyle w:val="TableParagraph"/>
              <w:ind w:left="204"/>
              <w:rPr>
                <w:b/>
                <w:sz w:val="21"/>
              </w:rPr>
            </w:pPr>
            <w:r>
              <w:rPr>
                <w:b/>
                <w:sz w:val="21"/>
              </w:rPr>
              <w:t>永久不可逆</w:t>
            </w:r>
          </w:p>
        </w:tc>
        <w:tc>
          <w:tcPr>
            <w:tcW w:w="7670" w:type="dxa"/>
          </w:tcPr>
          <w:p>
            <w:pPr>
              <w:pStyle w:val="TableParagraph"/>
              <w:spacing w:line="273" w:lineRule="auto"/>
              <w:ind w:left="197" w:right="199"/>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80" w:right="183"/>
              <w:jc w:val="center"/>
              <w:rPr>
                <w:b/>
                <w:sz w:val="21"/>
              </w:rPr>
            </w:pPr>
            <w:r>
              <w:rPr>
                <w:b/>
                <w:sz w:val="21"/>
              </w:rPr>
              <w:t>11.17</w:t>
            </w:r>
          </w:p>
        </w:tc>
        <w:tc>
          <w:tcPr>
            <w:tcW w:w="1671" w:type="dxa"/>
          </w:tcPr>
          <w:p>
            <w:pPr>
              <w:pStyle w:val="TableParagraph"/>
              <w:spacing w:line="310" w:lineRule="atLeast" w:before="41"/>
              <w:ind w:left="204" w:right="198"/>
              <w:rPr>
                <w:b/>
                <w:sz w:val="21"/>
              </w:rPr>
            </w:pPr>
            <w:r>
              <w:rPr>
                <w:b/>
                <w:sz w:val="21"/>
              </w:rPr>
              <w:t>本合同约定利率</w:t>
            </w:r>
          </w:p>
        </w:tc>
        <w:tc>
          <w:tcPr>
            <w:tcW w:w="7670" w:type="dxa"/>
          </w:tcPr>
          <w:p>
            <w:pPr>
              <w:pStyle w:val="TableParagraph"/>
              <w:ind w:left="197"/>
              <w:rPr>
                <w:sz w:val="21"/>
              </w:rPr>
            </w:pPr>
            <w:r>
              <w:rPr>
                <w:sz w:val="21"/>
              </w:rPr>
              <w:t>指我们参照中国人民银行最近一次规定的 6 个月期人民币贷款利率所确定的利</w:t>
            </w:r>
          </w:p>
          <w:p>
            <w:pPr>
              <w:pStyle w:val="TableParagraph"/>
              <w:spacing w:line="255" w:lineRule="exact" w:before="36"/>
              <w:ind w:left="197"/>
              <w:rPr>
                <w:sz w:val="21"/>
              </w:rPr>
            </w:pPr>
            <w:r>
              <w:rPr>
                <w:sz w:val="21"/>
              </w:rPr>
              <w:t>率。我们在每年的 1 月 1 日和 7 月 1 日确定并以适当方式公布。</w:t>
            </w:r>
          </w:p>
        </w:tc>
      </w:tr>
    </w:tbl>
    <w:sectPr>
      <w:pgSz w:w="11910" w:h="16840"/>
      <w:pgMar w:header="566" w:footer="664" w:top="1000" w:bottom="86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772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7663">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7768"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0.549988pt;margin-top:37.585609pt;width:181.95pt;height:11pt;mso-position-horizontal-relative:page;mso-position-vertical-relative:page;z-index:-37744" type="#_x0000_t202" filled="false" stroked="false">
          <v:textbox inset="0,0,0,0">
            <w:txbxContent>
              <w:p>
                <w:pPr>
                  <w:spacing w:line="200" w:lineRule="exact" w:before="0"/>
                  <w:ind w:left="20" w:right="0" w:firstLine="0"/>
                  <w:jc w:val="left"/>
                  <w:rPr>
                    <w:sz w:val="18"/>
                  </w:rPr>
                </w:pPr>
                <w:r>
                  <w:rPr>
                    <w:sz w:val="18"/>
                  </w:rPr>
                  <w:t>百年附加福瑞安康提前给付重大疾病保险条款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686"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56" w:hanging="279"/>
      </w:pPr>
      <w:rPr>
        <w:rFonts w:hint="default"/>
      </w:rPr>
    </w:lvl>
    <w:lvl w:ilvl="2">
      <w:start w:val="0"/>
      <w:numFmt w:val="bullet"/>
      <w:lvlText w:val="•"/>
      <w:lvlJc w:val="left"/>
      <w:pPr>
        <w:ind w:left="2033" w:hanging="279"/>
      </w:pPr>
      <w:rPr>
        <w:rFonts w:hint="default"/>
      </w:rPr>
    </w:lvl>
    <w:lvl w:ilvl="3">
      <w:start w:val="0"/>
      <w:numFmt w:val="bullet"/>
      <w:lvlText w:val="•"/>
      <w:lvlJc w:val="left"/>
      <w:pPr>
        <w:ind w:left="2709" w:hanging="279"/>
      </w:pPr>
      <w:rPr>
        <w:rFonts w:hint="default"/>
      </w:rPr>
    </w:lvl>
    <w:lvl w:ilvl="4">
      <w:start w:val="0"/>
      <w:numFmt w:val="bullet"/>
      <w:lvlText w:val="•"/>
      <w:lvlJc w:val="left"/>
      <w:pPr>
        <w:ind w:left="3386" w:hanging="279"/>
      </w:pPr>
      <w:rPr>
        <w:rFonts w:hint="default"/>
      </w:rPr>
    </w:lvl>
    <w:lvl w:ilvl="5">
      <w:start w:val="0"/>
      <w:numFmt w:val="bullet"/>
      <w:lvlText w:val="•"/>
      <w:lvlJc w:val="left"/>
      <w:pPr>
        <w:ind w:left="4062" w:hanging="279"/>
      </w:pPr>
      <w:rPr>
        <w:rFonts w:hint="default"/>
      </w:rPr>
    </w:lvl>
    <w:lvl w:ilvl="6">
      <w:start w:val="0"/>
      <w:numFmt w:val="bullet"/>
      <w:lvlText w:val="•"/>
      <w:lvlJc w:val="left"/>
      <w:pPr>
        <w:ind w:left="4739" w:hanging="279"/>
      </w:pPr>
      <w:rPr>
        <w:rFonts w:hint="default"/>
      </w:rPr>
    </w:lvl>
    <w:lvl w:ilvl="7">
      <w:start w:val="0"/>
      <w:numFmt w:val="bullet"/>
      <w:lvlText w:val="•"/>
      <w:lvlJc w:val="left"/>
      <w:pPr>
        <w:ind w:left="5415" w:hanging="279"/>
      </w:pPr>
      <w:rPr>
        <w:rFonts w:hint="default"/>
      </w:rPr>
    </w:lvl>
    <w:lvl w:ilvl="8">
      <w:start w:val="0"/>
      <w:numFmt w:val="bullet"/>
      <w:lvlText w:val="•"/>
      <w:lvlJc w:val="left"/>
      <w:pPr>
        <w:ind w:left="6092" w:hanging="279"/>
      </w:pPr>
      <w:rPr>
        <w:rFonts w:hint="default"/>
      </w:rPr>
    </w:lvl>
  </w:abstractNum>
  <w:abstractNum w:abstractNumId="13">
    <w:multiLevelType w:val="hybridMultilevel"/>
    <w:lvl w:ilvl="0">
      <w:start w:val="1"/>
      <w:numFmt w:val="decimal"/>
      <w:lvlText w:val="（%1）"/>
      <w:lvlJc w:val="left"/>
      <w:pPr>
        <w:ind w:left="722" w:hanging="632"/>
        <w:jc w:val="left"/>
      </w:pPr>
      <w:rPr>
        <w:rFonts w:hint="default" w:ascii="宋体" w:hAnsi="宋体" w:eastAsia="宋体" w:cs="宋体"/>
        <w:w w:val="100"/>
        <w:sz w:val="21"/>
        <w:szCs w:val="21"/>
      </w:rPr>
    </w:lvl>
    <w:lvl w:ilvl="1">
      <w:start w:val="0"/>
      <w:numFmt w:val="bullet"/>
      <w:lvlText w:val="•"/>
      <w:lvlJc w:val="left"/>
      <w:pPr>
        <w:ind w:left="1392" w:hanging="632"/>
      </w:pPr>
      <w:rPr>
        <w:rFonts w:hint="default"/>
      </w:rPr>
    </w:lvl>
    <w:lvl w:ilvl="2">
      <w:start w:val="0"/>
      <w:numFmt w:val="bullet"/>
      <w:lvlText w:val="•"/>
      <w:lvlJc w:val="left"/>
      <w:pPr>
        <w:ind w:left="2065" w:hanging="632"/>
      </w:pPr>
      <w:rPr>
        <w:rFonts w:hint="default"/>
      </w:rPr>
    </w:lvl>
    <w:lvl w:ilvl="3">
      <w:start w:val="0"/>
      <w:numFmt w:val="bullet"/>
      <w:lvlText w:val="•"/>
      <w:lvlJc w:val="left"/>
      <w:pPr>
        <w:ind w:left="2737" w:hanging="632"/>
      </w:pPr>
      <w:rPr>
        <w:rFonts w:hint="default"/>
      </w:rPr>
    </w:lvl>
    <w:lvl w:ilvl="4">
      <w:start w:val="0"/>
      <w:numFmt w:val="bullet"/>
      <w:lvlText w:val="•"/>
      <w:lvlJc w:val="left"/>
      <w:pPr>
        <w:ind w:left="3410" w:hanging="632"/>
      </w:pPr>
      <w:rPr>
        <w:rFonts w:hint="default"/>
      </w:rPr>
    </w:lvl>
    <w:lvl w:ilvl="5">
      <w:start w:val="0"/>
      <w:numFmt w:val="bullet"/>
      <w:lvlText w:val="•"/>
      <w:lvlJc w:val="left"/>
      <w:pPr>
        <w:ind w:left="4082" w:hanging="632"/>
      </w:pPr>
      <w:rPr>
        <w:rFonts w:hint="default"/>
      </w:rPr>
    </w:lvl>
    <w:lvl w:ilvl="6">
      <w:start w:val="0"/>
      <w:numFmt w:val="bullet"/>
      <w:lvlText w:val="•"/>
      <w:lvlJc w:val="left"/>
      <w:pPr>
        <w:ind w:left="4755" w:hanging="632"/>
      </w:pPr>
      <w:rPr>
        <w:rFonts w:hint="default"/>
      </w:rPr>
    </w:lvl>
    <w:lvl w:ilvl="7">
      <w:start w:val="0"/>
      <w:numFmt w:val="bullet"/>
      <w:lvlText w:val="•"/>
      <w:lvlJc w:val="left"/>
      <w:pPr>
        <w:ind w:left="5427" w:hanging="632"/>
      </w:pPr>
      <w:rPr>
        <w:rFonts w:hint="default"/>
      </w:rPr>
    </w:lvl>
    <w:lvl w:ilvl="8">
      <w:start w:val="0"/>
      <w:numFmt w:val="bullet"/>
      <w:lvlText w:val="•"/>
      <w:lvlJc w:val="left"/>
      <w:pPr>
        <w:ind w:left="6100" w:hanging="632"/>
      </w:pPr>
      <w:rPr>
        <w:rFonts w:hint="default"/>
      </w:rPr>
    </w:lvl>
  </w:abstractNum>
  <w:abstractNum w:abstractNumId="12">
    <w:multiLevelType w:val="hybridMultilevel"/>
    <w:lvl w:ilvl="0">
      <w:start w:val="3"/>
      <w:numFmt w:val="upperRoman"/>
      <w:lvlText w:val="%1"/>
      <w:lvlJc w:val="left"/>
      <w:pPr>
        <w:ind w:left="477" w:hanging="371"/>
        <w:jc w:val="left"/>
      </w:pPr>
      <w:rPr>
        <w:rFonts w:hint="default" w:ascii="宋体" w:hAnsi="宋体" w:eastAsia="宋体" w:cs="宋体"/>
        <w:w w:val="100"/>
        <w:sz w:val="21"/>
        <w:szCs w:val="21"/>
      </w:rPr>
    </w:lvl>
    <w:lvl w:ilvl="1">
      <w:start w:val="0"/>
      <w:numFmt w:val="bullet"/>
      <w:lvlText w:val="•"/>
      <w:lvlJc w:val="left"/>
      <w:pPr>
        <w:ind w:left="1198" w:hanging="371"/>
      </w:pPr>
      <w:rPr>
        <w:rFonts w:hint="default"/>
      </w:rPr>
    </w:lvl>
    <w:lvl w:ilvl="2">
      <w:start w:val="0"/>
      <w:numFmt w:val="bullet"/>
      <w:lvlText w:val="•"/>
      <w:lvlJc w:val="left"/>
      <w:pPr>
        <w:ind w:left="1917" w:hanging="371"/>
      </w:pPr>
      <w:rPr>
        <w:rFonts w:hint="default"/>
      </w:rPr>
    </w:lvl>
    <w:lvl w:ilvl="3">
      <w:start w:val="0"/>
      <w:numFmt w:val="bullet"/>
      <w:lvlText w:val="•"/>
      <w:lvlJc w:val="left"/>
      <w:pPr>
        <w:ind w:left="2635" w:hanging="371"/>
      </w:pPr>
      <w:rPr>
        <w:rFonts w:hint="default"/>
      </w:rPr>
    </w:lvl>
    <w:lvl w:ilvl="4">
      <w:start w:val="0"/>
      <w:numFmt w:val="bullet"/>
      <w:lvlText w:val="•"/>
      <w:lvlJc w:val="left"/>
      <w:pPr>
        <w:ind w:left="3354" w:hanging="371"/>
      </w:pPr>
      <w:rPr>
        <w:rFonts w:hint="default"/>
      </w:rPr>
    </w:lvl>
    <w:lvl w:ilvl="5">
      <w:start w:val="0"/>
      <w:numFmt w:val="bullet"/>
      <w:lvlText w:val="•"/>
      <w:lvlJc w:val="left"/>
      <w:pPr>
        <w:ind w:left="4073" w:hanging="371"/>
      </w:pPr>
      <w:rPr>
        <w:rFonts w:hint="default"/>
      </w:rPr>
    </w:lvl>
    <w:lvl w:ilvl="6">
      <w:start w:val="0"/>
      <w:numFmt w:val="bullet"/>
      <w:lvlText w:val="•"/>
      <w:lvlJc w:val="left"/>
      <w:pPr>
        <w:ind w:left="4791" w:hanging="371"/>
      </w:pPr>
      <w:rPr>
        <w:rFonts w:hint="default"/>
      </w:rPr>
    </w:lvl>
    <w:lvl w:ilvl="7">
      <w:start w:val="0"/>
      <w:numFmt w:val="bullet"/>
      <w:lvlText w:val="•"/>
      <w:lvlJc w:val="left"/>
      <w:pPr>
        <w:ind w:left="5510" w:hanging="371"/>
      </w:pPr>
      <w:rPr>
        <w:rFonts w:hint="default"/>
      </w:rPr>
    </w:lvl>
    <w:lvl w:ilvl="8">
      <w:start w:val="0"/>
      <w:numFmt w:val="bullet"/>
      <w:lvlText w:val="•"/>
      <w:lvlJc w:val="left"/>
      <w:pPr>
        <w:ind w:left="6228" w:hanging="371"/>
      </w:pPr>
      <w:rPr>
        <w:rFonts w:hint="default"/>
      </w:rPr>
    </w:lvl>
  </w:abstractNum>
  <w:abstractNum w:abstractNumId="11">
    <w:multiLevelType w:val="hybridMultilevel"/>
    <w:lvl w:ilvl="0">
      <w:start w:val="1"/>
      <w:numFmt w:val="upperRoman"/>
      <w:lvlText w:val="%1"/>
      <w:lvlJc w:val="left"/>
      <w:pPr>
        <w:ind w:left="357" w:hanging="159"/>
        <w:jc w:val="left"/>
      </w:pPr>
      <w:rPr>
        <w:rFonts w:hint="default" w:ascii="宋体" w:hAnsi="宋体" w:eastAsia="宋体" w:cs="宋体"/>
        <w:w w:val="100"/>
        <w:sz w:val="21"/>
        <w:szCs w:val="21"/>
      </w:rPr>
    </w:lvl>
    <w:lvl w:ilvl="1">
      <w:start w:val="0"/>
      <w:numFmt w:val="bullet"/>
      <w:lvlText w:val="•"/>
      <w:lvlJc w:val="left"/>
      <w:pPr>
        <w:ind w:left="1090" w:hanging="159"/>
      </w:pPr>
      <w:rPr>
        <w:rFonts w:hint="default"/>
      </w:rPr>
    </w:lvl>
    <w:lvl w:ilvl="2">
      <w:start w:val="0"/>
      <w:numFmt w:val="bullet"/>
      <w:lvlText w:val="•"/>
      <w:lvlJc w:val="left"/>
      <w:pPr>
        <w:ind w:left="1821" w:hanging="159"/>
      </w:pPr>
      <w:rPr>
        <w:rFonts w:hint="default"/>
      </w:rPr>
    </w:lvl>
    <w:lvl w:ilvl="3">
      <w:start w:val="0"/>
      <w:numFmt w:val="bullet"/>
      <w:lvlText w:val="•"/>
      <w:lvlJc w:val="left"/>
      <w:pPr>
        <w:ind w:left="2552" w:hanging="159"/>
      </w:pPr>
      <w:rPr>
        <w:rFonts w:hint="default"/>
      </w:rPr>
    </w:lvl>
    <w:lvl w:ilvl="4">
      <w:start w:val="0"/>
      <w:numFmt w:val="bullet"/>
      <w:lvlText w:val="•"/>
      <w:lvlJc w:val="left"/>
      <w:pPr>
        <w:ind w:left="3283" w:hanging="159"/>
      </w:pPr>
      <w:rPr>
        <w:rFonts w:hint="default"/>
      </w:rPr>
    </w:lvl>
    <w:lvl w:ilvl="5">
      <w:start w:val="0"/>
      <w:numFmt w:val="bullet"/>
      <w:lvlText w:val="•"/>
      <w:lvlJc w:val="left"/>
      <w:pPr>
        <w:ind w:left="4014" w:hanging="159"/>
      </w:pPr>
      <w:rPr>
        <w:rFonts w:hint="default"/>
      </w:rPr>
    </w:lvl>
    <w:lvl w:ilvl="6">
      <w:start w:val="0"/>
      <w:numFmt w:val="bullet"/>
      <w:lvlText w:val="•"/>
      <w:lvlJc w:val="left"/>
      <w:pPr>
        <w:ind w:left="4745" w:hanging="159"/>
      </w:pPr>
      <w:rPr>
        <w:rFonts w:hint="default"/>
      </w:rPr>
    </w:lvl>
    <w:lvl w:ilvl="7">
      <w:start w:val="0"/>
      <w:numFmt w:val="bullet"/>
      <w:lvlText w:val="•"/>
      <w:lvlJc w:val="left"/>
      <w:pPr>
        <w:ind w:left="5476" w:hanging="159"/>
      </w:pPr>
      <w:rPr>
        <w:rFonts w:hint="default"/>
      </w:rPr>
    </w:lvl>
    <w:lvl w:ilvl="8">
      <w:start w:val="0"/>
      <w:numFmt w:val="bullet"/>
      <w:lvlText w:val="•"/>
      <w:lvlJc w:val="left"/>
      <w:pPr>
        <w:ind w:left="6207" w:hanging="159"/>
      </w:pPr>
      <w:rPr>
        <w:rFonts w:hint="default"/>
      </w:rPr>
    </w:lvl>
  </w:abstractNum>
  <w:abstractNum w:abstractNumId="10">
    <w:multiLevelType w:val="hybridMultilevel"/>
    <w:lvl w:ilvl="0">
      <w:start w:val="11"/>
      <w:numFmt w:val="decimal"/>
      <w:lvlText w:val="%1"/>
      <w:lvlJc w:val="left"/>
      <w:pPr>
        <w:ind w:left="890" w:hanging="526"/>
        <w:jc w:val="left"/>
      </w:pPr>
      <w:rPr>
        <w:rFonts w:hint="default"/>
      </w:rPr>
    </w:lvl>
    <w:lvl w:ilvl="1">
      <w:start w:val="1"/>
      <w:numFmt w:val="decimal"/>
      <w:lvlText w:val="%1.%2"/>
      <w:lvlJc w:val="left"/>
      <w:pPr>
        <w:ind w:left="928"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22" w:hanging="526"/>
      </w:pPr>
      <w:rPr>
        <w:rFonts w:hint="default"/>
      </w:rPr>
    </w:lvl>
    <w:lvl w:ilvl="4">
      <w:start w:val="0"/>
      <w:numFmt w:val="bullet"/>
      <w:lvlText w:val="•"/>
      <w:lvlJc w:val="left"/>
      <w:pPr>
        <w:ind w:left="1674" w:hanging="526"/>
      </w:pPr>
      <w:rPr>
        <w:rFonts w:hint="default"/>
      </w:rPr>
    </w:lvl>
    <w:lvl w:ilvl="5">
      <w:start w:val="0"/>
      <w:numFmt w:val="bullet"/>
      <w:lvlText w:val="•"/>
      <w:lvlJc w:val="left"/>
      <w:pPr>
        <w:ind w:left="1925" w:hanging="526"/>
      </w:pPr>
      <w:rPr>
        <w:rFonts w:hint="default"/>
      </w:rPr>
    </w:lvl>
    <w:lvl w:ilvl="6">
      <w:start w:val="0"/>
      <w:numFmt w:val="bullet"/>
      <w:lvlText w:val="•"/>
      <w:lvlJc w:val="left"/>
      <w:pPr>
        <w:ind w:left="2176"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79" w:hanging="526"/>
      </w:pPr>
      <w:rPr>
        <w:rFonts w:hint="default"/>
      </w:rPr>
    </w:lvl>
  </w:abstractNum>
  <w:abstractNum w:abstractNumId="9">
    <w:multiLevelType w:val="hybridMultilevel"/>
    <w:lvl w:ilvl="0">
      <w:start w:val="10"/>
      <w:numFmt w:val="decimal"/>
      <w:lvlText w:val="%1"/>
      <w:lvlJc w:val="left"/>
      <w:pPr>
        <w:ind w:left="1038" w:hanging="526"/>
        <w:jc w:val="left"/>
      </w:pPr>
      <w:rPr>
        <w:rFonts w:hint="default"/>
      </w:rPr>
    </w:lvl>
    <w:lvl w:ilvl="1">
      <w:start w:val="1"/>
      <w:numFmt w:val="decimal"/>
      <w:lvlText w:val="%1.%2"/>
      <w:lvlJc w:val="left"/>
      <w:pPr>
        <w:ind w:left="1038" w:hanging="526"/>
        <w:jc w:val="left"/>
      </w:pPr>
      <w:rPr>
        <w:rFonts w:hint="default" w:ascii="宋体" w:hAnsi="宋体" w:eastAsia="宋体" w:cs="宋体"/>
        <w:w w:val="100"/>
        <w:sz w:val="21"/>
        <w:szCs w:val="21"/>
      </w:rPr>
    </w:lvl>
    <w:lvl w:ilvl="2">
      <w:start w:val="0"/>
      <w:numFmt w:val="bullet"/>
      <w:lvlText w:val="•"/>
      <w:lvlJc w:val="left"/>
      <w:pPr>
        <w:ind w:left="1513" w:hanging="526"/>
      </w:pPr>
      <w:rPr>
        <w:rFonts w:hint="default"/>
      </w:rPr>
    </w:lvl>
    <w:lvl w:ilvl="3">
      <w:start w:val="0"/>
      <w:numFmt w:val="bullet"/>
      <w:lvlText w:val="•"/>
      <w:lvlJc w:val="left"/>
      <w:pPr>
        <w:ind w:left="1749" w:hanging="526"/>
      </w:pPr>
      <w:rPr>
        <w:rFonts w:hint="default"/>
      </w:rPr>
    </w:lvl>
    <w:lvl w:ilvl="4">
      <w:start w:val="0"/>
      <w:numFmt w:val="bullet"/>
      <w:lvlText w:val="•"/>
      <w:lvlJc w:val="left"/>
      <w:pPr>
        <w:ind w:left="1986" w:hanging="526"/>
      </w:pPr>
      <w:rPr>
        <w:rFonts w:hint="default"/>
      </w:rPr>
    </w:lvl>
    <w:lvl w:ilvl="5">
      <w:start w:val="0"/>
      <w:numFmt w:val="bullet"/>
      <w:lvlText w:val="•"/>
      <w:lvlJc w:val="left"/>
      <w:pPr>
        <w:ind w:left="2222" w:hanging="526"/>
      </w:pPr>
      <w:rPr>
        <w:rFonts w:hint="default"/>
      </w:rPr>
    </w:lvl>
    <w:lvl w:ilvl="6">
      <w:start w:val="0"/>
      <w:numFmt w:val="bullet"/>
      <w:lvlText w:val="•"/>
      <w:lvlJc w:val="left"/>
      <w:pPr>
        <w:ind w:left="2459" w:hanging="526"/>
      </w:pPr>
      <w:rPr>
        <w:rFonts w:hint="default"/>
      </w:rPr>
    </w:lvl>
    <w:lvl w:ilvl="7">
      <w:start w:val="0"/>
      <w:numFmt w:val="bullet"/>
      <w:lvlText w:val="•"/>
      <w:lvlJc w:val="left"/>
      <w:pPr>
        <w:ind w:left="2695" w:hanging="526"/>
      </w:pPr>
      <w:rPr>
        <w:rFonts w:hint="default"/>
      </w:rPr>
    </w:lvl>
    <w:lvl w:ilvl="8">
      <w:start w:val="0"/>
      <w:numFmt w:val="bullet"/>
      <w:lvlText w:val="•"/>
      <w:lvlJc w:val="left"/>
      <w:pPr>
        <w:ind w:left="2932" w:hanging="526"/>
      </w:pPr>
      <w:rPr>
        <w:rFonts w:hint="default"/>
      </w:rPr>
    </w:lvl>
  </w:abstractNum>
  <w:abstractNum w:abstractNumId="8">
    <w:multiLevelType w:val="hybridMultilevel"/>
    <w:lvl w:ilvl="0">
      <w:start w:val="9"/>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33" w:hanging="423"/>
      </w:pPr>
      <w:rPr>
        <w:rFonts w:hint="default"/>
      </w:rPr>
    </w:lvl>
    <w:lvl w:ilvl="3">
      <w:start w:val="0"/>
      <w:numFmt w:val="bullet"/>
      <w:lvlText w:val="•"/>
      <w:lvlJc w:val="left"/>
      <w:pPr>
        <w:ind w:left="1679" w:hanging="423"/>
      </w:pPr>
      <w:rPr>
        <w:rFonts w:hint="default"/>
      </w:rPr>
    </w:lvl>
    <w:lvl w:ilvl="4">
      <w:start w:val="0"/>
      <w:numFmt w:val="bullet"/>
      <w:lvlText w:val="•"/>
      <w:lvlJc w:val="left"/>
      <w:pPr>
        <w:ind w:left="1926" w:hanging="423"/>
      </w:pPr>
      <w:rPr>
        <w:rFonts w:hint="default"/>
      </w:rPr>
    </w:lvl>
    <w:lvl w:ilvl="5">
      <w:start w:val="0"/>
      <w:numFmt w:val="bullet"/>
      <w:lvlText w:val="•"/>
      <w:lvlJc w:val="left"/>
      <w:pPr>
        <w:ind w:left="2172"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65" w:hanging="423"/>
      </w:pPr>
      <w:rPr>
        <w:rFonts w:hint="default"/>
      </w:rPr>
    </w:lvl>
    <w:lvl w:ilvl="8">
      <w:start w:val="0"/>
      <w:numFmt w:val="bullet"/>
      <w:lvlText w:val="•"/>
      <w:lvlJc w:val="left"/>
      <w:pPr>
        <w:ind w:left="2912" w:hanging="423"/>
      </w:pPr>
      <w:rPr>
        <w:rFonts w:hint="default"/>
      </w:rPr>
    </w:lvl>
  </w:abstractNum>
  <w:abstractNum w:abstractNumId="7">
    <w:multiLevelType w:val="hybridMultilevel"/>
    <w:lvl w:ilvl="0">
      <w:start w:val="7"/>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213" w:hanging="423"/>
      </w:pPr>
      <w:rPr>
        <w:rFonts w:hint="default"/>
      </w:rPr>
    </w:lvl>
    <w:lvl w:ilvl="3">
      <w:start w:val="0"/>
      <w:numFmt w:val="bullet"/>
      <w:lvlText w:val="•"/>
      <w:lvlJc w:val="left"/>
      <w:pPr>
        <w:ind w:left="1487" w:hanging="423"/>
      </w:pPr>
      <w:rPr>
        <w:rFonts w:hint="default"/>
      </w:rPr>
    </w:lvl>
    <w:lvl w:ilvl="4">
      <w:start w:val="0"/>
      <w:numFmt w:val="bullet"/>
      <w:lvlText w:val="•"/>
      <w:lvlJc w:val="left"/>
      <w:pPr>
        <w:ind w:left="1761" w:hanging="423"/>
      </w:pPr>
      <w:rPr>
        <w:rFonts w:hint="default"/>
      </w:rPr>
    </w:lvl>
    <w:lvl w:ilvl="5">
      <w:start w:val="0"/>
      <w:numFmt w:val="bullet"/>
      <w:lvlText w:val="•"/>
      <w:lvlJc w:val="left"/>
      <w:pPr>
        <w:ind w:left="2035" w:hanging="423"/>
      </w:pPr>
      <w:rPr>
        <w:rFonts w:hint="default"/>
      </w:rPr>
    </w:lvl>
    <w:lvl w:ilvl="6">
      <w:start w:val="0"/>
      <w:numFmt w:val="bullet"/>
      <w:lvlText w:val="•"/>
      <w:lvlJc w:val="left"/>
      <w:pPr>
        <w:ind w:left="2309" w:hanging="423"/>
      </w:pPr>
      <w:rPr>
        <w:rFonts w:hint="default"/>
      </w:rPr>
    </w:lvl>
    <w:lvl w:ilvl="7">
      <w:start w:val="0"/>
      <w:numFmt w:val="bullet"/>
      <w:lvlText w:val="•"/>
      <w:lvlJc w:val="left"/>
      <w:pPr>
        <w:ind w:left="2583" w:hanging="423"/>
      </w:pPr>
      <w:rPr>
        <w:rFonts w:hint="default"/>
      </w:rPr>
    </w:lvl>
    <w:lvl w:ilvl="8">
      <w:start w:val="0"/>
      <w:numFmt w:val="bullet"/>
      <w:lvlText w:val="•"/>
      <w:lvlJc w:val="left"/>
      <w:pPr>
        <w:ind w:left="2857" w:hanging="423"/>
      </w:pPr>
      <w:rPr>
        <w:rFonts w:hint="default"/>
      </w:rPr>
    </w:lvl>
  </w:abstractNum>
  <w:abstractNum w:abstractNumId="6">
    <w:multiLevelType w:val="hybridMultilevel"/>
    <w:lvl w:ilvl="0">
      <w:start w:val="6"/>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33" w:hanging="423"/>
      </w:pPr>
      <w:rPr>
        <w:rFonts w:hint="default"/>
      </w:rPr>
    </w:lvl>
    <w:lvl w:ilvl="3">
      <w:start w:val="0"/>
      <w:numFmt w:val="bullet"/>
      <w:lvlText w:val="•"/>
      <w:lvlJc w:val="left"/>
      <w:pPr>
        <w:ind w:left="1679" w:hanging="423"/>
      </w:pPr>
      <w:rPr>
        <w:rFonts w:hint="default"/>
      </w:rPr>
    </w:lvl>
    <w:lvl w:ilvl="4">
      <w:start w:val="0"/>
      <w:numFmt w:val="bullet"/>
      <w:lvlText w:val="•"/>
      <w:lvlJc w:val="left"/>
      <w:pPr>
        <w:ind w:left="1926" w:hanging="423"/>
      </w:pPr>
      <w:rPr>
        <w:rFonts w:hint="default"/>
      </w:rPr>
    </w:lvl>
    <w:lvl w:ilvl="5">
      <w:start w:val="0"/>
      <w:numFmt w:val="bullet"/>
      <w:lvlText w:val="•"/>
      <w:lvlJc w:val="left"/>
      <w:pPr>
        <w:ind w:left="2172"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65" w:hanging="423"/>
      </w:pPr>
      <w:rPr>
        <w:rFonts w:hint="default"/>
      </w:rPr>
    </w:lvl>
    <w:lvl w:ilvl="8">
      <w:start w:val="0"/>
      <w:numFmt w:val="bullet"/>
      <w:lvlText w:val="•"/>
      <w:lvlJc w:val="left"/>
      <w:pPr>
        <w:ind w:left="2912" w:hanging="423"/>
      </w:pPr>
      <w:rPr>
        <w:rFonts w:hint="default"/>
      </w:rPr>
    </w:lvl>
  </w:abstractNum>
  <w:abstractNum w:abstractNumId="5">
    <w:multiLevelType w:val="hybridMultilevel"/>
    <w:lvl w:ilvl="0">
      <w:start w:val="5"/>
      <w:numFmt w:val="decimal"/>
      <w:lvlText w:val="%1"/>
      <w:lvlJc w:val="left"/>
      <w:pPr>
        <w:ind w:left="935" w:hanging="423"/>
        <w:jc w:val="left"/>
      </w:pPr>
      <w:rPr>
        <w:rFonts w:hint="default"/>
      </w:rPr>
    </w:lvl>
    <w:lvl w:ilvl="1">
      <w:start w:val="5"/>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33" w:hanging="423"/>
      </w:pPr>
      <w:rPr>
        <w:rFonts w:hint="default"/>
      </w:rPr>
    </w:lvl>
    <w:lvl w:ilvl="3">
      <w:start w:val="0"/>
      <w:numFmt w:val="bullet"/>
      <w:lvlText w:val="•"/>
      <w:lvlJc w:val="left"/>
      <w:pPr>
        <w:ind w:left="1679" w:hanging="423"/>
      </w:pPr>
      <w:rPr>
        <w:rFonts w:hint="default"/>
      </w:rPr>
    </w:lvl>
    <w:lvl w:ilvl="4">
      <w:start w:val="0"/>
      <w:numFmt w:val="bullet"/>
      <w:lvlText w:val="•"/>
      <w:lvlJc w:val="left"/>
      <w:pPr>
        <w:ind w:left="1926" w:hanging="423"/>
      </w:pPr>
      <w:rPr>
        <w:rFonts w:hint="default"/>
      </w:rPr>
    </w:lvl>
    <w:lvl w:ilvl="5">
      <w:start w:val="0"/>
      <w:numFmt w:val="bullet"/>
      <w:lvlText w:val="•"/>
      <w:lvlJc w:val="left"/>
      <w:pPr>
        <w:ind w:left="2172" w:hanging="423"/>
      </w:pPr>
      <w:rPr>
        <w:rFonts w:hint="default"/>
      </w:rPr>
    </w:lvl>
    <w:lvl w:ilvl="6">
      <w:start w:val="0"/>
      <w:numFmt w:val="bullet"/>
      <w:lvlText w:val="•"/>
      <w:lvlJc w:val="left"/>
      <w:pPr>
        <w:ind w:left="2419" w:hanging="423"/>
      </w:pPr>
      <w:rPr>
        <w:rFonts w:hint="default"/>
      </w:rPr>
    </w:lvl>
    <w:lvl w:ilvl="7">
      <w:start w:val="0"/>
      <w:numFmt w:val="bullet"/>
      <w:lvlText w:val="•"/>
      <w:lvlJc w:val="left"/>
      <w:pPr>
        <w:ind w:left="2665" w:hanging="423"/>
      </w:pPr>
      <w:rPr>
        <w:rFonts w:hint="default"/>
      </w:rPr>
    </w:lvl>
    <w:lvl w:ilvl="8">
      <w:start w:val="0"/>
      <w:numFmt w:val="bullet"/>
      <w:lvlText w:val="•"/>
      <w:lvlJc w:val="left"/>
      <w:pPr>
        <w:ind w:left="2912" w:hanging="423"/>
      </w:pPr>
      <w:rPr>
        <w:rFonts w:hint="default"/>
      </w:rPr>
    </w:lvl>
  </w:abstractNum>
  <w:abstractNum w:abstractNumId="4">
    <w:multiLevelType w:val="hybridMultilevel"/>
    <w:lvl w:ilvl="0">
      <w:start w:val="5"/>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3">
    <w:multiLevelType w:val="hybridMultilevel"/>
    <w:lvl w:ilvl="0">
      <w:start w:val="3"/>
      <w:numFmt w:val="decimal"/>
      <w:lvlText w:val="%1."/>
      <w:lvlJc w:val="left"/>
      <w:pPr>
        <w:ind w:left="470" w:hanging="318"/>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940" w:hanging="423"/>
      </w:pPr>
      <w:rPr>
        <w:rFonts w:hint="default"/>
      </w:rPr>
    </w:lvl>
    <w:lvl w:ilvl="3">
      <w:start w:val="0"/>
      <w:numFmt w:val="bullet"/>
      <w:lvlText w:val="•"/>
      <w:lvlJc w:val="left"/>
      <w:pPr>
        <w:ind w:left="1207" w:hanging="423"/>
      </w:pPr>
      <w:rPr>
        <w:rFonts w:hint="default"/>
      </w:rPr>
    </w:lvl>
    <w:lvl w:ilvl="4">
      <w:start w:val="0"/>
      <w:numFmt w:val="bullet"/>
      <w:lvlText w:val="•"/>
      <w:lvlJc w:val="left"/>
      <w:pPr>
        <w:ind w:left="1474" w:hanging="423"/>
      </w:pPr>
      <w:rPr>
        <w:rFonts w:hint="default"/>
      </w:rPr>
    </w:lvl>
    <w:lvl w:ilvl="5">
      <w:start w:val="0"/>
      <w:numFmt w:val="bullet"/>
      <w:lvlText w:val="•"/>
      <w:lvlJc w:val="left"/>
      <w:pPr>
        <w:ind w:left="1741" w:hanging="423"/>
      </w:pPr>
      <w:rPr>
        <w:rFonts w:hint="default"/>
      </w:rPr>
    </w:lvl>
    <w:lvl w:ilvl="6">
      <w:start w:val="0"/>
      <w:numFmt w:val="bullet"/>
      <w:lvlText w:val="•"/>
      <w:lvlJc w:val="left"/>
      <w:pPr>
        <w:ind w:left="2008" w:hanging="423"/>
      </w:pPr>
      <w:rPr>
        <w:rFonts w:hint="default"/>
      </w:rPr>
    </w:lvl>
    <w:lvl w:ilvl="7">
      <w:start w:val="0"/>
      <w:numFmt w:val="bullet"/>
      <w:lvlText w:val="•"/>
      <w:lvlJc w:val="left"/>
      <w:pPr>
        <w:ind w:left="2275" w:hanging="423"/>
      </w:pPr>
      <w:rPr>
        <w:rFonts w:hint="default"/>
      </w:rPr>
    </w:lvl>
    <w:lvl w:ilvl="8">
      <w:start w:val="0"/>
      <w:numFmt w:val="bullet"/>
      <w:lvlText w:val="•"/>
      <w:lvlJc w:val="left"/>
      <w:pPr>
        <w:ind w:left="2542" w:hanging="423"/>
      </w:pPr>
      <w:rPr>
        <w:rFonts w:hint="default"/>
      </w:rPr>
    </w:lvl>
  </w:abstractNum>
  <w:abstractNum w:abstractNumId="2">
    <w:multiLevelType w:val="hybridMultilevel"/>
    <w:lvl w:ilvl="0">
      <w:start w:val="2"/>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1" w:hanging="406"/>
      </w:pPr>
      <w:rPr>
        <w:rFonts w:hint="default"/>
      </w:rPr>
    </w:lvl>
    <w:lvl w:ilvl="3">
      <w:start w:val="0"/>
      <w:numFmt w:val="bullet"/>
      <w:lvlText w:val="•"/>
      <w:lvlJc w:val="left"/>
      <w:pPr>
        <w:ind w:left="1567" w:hanging="406"/>
      </w:pPr>
      <w:rPr>
        <w:rFonts w:hint="default"/>
      </w:rPr>
    </w:lvl>
    <w:lvl w:ilvl="4">
      <w:start w:val="0"/>
      <w:numFmt w:val="bullet"/>
      <w:lvlText w:val="•"/>
      <w:lvlJc w:val="left"/>
      <w:pPr>
        <w:ind w:left="1782" w:hanging="406"/>
      </w:pPr>
      <w:rPr>
        <w:rFonts w:hint="default"/>
      </w:rPr>
    </w:lvl>
    <w:lvl w:ilvl="5">
      <w:start w:val="0"/>
      <w:numFmt w:val="bullet"/>
      <w:lvlText w:val="•"/>
      <w:lvlJc w:val="left"/>
      <w:pPr>
        <w:ind w:left="1998" w:hanging="406"/>
      </w:pPr>
      <w:rPr>
        <w:rFonts w:hint="default"/>
      </w:rPr>
    </w:lvl>
    <w:lvl w:ilvl="6">
      <w:start w:val="0"/>
      <w:numFmt w:val="bullet"/>
      <w:lvlText w:val="•"/>
      <w:lvlJc w:val="left"/>
      <w:pPr>
        <w:ind w:left="2214" w:hanging="406"/>
      </w:pPr>
      <w:rPr>
        <w:rFonts w:hint="default"/>
      </w:rPr>
    </w:lvl>
    <w:lvl w:ilvl="7">
      <w:start w:val="0"/>
      <w:numFmt w:val="bullet"/>
      <w:lvlText w:val="•"/>
      <w:lvlJc w:val="left"/>
      <w:pPr>
        <w:ind w:left="2429" w:hanging="406"/>
      </w:pPr>
      <w:rPr>
        <w:rFonts w:hint="default"/>
      </w:rPr>
    </w:lvl>
    <w:lvl w:ilvl="8">
      <w:start w:val="0"/>
      <w:numFmt w:val="bullet"/>
      <w:lvlText w:val="•"/>
      <w:lvlJc w:val="left"/>
      <w:pPr>
        <w:ind w:left="2645"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2018-10-19T23:21:14Z</dcterms:created>
  <dcterms:modified xsi:type="dcterms:W3CDTF">2018-10-19T23:21:14Z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2015-06-18T00:00:00Z</vt:filetime>
  </property>
  <property fmtid="{D5CDD505-2E9C-101B-9397-08002B2CF9AE}" pid="3" name="Creator">
    <vt:lpwstr>Microsoft® Word 2010</vt:lpwstr>
  </property>
  <property fmtid="{D5CDD505-2E9C-101B-9397-08002B2CF9AE}" pid="4" name="LastSaved">
    <vt:filetime>2018-10-19T00:00:00Z</vt:filetime>
  </property>
</Properties>
</file>