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6"/>
        <w:ind w:left="0" w:right="106" w:firstLine="0"/>
        <w:jc w:val="right"/>
        <w:rPr>
          <w:sz w:val="18"/>
        </w:rPr>
      </w:pPr>
      <w:r>
        <w:rPr/>
        <w:drawing>
          <wp:anchor distT="0" distB="0" distL="0" distR="0" allowOverlap="1" layoutInCell="1" locked="0" behindDoc="0" simplePos="0" relativeHeight="0">
            <wp:simplePos x="0" y="0"/>
            <wp:positionH relativeFrom="page">
              <wp:posOffset>6347459</wp:posOffset>
            </wp:positionH>
            <wp:positionV relativeFrom="paragraph">
              <wp:posOffset>235098</wp:posOffset>
            </wp:positionV>
            <wp:extent cx="722376" cy="7223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2376" cy="722376"/>
                    </a:xfrm>
                    <a:prstGeom prst="rect">
                      <a:avLst/>
                    </a:prstGeom>
                  </pic:spPr>
                </pic:pic>
              </a:graphicData>
            </a:graphic>
          </wp:anchor>
        </w:drawing>
      </w:r>
      <w:r>
        <w:rPr>
          <w:sz w:val="18"/>
        </w:rPr>
        <w:t>国华人寿[2009]疾病保险 066 号</w:t>
      </w:r>
    </w:p>
    <w:p>
      <w:pPr>
        <w:pStyle w:val="BodyText"/>
        <w:spacing w:before="0"/>
        <w:ind w:left="0"/>
        <w:rPr>
          <w:sz w:val="18"/>
        </w:rPr>
      </w:pPr>
    </w:p>
    <w:p>
      <w:pPr>
        <w:pStyle w:val="BodyText"/>
        <w:spacing w:before="3"/>
        <w:ind w:left="0"/>
      </w:pPr>
    </w:p>
    <w:p>
      <w:pPr>
        <w:pStyle w:val="Heading1"/>
        <w:ind w:left="1672"/>
      </w:pPr>
      <w:r>
        <w:rPr/>
        <w:t>国华附加终身提前给付重大疾病保险（2009）条款</w:t>
      </w:r>
    </w:p>
    <w:p>
      <w:pPr>
        <w:pStyle w:val="BodyText"/>
        <w:spacing w:before="14"/>
        <w:ind w:left="0"/>
        <w:rPr>
          <w:rFonts w:ascii="微软雅黑"/>
          <w:b/>
          <w:sz w:val="6"/>
        </w:rPr>
      </w:pPr>
    </w:p>
    <w:p>
      <w:pPr>
        <w:spacing w:after="0"/>
        <w:rPr>
          <w:rFonts w:ascii="微软雅黑"/>
          <w:sz w:val="6"/>
        </w:rPr>
        <w:sectPr>
          <w:type w:val="continuous"/>
          <w:pgSz w:w="11910" w:h="16840"/>
          <w:pgMar w:top="300" w:bottom="280" w:left="680" w:right="540"/>
        </w:sectPr>
      </w:pPr>
    </w:p>
    <w:p>
      <w:pPr>
        <w:spacing w:line="506"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spacing w:before="138"/>
        <w:ind w:left="2585" w:right="0" w:firstLine="0"/>
        <w:jc w:val="left"/>
        <w:rPr>
          <w:sz w:val="18"/>
        </w:rPr>
      </w:pPr>
      <w:r>
        <w:rPr/>
        <w:br w:type="column"/>
      </w:r>
      <w:r>
        <w:rPr>
          <w:sz w:val="18"/>
        </w:rPr>
        <w:t>请扫描以查询验证条款</w:t>
      </w:r>
    </w:p>
    <w:p>
      <w:pPr>
        <w:spacing w:after="0"/>
        <w:jc w:val="left"/>
        <w:rPr>
          <w:sz w:val="18"/>
        </w:rPr>
        <w:sectPr>
          <w:type w:val="continuous"/>
          <w:pgSz w:w="11910" w:h="16840"/>
          <w:pgMar w:top="300" w:bottom="280" w:left="680" w:right="540"/>
          <w:cols w:num="2" w:equalWidth="0">
            <w:col w:w="6153" w:space="40"/>
            <w:col w:w="4497"/>
          </w:cols>
        </w:sectPr>
      </w:pPr>
    </w:p>
    <w:p>
      <w:pPr>
        <w:spacing w:before="71"/>
        <w:ind w:left="520" w:right="0" w:firstLine="0"/>
        <w:jc w:val="left"/>
        <w:rPr>
          <w:sz w:val="18"/>
        </w:rPr>
      </w:pPr>
      <w:r>
        <w:rPr>
          <w:spacing w:val="-128"/>
          <w:sz w:val="18"/>
        </w:rPr>
        <w:t>本</w:t>
      </w:r>
      <w:r>
        <w:rPr>
          <w:spacing w:val="-53"/>
          <w:position w:val="-6"/>
          <w:sz w:val="18"/>
        </w:rPr>
        <w:t>．</w:t>
      </w:r>
      <w:r>
        <w:rPr>
          <w:spacing w:val="-128"/>
          <w:sz w:val="18"/>
        </w:rPr>
        <w:t>阅</w:t>
      </w:r>
      <w:r>
        <w:rPr>
          <w:spacing w:val="-53"/>
          <w:position w:val="-6"/>
          <w:sz w:val="18"/>
        </w:rPr>
        <w:t>．</w:t>
      </w:r>
      <w:r>
        <w:rPr>
          <w:spacing w:val="-128"/>
          <w:sz w:val="18"/>
        </w:rPr>
        <w:t>读</w:t>
      </w:r>
      <w:r>
        <w:rPr>
          <w:spacing w:val="-53"/>
          <w:position w:val="-6"/>
          <w:sz w:val="18"/>
        </w:rPr>
        <w:t>．</w:t>
      </w:r>
      <w:r>
        <w:rPr>
          <w:spacing w:val="-128"/>
          <w:sz w:val="18"/>
        </w:rPr>
        <w:t>指</w:t>
      </w:r>
      <w:r>
        <w:rPr>
          <w:spacing w:val="-53"/>
          <w:position w:val="-6"/>
          <w:sz w:val="18"/>
        </w:rPr>
        <w:t>．</w:t>
      </w:r>
      <w:r>
        <w:rPr>
          <w:spacing w:val="-128"/>
          <w:sz w:val="18"/>
        </w:rPr>
        <w:t>引</w:t>
      </w:r>
      <w:r>
        <w:rPr>
          <w:spacing w:val="-53"/>
          <w:position w:val="-6"/>
          <w:sz w:val="18"/>
        </w:rPr>
        <w:t>．</w:t>
      </w:r>
      <w:r>
        <w:rPr>
          <w:spacing w:val="-128"/>
          <w:sz w:val="18"/>
        </w:rPr>
        <w:t>旨</w:t>
      </w:r>
      <w:r>
        <w:rPr>
          <w:spacing w:val="-53"/>
          <w:position w:val="-6"/>
          <w:sz w:val="18"/>
        </w:rPr>
        <w:t>．</w:t>
      </w:r>
      <w:r>
        <w:rPr>
          <w:spacing w:val="-128"/>
          <w:sz w:val="18"/>
        </w:rPr>
        <w:t>在</w:t>
      </w:r>
      <w:r>
        <w:rPr>
          <w:spacing w:val="-53"/>
          <w:position w:val="-6"/>
          <w:sz w:val="18"/>
        </w:rPr>
        <w:t>．</w:t>
      </w:r>
      <w:r>
        <w:rPr>
          <w:spacing w:val="-128"/>
          <w:sz w:val="18"/>
        </w:rPr>
        <w:t>帮</w:t>
      </w:r>
      <w:r>
        <w:rPr>
          <w:spacing w:val="-53"/>
          <w:position w:val="-6"/>
          <w:sz w:val="18"/>
        </w:rPr>
        <w:t>．</w:t>
      </w:r>
      <w:r>
        <w:rPr>
          <w:spacing w:val="-128"/>
          <w:sz w:val="18"/>
        </w:rPr>
        <w:t>助</w:t>
      </w:r>
      <w:r>
        <w:rPr>
          <w:spacing w:val="-53"/>
          <w:position w:val="-6"/>
          <w:sz w:val="18"/>
        </w:rPr>
        <w:t>．</w:t>
      </w:r>
      <w:r>
        <w:rPr>
          <w:spacing w:val="-128"/>
          <w:sz w:val="18"/>
        </w:rPr>
        <w:t>您</w:t>
      </w:r>
      <w:r>
        <w:rPr>
          <w:spacing w:val="-53"/>
          <w:position w:val="-6"/>
          <w:sz w:val="18"/>
        </w:rPr>
        <w:t>．</w:t>
      </w:r>
      <w:r>
        <w:rPr>
          <w:spacing w:val="-128"/>
          <w:sz w:val="18"/>
        </w:rPr>
        <w:t>理</w:t>
      </w:r>
      <w:r>
        <w:rPr>
          <w:spacing w:val="-53"/>
          <w:position w:val="-6"/>
          <w:sz w:val="18"/>
        </w:rPr>
        <w:t>．</w:t>
      </w:r>
      <w:r>
        <w:rPr>
          <w:spacing w:val="-128"/>
          <w:sz w:val="18"/>
        </w:rPr>
        <w:t>解</w:t>
      </w:r>
      <w:r>
        <w:rPr>
          <w:spacing w:val="-53"/>
          <w:position w:val="-6"/>
          <w:sz w:val="18"/>
        </w:rPr>
        <w:t>．</w:t>
      </w:r>
      <w:r>
        <w:rPr>
          <w:spacing w:val="-128"/>
          <w:sz w:val="18"/>
        </w:rPr>
        <w:t>条</w:t>
      </w:r>
      <w:r>
        <w:rPr>
          <w:spacing w:val="-53"/>
          <w:position w:val="-6"/>
          <w:sz w:val="18"/>
        </w:rPr>
        <w:t>．</w:t>
      </w:r>
      <w:r>
        <w:rPr>
          <w:spacing w:val="-128"/>
          <w:sz w:val="18"/>
        </w:rPr>
        <w:t>款</w:t>
      </w:r>
      <w:r>
        <w:rPr>
          <w:spacing w:val="-53"/>
          <w:position w:val="-6"/>
          <w:sz w:val="18"/>
        </w:rPr>
        <w:t>．</w:t>
      </w:r>
      <w:r>
        <w:rPr>
          <w:spacing w:val="-128"/>
          <w:sz w:val="18"/>
        </w:rPr>
        <w:t>，</w:t>
      </w:r>
      <w:r>
        <w:rPr>
          <w:spacing w:val="-53"/>
          <w:position w:val="-6"/>
          <w:sz w:val="18"/>
        </w:rPr>
        <w:t>．</w:t>
      </w:r>
      <w:r>
        <w:rPr>
          <w:spacing w:val="-128"/>
          <w:sz w:val="18"/>
        </w:rPr>
        <w:t>对</w:t>
      </w:r>
      <w:r>
        <w:rPr>
          <w:spacing w:val="-53"/>
          <w:position w:val="-6"/>
          <w:sz w:val="18"/>
        </w:rPr>
        <w:t>．</w:t>
      </w:r>
      <w:r>
        <w:rPr>
          <w:b/>
          <w:spacing w:val="-125"/>
          <w:w w:val="99"/>
          <w:sz w:val="18"/>
        </w:rPr>
        <w:t>“</w:t>
      </w:r>
      <w:r>
        <w:rPr>
          <w:spacing w:val="-53"/>
          <w:position w:val="-6"/>
          <w:sz w:val="18"/>
        </w:rPr>
        <w:t>．</w:t>
      </w:r>
      <w:r>
        <w:rPr>
          <w:b/>
          <w:spacing w:val="-128"/>
          <w:w w:val="99"/>
          <w:sz w:val="18"/>
        </w:rPr>
        <w:t>国</w:t>
      </w:r>
      <w:r>
        <w:rPr>
          <w:spacing w:val="-53"/>
          <w:position w:val="-6"/>
          <w:sz w:val="18"/>
        </w:rPr>
        <w:t>．</w:t>
      </w:r>
      <w:r>
        <w:rPr>
          <w:b/>
          <w:spacing w:val="-128"/>
          <w:w w:val="99"/>
          <w:sz w:val="18"/>
        </w:rPr>
        <w:t>华</w:t>
      </w:r>
      <w:r>
        <w:rPr>
          <w:spacing w:val="-53"/>
          <w:position w:val="-6"/>
          <w:sz w:val="18"/>
        </w:rPr>
        <w:t>．</w:t>
      </w:r>
      <w:r>
        <w:rPr>
          <w:b/>
          <w:spacing w:val="-125"/>
          <w:w w:val="99"/>
          <w:sz w:val="18"/>
        </w:rPr>
        <w:t>附</w:t>
      </w:r>
      <w:r>
        <w:rPr>
          <w:spacing w:val="-53"/>
          <w:position w:val="-6"/>
          <w:sz w:val="18"/>
        </w:rPr>
        <w:t>．</w:t>
      </w:r>
      <w:r>
        <w:rPr>
          <w:b/>
          <w:spacing w:val="-128"/>
          <w:w w:val="99"/>
          <w:sz w:val="18"/>
        </w:rPr>
        <w:t>加</w:t>
      </w:r>
      <w:r>
        <w:rPr>
          <w:spacing w:val="-53"/>
          <w:position w:val="-6"/>
          <w:sz w:val="18"/>
        </w:rPr>
        <w:t>．</w:t>
      </w:r>
      <w:r>
        <w:rPr>
          <w:b/>
          <w:spacing w:val="-128"/>
          <w:w w:val="99"/>
          <w:sz w:val="18"/>
        </w:rPr>
        <w:t>终</w:t>
      </w:r>
      <w:r>
        <w:rPr>
          <w:spacing w:val="-53"/>
          <w:position w:val="-6"/>
          <w:sz w:val="18"/>
        </w:rPr>
        <w:t>．</w:t>
      </w:r>
      <w:r>
        <w:rPr>
          <w:b/>
          <w:spacing w:val="-128"/>
          <w:w w:val="99"/>
          <w:sz w:val="18"/>
        </w:rPr>
        <w:t>身</w:t>
      </w:r>
      <w:r>
        <w:rPr>
          <w:spacing w:val="-53"/>
          <w:position w:val="-6"/>
          <w:sz w:val="18"/>
        </w:rPr>
        <w:t>．</w:t>
      </w:r>
      <w:r>
        <w:rPr>
          <w:b/>
          <w:spacing w:val="-125"/>
          <w:w w:val="99"/>
          <w:sz w:val="18"/>
        </w:rPr>
        <w:t>提</w:t>
      </w:r>
      <w:r>
        <w:rPr>
          <w:spacing w:val="-53"/>
          <w:position w:val="-6"/>
          <w:sz w:val="18"/>
        </w:rPr>
        <w:t>．</w:t>
      </w:r>
      <w:r>
        <w:rPr>
          <w:b/>
          <w:spacing w:val="-128"/>
          <w:w w:val="99"/>
          <w:sz w:val="18"/>
        </w:rPr>
        <w:t>前</w:t>
      </w:r>
      <w:r>
        <w:rPr>
          <w:spacing w:val="-53"/>
          <w:position w:val="-6"/>
          <w:sz w:val="18"/>
        </w:rPr>
        <w:t>．</w:t>
      </w:r>
      <w:r>
        <w:rPr>
          <w:b/>
          <w:spacing w:val="-128"/>
          <w:w w:val="99"/>
          <w:sz w:val="18"/>
        </w:rPr>
        <w:t>给</w:t>
      </w:r>
      <w:r>
        <w:rPr>
          <w:spacing w:val="-53"/>
          <w:position w:val="-6"/>
          <w:sz w:val="18"/>
        </w:rPr>
        <w:t>．</w:t>
      </w:r>
      <w:r>
        <w:rPr>
          <w:b/>
          <w:spacing w:val="-125"/>
          <w:w w:val="99"/>
          <w:sz w:val="18"/>
        </w:rPr>
        <w:t>付</w:t>
      </w:r>
      <w:r>
        <w:rPr>
          <w:spacing w:val="-53"/>
          <w:position w:val="-6"/>
          <w:sz w:val="18"/>
        </w:rPr>
        <w:t>．</w:t>
      </w:r>
      <w:r>
        <w:rPr>
          <w:b/>
          <w:spacing w:val="-128"/>
          <w:w w:val="99"/>
          <w:sz w:val="18"/>
        </w:rPr>
        <w:t>重</w:t>
      </w:r>
      <w:r>
        <w:rPr>
          <w:spacing w:val="-53"/>
          <w:position w:val="-6"/>
          <w:sz w:val="18"/>
        </w:rPr>
        <w:t>．</w:t>
      </w:r>
      <w:r>
        <w:rPr>
          <w:b/>
          <w:spacing w:val="-128"/>
          <w:w w:val="99"/>
          <w:sz w:val="18"/>
        </w:rPr>
        <w:t>大</w:t>
      </w:r>
      <w:r>
        <w:rPr>
          <w:spacing w:val="-53"/>
          <w:position w:val="-6"/>
          <w:sz w:val="18"/>
        </w:rPr>
        <w:t>．</w:t>
      </w:r>
      <w:r>
        <w:rPr>
          <w:b/>
          <w:spacing w:val="-128"/>
          <w:w w:val="99"/>
          <w:sz w:val="18"/>
        </w:rPr>
        <w:t>疾</w:t>
      </w:r>
      <w:r>
        <w:rPr>
          <w:spacing w:val="-53"/>
          <w:position w:val="-6"/>
          <w:sz w:val="18"/>
        </w:rPr>
        <w:t>．</w:t>
      </w:r>
      <w:r>
        <w:rPr>
          <w:b/>
          <w:spacing w:val="-125"/>
          <w:w w:val="99"/>
          <w:sz w:val="18"/>
        </w:rPr>
        <w:t>病</w:t>
      </w:r>
      <w:r>
        <w:rPr>
          <w:spacing w:val="-53"/>
          <w:position w:val="-6"/>
          <w:sz w:val="18"/>
        </w:rPr>
        <w:t>．</w:t>
      </w:r>
      <w:r>
        <w:rPr>
          <w:b/>
          <w:spacing w:val="-128"/>
          <w:w w:val="99"/>
          <w:sz w:val="18"/>
        </w:rPr>
        <w:t>保</w:t>
      </w:r>
      <w:r>
        <w:rPr>
          <w:spacing w:val="-53"/>
          <w:position w:val="-6"/>
          <w:sz w:val="18"/>
        </w:rPr>
        <w:t>．</w:t>
      </w:r>
      <w:r>
        <w:rPr>
          <w:b/>
          <w:spacing w:val="-128"/>
          <w:w w:val="99"/>
          <w:sz w:val="18"/>
        </w:rPr>
        <w:t>险</w:t>
      </w:r>
      <w:r>
        <w:rPr>
          <w:spacing w:val="-53"/>
          <w:position w:val="-6"/>
          <w:sz w:val="18"/>
        </w:rPr>
        <w:t>．</w:t>
      </w:r>
      <w:r>
        <w:rPr>
          <w:b/>
          <w:spacing w:val="-128"/>
          <w:w w:val="99"/>
          <w:sz w:val="18"/>
        </w:rPr>
        <w:t>（</w:t>
      </w:r>
      <w:r>
        <w:rPr>
          <w:spacing w:val="-53"/>
          <w:position w:val="-6"/>
          <w:sz w:val="18"/>
        </w:rPr>
        <w:t>．</w:t>
      </w:r>
      <w:r>
        <w:rPr>
          <w:b/>
          <w:spacing w:val="-81"/>
          <w:w w:val="99"/>
          <w:sz w:val="18"/>
        </w:rPr>
        <w:t>2</w:t>
      </w:r>
      <w:r>
        <w:rPr>
          <w:spacing w:val="-99"/>
          <w:position w:val="-6"/>
          <w:sz w:val="18"/>
        </w:rPr>
        <w:t>．</w:t>
      </w:r>
      <w:r>
        <w:rPr>
          <w:b/>
          <w:spacing w:val="-81"/>
          <w:w w:val="99"/>
          <w:sz w:val="18"/>
        </w:rPr>
        <w:t>0</w:t>
      </w:r>
      <w:r>
        <w:rPr>
          <w:spacing w:val="-99"/>
          <w:position w:val="-6"/>
          <w:sz w:val="18"/>
        </w:rPr>
        <w:t>．</w:t>
      </w:r>
      <w:r>
        <w:rPr>
          <w:b/>
          <w:spacing w:val="-81"/>
          <w:w w:val="99"/>
          <w:sz w:val="18"/>
        </w:rPr>
        <w:t>0</w:t>
      </w:r>
      <w:r>
        <w:rPr>
          <w:spacing w:val="-99"/>
          <w:position w:val="-6"/>
          <w:sz w:val="18"/>
        </w:rPr>
        <w:t>．</w:t>
      </w:r>
      <w:r>
        <w:rPr>
          <w:b/>
          <w:spacing w:val="-81"/>
          <w:w w:val="99"/>
          <w:sz w:val="18"/>
        </w:rPr>
        <w:t>9</w:t>
      </w:r>
      <w:r>
        <w:rPr>
          <w:spacing w:val="-99"/>
          <w:position w:val="-6"/>
          <w:sz w:val="18"/>
        </w:rPr>
        <w:t>．</w:t>
      </w:r>
      <w:r>
        <w:rPr>
          <w:b/>
          <w:spacing w:val="-128"/>
          <w:w w:val="99"/>
          <w:sz w:val="18"/>
        </w:rPr>
        <w:t>）</w:t>
      </w:r>
      <w:r>
        <w:rPr>
          <w:spacing w:val="-53"/>
          <w:position w:val="-6"/>
          <w:sz w:val="18"/>
        </w:rPr>
        <w:t>．</w:t>
      </w:r>
      <w:r>
        <w:rPr>
          <w:b/>
          <w:spacing w:val="-128"/>
          <w:w w:val="99"/>
          <w:sz w:val="18"/>
        </w:rPr>
        <w:t>合</w:t>
      </w:r>
      <w:r>
        <w:rPr>
          <w:spacing w:val="-53"/>
          <w:position w:val="-6"/>
          <w:sz w:val="18"/>
        </w:rPr>
        <w:t>．</w:t>
      </w:r>
      <w:r>
        <w:rPr>
          <w:b/>
          <w:spacing w:val="-128"/>
          <w:w w:val="99"/>
          <w:sz w:val="18"/>
        </w:rPr>
        <w:t>同</w:t>
      </w:r>
      <w:r>
        <w:rPr>
          <w:spacing w:val="-53"/>
          <w:position w:val="-6"/>
          <w:sz w:val="18"/>
        </w:rPr>
        <w:t>．</w:t>
      </w:r>
      <w:r>
        <w:rPr>
          <w:spacing w:val="-128"/>
          <w:sz w:val="18"/>
        </w:rPr>
        <w:t>”</w:t>
      </w:r>
      <w:r>
        <w:rPr>
          <w:spacing w:val="-53"/>
          <w:position w:val="-6"/>
          <w:sz w:val="18"/>
        </w:rPr>
        <w:t>．</w:t>
      </w:r>
      <w:r>
        <w:rPr>
          <w:spacing w:val="-128"/>
          <w:sz w:val="18"/>
        </w:rPr>
        <w:t>内</w:t>
      </w:r>
      <w:r>
        <w:rPr>
          <w:spacing w:val="-53"/>
          <w:position w:val="-6"/>
          <w:sz w:val="18"/>
        </w:rPr>
        <w:t>．</w:t>
      </w:r>
      <w:r>
        <w:rPr>
          <w:spacing w:val="-128"/>
          <w:sz w:val="18"/>
        </w:rPr>
        <w:t>容</w:t>
      </w:r>
      <w:r>
        <w:rPr>
          <w:spacing w:val="-53"/>
          <w:position w:val="-6"/>
          <w:sz w:val="18"/>
        </w:rPr>
        <w:t>．</w:t>
      </w:r>
      <w:r>
        <w:rPr>
          <w:spacing w:val="-128"/>
          <w:sz w:val="18"/>
        </w:rPr>
        <w:t>的</w:t>
      </w:r>
      <w:r>
        <w:rPr>
          <w:spacing w:val="-53"/>
          <w:position w:val="-6"/>
          <w:sz w:val="18"/>
        </w:rPr>
        <w:t>．</w:t>
      </w:r>
      <w:r>
        <w:rPr>
          <w:spacing w:val="-128"/>
          <w:sz w:val="18"/>
        </w:rPr>
        <w:t>解</w:t>
      </w:r>
      <w:r>
        <w:rPr>
          <w:spacing w:val="-53"/>
          <w:position w:val="-6"/>
          <w:sz w:val="18"/>
        </w:rPr>
        <w:t>．</w:t>
      </w:r>
      <w:r>
        <w:rPr>
          <w:spacing w:val="-128"/>
          <w:sz w:val="18"/>
        </w:rPr>
        <w:t>释</w:t>
      </w:r>
      <w:r>
        <w:rPr>
          <w:spacing w:val="-53"/>
          <w:position w:val="-6"/>
          <w:sz w:val="18"/>
        </w:rPr>
        <w:t>．</w:t>
      </w:r>
      <w:r>
        <w:rPr>
          <w:spacing w:val="-128"/>
          <w:sz w:val="18"/>
        </w:rPr>
        <w:t>以</w:t>
      </w:r>
      <w:r>
        <w:rPr>
          <w:spacing w:val="-53"/>
          <w:position w:val="-6"/>
          <w:sz w:val="18"/>
        </w:rPr>
        <w:t>．</w:t>
      </w:r>
      <w:r>
        <w:rPr>
          <w:spacing w:val="-128"/>
          <w:sz w:val="18"/>
        </w:rPr>
        <w:t>条</w:t>
      </w:r>
      <w:r>
        <w:rPr>
          <w:spacing w:val="-53"/>
          <w:position w:val="-6"/>
          <w:sz w:val="18"/>
        </w:rPr>
        <w:t>．</w:t>
      </w:r>
      <w:r>
        <w:rPr>
          <w:spacing w:val="-128"/>
          <w:sz w:val="18"/>
        </w:rPr>
        <w:t>款</w:t>
      </w:r>
      <w:r>
        <w:rPr>
          <w:spacing w:val="-53"/>
          <w:position w:val="-6"/>
          <w:sz w:val="18"/>
        </w:rPr>
        <w:t>．</w:t>
      </w:r>
      <w:r>
        <w:rPr>
          <w:spacing w:val="-128"/>
          <w:sz w:val="18"/>
        </w:rPr>
        <w:t>为</w:t>
      </w:r>
      <w:r>
        <w:rPr>
          <w:spacing w:val="-53"/>
          <w:position w:val="-6"/>
          <w:sz w:val="18"/>
        </w:rPr>
        <w:t>．</w:t>
      </w:r>
      <w:r>
        <w:rPr>
          <w:spacing w:val="-128"/>
          <w:sz w:val="18"/>
        </w:rPr>
        <w:t>准</w:t>
      </w:r>
      <w:r>
        <w:rPr>
          <w:spacing w:val="-53"/>
          <w:position w:val="-6"/>
          <w:sz w:val="18"/>
        </w:rPr>
        <w:t>．</w:t>
      </w:r>
      <w:r>
        <w:rPr>
          <w:spacing w:val="-128"/>
          <w:sz w:val="18"/>
        </w:rPr>
        <w:t>。</w:t>
      </w:r>
      <w:r>
        <w:rPr>
          <w:position w:val="-6"/>
          <w:sz w:val="18"/>
        </w:rPr>
        <w:t>．</w:t>
      </w:r>
    </w:p>
    <w:p>
      <w:pPr>
        <w:pStyle w:val="BodyText"/>
        <w:spacing w:before="7"/>
        <w:ind w:left="0"/>
        <w:rPr>
          <w:sz w:val="27"/>
        </w:rPr>
      </w:pPr>
    </w:p>
    <w:p>
      <w:pPr>
        <w:pStyle w:val="Heading3"/>
        <w:tabs>
          <w:tab w:pos="1350" w:val="left" w:leader="none"/>
        </w:tabs>
        <w:ind w:left="340"/>
      </w:pPr>
      <w:r>
        <w:rPr/>
        <w:drawing>
          <wp:anchor distT="0" distB="0" distL="0" distR="0" allowOverlap="1" layoutInCell="1" locked="0" behindDoc="1" simplePos="0" relativeHeight="268397639">
            <wp:simplePos x="0" y="0"/>
            <wp:positionH relativeFrom="page">
              <wp:posOffset>495300</wp:posOffset>
            </wp:positionH>
            <wp:positionV relativeFrom="paragraph">
              <wp:posOffset>-92612</wp:posOffset>
            </wp:positionV>
            <wp:extent cx="6377939" cy="822197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77939" cy="8221979"/>
                    </a:xfrm>
                    <a:prstGeom prst="rect">
                      <a:avLst/>
                    </a:prstGeom>
                  </pic:spPr>
                </pic:pic>
              </a:graphicData>
            </a:graphic>
          </wp:anchor>
        </w:drawing>
      </w:r>
      <w:r>
        <w:rPr>
          <w:rFonts w:ascii="Arial" w:hAnsi="Arial" w:eastAsia="Arial"/>
          <w:w w:val="105"/>
          <w:position w:val="-11"/>
          <w:sz w:val="52"/>
        </w:rPr>
        <w:t></w:t>
        <w:tab/>
      </w:r>
      <w:r>
        <w:rPr>
          <w:spacing w:val="-1"/>
        </w:rPr>
        <w:t>您拥有的重要权益</w:t>
      </w:r>
    </w:p>
    <w:p>
      <w:pPr>
        <w:pStyle w:val="ListParagraph"/>
        <w:numPr>
          <w:ilvl w:val="0"/>
          <w:numId w:val="1"/>
        </w:numPr>
        <w:tabs>
          <w:tab w:pos="1731" w:val="left" w:leader="none"/>
          <w:tab w:pos="1732" w:val="left" w:leader="none"/>
          <w:tab w:pos="9613" w:val="right" w:leader="dot"/>
        </w:tabs>
        <w:spacing w:line="240" w:lineRule="auto" w:before="26" w:after="0"/>
        <w:ind w:left="1731" w:right="0" w:hanging="419"/>
        <w:jc w:val="left"/>
        <w:rPr>
          <w:sz w:val="21"/>
        </w:rPr>
      </w:pPr>
      <w:r>
        <w:rPr>
          <w:sz w:val="21"/>
        </w:rPr>
        <w:t>投保</w:t>
      </w:r>
      <w:r>
        <w:rPr>
          <w:spacing w:val="-3"/>
          <w:sz w:val="21"/>
        </w:rPr>
        <w:t>后</w:t>
      </w:r>
      <w:r>
        <w:rPr>
          <w:sz w:val="21"/>
        </w:rPr>
        <w:t>10</w:t>
      </w:r>
      <w:r>
        <w:rPr>
          <w:spacing w:val="-3"/>
          <w:sz w:val="21"/>
        </w:rPr>
        <w:t>日</w:t>
      </w:r>
      <w:r>
        <w:rPr>
          <w:sz w:val="21"/>
        </w:rPr>
        <w:t>内</w:t>
      </w:r>
      <w:r>
        <w:rPr>
          <w:spacing w:val="-3"/>
          <w:sz w:val="21"/>
        </w:rPr>
        <w:t>您</w:t>
      </w:r>
      <w:r>
        <w:rPr>
          <w:sz w:val="21"/>
        </w:rPr>
        <w:t>可</w:t>
      </w:r>
      <w:r>
        <w:rPr>
          <w:spacing w:val="-3"/>
          <w:sz w:val="21"/>
        </w:rPr>
        <w:t>以</w:t>
      </w:r>
      <w:r>
        <w:rPr>
          <w:sz w:val="21"/>
        </w:rPr>
        <w:t>要</w:t>
      </w:r>
      <w:r>
        <w:rPr>
          <w:spacing w:val="-3"/>
          <w:sz w:val="21"/>
        </w:rPr>
        <w:t>求</w:t>
      </w:r>
      <w:r>
        <w:rPr>
          <w:sz w:val="21"/>
        </w:rPr>
        <w:t>全额</w:t>
      </w:r>
      <w:r>
        <w:rPr>
          <w:spacing w:val="-3"/>
          <w:sz w:val="21"/>
        </w:rPr>
        <w:t>退</w:t>
      </w:r>
      <w:r>
        <w:rPr>
          <w:sz w:val="21"/>
        </w:rPr>
        <w:t>还</w:t>
      </w:r>
      <w:r>
        <w:rPr>
          <w:spacing w:val="-3"/>
          <w:sz w:val="21"/>
        </w:rPr>
        <w:t>保</w:t>
      </w:r>
      <w:r>
        <w:rPr>
          <w:sz w:val="21"/>
        </w:rPr>
        <w:t>险费</w:t>
        <w:tab/>
        <w:t>1.3</w:t>
      </w:r>
    </w:p>
    <w:p>
      <w:pPr>
        <w:pStyle w:val="ListParagraph"/>
        <w:numPr>
          <w:ilvl w:val="0"/>
          <w:numId w:val="1"/>
        </w:numPr>
        <w:tabs>
          <w:tab w:pos="1731" w:val="left" w:leader="none"/>
          <w:tab w:pos="1733" w:val="left" w:leader="none"/>
          <w:tab w:pos="9613" w:val="right" w:leader="dot"/>
        </w:tabs>
        <w:spacing w:line="240" w:lineRule="auto" w:before="22" w:after="0"/>
        <w:ind w:left="173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保障</w:t>
        <w:tab/>
        <w:t>2.4</w:t>
      </w:r>
    </w:p>
    <w:p>
      <w:pPr>
        <w:pStyle w:val="ListParagraph"/>
        <w:numPr>
          <w:ilvl w:val="0"/>
          <w:numId w:val="1"/>
        </w:numPr>
        <w:tabs>
          <w:tab w:pos="1732" w:val="left" w:leader="none"/>
          <w:tab w:pos="1733" w:val="left" w:leader="none"/>
          <w:tab w:pos="9613" w:val="right" w:leader="dot"/>
        </w:tabs>
        <w:spacing w:line="240" w:lineRule="auto" w:before="22" w:after="0"/>
        <w:ind w:left="1732" w:right="0" w:hanging="420"/>
        <w:jc w:val="left"/>
        <w:rPr>
          <w:sz w:val="21"/>
        </w:rPr>
      </w:pPr>
      <w:r>
        <w:rPr>
          <w:sz w:val="21"/>
        </w:rPr>
        <w:t>您有</w:t>
      </w:r>
      <w:r>
        <w:rPr>
          <w:spacing w:val="-3"/>
          <w:sz w:val="21"/>
        </w:rPr>
        <w:t>退</w:t>
      </w:r>
      <w:r>
        <w:rPr>
          <w:sz w:val="21"/>
        </w:rPr>
        <w:t>保</w:t>
      </w:r>
      <w:r>
        <w:rPr>
          <w:spacing w:val="-3"/>
          <w:sz w:val="21"/>
        </w:rPr>
        <w:t>的</w:t>
      </w:r>
      <w:r>
        <w:rPr>
          <w:sz w:val="21"/>
        </w:rPr>
        <w:t>权利</w:t>
        <w:tab/>
        <w:t>6.1</w:t>
      </w:r>
    </w:p>
    <w:p>
      <w:pPr>
        <w:pStyle w:val="Heading3"/>
        <w:tabs>
          <w:tab w:pos="1350" w:val="left" w:leader="none"/>
        </w:tabs>
        <w:spacing w:before="334"/>
        <w:ind w:left="340"/>
      </w:pPr>
      <w:r>
        <w:rPr>
          <w:rFonts w:ascii="Arial" w:hAnsi="Arial" w:eastAsia="Arial"/>
          <w:w w:val="105"/>
          <w:position w:val="-11"/>
          <w:sz w:val="52"/>
        </w:rPr>
        <w:t></w:t>
        <w:tab/>
      </w:r>
      <w:r>
        <w:rPr>
          <w:spacing w:val="-1"/>
        </w:rPr>
        <w:t>您应当特别注意的事项</w:t>
      </w:r>
    </w:p>
    <w:p>
      <w:pPr>
        <w:pStyle w:val="ListParagraph"/>
        <w:numPr>
          <w:ilvl w:val="0"/>
          <w:numId w:val="1"/>
        </w:numPr>
        <w:tabs>
          <w:tab w:pos="1731" w:val="left" w:leader="none"/>
          <w:tab w:pos="1732" w:val="left" w:leader="none"/>
          <w:tab w:pos="9613" w:val="right" w:leader="dot"/>
        </w:tabs>
        <w:spacing w:line="240" w:lineRule="auto" w:before="26" w:after="0"/>
        <w:ind w:left="1731" w:right="0" w:hanging="419"/>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2.5</w:t>
      </w:r>
    </w:p>
    <w:p>
      <w:pPr>
        <w:pStyle w:val="ListParagraph"/>
        <w:numPr>
          <w:ilvl w:val="0"/>
          <w:numId w:val="1"/>
        </w:numPr>
        <w:tabs>
          <w:tab w:pos="1731" w:val="left" w:leader="none"/>
          <w:tab w:pos="1732" w:val="left" w:leader="none"/>
          <w:tab w:pos="9613" w:val="right" w:leader="dot"/>
        </w:tabs>
        <w:spacing w:line="240" w:lineRule="auto" w:before="22" w:after="0"/>
        <w:ind w:left="1731" w:right="0" w:hanging="420"/>
        <w:jc w:val="left"/>
        <w:rPr>
          <w:sz w:val="21"/>
        </w:rPr>
      </w:pPr>
      <w:r>
        <w:rPr>
          <w:sz w:val="21"/>
        </w:rPr>
        <w:t>您应</w:t>
      </w:r>
      <w:r>
        <w:rPr>
          <w:spacing w:val="-3"/>
          <w:sz w:val="21"/>
        </w:rPr>
        <w:t>当</w:t>
      </w:r>
      <w:r>
        <w:rPr>
          <w:sz w:val="21"/>
        </w:rPr>
        <w:t>按</w:t>
      </w:r>
      <w:r>
        <w:rPr>
          <w:spacing w:val="-3"/>
          <w:sz w:val="21"/>
        </w:rPr>
        <w:t>时</w:t>
      </w:r>
      <w:r>
        <w:rPr>
          <w:sz w:val="21"/>
        </w:rPr>
        <w:t>支</w:t>
      </w:r>
      <w:r>
        <w:rPr>
          <w:spacing w:val="-3"/>
          <w:sz w:val="21"/>
        </w:rPr>
        <w:t>付</w:t>
      </w:r>
      <w:r>
        <w:rPr>
          <w:sz w:val="21"/>
        </w:rPr>
        <w:t>保</w:t>
      </w:r>
      <w:r>
        <w:rPr>
          <w:spacing w:val="-3"/>
          <w:sz w:val="21"/>
        </w:rPr>
        <w:t>险费</w:t>
        <w:tab/>
      </w:r>
      <w:r>
        <w:rPr>
          <w:sz w:val="21"/>
        </w:rPr>
        <w:t>4.1</w:t>
      </w:r>
    </w:p>
    <w:p>
      <w:pPr>
        <w:pStyle w:val="ListParagraph"/>
        <w:numPr>
          <w:ilvl w:val="0"/>
          <w:numId w:val="1"/>
        </w:numPr>
        <w:tabs>
          <w:tab w:pos="1731" w:val="left" w:leader="none"/>
          <w:tab w:pos="1732" w:val="left" w:leader="none"/>
          <w:tab w:pos="9613" w:val="right" w:leader="dot"/>
        </w:tabs>
        <w:spacing w:line="240" w:lineRule="auto" w:before="22" w:after="0"/>
        <w:ind w:left="1731" w:right="0" w:hanging="41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6.1</w:t>
      </w:r>
    </w:p>
    <w:p>
      <w:pPr>
        <w:pStyle w:val="ListParagraph"/>
        <w:numPr>
          <w:ilvl w:val="0"/>
          <w:numId w:val="1"/>
        </w:numPr>
        <w:tabs>
          <w:tab w:pos="1731" w:val="left" w:leader="none"/>
          <w:tab w:pos="1732" w:val="left" w:leader="none"/>
          <w:tab w:pos="9613" w:val="right" w:leader="dot"/>
        </w:tabs>
        <w:spacing w:line="240" w:lineRule="auto" w:before="22" w:after="0"/>
        <w:ind w:left="1731" w:right="0" w:hanging="419"/>
        <w:jc w:val="left"/>
        <w:rPr>
          <w:sz w:val="21"/>
        </w:rPr>
      </w:pPr>
      <w:r>
        <w:rPr>
          <w:sz w:val="21"/>
        </w:rPr>
        <w:t>主合</w:t>
      </w:r>
      <w:r>
        <w:rPr>
          <w:spacing w:val="-3"/>
          <w:sz w:val="21"/>
        </w:rPr>
        <w:t>同</w:t>
      </w:r>
      <w:r>
        <w:rPr>
          <w:sz w:val="21"/>
        </w:rPr>
        <w:t>的</w:t>
      </w:r>
      <w:r>
        <w:rPr>
          <w:spacing w:val="-3"/>
          <w:sz w:val="21"/>
        </w:rPr>
        <w:t>某</w:t>
      </w:r>
      <w:r>
        <w:rPr>
          <w:sz w:val="21"/>
        </w:rPr>
        <w:t>些</w:t>
      </w:r>
      <w:r>
        <w:rPr>
          <w:spacing w:val="-3"/>
          <w:sz w:val="21"/>
        </w:rPr>
        <w:t>变</w:t>
      </w:r>
      <w:r>
        <w:rPr>
          <w:sz w:val="21"/>
        </w:rPr>
        <w:t>动</w:t>
      </w:r>
      <w:r>
        <w:rPr>
          <w:spacing w:val="-3"/>
          <w:sz w:val="21"/>
        </w:rPr>
        <w:t>会</w:t>
      </w:r>
      <w:r>
        <w:rPr>
          <w:sz w:val="21"/>
        </w:rPr>
        <w:t>导</w:t>
      </w:r>
      <w:r>
        <w:rPr>
          <w:spacing w:val="-3"/>
          <w:sz w:val="21"/>
        </w:rPr>
        <w:t>致</w:t>
      </w:r>
      <w:r>
        <w:rPr>
          <w:sz w:val="21"/>
        </w:rPr>
        <w:t>本附</w:t>
      </w:r>
      <w:r>
        <w:rPr>
          <w:spacing w:val="-3"/>
          <w:sz w:val="21"/>
        </w:rPr>
        <w:t>加</w:t>
      </w:r>
      <w:r>
        <w:rPr>
          <w:sz w:val="21"/>
        </w:rPr>
        <w:t>合</w:t>
      </w:r>
      <w:r>
        <w:rPr>
          <w:spacing w:val="-3"/>
          <w:sz w:val="21"/>
        </w:rPr>
        <w:t>同</w:t>
      </w:r>
      <w:r>
        <w:rPr>
          <w:sz w:val="21"/>
        </w:rPr>
        <w:t>效</w:t>
      </w:r>
      <w:r>
        <w:rPr>
          <w:spacing w:val="-3"/>
          <w:sz w:val="21"/>
        </w:rPr>
        <w:t>力</w:t>
      </w:r>
      <w:r>
        <w:rPr>
          <w:sz w:val="21"/>
        </w:rPr>
        <w:t>终止</w:t>
        <w:tab/>
        <w:t>7.2</w:t>
      </w:r>
    </w:p>
    <w:p>
      <w:pPr>
        <w:pStyle w:val="ListParagraph"/>
        <w:numPr>
          <w:ilvl w:val="0"/>
          <w:numId w:val="1"/>
        </w:numPr>
        <w:tabs>
          <w:tab w:pos="1731" w:val="left" w:leader="none"/>
          <w:tab w:pos="1732" w:val="left" w:leader="none"/>
          <w:tab w:pos="9613" w:val="right" w:leader="dot"/>
        </w:tabs>
        <w:spacing w:line="240" w:lineRule="auto" w:before="22" w:after="0"/>
        <w:ind w:left="1731" w:right="0" w:hanging="419"/>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8</w:t>
      </w:r>
    </w:p>
    <w:p>
      <w:pPr>
        <w:pStyle w:val="ListParagraph"/>
        <w:numPr>
          <w:ilvl w:val="0"/>
          <w:numId w:val="1"/>
        </w:numPr>
        <w:tabs>
          <w:tab w:pos="1731" w:val="left" w:leader="none"/>
          <w:tab w:pos="1733" w:val="left" w:leader="none"/>
        </w:tabs>
        <w:spacing w:line="240" w:lineRule="auto" w:before="22" w:after="0"/>
        <w:ind w:left="1732" w:right="0" w:hanging="420"/>
        <w:jc w:val="left"/>
        <w:rPr>
          <w:sz w:val="21"/>
        </w:rPr>
      </w:pPr>
      <w:r>
        <w:rPr>
          <w:spacing w:val="-3"/>
          <w:sz w:val="21"/>
        </w:rPr>
        <w:t>保险条款有关于疾病的释义，请您留意 …………………………</w:t>
      </w:r>
      <w:r>
        <w:rPr>
          <w:sz w:val="21"/>
        </w:rPr>
        <w:t>…8.5、8.6</w:t>
      </w:r>
      <w:r>
        <w:rPr>
          <w:spacing w:val="-3"/>
          <w:sz w:val="21"/>
        </w:rPr>
        <w:t>、</w:t>
      </w:r>
      <w:r>
        <w:rPr>
          <w:sz w:val="21"/>
        </w:rPr>
        <w:t>8.7、8.8</w:t>
      </w:r>
    </w:p>
    <w:p>
      <w:pPr>
        <w:pStyle w:val="BodyText"/>
        <w:spacing w:before="6"/>
        <w:ind w:left="0"/>
        <w:rPr>
          <w:sz w:val="25"/>
        </w:rPr>
      </w:pPr>
    </w:p>
    <w:p>
      <w:pPr>
        <w:pStyle w:val="Heading3"/>
        <w:tabs>
          <w:tab w:pos="1350" w:val="left" w:leader="none"/>
        </w:tabs>
        <w:spacing w:before="1"/>
        <w:ind w:left="340"/>
      </w:pPr>
      <w:r>
        <w:rPr>
          <w:rFonts w:ascii="Arial" w:hAnsi="Arial" w:eastAsia="Arial"/>
          <w:w w:val="105"/>
          <w:position w:val="-11"/>
          <w:sz w:val="52"/>
        </w:rPr>
        <w:t></w:t>
        <w:tab/>
      </w:r>
      <w:r>
        <w:rPr>
          <w:spacing w:val="-3"/>
        </w:rPr>
        <w:t>条款是保险合同的重要内容，为充分保障您的权益，请您仔细阅读本条款。</w:t>
      </w:r>
    </w:p>
    <w:p>
      <w:pPr>
        <w:spacing w:before="338"/>
        <w:ind w:left="340" w:right="0" w:firstLine="0"/>
        <w:jc w:val="left"/>
        <w:rPr>
          <w:rFonts w:ascii="Arial" w:hAnsi="Arial"/>
          <w:b/>
          <w:sz w:val="52"/>
        </w:rPr>
      </w:pPr>
      <w:r>
        <w:rPr/>
        <w:pict>
          <v:shapetype id="_x0000_t202" o:spt="202" coordsize="21600,21600" path="m,l,21600r21600,l21600,xe">
            <v:stroke joinstyle="miter"/>
            <v:path gradientshapeok="t" o:connecttype="rect"/>
          </v:shapetype>
          <v:shape style="position:absolute;margin-left:87.425003pt;margin-top:26.21270pt;width:415.65pt;height:323.75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0"/>
                    <w:gridCol w:w="2651"/>
                    <w:gridCol w:w="683"/>
                    <w:gridCol w:w="2114"/>
                  </w:tblGrid>
                  <w:tr>
                    <w:trPr>
                      <w:trHeight w:val="439" w:hRule="atLeast"/>
                    </w:trPr>
                    <w:tc>
                      <w:tcPr>
                        <w:tcW w:w="2850" w:type="dxa"/>
                        <w:tcBorders>
                          <w:bottom w:val="dotted" w:sz="6" w:space="0" w:color="000000"/>
                        </w:tcBorders>
                      </w:tcPr>
                      <w:p>
                        <w:pPr>
                          <w:pStyle w:val="TableParagraph"/>
                          <w:spacing w:line="211" w:lineRule="exact"/>
                          <w:ind w:left="281"/>
                          <w:rPr>
                            <w:b/>
                            <w:sz w:val="21"/>
                          </w:rPr>
                        </w:pPr>
                        <w:r>
                          <w:rPr>
                            <w:b/>
                            <w:sz w:val="21"/>
                          </w:rPr>
                          <w:t>条款目录</w:t>
                        </w:r>
                      </w:p>
                    </w:tc>
                    <w:tc>
                      <w:tcPr>
                        <w:tcW w:w="5448" w:type="dxa"/>
                        <w:gridSpan w:val="3"/>
                        <w:tcBorders>
                          <w:bottom w:val="dotted" w:sz="6" w:space="0" w:color="000000"/>
                        </w:tcBorders>
                      </w:tcPr>
                      <w:p>
                        <w:pPr>
                          <w:pStyle w:val="TableParagraph"/>
                          <w:rPr>
                            <w:rFonts w:ascii="Times New Roman"/>
                            <w:sz w:val="20"/>
                          </w:rPr>
                        </w:pPr>
                      </w:p>
                    </w:tc>
                  </w:tr>
                  <w:tr>
                    <w:trPr>
                      <w:trHeight w:val="452" w:hRule="atLeast"/>
                    </w:trPr>
                    <w:tc>
                      <w:tcPr>
                        <w:tcW w:w="2850" w:type="dxa"/>
                        <w:tcBorders>
                          <w:top w:val="dotted" w:sz="6" w:space="0" w:color="000000"/>
                          <w:left w:val="dotted" w:sz="6" w:space="0" w:color="000000"/>
                        </w:tcBorders>
                      </w:tcPr>
                      <w:p>
                        <w:pPr>
                          <w:pStyle w:val="TableParagraph"/>
                          <w:spacing w:before="56"/>
                          <w:ind w:left="248"/>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2651" w:type="dxa"/>
                        <w:tcBorders>
                          <w:top w:val="dotted" w:sz="6" w:space="0" w:color="000000"/>
                        </w:tcBorders>
                      </w:tcPr>
                      <w:p>
                        <w:pPr>
                          <w:pStyle w:val="TableParagraph"/>
                          <w:spacing w:before="61"/>
                          <w:ind w:left="136"/>
                          <w:rPr>
                            <w:rFonts w:ascii="Microsoft JhengHei" w:eastAsia="Microsoft JhengHei" w:hint="eastAsia"/>
                            <w:b/>
                            <w:sz w:val="21"/>
                          </w:rPr>
                        </w:pPr>
                        <w:r>
                          <w:rPr>
                            <w:b/>
                            <w:sz w:val="21"/>
                          </w:rPr>
                          <w:t>5.</w:t>
                        </w:r>
                        <w:r>
                          <w:rPr>
                            <w:rFonts w:ascii="Microsoft JhengHei" w:eastAsia="Microsoft JhengHei" w:hint="eastAsia"/>
                            <w:b/>
                            <w:sz w:val="21"/>
                          </w:rPr>
                          <w:t>如何恢复合同效力</w:t>
                        </w:r>
                      </w:p>
                    </w:tc>
                    <w:tc>
                      <w:tcPr>
                        <w:tcW w:w="683" w:type="dxa"/>
                        <w:tcBorders>
                          <w:top w:val="dotted" w:sz="6" w:space="0" w:color="000000"/>
                        </w:tcBorders>
                      </w:tcPr>
                      <w:p>
                        <w:pPr>
                          <w:pStyle w:val="TableParagraph"/>
                          <w:spacing w:before="132"/>
                          <w:ind w:left="216"/>
                          <w:rPr>
                            <w:sz w:val="21"/>
                          </w:rPr>
                        </w:pPr>
                        <w:r>
                          <w:rPr>
                            <w:sz w:val="21"/>
                          </w:rPr>
                          <w:t>8.9</w:t>
                        </w:r>
                      </w:p>
                    </w:tc>
                    <w:tc>
                      <w:tcPr>
                        <w:tcW w:w="2114" w:type="dxa"/>
                        <w:tcBorders>
                          <w:top w:val="dotted" w:sz="6" w:space="0" w:color="000000"/>
                          <w:right w:val="dotted" w:sz="6" w:space="0" w:color="000000"/>
                        </w:tcBorders>
                      </w:tcPr>
                      <w:p>
                        <w:pPr>
                          <w:pStyle w:val="TableParagraph"/>
                          <w:spacing w:before="132"/>
                          <w:ind w:left="59"/>
                          <w:rPr>
                            <w:sz w:val="21"/>
                          </w:rPr>
                        </w:pPr>
                        <w:r>
                          <w:rPr>
                            <w:sz w:val="21"/>
                          </w:rPr>
                          <w:t>现金价值</w:t>
                        </w:r>
                      </w:p>
                    </w:tc>
                  </w:tr>
                  <w:tr>
                    <w:trPr>
                      <w:trHeight w:val="311" w:hRule="atLeast"/>
                    </w:trPr>
                    <w:tc>
                      <w:tcPr>
                        <w:tcW w:w="2850" w:type="dxa"/>
                        <w:tcBorders>
                          <w:left w:val="dotted" w:sz="6" w:space="0" w:color="000000"/>
                        </w:tcBorders>
                      </w:tcPr>
                      <w:p>
                        <w:pPr>
                          <w:pStyle w:val="TableParagraph"/>
                          <w:spacing w:line="257" w:lineRule="exact"/>
                          <w:ind w:left="459"/>
                          <w:rPr>
                            <w:sz w:val="21"/>
                          </w:rPr>
                        </w:pPr>
                        <w:r>
                          <w:rPr>
                            <w:sz w:val="21"/>
                          </w:rPr>
                          <w:t>1.1 保险合同构成</w:t>
                        </w:r>
                      </w:p>
                    </w:tc>
                    <w:tc>
                      <w:tcPr>
                        <w:tcW w:w="2651" w:type="dxa"/>
                      </w:tcPr>
                      <w:p>
                        <w:pPr>
                          <w:pStyle w:val="TableParagraph"/>
                          <w:spacing w:line="261" w:lineRule="exact"/>
                          <w:ind w:left="347"/>
                          <w:rPr>
                            <w:sz w:val="21"/>
                          </w:rPr>
                        </w:pPr>
                        <w:r>
                          <w:rPr>
                            <w:sz w:val="21"/>
                          </w:rPr>
                          <w:t>5.1 效力恢复</w:t>
                        </w:r>
                      </w:p>
                    </w:tc>
                    <w:tc>
                      <w:tcPr>
                        <w:tcW w:w="683" w:type="dxa"/>
                      </w:tcPr>
                      <w:p>
                        <w:pPr>
                          <w:pStyle w:val="TableParagraph"/>
                          <w:spacing w:line="266" w:lineRule="exact"/>
                          <w:ind w:left="216"/>
                          <w:rPr>
                            <w:sz w:val="21"/>
                          </w:rPr>
                        </w:pPr>
                        <w:r>
                          <w:rPr>
                            <w:sz w:val="21"/>
                          </w:rPr>
                          <w:t>8.10</w:t>
                        </w:r>
                      </w:p>
                    </w:tc>
                    <w:tc>
                      <w:tcPr>
                        <w:tcW w:w="2114" w:type="dxa"/>
                        <w:tcBorders>
                          <w:right w:val="dotted" w:sz="6" w:space="0" w:color="000000"/>
                        </w:tcBorders>
                      </w:tcPr>
                      <w:p>
                        <w:pPr>
                          <w:pStyle w:val="TableParagraph"/>
                          <w:spacing w:line="266" w:lineRule="exact"/>
                          <w:ind w:left="59"/>
                          <w:rPr>
                            <w:sz w:val="21"/>
                          </w:rPr>
                        </w:pPr>
                        <w:r>
                          <w:rPr>
                            <w:sz w:val="21"/>
                          </w:rPr>
                          <w:t>初次发生</w:t>
                        </w:r>
                      </w:p>
                    </w:tc>
                  </w:tr>
                  <w:tr>
                    <w:trPr>
                      <w:trHeight w:val="311" w:hRule="atLeast"/>
                    </w:trPr>
                    <w:tc>
                      <w:tcPr>
                        <w:tcW w:w="2850" w:type="dxa"/>
                        <w:tcBorders>
                          <w:left w:val="dotted" w:sz="6" w:space="0" w:color="000000"/>
                        </w:tcBorders>
                      </w:tcPr>
                      <w:p>
                        <w:pPr>
                          <w:pStyle w:val="TableParagraph"/>
                          <w:spacing w:line="257" w:lineRule="exact"/>
                          <w:ind w:left="459"/>
                          <w:rPr>
                            <w:sz w:val="21"/>
                          </w:rPr>
                        </w:pPr>
                        <w:r>
                          <w:rPr>
                            <w:sz w:val="21"/>
                          </w:rPr>
                          <w:t>1.2 保险合同成立与生效</w:t>
                        </w:r>
                      </w:p>
                    </w:tc>
                    <w:tc>
                      <w:tcPr>
                        <w:tcW w:w="2651" w:type="dxa"/>
                      </w:tcPr>
                      <w:p>
                        <w:pPr>
                          <w:pStyle w:val="TableParagraph"/>
                          <w:spacing w:line="285" w:lineRule="exact"/>
                          <w:ind w:left="136"/>
                          <w:rPr>
                            <w:rFonts w:ascii="Microsoft JhengHei" w:eastAsia="Microsoft JhengHei" w:hint="eastAsia"/>
                            <w:b/>
                            <w:sz w:val="21"/>
                          </w:rPr>
                        </w:pPr>
                        <w:r>
                          <w:rPr>
                            <w:b/>
                            <w:sz w:val="21"/>
                          </w:rPr>
                          <w:t>6.</w:t>
                        </w:r>
                        <w:r>
                          <w:rPr>
                            <w:rFonts w:ascii="Microsoft JhengHei" w:eastAsia="Microsoft JhengHei" w:hint="eastAsia"/>
                            <w:b/>
                            <w:sz w:val="21"/>
                          </w:rPr>
                          <w:t>如何解除保险合同</w:t>
                        </w:r>
                      </w:p>
                    </w:tc>
                    <w:tc>
                      <w:tcPr>
                        <w:tcW w:w="683" w:type="dxa"/>
                      </w:tcPr>
                      <w:p>
                        <w:pPr>
                          <w:pStyle w:val="TableParagraph"/>
                          <w:spacing w:line="266" w:lineRule="exact"/>
                          <w:ind w:left="216"/>
                          <w:rPr>
                            <w:sz w:val="21"/>
                          </w:rPr>
                        </w:pPr>
                        <w:r>
                          <w:rPr>
                            <w:sz w:val="21"/>
                          </w:rPr>
                          <w:t>8.11</w:t>
                        </w:r>
                      </w:p>
                    </w:tc>
                    <w:tc>
                      <w:tcPr>
                        <w:tcW w:w="2114" w:type="dxa"/>
                        <w:tcBorders>
                          <w:right w:val="dotted" w:sz="6" w:space="0" w:color="000000"/>
                        </w:tcBorders>
                      </w:tcPr>
                      <w:p>
                        <w:pPr>
                          <w:pStyle w:val="TableParagraph"/>
                          <w:spacing w:line="266" w:lineRule="exact"/>
                          <w:ind w:left="59"/>
                          <w:rPr>
                            <w:sz w:val="21"/>
                          </w:rPr>
                        </w:pPr>
                        <w:r>
                          <w:rPr>
                            <w:sz w:val="21"/>
                          </w:rPr>
                          <w:t>医院</w:t>
                        </w:r>
                      </w:p>
                    </w:tc>
                  </w:tr>
                  <w:tr>
                    <w:trPr>
                      <w:trHeight w:val="312" w:hRule="atLeast"/>
                    </w:trPr>
                    <w:tc>
                      <w:tcPr>
                        <w:tcW w:w="2850" w:type="dxa"/>
                        <w:tcBorders>
                          <w:left w:val="dotted" w:sz="6" w:space="0" w:color="000000"/>
                        </w:tcBorders>
                      </w:tcPr>
                      <w:p>
                        <w:pPr>
                          <w:pStyle w:val="TableParagraph"/>
                          <w:spacing w:line="257" w:lineRule="exact"/>
                          <w:ind w:left="459"/>
                          <w:rPr>
                            <w:sz w:val="21"/>
                          </w:rPr>
                        </w:pPr>
                        <w:r>
                          <w:rPr>
                            <w:sz w:val="21"/>
                          </w:rPr>
                          <w:t>1.3 犹豫期</w:t>
                        </w:r>
                      </w:p>
                    </w:tc>
                    <w:tc>
                      <w:tcPr>
                        <w:tcW w:w="2651" w:type="dxa"/>
                      </w:tcPr>
                      <w:p>
                        <w:pPr>
                          <w:pStyle w:val="TableParagraph"/>
                          <w:spacing w:line="262" w:lineRule="exact"/>
                          <w:ind w:right="200"/>
                          <w:jc w:val="right"/>
                          <w:rPr>
                            <w:sz w:val="21"/>
                          </w:rPr>
                        </w:pPr>
                        <w:r>
                          <w:rPr>
                            <w:sz w:val="21"/>
                          </w:rPr>
                          <w:t>6.1 您解除合同的手续</w:t>
                        </w:r>
                      </w:p>
                    </w:tc>
                    <w:tc>
                      <w:tcPr>
                        <w:tcW w:w="683" w:type="dxa"/>
                      </w:tcPr>
                      <w:p>
                        <w:pPr>
                          <w:pStyle w:val="TableParagraph"/>
                          <w:spacing w:line="266" w:lineRule="exact"/>
                          <w:ind w:left="217"/>
                          <w:rPr>
                            <w:sz w:val="21"/>
                          </w:rPr>
                        </w:pPr>
                        <w:r>
                          <w:rPr>
                            <w:sz w:val="21"/>
                          </w:rPr>
                          <w:t>8.12</w:t>
                        </w:r>
                      </w:p>
                    </w:tc>
                    <w:tc>
                      <w:tcPr>
                        <w:tcW w:w="2114" w:type="dxa"/>
                        <w:tcBorders>
                          <w:right w:val="dotted" w:sz="6" w:space="0" w:color="000000"/>
                        </w:tcBorders>
                      </w:tcPr>
                      <w:p>
                        <w:pPr>
                          <w:pStyle w:val="TableParagraph"/>
                          <w:spacing w:line="266" w:lineRule="exact"/>
                          <w:ind w:left="59"/>
                          <w:rPr>
                            <w:sz w:val="21"/>
                          </w:rPr>
                        </w:pPr>
                        <w:r>
                          <w:rPr>
                            <w:sz w:val="21"/>
                          </w:rPr>
                          <w:t>专科医生</w:t>
                        </w:r>
                      </w:p>
                    </w:tc>
                  </w:tr>
                  <w:tr>
                    <w:trPr>
                      <w:trHeight w:val="314" w:hRule="atLeast"/>
                    </w:trPr>
                    <w:tc>
                      <w:tcPr>
                        <w:tcW w:w="2850" w:type="dxa"/>
                        <w:tcBorders>
                          <w:left w:val="dotted" w:sz="6" w:space="0" w:color="000000"/>
                        </w:tcBorders>
                      </w:tcPr>
                      <w:p>
                        <w:pPr>
                          <w:pStyle w:val="TableParagraph"/>
                          <w:spacing w:line="281" w:lineRule="exact"/>
                          <w:ind w:left="248"/>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2651" w:type="dxa"/>
                      </w:tcPr>
                      <w:p>
                        <w:pPr>
                          <w:pStyle w:val="TableParagraph"/>
                          <w:spacing w:line="261" w:lineRule="exact"/>
                          <w:ind w:left="767"/>
                          <w:rPr>
                            <w:sz w:val="21"/>
                          </w:rPr>
                        </w:pPr>
                        <w:r>
                          <w:rPr>
                            <w:sz w:val="21"/>
                          </w:rPr>
                          <w:t>及风险</w:t>
                        </w:r>
                      </w:p>
                    </w:tc>
                    <w:tc>
                      <w:tcPr>
                        <w:tcW w:w="683" w:type="dxa"/>
                      </w:tcPr>
                      <w:p>
                        <w:pPr>
                          <w:pStyle w:val="TableParagraph"/>
                          <w:spacing w:line="266" w:lineRule="exact"/>
                          <w:ind w:left="217"/>
                          <w:rPr>
                            <w:sz w:val="21"/>
                          </w:rPr>
                        </w:pPr>
                        <w:r>
                          <w:rPr>
                            <w:sz w:val="21"/>
                          </w:rPr>
                          <w:t>8.13</w:t>
                        </w:r>
                      </w:p>
                    </w:tc>
                    <w:tc>
                      <w:tcPr>
                        <w:tcW w:w="2114" w:type="dxa"/>
                        <w:tcBorders>
                          <w:right w:val="dotted" w:sz="6" w:space="0" w:color="000000"/>
                        </w:tcBorders>
                      </w:tcPr>
                      <w:p>
                        <w:pPr>
                          <w:pStyle w:val="TableParagraph"/>
                          <w:spacing w:line="266" w:lineRule="exact"/>
                          <w:ind w:left="59"/>
                          <w:rPr>
                            <w:sz w:val="21"/>
                          </w:rPr>
                        </w:pPr>
                        <w:r>
                          <w:rPr>
                            <w:sz w:val="21"/>
                          </w:rPr>
                          <w:t>毒品</w:t>
                        </w:r>
                      </w:p>
                    </w:tc>
                  </w:tr>
                  <w:tr>
                    <w:trPr>
                      <w:trHeight w:val="319" w:hRule="atLeast"/>
                    </w:trPr>
                    <w:tc>
                      <w:tcPr>
                        <w:tcW w:w="2850" w:type="dxa"/>
                        <w:tcBorders>
                          <w:left w:val="dotted" w:sz="6" w:space="0" w:color="000000"/>
                        </w:tcBorders>
                      </w:tcPr>
                      <w:p>
                        <w:pPr>
                          <w:pStyle w:val="TableParagraph"/>
                          <w:spacing w:before="3"/>
                          <w:ind w:left="459"/>
                          <w:rPr>
                            <w:sz w:val="21"/>
                          </w:rPr>
                        </w:pPr>
                        <w:r>
                          <w:rPr>
                            <w:sz w:val="21"/>
                          </w:rPr>
                          <w:t>2.1 保险期间</w:t>
                        </w:r>
                      </w:p>
                    </w:tc>
                    <w:tc>
                      <w:tcPr>
                        <w:tcW w:w="2651" w:type="dxa"/>
                      </w:tcPr>
                      <w:p>
                        <w:pPr>
                          <w:pStyle w:val="TableParagraph"/>
                          <w:spacing w:line="283" w:lineRule="exact"/>
                          <w:ind w:left="136"/>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tc>
                    <w:tc>
                      <w:tcPr>
                        <w:tcW w:w="683" w:type="dxa"/>
                      </w:tcPr>
                      <w:p>
                        <w:pPr>
                          <w:pStyle w:val="TableParagraph"/>
                          <w:spacing w:line="264" w:lineRule="exact"/>
                          <w:ind w:left="217"/>
                          <w:rPr>
                            <w:sz w:val="21"/>
                          </w:rPr>
                        </w:pPr>
                        <w:r>
                          <w:rPr>
                            <w:sz w:val="21"/>
                          </w:rPr>
                          <w:t>8.14</w:t>
                        </w:r>
                      </w:p>
                    </w:tc>
                    <w:tc>
                      <w:tcPr>
                        <w:tcW w:w="2114" w:type="dxa"/>
                        <w:tcBorders>
                          <w:right w:val="dotted" w:sz="6" w:space="0" w:color="000000"/>
                        </w:tcBorders>
                      </w:tcPr>
                      <w:p>
                        <w:pPr>
                          <w:pStyle w:val="TableParagraph"/>
                          <w:spacing w:line="264" w:lineRule="exact"/>
                          <w:ind w:left="59"/>
                          <w:rPr>
                            <w:sz w:val="21"/>
                          </w:rPr>
                        </w:pPr>
                        <w:r>
                          <w:rPr>
                            <w:sz w:val="21"/>
                          </w:rPr>
                          <w:t>酒后驾驶</w:t>
                        </w:r>
                      </w:p>
                    </w:tc>
                  </w:tr>
                  <w:tr>
                    <w:trPr>
                      <w:trHeight w:val="304" w:hRule="atLeast"/>
                    </w:trPr>
                    <w:tc>
                      <w:tcPr>
                        <w:tcW w:w="2850" w:type="dxa"/>
                        <w:tcBorders>
                          <w:left w:val="dotted" w:sz="6" w:space="0" w:color="000000"/>
                        </w:tcBorders>
                      </w:tcPr>
                      <w:p>
                        <w:pPr>
                          <w:pStyle w:val="TableParagraph"/>
                          <w:spacing w:line="254" w:lineRule="exact"/>
                          <w:ind w:left="459"/>
                          <w:rPr>
                            <w:sz w:val="21"/>
                          </w:rPr>
                        </w:pPr>
                        <w:r>
                          <w:rPr>
                            <w:sz w:val="21"/>
                          </w:rPr>
                          <w:t>2.2 投保条件</w:t>
                        </w:r>
                      </w:p>
                    </w:tc>
                    <w:tc>
                      <w:tcPr>
                        <w:tcW w:w="2651" w:type="dxa"/>
                      </w:tcPr>
                      <w:p>
                        <w:pPr>
                          <w:pStyle w:val="TableParagraph"/>
                          <w:spacing w:line="252" w:lineRule="exact"/>
                          <w:ind w:left="347"/>
                          <w:rPr>
                            <w:sz w:val="21"/>
                          </w:rPr>
                        </w:pPr>
                        <w:r>
                          <w:rPr>
                            <w:sz w:val="21"/>
                          </w:rPr>
                          <w:t>7.1 年龄错误</w:t>
                        </w:r>
                      </w:p>
                    </w:tc>
                    <w:tc>
                      <w:tcPr>
                        <w:tcW w:w="683" w:type="dxa"/>
                      </w:tcPr>
                      <w:p>
                        <w:pPr>
                          <w:pStyle w:val="TableParagraph"/>
                          <w:spacing w:line="256" w:lineRule="exact"/>
                          <w:ind w:left="217"/>
                          <w:rPr>
                            <w:sz w:val="21"/>
                          </w:rPr>
                        </w:pPr>
                        <w:r>
                          <w:rPr>
                            <w:sz w:val="21"/>
                          </w:rPr>
                          <w:t>8.15</w:t>
                        </w:r>
                      </w:p>
                    </w:tc>
                    <w:tc>
                      <w:tcPr>
                        <w:tcW w:w="2114" w:type="dxa"/>
                        <w:tcBorders>
                          <w:right w:val="dotted" w:sz="6" w:space="0" w:color="000000"/>
                        </w:tcBorders>
                      </w:tcPr>
                      <w:p>
                        <w:pPr>
                          <w:pStyle w:val="TableParagraph"/>
                          <w:spacing w:line="256" w:lineRule="exact"/>
                          <w:ind w:left="67"/>
                          <w:rPr>
                            <w:sz w:val="21"/>
                          </w:rPr>
                        </w:pPr>
                        <w:r>
                          <w:rPr>
                            <w:sz w:val="21"/>
                          </w:rPr>
                          <w:t>无合法有效驾驶证</w:t>
                        </w:r>
                      </w:p>
                    </w:tc>
                  </w:tr>
                  <w:tr>
                    <w:trPr>
                      <w:trHeight w:val="311" w:hRule="atLeast"/>
                    </w:trPr>
                    <w:tc>
                      <w:tcPr>
                        <w:tcW w:w="2850" w:type="dxa"/>
                        <w:tcBorders>
                          <w:left w:val="dotted" w:sz="6" w:space="0" w:color="000000"/>
                        </w:tcBorders>
                      </w:tcPr>
                      <w:p>
                        <w:pPr>
                          <w:pStyle w:val="TableParagraph"/>
                          <w:spacing w:line="262" w:lineRule="exact"/>
                          <w:ind w:left="459"/>
                          <w:rPr>
                            <w:sz w:val="21"/>
                          </w:rPr>
                        </w:pPr>
                        <w:r>
                          <w:rPr>
                            <w:sz w:val="21"/>
                          </w:rPr>
                          <w:t>2.3 基本保险金额</w:t>
                        </w:r>
                      </w:p>
                    </w:tc>
                    <w:tc>
                      <w:tcPr>
                        <w:tcW w:w="2651" w:type="dxa"/>
                      </w:tcPr>
                      <w:p>
                        <w:pPr>
                          <w:pStyle w:val="TableParagraph"/>
                          <w:spacing w:line="259" w:lineRule="exact"/>
                          <w:ind w:left="347"/>
                          <w:rPr>
                            <w:sz w:val="21"/>
                          </w:rPr>
                        </w:pPr>
                        <w:r>
                          <w:rPr>
                            <w:sz w:val="21"/>
                          </w:rPr>
                          <w:t>7.2 效力终止</w:t>
                        </w:r>
                      </w:p>
                    </w:tc>
                    <w:tc>
                      <w:tcPr>
                        <w:tcW w:w="683" w:type="dxa"/>
                      </w:tcPr>
                      <w:p>
                        <w:pPr>
                          <w:pStyle w:val="TableParagraph"/>
                          <w:rPr>
                            <w:rFonts w:ascii="Times New Roman"/>
                            <w:sz w:val="20"/>
                          </w:rPr>
                        </w:pPr>
                      </w:p>
                    </w:tc>
                    <w:tc>
                      <w:tcPr>
                        <w:tcW w:w="2114" w:type="dxa"/>
                        <w:tcBorders>
                          <w:right w:val="dotted" w:sz="6" w:space="0" w:color="000000"/>
                        </w:tcBorders>
                      </w:tcPr>
                      <w:p>
                        <w:pPr>
                          <w:pStyle w:val="TableParagraph"/>
                          <w:spacing w:line="264" w:lineRule="exact"/>
                          <w:ind w:left="57"/>
                          <w:rPr>
                            <w:sz w:val="21"/>
                          </w:rPr>
                        </w:pPr>
                        <w:r>
                          <w:rPr>
                            <w:sz w:val="21"/>
                          </w:rPr>
                          <w:t>驾驶</w:t>
                        </w:r>
                      </w:p>
                    </w:tc>
                  </w:tr>
                  <w:tr>
                    <w:trPr>
                      <w:trHeight w:val="312" w:hRule="atLeast"/>
                    </w:trPr>
                    <w:tc>
                      <w:tcPr>
                        <w:tcW w:w="2850" w:type="dxa"/>
                        <w:tcBorders>
                          <w:left w:val="dotted" w:sz="6" w:space="0" w:color="000000"/>
                        </w:tcBorders>
                      </w:tcPr>
                      <w:p>
                        <w:pPr>
                          <w:pStyle w:val="TableParagraph"/>
                          <w:spacing w:line="262" w:lineRule="exact"/>
                          <w:ind w:left="459"/>
                          <w:rPr>
                            <w:sz w:val="21"/>
                          </w:rPr>
                        </w:pPr>
                        <w:r>
                          <w:rPr>
                            <w:sz w:val="21"/>
                          </w:rPr>
                          <w:t>2.4 保险责任</w:t>
                        </w:r>
                      </w:p>
                    </w:tc>
                    <w:tc>
                      <w:tcPr>
                        <w:tcW w:w="2651" w:type="dxa"/>
                      </w:tcPr>
                      <w:p>
                        <w:pPr>
                          <w:pStyle w:val="TableParagraph"/>
                          <w:spacing w:line="259" w:lineRule="exact"/>
                          <w:ind w:right="200"/>
                          <w:jc w:val="right"/>
                          <w:rPr>
                            <w:sz w:val="21"/>
                          </w:rPr>
                        </w:pPr>
                        <w:r>
                          <w:rPr>
                            <w:sz w:val="21"/>
                          </w:rPr>
                          <w:t>7.3 适用于主合同条款</w:t>
                        </w:r>
                      </w:p>
                    </w:tc>
                    <w:tc>
                      <w:tcPr>
                        <w:tcW w:w="683" w:type="dxa"/>
                      </w:tcPr>
                      <w:p>
                        <w:pPr>
                          <w:pStyle w:val="TableParagraph"/>
                          <w:spacing w:line="264" w:lineRule="exact"/>
                          <w:ind w:left="217"/>
                          <w:rPr>
                            <w:sz w:val="21"/>
                          </w:rPr>
                        </w:pPr>
                        <w:r>
                          <w:rPr>
                            <w:sz w:val="21"/>
                          </w:rPr>
                          <w:t>8.16</w:t>
                        </w:r>
                      </w:p>
                    </w:tc>
                    <w:tc>
                      <w:tcPr>
                        <w:tcW w:w="2114" w:type="dxa"/>
                        <w:tcBorders>
                          <w:right w:val="dotted" w:sz="6" w:space="0" w:color="000000"/>
                        </w:tcBorders>
                      </w:tcPr>
                      <w:p>
                        <w:pPr>
                          <w:pStyle w:val="TableParagraph"/>
                          <w:spacing w:line="264" w:lineRule="exact"/>
                          <w:ind w:left="60"/>
                          <w:rPr>
                            <w:sz w:val="21"/>
                          </w:rPr>
                        </w:pPr>
                        <w:r>
                          <w:rPr>
                            <w:sz w:val="21"/>
                          </w:rPr>
                          <w:t>无有效行驶证</w:t>
                        </w:r>
                      </w:p>
                    </w:tc>
                  </w:tr>
                  <w:tr>
                    <w:trPr>
                      <w:trHeight w:val="311" w:hRule="atLeast"/>
                    </w:trPr>
                    <w:tc>
                      <w:tcPr>
                        <w:tcW w:w="2850" w:type="dxa"/>
                        <w:tcBorders>
                          <w:left w:val="dotted" w:sz="6" w:space="0" w:color="000000"/>
                        </w:tcBorders>
                      </w:tcPr>
                      <w:p>
                        <w:pPr>
                          <w:pStyle w:val="TableParagraph"/>
                          <w:spacing w:line="262" w:lineRule="exact"/>
                          <w:ind w:left="459"/>
                          <w:rPr>
                            <w:sz w:val="21"/>
                          </w:rPr>
                        </w:pPr>
                        <w:r>
                          <w:rPr>
                            <w:sz w:val="21"/>
                          </w:rPr>
                          <w:t>2.5 责任免除</w:t>
                        </w:r>
                      </w:p>
                    </w:tc>
                    <w:tc>
                      <w:tcPr>
                        <w:tcW w:w="2651" w:type="dxa"/>
                      </w:tcPr>
                      <w:p>
                        <w:pPr>
                          <w:pStyle w:val="TableParagraph"/>
                          <w:spacing w:line="283" w:lineRule="exact"/>
                          <w:ind w:left="136"/>
                          <w:rPr>
                            <w:rFonts w:ascii="Microsoft JhengHei" w:eastAsia="Microsoft JhengHei" w:hint="eastAsia"/>
                            <w:b/>
                            <w:sz w:val="21"/>
                          </w:rPr>
                        </w:pPr>
                        <w:r>
                          <w:rPr>
                            <w:b/>
                            <w:sz w:val="21"/>
                          </w:rPr>
                          <w:t>8.</w:t>
                        </w:r>
                        <w:r>
                          <w:rPr>
                            <w:rFonts w:ascii="Microsoft JhengHei" w:eastAsia="Microsoft JhengHei" w:hint="eastAsia"/>
                            <w:b/>
                            <w:sz w:val="21"/>
                          </w:rPr>
                          <w:t>释义</w:t>
                        </w:r>
                      </w:p>
                    </w:tc>
                    <w:tc>
                      <w:tcPr>
                        <w:tcW w:w="683" w:type="dxa"/>
                      </w:tcPr>
                      <w:p>
                        <w:pPr>
                          <w:pStyle w:val="TableParagraph"/>
                          <w:spacing w:line="264" w:lineRule="exact"/>
                          <w:ind w:left="217"/>
                          <w:rPr>
                            <w:sz w:val="21"/>
                          </w:rPr>
                        </w:pPr>
                        <w:r>
                          <w:rPr>
                            <w:sz w:val="21"/>
                          </w:rPr>
                          <w:t>8.17</w:t>
                        </w:r>
                      </w:p>
                    </w:tc>
                    <w:tc>
                      <w:tcPr>
                        <w:tcW w:w="2114" w:type="dxa"/>
                        <w:tcBorders>
                          <w:right w:val="dotted" w:sz="6" w:space="0" w:color="000000"/>
                        </w:tcBorders>
                      </w:tcPr>
                      <w:p>
                        <w:pPr>
                          <w:pStyle w:val="TableParagraph"/>
                          <w:spacing w:line="264" w:lineRule="exact"/>
                          <w:ind w:left="67"/>
                          <w:rPr>
                            <w:sz w:val="21"/>
                          </w:rPr>
                        </w:pPr>
                        <w:r>
                          <w:rPr>
                            <w:sz w:val="21"/>
                          </w:rPr>
                          <w:t>感染艾滋病病毒或</w:t>
                        </w:r>
                      </w:p>
                    </w:tc>
                  </w:tr>
                  <w:tr>
                    <w:trPr>
                      <w:trHeight w:val="311" w:hRule="atLeast"/>
                    </w:trPr>
                    <w:tc>
                      <w:tcPr>
                        <w:tcW w:w="2850" w:type="dxa"/>
                        <w:tcBorders>
                          <w:left w:val="dotted" w:sz="6" w:space="0" w:color="000000"/>
                        </w:tcBorders>
                      </w:tcPr>
                      <w:p>
                        <w:pPr>
                          <w:pStyle w:val="TableParagraph"/>
                          <w:spacing w:line="286" w:lineRule="exact"/>
                          <w:ind w:left="248"/>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2651" w:type="dxa"/>
                      </w:tcPr>
                      <w:p>
                        <w:pPr>
                          <w:pStyle w:val="TableParagraph"/>
                          <w:spacing w:line="259" w:lineRule="exact"/>
                          <w:ind w:left="347"/>
                          <w:rPr>
                            <w:sz w:val="21"/>
                          </w:rPr>
                        </w:pPr>
                        <w:r>
                          <w:rPr>
                            <w:sz w:val="21"/>
                          </w:rPr>
                          <w:t>8.1 保单年度</w:t>
                        </w:r>
                      </w:p>
                    </w:tc>
                    <w:tc>
                      <w:tcPr>
                        <w:tcW w:w="683" w:type="dxa"/>
                      </w:tcPr>
                      <w:p>
                        <w:pPr>
                          <w:pStyle w:val="TableParagraph"/>
                          <w:rPr>
                            <w:rFonts w:ascii="Times New Roman"/>
                            <w:sz w:val="20"/>
                          </w:rPr>
                        </w:pPr>
                      </w:p>
                    </w:tc>
                    <w:tc>
                      <w:tcPr>
                        <w:tcW w:w="2114" w:type="dxa"/>
                        <w:tcBorders>
                          <w:right w:val="dotted" w:sz="6" w:space="0" w:color="000000"/>
                        </w:tcBorders>
                      </w:tcPr>
                      <w:p>
                        <w:pPr>
                          <w:pStyle w:val="TableParagraph"/>
                          <w:spacing w:line="264" w:lineRule="exact"/>
                          <w:ind w:left="57"/>
                          <w:rPr>
                            <w:sz w:val="21"/>
                          </w:rPr>
                        </w:pPr>
                        <w:r>
                          <w:rPr>
                            <w:sz w:val="21"/>
                          </w:rPr>
                          <w:t>患艾滋病</w:t>
                        </w:r>
                      </w:p>
                    </w:tc>
                  </w:tr>
                  <w:tr>
                    <w:trPr>
                      <w:trHeight w:val="311" w:hRule="atLeast"/>
                    </w:trPr>
                    <w:tc>
                      <w:tcPr>
                        <w:tcW w:w="2850" w:type="dxa"/>
                        <w:tcBorders>
                          <w:left w:val="dotted" w:sz="6" w:space="0" w:color="000000"/>
                        </w:tcBorders>
                      </w:tcPr>
                      <w:p>
                        <w:pPr>
                          <w:pStyle w:val="TableParagraph"/>
                          <w:spacing w:line="262" w:lineRule="exact"/>
                          <w:ind w:left="459"/>
                          <w:rPr>
                            <w:sz w:val="21"/>
                          </w:rPr>
                        </w:pPr>
                        <w:r>
                          <w:rPr>
                            <w:sz w:val="21"/>
                          </w:rPr>
                          <w:t>3.1 受益人</w:t>
                        </w:r>
                      </w:p>
                    </w:tc>
                    <w:tc>
                      <w:tcPr>
                        <w:tcW w:w="2651" w:type="dxa"/>
                      </w:tcPr>
                      <w:p>
                        <w:pPr>
                          <w:pStyle w:val="TableParagraph"/>
                          <w:spacing w:line="259" w:lineRule="exact"/>
                          <w:ind w:left="347"/>
                          <w:rPr>
                            <w:sz w:val="21"/>
                          </w:rPr>
                        </w:pPr>
                        <w:r>
                          <w:rPr>
                            <w:sz w:val="21"/>
                          </w:rPr>
                          <w:t>8.2 有效身份证件</w:t>
                        </w:r>
                      </w:p>
                    </w:tc>
                    <w:tc>
                      <w:tcPr>
                        <w:tcW w:w="683" w:type="dxa"/>
                      </w:tcPr>
                      <w:p>
                        <w:pPr>
                          <w:pStyle w:val="TableParagraph"/>
                          <w:spacing w:line="264" w:lineRule="exact"/>
                          <w:ind w:left="217"/>
                          <w:rPr>
                            <w:sz w:val="21"/>
                          </w:rPr>
                        </w:pPr>
                        <w:r>
                          <w:rPr>
                            <w:sz w:val="21"/>
                          </w:rPr>
                          <w:t>8.18</w:t>
                        </w:r>
                      </w:p>
                    </w:tc>
                    <w:tc>
                      <w:tcPr>
                        <w:tcW w:w="2114" w:type="dxa"/>
                        <w:tcBorders>
                          <w:right w:val="dotted" w:sz="6" w:space="0" w:color="000000"/>
                        </w:tcBorders>
                      </w:tcPr>
                      <w:p>
                        <w:pPr>
                          <w:pStyle w:val="TableParagraph"/>
                          <w:spacing w:line="264" w:lineRule="exact"/>
                          <w:ind w:left="60"/>
                          <w:rPr>
                            <w:sz w:val="21"/>
                          </w:rPr>
                        </w:pPr>
                        <w:r>
                          <w:rPr>
                            <w:sz w:val="21"/>
                          </w:rPr>
                          <w:t>遗传性疾病</w:t>
                        </w:r>
                      </w:p>
                    </w:tc>
                  </w:tr>
                  <w:tr>
                    <w:trPr>
                      <w:trHeight w:val="311" w:hRule="atLeast"/>
                    </w:trPr>
                    <w:tc>
                      <w:tcPr>
                        <w:tcW w:w="2850" w:type="dxa"/>
                        <w:tcBorders>
                          <w:left w:val="dotted" w:sz="6" w:space="0" w:color="000000"/>
                        </w:tcBorders>
                      </w:tcPr>
                      <w:p>
                        <w:pPr>
                          <w:pStyle w:val="TableParagraph"/>
                          <w:spacing w:line="262" w:lineRule="exact"/>
                          <w:ind w:left="459"/>
                          <w:rPr>
                            <w:sz w:val="21"/>
                          </w:rPr>
                        </w:pPr>
                        <w:r>
                          <w:rPr>
                            <w:sz w:val="21"/>
                          </w:rPr>
                          <w:t>3.2 保险金申请</w:t>
                        </w:r>
                      </w:p>
                    </w:tc>
                    <w:tc>
                      <w:tcPr>
                        <w:tcW w:w="2651" w:type="dxa"/>
                      </w:tcPr>
                      <w:p>
                        <w:pPr>
                          <w:pStyle w:val="TableParagraph"/>
                          <w:spacing w:line="259" w:lineRule="exact"/>
                          <w:ind w:left="347"/>
                          <w:rPr>
                            <w:sz w:val="21"/>
                          </w:rPr>
                        </w:pPr>
                        <w:r>
                          <w:rPr>
                            <w:sz w:val="21"/>
                          </w:rPr>
                          <w:t>8.3 周岁</w:t>
                        </w:r>
                      </w:p>
                    </w:tc>
                    <w:tc>
                      <w:tcPr>
                        <w:tcW w:w="683" w:type="dxa"/>
                      </w:tcPr>
                      <w:p>
                        <w:pPr>
                          <w:pStyle w:val="TableParagraph"/>
                          <w:spacing w:line="264" w:lineRule="exact"/>
                          <w:ind w:left="217"/>
                          <w:rPr>
                            <w:sz w:val="21"/>
                          </w:rPr>
                        </w:pPr>
                        <w:r>
                          <w:rPr>
                            <w:sz w:val="21"/>
                          </w:rPr>
                          <w:t>8.19</w:t>
                        </w:r>
                      </w:p>
                    </w:tc>
                    <w:tc>
                      <w:tcPr>
                        <w:tcW w:w="2114" w:type="dxa"/>
                        <w:tcBorders>
                          <w:right w:val="dotted" w:sz="6" w:space="0" w:color="000000"/>
                        </w:tcBorders>
                      </w:tcPr>
                      <w:p>
                        <w:pPr>
                          <w:pStyle w:val="TableParagraph"/>
                          <w:spacing w:line="264" w:lineRule="exact"/>
                          <w:ind w:left="67"/>
                          <w:rPr>
                            <w:sz w:val="21"/>
                          </w:rPr>
                        </w:pPr>
                        <w:r>
                          <w:rPr>
                            <w:sz w:val="21"/>
                          </w:rPr>
                          <w:t>先天性畸形、变形</w:t>
                        </w:r>
                      </w:p>
                    </w:tc>
                  </w:tr>
                  <w:tr>
                    <w:trPr>
                      <w:trHeight w:val="311" w:hRule="atLeast"/>
                    </w:trPr>
                    <w:tc>
                      <w:tcPr>
                        <w:tcW w:w="2850" w:type="dxa"/>
                        <w:tcBorders>
                          <w:left w:val="dotted" w:sz="6" w:space="0" w:color="000000"/>
                        </w:tcBorders>
                      </w:tcPr>
                      <w:p>
                        <w:pPr>
                          <w:pStyle w:val="TableParagraph"/>
                          <w:spacing w:line="262" w:lineRule="exact"/>
                          <w:ind w:left="459"/>
                          <w:rPr>
                            <w:sz w:val="21"/>
                          </w:rPr>
                        </w:pPr>
                        <w:r>
                          <w:rPr>
                            <w:sz w:val="21"/>
                          </w:rPr>
                          <w:t>3.3 保险金给付</w:t>
                        </w:r>
                      </w:p>
                    </w:tc>
                    <w:tc>
                      <w:tcPr>
                        <w:tcW w:w="2651" w:type="dxa"/>
                      </w:tcPr>
                      <w:p>
                        <w:pPr>
                          <w:pStyle w:val="TableParagraph"/>
                          <w:spacing w:line="259" w:lineRule="exact"/>
                          <w:ind w:left="347"/>
                          <w:rPr>
                            <w:sz w:val="21"/>
                          </w:rPr>
                        </w:pPr>
                        <w:r>
                          <w:rPr>
                            <w:sz w:val="21"/>
                          </w:rPr>
                          <w:t>8.4 意外伤害事故</w:t>
                        </w:r>
                      </w:p>
                    </w:tc>
                    <w:tc>
                      <w:tcPr>
                        <w:tcW w:w="683" w:type="dxa"/>
                      </w:tcPr>
                      <w:p>
                        <w:pPr>
                          <w:pStyle w:val="TableParagraph"/>
                          <w:rPr>
                            <w:rFonts w:ascii="Times New Roman"/>
                            <w:sz w:val="20"/>
                          </w:rPr>
                        </w:pPr>
                      </w:p>
                    </w:tc>
                    <w:tc>
                      <w:tcPr>
                        <w:tcW w:w="2114" w:type="dxa"/>
                        <w:tcBorders>
                          <w:right w:val="dotted" w:sz="6" w:space="0" w:color="000000"/>
                        </w:tcBorders>
                      </w:tcPr>
                      <w:p>
                        <w:pPr>
                          <w:pStyle w:val="TableParagraph"/>
                          <w:spacing w:line="264" w:lineRule="exact"/>
                          <w:ind w:left="58"/>
                          <w:rPr>
                            <w:sz w:val="21"/>
                          </w:rPr>
                        </w:pPr>
                        <w:r>
                          <w:rPr>
                            <w:sz w:val="21"/>
                          </w:rPr>
                          <w:t>或染色体异常</w:t>
                        </w:r>
                      </w:p>
                    </w:tc>
                  </w:tr>
                  <w:tr>
                    <w:trPr>
                      <w:trHeight w:val="311" w:hRule="atLeast"/>
                    </w:trPr>
                    <w:tc>
                      <w:tcPr>
                        <w:tcW w:w="2850" w:type="dxa"/>
                        <w:tcBorders>
                          <w:left w:val="dotted" w:sz="6" w:space="0" w:color="000000"/>
                        </w:tcBorders>
                      </w:tcPr>
                      <w:p>
                        <w:pPr>
                          <w:pStyle w:val="TableParagraph"/>
                          <w:spacing w:line="262" w:lineRule="exact"/>
                          <w:ind w:left="459"/>
                          <w:rPr>
                            <w:sz w:val="21"/>
                          </w:rPr>
                        </w:pPr>
                        <w:r>
                          <w:rPr>
                            <w:sz w:val="21"/>
                          </w:rPr>
                          <w:t>3.4 诉讼时效</w:t>
                        </w:r>
                      </w:p>
                    </w:tc>
                    <w:tc>
                      <w:tcPr>
                        <w:tcW w:w="2651" w:type="dxa"/>
                      </w:tcPr>
                      <w:p>
                        <w:pPr>
                          <w:pStyle w:val="TableParagraph"/>
                          <w:spacing w:line="259" w:lineRule="exact"/>
                          <w:ind w:left="347"/>
                          <w:rPr>
                            <w:sz w:val="21"/>
                          </w:rPr>
                        </w:pPr>
                        <w:r>
                          <w:rPr>
                            <w:sz w:val="21"/>
                          </w:rPr>
                          <w:t>8.5 少儿重大疾病</w:t>
                        </w:r>
                      </w:p>
                    </w:tc>
                    <w:tc>
                      <w:tcPr>
                        <w:tcW w:w="683" w:type="dxa"/>
                      </w:tcPr>
                      <w:p>
                        <w:pPr>
                          <w:pStyle w:val="TableParagraph"/>
                          <w:rPr>
                            <w:rFonts w:ascii="Times New Roman"/>
                            <w:sz w:val="20"/>
                          </w:rPr>
                        </w:pPr>
                      </w:p>
                    </w:tc>
                    <w:tc>
                      <w:tcPr>
                        <w:tcW w:w="2114" w:type="dxa"/>
                        <w:tcBorders>
                          <w:right w:val="dotted" w:sz="6" w:space="0" w:color="000000"/>
                        </w:tcBorders>
                      </w:tcPr>
                      <w:p>
                        <w:pPr>
                          <w:pStyle w:val="TableParagraph"/>
                          <w:rPr>
                            <w:rFonts w:ascii="Times New Roman"/>
                            <w:sz w:val="20"/>
                          </w:rPr>
                        </w:pPr>
                      </w:p>
                    </w:tc>
                  </w:tr>
                  <w:tr>
                    <w:trPr>
                      <w:trHeight w:val="312" w:hRule="atLeast"/>
                    </w:trPr>
                    <w:tc>
                      <w:tcPr>
                        <w:tcW w:w="2850" w:type="dxa"/>
                        <w:tcBorders>
                          <w:left w:val="dotted" w:sz="6" w:space="0" w:color="000000"/>
                        </w:tcBorders>
                      </w:tcPr>
                      <w:p>
                        <w:pPr>
                          <w:pStyle w:val="TableParagraph"/>
                          <w:spacing w:line="287" w:lineRule="exact"/>
                          <w:ind w:left="248"/>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2651" w:type="dxa"/>
                      </w:tcPr>
                      <w:p>
                        <w:pPr>
                          <w:pStyle w:val="TableParagraph"/>
                          <w:spacing w:line="260" w:lineRule="exact"/>
                          <w:ind w:right="200"/>
                          <w:jc w:val="right"/>
                          <w:rPr>
                            <w:sz w:val="21"/>
                          </w:rPr>
                        </w:pPr>
                        <w:r>
                          <w:rPr>
                            <w:sz w:val="21"/>
                          </w:rPr>
                          <w:t>8.6 少儿特别重大疾病</w:t>
                        </w:r>
                      </w:p>
                    </w:tc>
                    <w:tc>
                      <w:tcPr>
                        <w:tcW w:w="683" w:type="dxa"/>
                      </w:tcPr>
                      <w:p>
                        <w:pPr>
                          <w:pStyle w:val="TableParagraph"/>
                          <w:rPr>
                            <w:rFonts w:ascii="Times New Roman"/>
                            <w:sz w:val="20"/>
                          </w:rPr>
                        </w:pPr>
                      </w:p>
                    </w:tc>
                    <w:tc>
                      <w:tcPr>
                        <w:tcW w:w="2114" w:type="dxa"/>
                        <w:tcBorders>
                          <w:right w:val="dotted" w:sz="6" w:space="0" w:color="000000"/>
                        </w:tcBorders>
                      </w:tcPr>
                      <w:p>
                        <w:pPr>
                          <w:pStyle w:val="TableParagraph"/>
                          <w:rPr>
                            <w:rFonts w:ascii="Times New Roman"/>
                            <w:sz w:val="20"/>
                          </w:rPr>
                        </w:pPr>
                      </w:p>
                    </w:tc>
                  </w:tr>
                  <w:tr>
                    <w:trPr>
                      <w:trHeight w:val="311" w:hRule="atLeast"/>
                    </w:trPr>
                    <w:tc>
                      <w:tcPr>
                        <w:tcW w:w="2850" w:type="dxa"/>
                        <w:tcBorders>
                          <w:left w:val="dotted" w:sz="6" w:space="0" w:color="000000"/>
                        </w:tcBorders>
                      </w:tcPr>
                      <w:p>
                        <w:pPr>
                          <w:pStyle w:val="TableParagraph"/>
                          <w:spacing w:line="263" w:lineRule="exact"/>
                          <w:ind w:left="459"/>
                          <w:rPr>
                            <w:sz w:val="21"/>
                          </w:rPr>
                        </w:pPr>
                        <w:r>
                          <w:rPr>
                            <w:sz w:val="21"/>
                          </w:rPr>
                          <w:t>4.1 保险费的支付</w:t>
                        </w:r>
                      </w:p>
                    </w:tc>
                    <w:tc>
                      <w:tcPr>
                        <w:tcW w:w="2651" w:type="dxa"/>
                      </w:tcPr>
                      <w:p>
                        <w:pPr>
                          <w:pStyle w:val="TableParagraph"/>
                          <w:spacing w:line="260" w:lineRule="exact"/>
                          <w:ind w:left="347"/>
                          <w:rPr>
                            <w:sz w:val="21"/>
                          </w:rPr>
                        </w:pPr>
                        <w:r>
                          <w:rPr>
                            <w:sz w:val="21"/>
                          </w:rPr>
                          <w:t>8.7 成人重大疾病</w:t>
                        </w:r>
                      </w:p>
                    </w:tc>
                    <w:tc>
                      <w:tcPr>
                        <w:tcW w:w="683" w:type="dxa"/>
                      </w:tcPr>
                      <w:p>
                        <w:pPr>
                          <w:pStyle w:val="TableParagraph"/>
                          <w:rPr>
                            <w:rFonts w:ascii="Times New Roman"/>
                            <w:sz w:val="20"/>
                          </w:rPr>
                        </w:pPr>
                      </w:p>
                    </w:tc>
                    <w:tc>
                      <w:tcPr>
                        <w:tcW w:w="2114" w:type="dxa"/>
                        <w:tcBorders>
                          <w:right w:val="dotted" w:sz="6" w:space="0" w:color="000000"/>
                        </w:tcBorders>
                      </w:tcPr>
                      <w:p>
                        <w:pPr>
                          <w:pStyle w:val="TableParagraph"/>
                          <w:rPr>
                            <w:rFonts w:ascii="Times New Roman"/>
                            <w:sz w:val="20"/>
                          </w:rPr>
                        </w:pPr>
                      </w:p>
                    </w:tc>
                  </w:tr>
                  <w:tr>
                    <w:trPr>
                      <w:trHeight w:val="552" w:hRule="atLeast"/>
                    </w:trPr>
                    <w:tc>
                      <w:tcPr>
                        <w:tcW w:w="2850" w:type="dxa"/>
                        <w:tcBorders>
                          <w:left w:val="dotted" w:sz="6" w:space="0" w:color="000000"/>
                          <w:bottom w:val="dotted" w:sz="6" w:space="0" w:color="000000"/>
                        </w:tcBorders>
                      </w:tcPr>
                      <w:p>
                        <w:pPr>
                          <w:pStyle w:val="TableParagraph"/>
                          <w:spacing w:line="263" w:lineRule="exact"/>
                          <w:ind w:left="459"/>
                          <w:rPr>
                            <w:sz w:val="21"/>
                          </w:rPr>
                        </w:pPr>
                        <w:r>
                          <w:rPr>
                            <w:sz w:val="21"/>
                          </w:rPr>
                          <w:t>4.2 保险费率调整</w:t>
                        </w:r>
                      </w:p>
                    </w:tc>
                    <w:tc>
                      <w:tcPr>
                        <w:tcW w:w="2651" w:type="dxa"/>
                        <w:tcBorders>
                          <w:bottom w:val="dotted" w:sz="6" w:space="0" w:color="000000"/>
                        </w:tcBorders>
                      </w:tcPr>
                      <w:p>
                        <w:pPr>
                          <w:pStyle w:val="TableParagraph"/>
                          <w:spacing w:line="260" w:lineRule="exact"/>
                          <w:ind w:left="347"/>
                          <w:rPr>
                            <w:sz w:val="21"/>
                          </w:rPr>
                        </w:pPr>
                        <w:r>
                          <w:rPr>
                            <w:sz w:val="21"/>
                          </w:rPr>
                          <w:t>8.8 成人轻症疾病</w:t>
                        </w:r>
                      </w:p>
                    </w:tc>
                    <w:tc>
                      <w:tcPr>
                        <w:tcW w:w="683" w:type="dxa"/>
                        <w:tcBorders>
                          <w:bottom w:val="dotted" w:sz="6" w:space="0" w:color="000000"/>
                        </w:tcBorders>
                      </w:tcPr>
                      <w:p>
                        <w:pPr>
                          <w:pStyle w:val="TableParagraph"/>
                          <w:rPr>
                            <w:rFonts w:ascii="Times New Roman"/>
                            <w:sz w:val="20"/>
                          </w:rPr>
                        </w:pPr>
                      </w:p>
                    </w:tc>
                    <w:tc>
                      <w:tcPr>
                        <w:tcW w:w="2114" w:type="dxa"/>
                        <w:tcBorders>
                          <w:bottom w:val="dotted" w:sz="6" w:space="0" w:color="000000"/>
                          <w:right w:val="dotted" w:sz="6" w:space="0" w:color="000000"/>
                        </w:tcBorders>
                      </w:tcPr>
                      <w:p>
                        <w:pPr>
                          <w:pStyle w:val="TableParagraph"/>
                          <w:rPr>
                            <w:rFonts w:ascii="Times New Roman"/>
                            <w:sz w:val="20"/>
                          </w:rPr>
                        </w:pPr>
                      </w:p>
                    </w:tc>
                  </w:tr>
                </w:tbl>
                <w:p>
                  <w:pPr>
                    <w:pStyle w:val="BodyText"/>
                    <w:spacing w:before="0"/>
                    <w:ind w:left="0"/>
                  </w:pPr>
                </w:p>
              </w:txbxContent>
            </v:textbox>
            <w10:wrap type="none"/>
          </v:shape>
        </w:pict>
      </w:r>
      <w:r>
        <w:rPr>
          <w:rFonts w:ascii="Arial" w:hAnsi="Arial"/>
          <w:b/>
          <w:w w:val="125"/>
          <w:sz w:val="52"/>
        </w:rPr>
        <w:t></w:t>
      </w:r>
    </w:p>
    <w:p>
      <w:pPr>
        <w:spacing w:after="0"/>
        <w:jc w:val="left"/>
        <w:rPr>
          <w:rFonts w:ascii="Arial" w:hAnsi="Arial"/>
          <w:sz w:val="52"/>
        </w:rPr>
        <w:sectPr>
          <w:type w:val="continuous"/>
          <w:pgSz w:w="11910" w:h="16840"/>
          <w:pgMar w:top="300" w:bottom="280" w:left="680" w:right="540"/>
        </w:sectPr>
      </w:pPr>
    </w:p>
    <w:p>
      <w:pPr>
        <w:pStyle w:val="BodyText"/>
        <w:spacing w:before="0"/>
        <w:ind w:left="964"/>
        <w:rPr>
          <w:rFonts w:ascii="Arial"/>
          <w:sz w:val="20"/>
        </w:rPr>
      </w:pPr>
      <w:r>
        <w:rPr>
          <w:rFonts w:ascii="Arial"/>
          <w:sz w:val="20"/>
        </w:rPr>
        <w:drawing>
          <wp:inline distT="0" distB="0" distL="0" distR="0">
            <wp:extent cx="5312718" cy="67627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312718" cy="676275"/>
                    </a:xfrm>
                    <a:prstGeom prst="rect">
                      <a:avLst/>
                    </a:prstGeom>
                  </pic:spPr>
                </pic:pic>
              </a:graphicData>
            </a:graphic>
          </wp:inline>
        </w:drawing>
      </w:r>
      <w:r>
        <w:rPr>
          <w:rFonts w:ascii="Arial"/>
          <w:sz w:val="20"/>
        </w:rPr>
      </w:r>
    </w:p>
    <w:p>
      <w:pPr>
        <w:pStyle w:val="BodyText"/>
        <w:spacing w:before="0"/>
        <w:ind w:left="0"/>
        <w:rPr>
          <w:rFonts w:ascii="Arial"/>
          <w:b/>
          <w:sz w:val="20"/>
        </w:rPr>
      </w:pPr>
    </w:p>
    <w:p>
      <w:pPr>
        <w:pStyle w:val="Heading1"/>
        <w:spacing w:before="130"/>
        <w:ind w:left="1552"/>
      </w:pPr>
      <w:r>
        <w:rPr/>
        <w:t>国华附加终身提前给付重大疾病保险（2009）条款</w:t>
      </w:r>
    </w:p>
    <w:p>
      <w:pPr>
        <w:pStyle w:val="BodyText"/>
        <w:spacing w:before="5"/>
        <w:ind w:left="0"/>
        <w:rPr>
          <w:rFonts w:ascii="微软雅黑"/>
          <w:b/>
          <w:sz w:val="42"/>
        </w:rPr>
      </w:pPr>
    </w:p>
    <w:p>
      <w:pPr>
        <w:pStyle w:val="BodyText"/>
        <w:spacing w:before="1"/>
        <w:ind w:left="220"/>
      </w:pPr>
      <w:r>
        <w:rPr/>
        <w:t>在本条款中，“您”指投保人，“我们”、“本公司”均指国华人寿保险股份有限公司。</w:t>
      </w:r>
    </w:p>
    <w:p>
      <w:pPr>
        <w:pStyle w:val="BodyText"/>
        <w:spacing w:before="0"/>
        <w:ind w:left="0"/>
        <w:rPr>
          <w:sz w:val="20"/>
        </w:rPr>
      </w:pPr>
    </w:p>
    <w:p>
      <w:pPr>
        <w:pStyle w:val="BodyText"/>
        <w:spacing w:before="4" w:after="1"/>
        <w:ind w:left="0"/>
        <w:rPr>
          <w:sz w:val="1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980"/>
        <w:gridCol w:w="7373"/>
      </w:tblGrid>
      <w:tr>
        <w:trPr>
          <w:trHeight w:val="522" w:hRule="atLeast"/>
        </w:trPr>
        <w:tc>
          <w:tcPr>
            <w:tcW w:w="607" w:type="dxa"/>
            <w:tcBorders>
              <w:bottom w:val="single" w:sz="8" w:space="0" w:color="000000"/>
            </w:tcBorders>
          </w:tcPr>
          <w:p>
            <w:pPr>
              <w:pStyle w:val="TableParagraph"/>
              <w:spacing w:line="423" w:lineRule="exact"/>
              <w:ind w:right="31"/>
              <w:jc w:val="center"/>
              <w:rPr>
                <w:rFonts w:ascii="Arial" w:hAnsi="Arial"/>
                <w:b/>
                <w:sz w:val="40"/>
              </w:rPr>
            </w:pPr>
            <w:r>
              <w:rPr>
                <w:rFonts w:ascii="Arial" w:hAnsi="Arial"/>
                <w:b/>
                <w:w w:val="119"/>
                <w:sz w:val="40"/>
              </w:rPr>
              <w:t></w:t>
            </w:r>
          </w:p>
        </w:tc>
        <w:tc>
          <w:tcPr>
            <w:tcW w:w="1980" w:type="dxa"/>
            <w:tcBorders>
              <w:bottom w:val="single" w:sz="8" w:space="0" w:color="000000"/>
            </w:tcBorders>
          </w:tcPr>
          <w:p>
            <w:pPr>
              <w:pStyle w:val="TableParagraph"/>
              <w:spacing w:before="14"/>
              <w:ind w:left="141"/>
              <w:rPr>
                <w:b/>
                <w:sz w:val="24"/>
              </w:rPr>
            </w:pPr>
            <w:r>
              <w:rPr>
                <w:b/>
                <w:w w:val="95"/>
                <w:sz w:val="24"/>
              </w:rPr>
              <w:t>您与我们的合同</w:t>
            </w:r>
          </w:p>
        </w:tc>
        <w:tc>
          <w:tcPr>
            <w:tcW w:w="7373" w:type="dxa"/>
            <w:tcBorders>
              <w:bottom w:val="single" w:sz="8" w:space="0" w:color="000000"/>
            </w:tcBorders>
          </w:tcPr>
          <w:p>
            <w:pPr>
              <w:pStyle w:val="TableParagraph"/>
              <w:rPr>
                <w:rFonts w:ascii="Times New Roman"/>
                <w:sz w:val="20"/>
              </w:rPr>
            </w:pPr>
          </w:p>
        </w:tc>
      </w:tr>
      <w:tr>
        <w:trPr>
          <w:trHeight w:val="1718" w:hRule="atLeast"/>
        </w:trPr>
        <w:tc>
          <w:tcPr>
            <w:tcW w:w="607" w:type="dxa"/>
            <w:tcBorders>
              <w:top w:val="single" w:sz="8" w:space="0" w:color="000000"/>
            </w:tcBorders>
          </w:tcPr>
          <w:p>
            <w:pPr>
              <w:pStyle w:val="TableParagraph"/>
              <w:rPr>
                <w:sz w:val="23"/>
              </w:rPr>
            </w:pPr>
          </w:p>
          <w:p>
            <w:pPr>
              <w:pStyle w:val="TableParagraph"/>
              <w:ind w:left="88" w:right="160"/>
              <w:jc w:val="center"/>
              <w:rPr>
                <w:b/>
                <w:sz w:val="21"/>
              </w:rPr>
            </w:pPr>
            <w:r>
              <w:rPr>
                <w:b/>
                <w:sz w:val="21"/>
              </w:rPr>
              <w:t>1.1</w:t>
            </w:r>
          </w:p>
        </w:tc>
        <w:tc>
          <w:tcPr>
            <w:tcW w:w="1980" w:type="dxa"/>
            <w:tcBorders>
              <w:top w:val="single" w:sz="8" w:space="0" w:color="000000"/>
            </w:tcBorders>
          </w:tcPr>
          <w:p>
            <w:pPr>
              <w:pStyle w:val="TableParagraph"/>
              <w:rPr>
                <w:sz w:val="23"/>
              </w:rPr>
            </w:pPr>
          </w:p>
          <w:p>
            <w:pPr>
              <w:pStyle w:val="TableParagraph"/>
              <w:ind w:left="141"/>
              <w:rPr>
                <w:b/>
                <w:sz w:val="21"/>
              </w:rPr>
            </w:pPr>
            <w:r>
              <w:rPr>
                <w:b/>
                <w:sz w:val="21"/>
              </w:rPr>
              <w:t>保险合同构成</w:t>
            </w:r>
          </w:p>
        </w:tc>
        <w:tc>
          <w:tcPr>
            <w:tcW w:w="7373" w:type="dxa"/>
            <w:tcBorders>
              <w:top w:val="single" w:sz="8" w:space="0" w:color="000000"/>
            </w:tcBorders>
          </w:tcPr>
          <w:p>
            <w:pPr>
              <w:pStyle w:val="TableParagraph"/>
              <w:rPr>
                <w:sz w:val="23"/>
              </w:rPr>
            </w:pPr>
          </w:p>
          <w:p>
            <w:pPr>
              <w:pStyle w:val="TableParagraph"/>
              <w:spacing w:line="273" w:lineRule="auto"/>
              <w:ind w:left="148" w:right="105"/>
              <w:rPr>
                <w:sz w:val="21"/>
              </w:rPr>
            </w:pPr>
            <w:r>
              <w:rPr>
                <w:spacing w:val="-7"/>
                <w:sz w:val="21"/>
              </w:rPr>
              <w:t>本附加保险合同</w:t>
            </w:r>
            <w:r>
              <w:rPr>
                <w:spacing w:val="-3"/>
                <w:sz w:val="21"/>
              </w:rPr>
              <w:t>（</w:t>
            </w:r>
            <w:r>
              <w:rPr>
                <w:spacing w:val="-14"/>
                <w:sz w:val="21"/>
              </w:rPr>
              <w:t>以下简称“本附加合同”</w:t>
            </w:r>
            <w:r>
              <w:rPr>
                <w:spacing w:val="-71"/>
                <w:sz w:val="21"/>
              </w:rPr>
              <w:t>）</w:t>
            </w:r>
            <w:r>
              <w:rPr>
                <w:spacing w:val="-6"/>
                <w:sz w:val="21"/>
              </w:rPr>
              <w:t>附加于我们规定的主保险合同</w:t>
            </w:r>
            <w:r>
              <w:rPr>
                <w:spacing w:val="-3"/>
                <w:sz w:val="21"/>
              </w:rPr>
              <w:t>（以</w:t>
            </w:r>
            <w:r>
              <w:rPr>
                <w:spacing w:val="-16"/>
                <w:w w:val="100"/>
                <w:sz w:val="21"/>
              </w:rPr>
              <w:t>下简称“主合同”</w:t>
            </w:r>
            <w:r>
              <w:rPr>
                <w:spacing w:val="-3"/>
                <w:w w:val="100"/>
                <w:sz w:val="21"/>
              </w:rPr>
              <w:t>）上。主合同所附条款、投保单及与本附加合同有关的其他</w:t>
            </w:r>
            <w:r>
              <w:rPr>
                <w:spacing w:val="-7"/>
                <w:sz w:val="21"/>
              </w:rPr>
              <w:t>投保文件、合法有效的声明、批注、批单和其他书面协议，凡与本附加合同相</w:t>
            </w:r>
            <w:r>
              <w:rPr>
                <w:spacing w:val="-3"/>
                <w:sz w:val="21"/>
              </w:rPr>
              <w:t>关者，均为本附加合同的构成部分。</w:t>
            </w:r>
          </w:p>
        </w:tc>
      </w:tr>
      <w:tr>
        <w:trPr>
          <w:trHeight w:val="2807" w:hRule="atLeast"/>
        </w:trPr>
        <w:tc>
          <w:tcPr>
            <w:tcW w:w="607" w:type="dxa"/>
          </w:tcPr>
          <w:p>
            <w:pPr>
              <w:pStyle w:val="TableParagraph"/>
              <w:spacing w:before="142"/>
              <w:ind w:left="88" w:right="160"/>
              <w:jc w:val="center"/>
              <w:rPr>
                <w:b/>
                <w:sz w:val="21"/>
              </w:rPr>
            </w:pPr>
            <w:r>
              <w:rPr>
                <w:b/>
                <w:sz w:val="21"/>
              </w:rPr>
              <w:t>1.2</w:t>
            </w:r>
          </w:p>
        </w:tc>
        <w:tc>
          <w:tcPr>
            <w:tcW w:w="1980" w:type="dxa"/>
          </w:tcPr>
          <w:p>
            <w:pPr>
              <w:pStyle w:val="TableParagraph"/>
              <w:spacing w:line="273" w:lineRule="auto" w:before="142"/>
              <w:ind w:left="141" w:right="146"/>
              <w:rPr>
                <w:b/>
                <w:sz w:val="21"/>
              </w:rPr>
            </w:pPr>
            <w:r>
              <w:rPr>
                <w:b/>
                <w:sz w:val="21"/>
              </w:rPr>
              <w:t>保险合同成立与生效</w:t>
            </w:r>
          </w:p>
        </w:tc>
        <w:tc>
          <w:tcPr>
            <w:tcW w:w="7373" w:type="dxa"/>
          </w:tcPr>
          <w:p>
            <w:pPr>
              <w:pStyle w:val="TableParagraph"/>
              <w:spacing w:before="142"/>
              <w:ind w:left="149"/>
              <w:rPr>
                <w:sz w:val="21"/>
              </w:rPr>
            </w:pPr>
            <w:r>
              <w:rPr>
                <w:sz w:val="21"/>
              </w:rPr>
              <w:t>如果本附加合同与主合同同时投保，本附加合同的生效日与主合同相同。</w:t>
            </w:r>
          </w:p>
          <w:p>
            <w:pPr>
              <w:pStyle w:val="TableParagraph"/>
              <w:spacing w:before="8"/>
              <w:rPr>
                <w:sz w:val="26"/>
              </w:rPr>
            </w:pPr>
          </w:p>
          <w:p>
            <w:pPr>
              <w:pStyle w:val="TableParagraph"/>
              <w:spacing w:line="273" w:lineRule="auto"/>
              <w:ind w:left="149" w:right="104"/>
              <w:jc w:val="both"/>
              <w:rPr>
                <w:sz w:val="21"/>
              </w:rPr>
            </w:pPr>
            <w:r>
              <w:rPr>
                <w:spacing w:val="-5"/>
                <w:sz w:val="21"/>
              </w:rPr>
              <w:t>如果您在主合同有效期内投保本附加合同，本附加合同生效日以批注所载的日</w:t>
            </w:r>
            <w:r>
              <w:rPr>
                <w:spacing w:val="-1"/>
                <w:sz w:val="21"/>
              </w:rPr>
              <w:t>期为准。</w:t>
            </w:r>
          </w:p>
          <w:p>
            <w:pPr>
              <w:pStyle w:val="TableParagraph"/>
              <w:spacing w:before="5"/>
              <w:rPr>
                <w:sz w:val="24"/>
              </w:rPr>
            </w:pPr>
          </w:p>
          <w:p>
            <w:pPr>
              <w:pStyle w:val="TableParagraph"/>
              <w:spacing w:line="273" w:lineRule="auto"/>
              <w:ind w:left="149" w:right="80" w:hanging="1"/>
              <w:jc w:val="both"/>
              <w:rPr>
                <w:sz w:val="21"/>
              </w:rPr>
            </w:pPr>
            <w:r>
              <w:rPr>
                <w:spacing w:val="-5"/>
                <w:w w:val="100"/>
                <w:sz w:val="21"/>
              </w:rPr>
              <w:t>本附加合同生效日以后每年对应的保单周年日、</w:t>
            </w:r>
            <w:r>
              <w:rPr>
                <w:b/>
                <w:spacing w:val="-7"/>
                <w:w w:val="100"/>
                <w:sz w:val="21"/>
              </w:rPr>
              <w:t>保单年度</w:t>
            </w:r>
            <w:r>
              <w:rPr>
                <w:spacing w:val="-3"/>
                <w:w w:val="100"/>
                <w:sz w:val="21"/>
              </w:rPr>
              <w:t>（</w:t>
            </w:r>
            <w:r>
              <w:rPr>
                <w:w w:val="100"/>
                <w:sz w:val="21"/>
              </w:rPr>
              <w:t>见</w:t>
            </w:r>
            <w:r>
              <w:rPr>
                <w:spacing w:val="-53"/>
                <w:sz w:val="21"/>
              </w:rPr>
              <w:t> </w:t>
            </w:r>
            <w:r>
              <w:rPr>
                <w:w w:val="100"/>
                <w:sz w:val="21"/>
              </w:rPr>
              <w:t>8.</w:t>
            </w:r>
            <w:r>
              <w:rPr>
                <w:spacing w:val="-3"/>
                <w:w w:val="100"/>
                <w:sz w:val="21"/>
              </w:rPr>
              <w:t>1</w:t>
            </w:r>
            <w:r>
              <w:rPr>
                <w:spacing w:val="-106"/>
                <w:w w:val="100"/>
                <w:sz w:val="21"/>
              </w:rPr>
              <w:t>）</w:t>
            </w:r>
            <w:r>
              <w:rPr>
                <w:spacing w:val="-8"/>
                <w:w w:val="100"/>
                <w:sz w:val="21"/>
              </w:rPr>
              <w:t>、保单周月</w:t>
            </w:r>
            <w:r>
              <w:rPr>
                <w:spacing w:val="-3"/>
                <w:sz w:val="21"/>
              </w:rPr>
              <w:t>日、保险费约定支付日和保单满期日均以该日期计算。如当月无对应同一日， 则以该月最后一日作为对应日。</w:t>
            </w:r>
          </w:p>
        </w:tc>
      </w:tr>
      <w:tr>
        <w:trPr>
          <w:trHeight w:val="2520" w:hRule="atLeast"/>
        </w:trPr>
        <w:tc>
          <w:tcPr>
            <w:tcW w:w="607" w:type="dxa"/>
          </w:tcPr>
          <w:p>
            <w:pPr>
              <w:pStyle w:val="TableParagraph"/>
              <w:spacing w:before="142"/>
              <w:ind w:left="88" w:right="160"/>
              <w:jc w:val="center"/>
              <w:rPr>
                <w:b/>
                <w:sz w:val="21"/>
              </w:rPr>
            </w:pPr>
            <w:r>
              <w:rPr>
                <w:b/>
                <w:sz w:val="21"/>
              </w:rPr>
              <w:t>1.3</w:t>
            </w:r>
          </w:p>
        </w:tc>
        <w:tc>
          <w:tcPr>
            <w:tcW w:w="1980" w:type="dxa"/>
          </w:tcPr>
          <w:p>
            <w:pPr>
              <w:pStyle w:val="TableParagraph"/>
              <w:spacing w:before="142"/>
              <w:ind w:left="141"/>
              <w:rPr>
                <w:b/>
                <w:sz w:val="21"/>
              </w:rPr>
            </w:pPr>
            <w:r>
              <w:rPr>
                <w:b/>
                <w:sz w:val="21"/>
              </w:rPr>
              <w:t>犹豫期</w:t>
            </w:r>
          </w:p>
        </w:tc>
        <w:tc>
          <w:tcPr>
            <w:tcW w:w="7373" w:type="dxa"/>
          </w:tcPr>
          <w:p>
            <w:pPr>
              <w:pStyle w:val="TableParagraph"/>
              <w:spacing w:line="273" w:lineRule="auto" w:before="142"/>
              <w:ind w:left="148" w:right="105"/>
              <w:jc w:val="both"/>
              <w:rPr>
                <w:sz w:val="21"/>
              </w:rPr>
            </w:pPr>
            <w:r>
              <w:rPr>
                <w:spacing w:val="-3"/>
                <w:sz w:val="21"/>
              </w:rPr>
              <w:t>自您签收本附加合同之日起，有 </w:t>
            </w:r>
            <w:r>
              <w:rPr>
                <w:sz w:val="21"/>
              </w:rPr>
              <w:t>10</w:t>
            </w:r>
            <w:r>
              <w:rPr>
                <w:spacing w:val="-3"/>
                <w:sz w:val="21"/>
              </w:rPr>
              <w:t> 日的犹豫期。在此期间请您认真审视本附</w:t>
            </w:r>
            <w:r>
              <w:rPr>
                <w:spacing w:val="-5"/>
                <w:sz w:val="21"/>
              </w:rPr>
              <w:t>加合同，如果您认为本附加合同与您的需求不相符，您可以在此期间提出解除</w:t>
            </w:r>
            <w:r>
              <w:rPr>
                <w:spacing w:val="-3"/>
                <w:sz w:val="21"/>
              </w:rPr>
              <w:t>本附加合同，我们将无息退还您所支付的全部保险费。</w:t>
            </w:r>
          </w:p>
          <w:p>
            <w:pPr>
              <w:pStyle w:val="TableParagraph"/>
              <w:spacing w:before="5"/>
              <w:rPr>
                <w:sz w:val="24"/>
              </w:rPr>
            </w:pPr>
          </w:p>
          <w:p>
            <w:pPr>
              <w:pStyle w:val="TableParagraph"/>
              <w:ind w:left="149"/>
              <w:rPr>
                <w:b/>
                <w:sz w:val="21"/>
              </w:rPr>
            </w:pPr>
            <w:r>
              <w:rPr>
                <w:sz w:val="21"/>
              </w:rPr>
              <w:t>解除本附加合同时，您需要填写申请书，并提供您的保险合同及</w:t>
            </w:r>
            <w:r>
              <w:rPr>
                <w:b/>
                <w:sz w:val="21"/>
              </w:rPr>
              <w:t>有效身份证件</w:t>
            </w:r>
          </w:p>
          <w:p>
            <w:pPr>
              <w:pStyle w:val="TableParagraph"/>
              <w:spacing w:line="273" w:lineRule="auto" w:before="37"/>
              <w:ind w:left="148" w:right="103"/>
              <w:jc w:val="both"/>
              <w:rPr>
                <w:sz w:val="21"/>
              </w:rPr>
            </w:pPr>
            <w:r>
              <w:rPr>
                <w:w w:val="100"/>
                <w:sz w:val="21"/>
              </w:rPr>
              <w:t>（见</w:t>
            </w:r>
            <w:r>
              <w:rPr>
                <w:spacing w:val="-53"/>
                <w:sz w:val="21"/>
              </w:rPr>
              <w:t> </w:t>
            </w:r>
            <w:r>
              <w:rPr>
                <w:spacing w:val="-3"/>
                <w:w w:val="100"/>
                <w:sz w:val="21"/>
              </w:rPr>
              <w:t>8</w:t>
            </w:r>
            <w:r>
              <w:rPr>
                <w:w w:val="100"/>
                <w:sz w:val="21"/>
              </w:rPr>
              <w:t>.2</w:t>
            </w:r>
            <w:r>
              <w:rPr>
                <w:spacing w:val="-106"/>
                <w:w w:val="100"/>
                <w:sz w:val="21"/>
              </w:rPr>
              <w:t>）</w:t>
            </w:r>
            <w:r>
              <w:rPr>
                <w:spacing w:val="-10"/>
                <w:w w:val="100"/>
                <w:sz w:val="21"/>
              </w:rPr>
              <w:t>。自我们收到您解除合同的书面申请时起，本附加合同即被解除，合</w:t>
            </w:r>
            <w:r>
              <w:rPr>
                <w:spacing w:val="-5"/>
                <w:sz w:val="21"/>
              </w:rPr>
              <w:t>同解除前发生的保险事故我们不承担保险责任。</w:t>
            </w:r>
          </w:p>
        </w:tc>
      </w:tr>
      <w:tr>
        <w:trPr>
          <w:trHeight w:val="753" w:hRule="atLeast"/>
        </w:trPr>
        <w:tc>
          <w:tcPr>
            <w:tcW w:w="607"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9"/>
                <w:sz w:val="40"/>
              </w:rPr>
              <w:t></w:t>
            </w:r>
          </w:p>
        </w:tc>
        <w:tc>
          <w:tcPr>
            <w:tcW w:w="1980" w:type="dxa"/>
            <w:tcBorders>
              <w:bottom w:val="single" w:sz="8" w:space="0" w:color="000000"/>
            </w:tcBorders>
          </w:tcPr>
          <w:p>
            <w:pPr>
              <w:pStyle w:val="TableParagraph"/>
              <w:spacing w:before="10"/>
              <w:rPr>
                <w:sz w:val="18"/>
              </w:rPr>
            </w:pPr>
          </w:p>
          <w:p>
            <w:pPr>
              <w:pStyle w:val="TableParagraph"/>
              <w:ind w:left="141"/>
              <w:rPr>
                <w:b/>
                <w:sz w:val="24"/>
              </w:rPr>
            </w:pPr>
            <w:r>
              <w:rPr>
                <w:b/>
                <w:w w:val="95"/>
                <w:sz w:val="24"/>
              </w:rPr>
              <w:t>我们提供的保障</w:t>
            </w:r>
          </w:p>
        </w:tc>
        <w:tc>
          <w:tcPr>
            <w:tcW w:w="7373" w:type="dxa"/>
            <w:tcBorders>
              <w:bottom w:val="single" w:sz="8" w:space="0" w:color="000000"/>
            </w:tcBorders>
          </w:tcPr>
          <w:p>
            <w:pPr>
              <w:pStyle w:val="TableParagraph"/>
              <w:rPr>
                <w:rFonts w:ascii="Times New Roman"/>
                <w:sz w:val="20"/>
              </w:rPr>
            </w:pPr>
          </w:p>
        </w:tc>
      </w:tr>
      <w:tr>
        <w:trPr>
          <w:trHeight w:val="1092" w:hRule="atLeast"/>
        </w:trPr>
        <w:tc>
          <w:tcPr>
            <w:tcW w:w="607" w:type="dxa"/>
            <w:tcBorders>
              <w:top w:val="single" w:sz="8" w:space="0" w:color="000000"/>
            </w:tcBorders>
          </w:tcPr>
          <w:p>
            <w:pPr>
              <w:pStyle w:val="TableParagraph"/>
              <w:spacing w:before="11"/>
              <w:rPr>
                <w:sz w:val="22"/>
              </w:rPr>
            </w:pPr>
          </w:p>
          <w:p>
            <w:pPr>
              <w:pStyle w:val="TableParagraph"/>
              <w:ind w:left="88" w:right="160"/>
              <w:jc w:val="center"/>
              <w:rPr>
                <w:b/>
                <w:sz w:val="21"/>
              </w:rPr>
            </w:pPr>
            <w:r>
              <w:rPr>
                <w:b/>
                <w:sz w:val="21"/>
              </w:rPr>
              <w:t>2.1</w:t>
            </w:r>
          </w:p>
        </w:tc>
        <w:tc>
          <w:tcPr>
            <w:tcW w:w="1980" w:type="dxa"/>
            <w:tcBorders>
              <w:top w:val="single" w:sz="8" w:space="0" w:color="000000"/>
            </w:tcBorders>
          </w:tcPr>
          <w:p>
            <w:pPr>
              <w:pStyle w:val="TableParagraph"/>
              <w:spacing w:before="11"/>
              <w:rPr>
                <w:sz w:val="22"/>
              </w:rPr>
            </w:pPr>
          </w:p>
          <w:p>
            <w:pPr>
              <w:pStyle w:val="TableParagraph"/>
              <w:ind w:left="141"/>
              <w:rPr>
                <w:b/>
                <w:sz w:val="21"/>
              </w:rPr>
            </w:pPr>
            <w:r>
              <w:rPr>
                <w:b/>
                <w:sz w:val="21"/>
              </w:rPr>
              <w:t>保险期间</w:t>
            </w:r>
          </w:p>
        </w:tc>
        <w:tc>
          <w:tcPr>
            <w:tcW w:w="7373" w:type="dxa"/>
            <w:tcBorders>
              <w:top w:val="single" w:sz="8" w:space="0" w:color="000000"/>
            </w:tcBorders>
          </w:tcPr>
          <w:p>
            <w:pPr>
              <w:pStyle w:val="TableParagraph"/>
              <w:spacing w:before="11"/>
              <w:rPr>
                <w:sz w:val="22"/>
              </w:rPr>
            </w:pPr>
          </w:p>
          <w:p>
            <w:pPr>
              <w:pStyle w:val="TableParagraph"/>
              <w:spacing w:line="273" w:lineRule="auto"/>
              <w:ind w:left="149" w:right="65" w:hanging="1"/>
              <w:rPr>
                <w:sz w:val="21"/>
              </w:rPr>
            </w:pPr>
            <w:r>
              <w:rPr>
                <w:sz w:val="21"/>
              </w:rPr>
              <w:t>本附加合同的保险期间为终身，自本附加合同生效之日起至本附加合同约定终止时止。</w:t>
            </w:r>
          </w:p>
        </w:tc>
      </w:tr>
      <w:tr>
        <w:trPr>
          <w:trHeight w:val="624" w:hRule="atLeast"/>
        </w:trPr>
        <w:tc>
          <w:tcPr>
            <w:tcW w:w="607" w:type="dxa"/>
          </w:tcPr>
          <w:p>
            <w:pPr>
              <w:pStyle w:val="TableParagraph"/>
              <w:spacing w:before="142"/>
              <w:ind w:left="88" w:right="160"/>
              <w:jc w:val="center"/>
              <w:rPr>
                <w:b/>
                <w:sz w:val="21"/>
              </w:rPr>
            </w:pPr>
            <w:r>
              <w:rPr>
                <w:b/>
                <w:sz w:val="21"/>
              </w:rPr>
              <w:t>2.2</w:t>
            </w:r>
          </w:p>
        </w:tc>
        <w:tc>
          <w:tcPr>
            <w:tcW w:w="1980" w:type="dxa"/>
          </w:tcPr>
          <w:p>
            <w:pPr>
              <w:pStyle w:val="TableParagraph"/>
              <w:spacing w:before="142"/>
              <w:ind w:left="141"/>
              <w:rPr>
                <w:b/>
                <w:sz w:val="21"/>
              </w:rPr>
            </w:pPr>
            <w:r>
              <w:rPr>
                <w:b/>
                <w:sz w:val="21"/>
              </w:rPr>
              <w:t>投保条件</w:t>
            </w:r>
          </w:p>
        </w:tc>
        <w:tc>
          <w:tcPr>
            <w:tcW w:w="7373" w:type="dxa"/>
          </w:tcPr>
          <w:p>
            <w:pPr>
              <w:pStyle w:val="TableParagraph"/>
              <w:spacing w:before="142"/>
              <w:ind w:left="149"/>
              <w:rPr>
                <w:sz w:val="21"/>
              </w:rPr>
            </w:pPr>
            <w:r>
              <w:rPr>
                <w:sz w:val="21"/>
              </w:rPr>
              <w:t>您和被保险人必须符合以下条件：</w:t>
            </w:r>
          </w:p>
        </w:tc>
      </w:tr>
      <w:tr>
        <w:trPr>
          <w:trHeight w:val="729" w:hRule="atLeast"/>
        </w:trPr>
        <w:tc>
          <w:tcPr>
            <w:tcW w:w="607" w:type="dxa"/>
          </w:tcPr>
          <w:p>
            <w:pPr>
              <w:pStyle w:val="TableParagraph"/>
              <w:rPr>
                <w:rFonts w:ascii="Times New Roman"/>
                <w:sz w:val="20"/>
              </w:rPr>
            </w:pPr>
          </w:p>
        </w:tc>
        <w:tc>
          <w:tcPr>
            <w:tcW w:w="1980" w:type="dxa"/>
          </w:tcPr>
          <w:p>
            <w:pPr>
              <w:pStyle w:val="TableParagraph"/>
              <w:spacing w:before="140"/>
              <w:ind w:left="141"/>
              <w:rPr>
                <w:rFonts w:ascii="等线" w:eastAsia="等线" w:hint="eastAsia"/>
                <w:b/>
                <w:sz w:val="24"/>
              </w:rPr>
            </w:pPr>
            <w:r>
              <w:rPr>
                <w:rFonts w:ascii="等线" w:eastAsia="等线" w:hint="eastAsia"/>
                <w:b/>
                <w:sz w:val="24"/>
              </w:rPr>
              <w:t>被保险人条件</w:t>
            </w:r>
          </w:p>
        </w:tc>
        <w:tc>
          <w:tcPr>
            <w:tcW w:w="7373" w:type="dxa"/>
          </w:tcPr>
          <w:p>
            <w:pPr>
              <w:pStyle w:val="TableParagraph"/>
              <w:spacing w:line="310" w:lineRule="atLeast" w:before="107"/>
              <w:ind w:left="149" w:right="103" w:hanging="1"/>
              <w:rPr>
                <w:sz w:val="21"/>
              </w:rPr>
            </w:pPr>
            <w:r>
              <w:rPr>
                <w:spacing w:val="-3"/>
                <w:w w:val="100"/>
                <w:sz w:val="21"/>
              </w:rPr>
              <w:t>凡投保时出生满</w:t>
            </w:r>
            <w:r>
              <w:rPr>
                <w:spacing w:val="-3"/>
                <w:sz w:val="21"/>
              </w:rPr>
              <w:t> </w:t>
            </w:r>
            <w:r>
              <w:rPr>
                <w:w w:val="100"/>
                <w:sz w:val="21"/>
              </w:rPr>
              <w:t>28</w:t>
            </w:r>
            <w:r>
              <w:rPr>
                <w:spacing w:val="-55"/>
                <w:sz w:val="21"/>
              </w:rPr>
              <w:t> </w:t>
            </w:r>
            <w:r>
              <w:rPr>
                <w:w w:val="100"/>
                <w:sz w:val="21"/>
              </w:rPr>
              <w:t>日至</w:t>
            </w:r>
            <w:r>
              <w:rPr>
                <w:spacing w:val="-55"/>
                <w:sz w:val="21"/>
              </w:rPr>
              <w:t> </w:t>
            </w:r>
            <w:r>
              <w:rPr>
                <w:spacing w:val="-3"/>
                <w:w w:val="100"/>
                <w:sz w:val="21"/>
              </w:rPr>
              <w:t>5</w:t>
            </w:r>
            <w:r>
              <w:rPr>
                <w:w w:val="100"/>
                <w:sz w:val="21"/>
              </w:rPr>
              <w:t>9</w:t>
            </w:r>
            <w:r>
              <w:rPr>
                <w:spacing w:val="-55"/>
                <w:sz w:val="21"/>
              </w:rPr>
              <w:t> </w:t>
            </w:r>
            <w:r>
              <w:rPr>
                <w:b/>
                <w:spacing w:val="-9"/>
                <w:w w:val="100"/>
                <w:sz w:val="21"/>
              </w:rPr>
              <w:t>周岁</w:t>
            </w:r>
            <w:r>
              <w:rPr>
                <w:spacing w:val="-3"/>
                <w:w w:val="100"/>
                <w:sz w:val="21"/>
              </w:rPr>
              <w:t>（</w:t>
            </w:r>
            <w:r>
              <w:rPr>
                <w:w w:val="100"/>
                <w:sz w:val="21"/>
              </w:rPr>
              <w:t>见</w:t>
            </w:r>
            <w:r>
              <w:rPr>
                <w:spacing w:val="-53"/>
                <w:sz w:val="21"/>
              </w:rPr>
              <w:t> </w:t>
            </w:r>
            <w:r>
              <w:rPr>
                <w:w w:val="100"/>
                <w:sz w:val="21"/>
              </w:rPr>
              <w:t>8</w:t>
            </w:r>
            <w:r>
              <w:rPr>
                <w:spacing w:val="-3"/>
                <w:w w:val="100"/>
                <w:sz w:val="21"/>
              </w:rPr>
              <w:t>.</w:t>
            </w:r>
            <w:r>
              <w:rPr>
                <w:w w:val="100"/>
                <w:sz w:val="21"/>
              </w:rPr>
              <w:t>3</w:t>
            </w:r>
            <w:r>
              <w:rPr>
                <w:spacing w:val="-128"/>
                <w:w w:val="100"/>
                <w:sz w:val="21"/>
              </w:rPr>
              <w:t>）</w:t>
            </w:r>
            <w:r>
              <w:rPr>
                <w:w w:val="100"/>
                <w:sz w:val="21"/>
              </w:rPr>
              <w:t>（含</w:t>
            </w:r>
            <w:r>
              <w:rPr>
                <w:spacing w:val="-53"/>
                <w:sz w:val="21"/>
              </w:rPr>
              <w:t> </w:t>
            </w:r>
            <w:r>
              <w:rPr>
                <w:spacing w:val="-3"/>
                <w:w w:val="100"/>
                <w:sz w:val="21"/>
              </w:rPr>
              <w:t>5</w:t>
            </w:r>
            <w:r>
              <w:rPr>
                <w:w w:val="100"/>
                <w:sz w:val="21"/>
              </w:rPr>
              <w:t>9</w:t>
            </w:r>
            <w:r>
              <w:rPr>
                <w:spacing w:val="-53"/>
                <w:sz w:val="21"/>
              </w:rPr>
              <w:t> </w:t>
            </w:r>
            <w:r>
              <w:rPr>
                <w:spacing w:val="-2"/>
                <w:w w:val="100"/>
                <w:sz w:val="21"/>
              </w:rPr>
              <w:t>周岁</w:t>
            </w:r>
            <w:r>
              <w:rPr>
                <w:spacing w:val="-106"/>
                <w:w w:val="100"/>
                <w:sz w:val="21"/>
              </w:rPr>
              <w:t>）</w:t>
            </w:r>
            <w:r>
              <w:rPr>
                <w:spacing w:val="-8"/>
                <w:w w:val="100"/>
                <w:sz w:val="21"/>
              </w:rPr>
              <w:t>，身体健康，且符合我</w:t>
            </w:r>
            <w:r>
              <w:rPr>
                <w:spacing w:val="-3"/>
                <w:sz w:val="21"/>
              </w:rPr>
              <w:t>们承保条件的人，均可作为本保险的被保险人。</w:t>
            </w:r>
          </w:p>
        </w:tc>
      </w:tr>
    </w:tbl>
    <w:p>
      <w:pPr>
        <w:spacing w:after="0" w:line="310" w:lineRule="atLeast"/>
        <w:rPr>
          <w:sz w:val="21"/>
        </w:rPr>
        <w:sectPr>
          <w:pgSz w:w="11910" w:h="16840"/>
          <w:pgMar w:top="1200" w:bottom="280" w:left="800" w:right="9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997"/>
        <w:gridCol w:w="7577"/>
      </w:tblGrid>
      <w:tr>
        <w:trPr>
          <w:trHeight w:val="729" w:hRule="atLeast"/>
        </w:trPr>
        <w:tc>
          <w:tcPr>
            <w:tcW w:w="679" w:type="dxa"/>
          </w:tcPr>
          <w:p>
            <w:pPr>
              <w:pStyle w:val="TableParagraph"/>
              <w:rPr>
                <w:rFonts w:ascii="Times New Roman"/>
                <w:sz w:val="20"/>
              </w:rPr>
            </w:pPr>
          </w:p>
        </w:tc>
        <w:tc>
          <w:tcPr>
            <w:tcW w:w="1997" w:type="dxa"/>
          </w:tcPr>
          <w:p>
            <w:pPr>
              <w:pStyle w:val="TableParagraph"/>
              <w:spacing w:line="259" w:lineRule="exact"/>
              <w:ind w:left="161"/>
              <w:rPr>
                <w:rFonts w:ascii="等线" w:eastAsia="等线" w:hint="eastAsia"/>
                <w:b/>
                <w:sz w:val="24"/>
              </w:rPr>
            </w:pPr>
            <w:r>
              <w:rPr>
                <w:rFonts w:ascii="等线" w:eastAsia="等线" w:hint="eastAsia"/>
                <w:b/>
                <w:sz w:val="24"/>
              </w:rPr>
              <w:t>投保人条件</w:t>
            </w:r>
          </w:p>
        </w:tc>
        <w:tc>
          <w:tcPr>
            <w:tcW w:w="7577" w:type="dxa"/>
          </w:tcPr>
          <w:p>
            <w:pPr>
              <w:pStyle w:val="TableParagraph"/>
              <w:spacing w:line="209" w:lineRule="exact"/>
              <w:ind w:left="151"/>
              <w:rPr>
                <w:sz w:val="21"/>
              </w:rPr>
            </w:pPr>
            <w:r>
              <w:rPr>
                <w:sz w:val="21"/>
              </w:rPr>
              <w:t>凡年满 18 周岁，具有完全民事行为能力且对被保险人具有保险利益的人，均</w:t>
            </w:r>
          </w:p>
          <w:p>
            <w:pPr>
              <w:pStyle w:val="TableParagraph"/>
              <w:spacing w:before="37"/>
              <w:ind w:left="151"/>
              <w:rPr>
                <w:sz w:val="21"/>
              </w:rPr>
            </w:pPr>
            <w:r>
              <w:rPr>
                <w:sz w:val="21"/>
              </w:rPr>
              <w:t>可作为本保险的投保人。</w:t>
            </w:r>
          </w:p>
        </w:tc>
      </w:tr>
      <w:tr>
        <w:trPr>
          <w:trHeight w:val="935" w:hRule="atLeast"/>
        </w:trPr>
        <w:tc>
          <w:tcPr>
            <w:tcW w:w="679" w:type="dxa"/>
          </w:tcPr>
          <w:p>
            <w:pPr>
              <w:pStyle w:val="TableParagraph"/>
              <w:spacing w:before="140"/>
              <w:ind w:right="160"/>
              <w:jc w:val="right"/>
              <w:rPr>
                <w:b/>
                <w:sz w:val="21"/>
              </w:rPr>
            </w:pPr>
            <w:r>
              <w:rPr>
                <w:b/>
                <w:sz w:val="21"/>
              </w:rPr>
              <w:t>2.3</w:t>
            </w:r>
          </w:p>
        </w:tc>
        <w:tc>
          <w:tcPr>
            <w:tcW w:w="1997" w:type="dxa"/>
          </w:tcPr>
          <w:p>
            <w:pPr>
              <w:pStyle w:val="TableParagraph"/>
              <w:spacing w:before="140"/>
              <w:ind w:left="161"/>
              <w:rPr>
                <w:b/>
                <w:sz w:val="21"/>
              </w:rPr>
            </w:pPr>
            <w:r>
              <w:rPr>
                <w:b/>
                <w:sz w:val="21"/>
              </w:rPr>
              <w:t>基本保险金额</w:t>
            </w:r>
          </w:p>
        </w:tc>
        <w:tc>
          <w:tcPr>
            <w:tcW w:w="7577" w:type="dxa"/>
          </w:tcPr>
          <w:p>
            <w:pPr>
              <w:pStyle w:val="TableParagraph"/>
              <w:spacing w:line="273" w:lineRule="auto" w:before="140"/>
              <w:ind w:left="151" w:right="267"/>
              <w:rPr>
                <w:sz w:val="21"/>
              </w:rPr>
            </w:pPr>
            <w:r>
              <w:rPr>
                <w:sz w:val="21"/>
              </w:rPr>
              <w:t>本附加合同的基本保险金额由您在投保时与我们约定并在保险单上载明。若该金额发生变更，则以变更后的金额为基本保险金额。</w:t>
            </w:r>
          </w:p>
        </w:tc>
      </w:tr>
      <w:tr>
        <w:trPr>
          <w:trHeight w:val="624" w:hRule="atLeast"/>
        </w:trPr>
        <w:tc>
          <w:tcPr>
            <w:tcW w:w="679" w:type="dxa"/>
          </w:tcPr>
          <w:p>
            <w:pPr>
              <w:pStyle w:val="TableParagraph"/>
              <w:spacing w:before="140"/>
              <w:ind w:right="160"/>
              <w:jc w:val="right"/>
              <w:rPr>
                <w:b/>
                <w:sz w:val="21"/>
              </w:rPr>
            </w:pPr>
            <w:r>
              <w:rPr>
                <w:b/>
                <w:sz w:val="21"/>
              </w:rPr>
              <w:t>2.4</w:t>
            </w:r>
          </w:p>
        </w:tc>
        <w:tc>
          <w:tcPr>
            <w:tcW w:w="1997" w:type="dxa"/>
          </w:tcPr>
          <w:p>
            <w:pPr>
              <w:pStyle w:val="TableParagraph"/>
              <w:spacing w:before="140"/>
              <w:ind w:left="161"/>
              <w:rPr>
                <w:b/>
                <w:sz w:val="21"/>
              </w:rPr>
            </w:pPr>
            <w:r>
              <w:rPr>
                <w:b/>
                <w:sz w:val="21"/>
              </w:rPr>
              <w:t>保险责任</w:t>
            </w:r>
          </w:p>
        </w:tc>
        <w:tc>
          <w:tcPr>
            <w:tcW w:w="7577" w:type="dxa"/>
          </w:tcPr>
          <w:p>
            <w:pPr>
              <w:pStyle w:val="TableParagraph"/>
              <w:spacing w:before="140"/>
              <w:ind w:left="151"/>
              <w:rPr>
                <w:sz w:val="21"/>
              </w:rPr>
            </w:pPr>
            <w:r>
              <w:rPr>
                <w:sz w:val="21"/>
              </w:rPr>
              <w:t>在本附加合同有效期内，我们承担如下保险责任：</w:t>
            </w:r>
          </w:p>
        </w:tc>
      </w:tr>
      <w:tr>
        <w:trPr>
          <w:trHeight w:val="2183" w:hRule="atLeast"/>
        </w:trPr>
        <w:tc>
          <w:tcPr>
            <w:tcW w:w="679" w:type="dxa"/>
          </w:tcPr>
          <w:p>
            <w:pPr>
              <w:pStyle w:val="TableParagraph"/>
              <w:rPr>
                <w:rFonts w:ascii="Times New Roman"/>
                <w:sz w:val="20"/>
              </w:rPr>
            </w:pPr>
          </w:p>
        </w:tc>
        <w:tc>
          <w:tcPr>
            <w:tcW w:w="1997" w:type="dxa"/>
          </w:tcPr>
          <w:p>
            <w:pPr>
              <w:pStyle w:val="TableParagraph"/>
              <w:spacing w:before="138"/>
              <w:ind w:left="161"/>
              <w:rPr>
                <w:rFonts w:ascii="等线" w:eastAsia="等线" w:hint="eastAsia"/>
                <w:b/>
                <w:sz w:val="24"/>
              </w:rPr>
            </w:pPr>
            <w:r>
              <w:rPr>
                <w:rFonts w:ascii="等线" w:eastAsia="等线" w:hint="eastAsia"/>
                <w:b/>
                <w:sz w:val="24"/>
              </w:rPr>
              <w:t>等待期</w:t>
            </w:r>
          </w:p>
        </w:tc>
        <w:tc>
          <w:tcPr>
            <w:tcW w:w="7577" w:type="dxa"/>
          </w:tcPr>
          <w:p>
            <w:pPr>
              <w:pStyle w:val="TableParagraph"/>
              <w:spacing w:line="273" w:lineRule="auto" w:before="140"/>
              <w:ind w:left="151" w:right="198"/>
              <w:rPr>
                <w:sz w:val="21"/>
              </w:rPr>
            </w:pPr>
            <w:r>
              <w:rPr>
                <w:spacing w:val="-5"/>
                <w:sz w:val="21"/>
              </w:rPr>
              <w:t>在本附加合同生效或最后复效日(以较迟者为准)起 </w:t>
            </w:r>
            <w:r>
              <w:rPr>
                <w:sz w:val="21"/>
              </w:rPr>
              <w:t>90</w:t>
            </w:r>
            <w:r>
              <w:rPr>
                <w:spacing w:val="-10"/>
                <w:sz w:val="21"/>
              </w:rPr>
              <w:t> 日内，被保险人因</w:t>
            </w:r>
            <w:r>
              <w:rPr>
                <w:b/>
                <w:sz w:val="21"/>
              </w:rPr>
              <w:t>意外</w:t>
            </w:r>
            <w:r>
              <w:rPr>
                <w:b/>
                <w:w w:val="100"/>
                <w:sz w:val="21"/>
              </w:rPr>
              <w:t>伤害事故</w:t>
            </w:r>
            <w:r>
              <w:rPr>
                <w:spacing w:val="-3"/>
                <w:w w:val="100"/>
                <w:sz w:val="21"/>
              </w:rPr>
              <w:t>（</w:t>
            </w:r>
            <w:r>
              <w:rPr>
                <w:w w:val="100"/>
                <w:sz w:val="21"/>
              </w:rPr>
              <w:t>见</w:t>
            </w:r>
            <w:r>
              <w:rPr>
                <w:spacing w:val="-53"/>
                <w:sz w:val="21"/>
              </w:rPr>
              <w:t> </w:t>
            </w:r>
            <w:r>
              <w:rPr>
                <w:w w:val="100"/>
                <w:sz w:val="21"/>
              </w:rPr>
              <w:t>8.</w:t>
            </w:r>
            <w:r>
              <w:rPr>
                <w:spacing w:val="-3"/>
                <w:w w:val="100"/>
                <w:sz w:val="21"/>
              </w:rPr>
              <w:t>4</w:t>
            </w:r>
            <w:r>
              <w:rPr>
                <w:w w:val="100"/>
                <w:sz w:val="21"/>
              </w:rPr>
              <w:t>）</w:t>
            </w:r>
            <w:r>
              <w:rPr>
                <w:spacing w:val="-4"/>
                <w:w w:val="100"/>
                <w:sz w:val="21"/>
              </w:rPr>
              <w:t>以外的原因患本附加合同约定的</w:t>
            </w:r>
            <w:r>
              <w:rPr>
                <w:b/>
                <w:w w:val="100"/>
                <w:sz w:val="21"/>
              </w:rPr>
              <w:t>少儿重大疾病</w:t>
            </w:r>
            <w:r>
              <w:rPr>
                <w:spacing w:val="-3"/>
                <w:w w:val="100"/>
                <w:sz w:val="21"/>
              </w:rPr>
              <w:t>（</w:t>
            </w:r>
            <w:r>
              <w:rPr>
                <w:w w:val="100"/>
                <w:sz w:val="21"/>
              </w:rPr>
              <w:t>见</w:t>
            </w:r>
            <w:r>
              <w:rPr>
                <w:spacing w:val="-53"/>
                <w:sz w:val="21"/>
              </w:rPr>
              <w:t> </w:t>
            </w:r>
            <w:r>
              <w:rPr>
                <w:w w:val="100"/>
                <w:sz w:val="21"/>
              </w:rPr>
              <w:t>8.5</w:t>
            </w:r>
            <w:r>
              <w:rPr>
                <w:spacing w:val="-108"/>
                <w:w w:val="100"/>
                <w:sz w:val="21"/>
              </w:rPr>
              <w:t>）</w:t>
            </w:r>
            <w:r>
              <w:rPr>
                <w:w w:val="100"/>
                <w:sz w:val="21"/>
              </w:rPr>
              <w:t>、</w:t>
            </w:r>
            <w:r>
              <w:rPr>
                <w:b/>
                <w:w w:val="100"/>
                <w:sz w:val="21"/>
              </w:rPr>
              <w:t>少</w:t>
            </w:r>
            <w:r>
              <w:rPr>
                <w:b/>
                <w:spacing w:val="-9"/>
                <w:w w:val="100"/>
                <w:sz w:val="21"/>
              </w:rPr>
              <w:t>儿特别重大疾病</w:t>
            </w:r>
            <w:r>
              <w:rPr>
                <w:spacing w:val="-3"/>
                <w:w w:val="100"/>
                <w:sz w:val="21"/>
              </w:rPr>
              <w:t>（</w:t>
            </w:r>
            <w:r>
              <w:rPr>
                <w:w w:val="100"/>
                <w:sz w:val="21"/>
              </w:rPr>
              <w:t>见</w:t>
            </w:r>
            <w:r>
              <w:rPr>
                <w:spacing w:val="-55"/>
                <w:sz w:val="21"/>
              </w:rPr>
              <w:t> </w:t>
            </w:r>
            <w:r>
              <w:rPr>
                <w:w w:val="100"/>
                <w:sz w:val="21"/>
              </w:rPr>
              <w:t>8.</w:t>
            </w:r>
            <w:r>
              <w:rPr>
                <w:spacing w:val="-3"/>
                <w:w w:val="100"/>
                <w:sz w:val="21"/>
              </w:rPr>
              <w:t>6</w:t>
            </w:r>
            <w:r>
              <w:rPr>
                <w:spacing w:val="-106"/>
                <w:w w:val="100"/>
                <w:sz w:val="21"/>
              </w:rPr>
              <w:t>）</w:t>
            </w:r>
            <w:r>
              <w:rPr>
                <w:spacing w:val="-63"/>
                <w:w w:val="100"/>
                <w:sz w:val="21"/>
              </w:rPr>
              <w:t>、</w:t>
            </w:r>
            <w:r>
              <w:rPr>
                <w:b/>
                <w:spacing w:val="-10"/>
                <w:w w:val="100"/>
                <w:sz w:val="21"/>
              </w:rPr>
              <w:t>成人重大疾病</w:t>
            </w:r>
            <w:r>
              <w:rPr>
                <w:spacing w:val="-3"/>
                <w:w w:val="100"/>
                <w:sz w:val="21"/>
              </w:rPr>
              <w:t>（</w:t>
            </w:r>
            <w:r>
              <w:rPr>
                <w:w w:val="100"/>
                <w:sz w:val="21"/>
              </w:rPr>
              <w:t>见</w:t>
            </w:r>
            <w:r>
              <w:rPr>
                <w:spacing w:val="-53"/>
                <w:sz w:val="21"/>
              </w:rPr>
              <w:t> </w:t>
            </w:r>
            <w:r>
              <w:rPr>
                <w:spacing w:val="-3"/>
                <w:w w:val="100"/>
                <w:sz w:val="21"/>
              </w:rPr>
              <w:t>8</w:t>
            </w:r>
            <w:r>
              <w:rPr>
                <w:w w:val="100"/>
                <w:sz w:val="21"/>
              </w:rPr>
              <w:t>.</w:t>
            </w:r>
            <w:r>
              <w:rPr>
                <w:spacing w:val="-3"/>
                <w:w w:val="100"/>
                <w:sz w:val="21"/>
              </w:rPr>
              <w:t>7</w:t>
            </w:r>
            <w:r>
              <w:rPr>
                <w:spacing w:val="-63"/>
                <w:w w:val="100"/>
                <w:sz w:val="21"/>
              </w:rPr>
              <w:t>）</w:t>
            </w:r>
            <w:r>
              <w:rPr>
                <w:spacing w:val="-3"/>
                <w:w w:val="100"/>
                <w:sz w:val="21"/>
              </w:rPr>
              <w:t>或</w:t>
            </w:r>
            <w:r>
              <w:rPr>
                <w:b/>
                <w:spacing w:val="-10"/>
                <w:w w:val="100"/>
                <w:sz w:val="21"/>
              </w:rPr>
              <w:t>成人轻症疾病</w:t>
            </w:r>
            <w:r>
              <w:rPr>
                <w:spacing w:val="-3"/>
                <w:w w:val="100"/>
                <w:sz w:val="21"/>
              </w:rPr>
              <w:t>（</w:t>
            </w:r>
            <w:r>
              <w:rPr>
                <w:w w:val="100"/>
                <w:sz w:val="21"/>
              </w:rPr>
              <w:t>见</w:t>
            </w:r>
            <w:r>
              <w:rPr>
                <w:spacing w:val="-53"/>
                <w:sz w:val="21"/>
              </w:rPr>
              <w:t> </w:t>
            </w:r>
            <w:r>
              <w:rPr>
                <w:w w:val="100"/>
                <w:sz w:val="21"/>
              </w:rPr>
              <w:t>8.</w:t>
            </w:r>
            <w:r>
              <w:rPr>
                <w:spacing w:val="-3"/>
                <w:w w:val="100"/>
                <w:sz w:val="21"/>
              </w:rPr>
              <w:t>8</w:t>
            </w:r>
            <w:r>
              <w:rPr>
                <w:w w:val="100"/>
                <w:sz w:val="21"/>
              </w:rPr>
              <w:t>）的（</w:t>
            </w:r>
            <w:r>
              <w:rPr>
                <w:spacing w:val="-3"/>
                <w:w w:val="100"/>
                <w:sz w:val="21"/>
              </w:rPr>
              <w:t>无论一种或多种</w:t>
            </w:r>
            <w:r>
              <w:rPr>
                <w:spacing w:val="-106"/>
                <w:w w:val="100"/>
                <w:sz w:val="21"/>
              </w:rPr>
              <w:t>）</w:t>
            </w:r>
            <w:r>
              <w:rPr>
                <w:spacing w:val="-3"/>
                <w:w w:val="100"/>
                <w:sz w:val="21"/>
              </w:rPr>
              <w:t>，我们不承担保险责任，退还</w:t>
            </w:r>
            <w:r>
              <w:rPr>
                <w:b/>
                <w:w w:val="100"/>
                <w:sz w:val="21"/>
              </w:rPr>
              <w:t>现金价值</w:t>
            </w:r>
            <w:r>
              <w:rPr>
                <w:spacing w:val="-3"/>
                <w:w w:val="100"/>
                <w:sz w:val="21"/>
              </w:rPr>
              <w:t>（</w:t>
            </w:r>
            <w:r>
              <w:rPr>
                <w:w w:val="100"/>
                <w:sz w:val="21"/>
              </w:rPr>
              <w:t>见</w:t>
            </w:r>
            <w:r>
              <w:rPr>
                <w:spacing w:val="-53"/>
                <w:sz w:val="21"/>
              </w:rPr>
              <w:t> </w:t>
            </w:r>
            <w:r>
              <w:rPr>
                <w:w w:val="100"/>
                <w:sz w:val="21"/>
              </w:rPr>
              <w:t>8.</w:t>
            </w:r>
            <w:r>
              <w:rPr>
                <w:spacing w:val="-3"/>
                <w:w w:val="100"/>
                <w:sz w:val="21"/>
              </w:rPr>
              <w:t>9</w:t>
            </w:r>
            <w:r>
              <w:rPr>
                <w:spacing w:val="-106"/>
                <w:w w:val="100"/>
                <w:sz w:val="21"/>
              </w:rPr>
              <w:t>）</w:t>
            </w:r>
            <w:r>
              <w:rPr>
                <w:spacing w:val="-2"/>
                <w:w w:val="100"/>
                <w:sz w:val="21"/>
              </w:rPr>
              <w:t>，本附</w:t>
            </w:r>
            <w:r>
              <w:rPr>
                <w:sz w:val="21"/>
              </w:rPr>
              <w:t>加</w:t>
            </w:r>
            <w:r>
              <w:rPr>
                <w:spacing w:val="-9"/>
                <w:sz w:val="21"/>
              </w:rPr>
              <w:t>合同终止。这 </w:t>
            </w:r>
            <w:r>
              <w:rPr>
                <w:sz w:val="21"/>
              </w:rPr>
              <w:t>90</w:t>
            </w:r>
            <w:r>
              <w:rPr>
                <w:spacing w:val="-8"/>
                <w:sz w:val="21"/>
              </w:rPr>
              <w:t> 日的时间称为等待期。</w:t>
            </w:r>
          </w:p>
          <w:p>
            <w:pPr>
              <w:pStyle w:val="TableParagraph"/>
              <w:spacing w:before="7"/>
              <w:ind w:left="151"/>
              <w:rPr>
                <w:sz w:val="21"/>
              </w:rPr>
            </w:pPr>
            <w:r>
              <w:rPr>
                <w:sz w:val="21"/>
              </w:rPr>
              <w:t>因意外伤害事故患上述疾病的无等待期。</w:t>
            </w:r>
          </w:p>
        </w:tc>
      </w:tr>
      <w:tr>
        <w:trPr>
          <w:trHeight w:val="934" w:hRule="atLeast"/>
        </w:trPr>
        <w:tc>
          <w:tcPr>
            <w:tcW w:w="679" w:type="dxa"/>
          </w:tcPr>
          <w:p>
            <w:pPr>
              <w:pStyle w:val="TableParagraph"/>
              <w:rPr>
                <w:rFonts w:ascii="Times New Roman"/>
                <w:sz w:val="20"/>
              </w:rPr>
            </w:pPr>
          </w:p>
        </w:tc>
        <w:tc>
          <w:tcPr>
            <w:tcW w:w="1997" w:type="dxa"/>
          </w:tcPr>
          <w:p>
            <w:pPr>
              <w:pStyle w:val="TableParagraph"/>
              <w:rPr>
                <w:rFonts w:ascii="Times New Roman"/>
                <w:sz w:val="20"/>
              </w:rPr>
            </w:pPr>
          </w:p>
        </w:tc>
        <w:tc>
          <w:tcPr>
            <w:tcW w:w="7577" w:type="dxa"/>
          </w:tcPr>
          <w:p>
            <w:pPr>
              <w:pStyle w:val="TableParagraph"/>
              <w:spacing w:line="273" w:lineRule="auto" w:before="140"/>
              <w:ind w:left="151" w:right="255"/>
              <w:rPr>
                <w:sz w:val="21"/>
              </w:rPr>
            </w:pPr>
            <w:r>
              <w:rPr>
                <w:sz w:val="21"/>
              </w:rPr>
              <w:t>如被保险人在等待期后发生本附加合同所约定的保险事故，我们按照下列方式给付保险金：</w:t>
            </w:r>
          </w:p>
        </w:tc>
      </w:tr>
      <w:tr>
        <w:trPr>
          <w:trHeight w:val="3743" w:hRule="atLeast"/>
        </w:trPr>
        <w:tc>
          <w:tcPr>
            <w:tcW w:w="679" w:type="dxa"/>
          </w:tcPr>
          <w:p>
            <w:pPr>
              <w:pStyle w:val="TableParagraph"/>
              <w:rPr>
                <w:rFonts w:ascii="Times New Roman"/>
                <w:sz w:val="20"/>
              </w:rPr>
            </w:pPr>
          </w:p>
        </w:tc>
        <w:tc>
          <w:tcPr>
            <w:tcW w:w="1997" w:type="dxa"/>
          </w:tcPr>
          <w:p>
            <w:pPr>
              <w:pStyle w:val="TableParagraph"/>
              <w:spacing w:line="220" w:lineRule="auto" w:before="149"/>
              <w:ind w:left="161" w:right="150"/>
              <w:rPr>
                <w:rFonts w:ascii="等线" w:eastAsia="等线" w:hint="eastAsia"/>
                <w:b/>
                <w:sz w:val="24"/>
              </w:rPr>
            </w:pPr>
            <w:r>
              <w:rPr>
                <w:rFonts w:ascii="等线" w:eastAsia="等线" w:hint="eastAsia"/>
                <w:b/>
                <w:sz w:val="24"/>
              </w:rPr>
              <w:t>少儿重大疾病保险金</w:t>
            </w:r>
          </w:p>
        </w:tc>
        <w:tc>
          <w:tcPr>
            <w:tcW w:w="7577" w:type="dxa"/>
          </w:tcPr>
          <w:p>
            <w:pPr>
              <w:pStyle w:val="TableParagraph"/>
              <w:spacing w:line="273" w:lineRule="auto" w:before="142"/>
              <w:ind w:left="151" w:right="303"/>
              <w:jc w:val="both"/>
              <w:rPr>
                <w:sz w:val="21"/>
              </w:rPr>
            </w:pPr>
            <w:r>
              <w:rPr>
                <w:spacing w:val="-10"/>
                <w:sz w:val="21"/>
              </w:rPr>
              <w:t>被保险人在 </w:t>
            </w:r>
            <w:r>
              <w:rPr>
                <w:sz w:val="21"/>
              </w:rPr>
              <w:t>18</w:t>
            </w:r>
            <w:r>
              <w:rPr>
                <w:spacing w:val="-12"/>
                <w:sz w:val="21"/>
              </w:rPr>
              <w:t> 周岁之前，</w:t>
            </w:r>
            <w:r>
              <w:rPr>
                <w:b/>
                <w:spacing w:val="-2"/>
                <w:sz w:val="21"/>
              </w:rPr>
              <w:t>初次发生</w:t>
            </w:r>
            <w:r>
              <w:rPr>
                <w:sz w:val="21"/>
              </w:rPr>
              <w:t>（</w:t>
            </w:r>
            <w:r>
              <w:rPr>
                <w:spacing w:val="-25"/>
                <w:sz w:val="21"/>
              </w:rPr>
              <w:t>见 </w:t>
            </w:r>
            <w:r>
              <w:rPr>
                <w:sz w:val="21"/>
              </w:rPr>
              <w:t>8.10）</w:t>
            </w:r>
            <w:r>
              <w:rPr>
                <w:spacing w:val="-2"/>
                <w:sz w:val="21"/>
              </w:rPr>
              <w:t>并被</w:t>
            </w:r>
            <w:r>
              <w:rPr>
                <w:b/>
                <w:spacing w:val="-3"/>
                <w:sz w:val="21"/>
              </w:rPr>
              <w:t>医院</w:t>
            </w:r>
            <w:r>
              <w:rPr>
                <w:spacing w:val="-3"/>
                <w:sz w:val="21"/>
              </w:rPr>
              <w:t>（</w:t>
            </w:r>
            <w:r>
              <w:rPr>
                <w:spacing w:val="-24"/>
                <w:sz w:val="21"/>
              </w:rPr>
              <w:t>见 </w:t>
            </w:r>
            <w:r>
              <w:rPr>
                <w:spacing w:val="-3"/>
                <w:sz w:val="21"/>
              </w:rPr>
              <w:t>8.11）的</w:t>
            </w:r>
            <w:r>
              <w:rPr>
                <w:b/>
                <w:sz w:val="21"/>
              </w:rPr>
              <w:t>专科医</w:t>
            </w:r>
            <w:r>
              <w:rPr>
                <w:b/>
                <w:spacing w:val="-24"/>
                <w:sz w:val="21"/>
              </w:rPr>
              <w:t>生</w:t>
            </w:r>
            <w:r>
              <w:rPr>
                <w:spacing w:val="-3"/>
                <w:sz w:val="21"/>
              </w:rPr>
              <w:t>（</w:t>
            </w:r>
            <w:r>
              <w:rPr>
                <w:spacing w:val="-12"/>
                <w:sz w:val="21"/>
              </w:rPr>
              <w:t>见 </w:t>
            </w:r>
            <w:r>
              <w:rPr>
                <w:spacing w:val="-7"/>
                <w:sz w:val="21"/>
              </w:rPr>
              <w:t>8.12）</w:t>
            </w:r>
            <w:r>
              <w:rPr>
                <w:spacing w:val="-5"/>
                <w:sz w:val="21"/>
              </w:rPr>
              <w:t>确诊为本附加合同约定的少儿重大疾病，我们按本附加合同基本保险金额给付少儿重大疾病保险金；主合同基本保险金额减少为扣除本附加合</w:t>
            </w:r>
            <w:r>
              <w:rPr>
                <w:spacing w:val="-4"/>
                <w:sz w:val="21"/>
              </w:rPr>
              <w:t>同基本保险金额后的金额。</w:t>
            </w:r>
          </w:p>
          <w:p>
            <w:pPr>
              <w:pStyle w:val="TableParagraph"/>
              <w:spacing w:before="5"/>
              <w:rPr>
                <w:sz w:val="24"/>
              </w:rPr>
            </w:pPr>
          </w:p>
          <w:p>
            <w:pPr>
              <w:pStyle w:val="TableParagraph"/>
              <w:spacing w:line="273" w:lineRule="auto"/>
              <w:ind w:left="152" w:right="303"/>
              <w:rPr>
                <w:sz w:val="21"/>
              </w:rPr>
            </w:pPr>
            <w:r>
              <w:rPr>
                <w:spacing w:val="-6"/>
                <w:sz w:val="21"/>
              </w:rPr>
              <w:t>少儿重大疾病保险金只给付 </w:t>
            </w:r>
            <w:r>
              <w:rPr>
                <w:sz w:val="21"/>
              </w:rPr>
              <w:t>1</w:t>
            </w:r>
            <w:r>
              <w:rPr>
                <w:spacing w:val="-10"/>
                <w:sz w:val="21"/>
              </w:rPr>
              <w:t> 次。被保险人被确诊为与本附加合同约定的少儿</w:t>
            </w:r>
            <w:r>
              <w:rPr>
                <w:spacing w:val="-5"/>
                <w:sz w:val="21"/>
              </w:rPr>
              <w:t>特别重大疾病不同的其他少儿重大疾病的，少儿重大疾病保险金给付后，本附</w:t>
            </w:r>
            <w:r>
              <w:rPr>
                <w:spacing w:val="-7"/>
                <w:sz w:val="21"/>
              </w:rPr>
              <w:t>加合同终止；被保险人被确诊为与本附加合同约定的少儿特别重大疾病相同的</w:t>
            </w:r>
            <w:r>
              <w:rPr>
                <w:spacing w:val="-6"/>
                <w:sz w:val="21"/>
              </w:rPr>
              <w:t>少儿重大疾病的，少儿重大疾病保险金给付后，本附加合同的少儿重大疾病保</w:t>
            </w:r>
            <w:r>
              <w:rPr>
                <w:spacing w:val="-3"/>
                <w:sz w:val="21"/>
              </w:rPr>
              <w:t>险金、成人重大疾病保险金和成人轻症疾病提前给付保险金三项保险责任终 止。</w:t>
            </w:r>
          </w:p>
        </w:tc>
      </w:tr>
      <w:tr>
        <w:trPr>
          <w:trHeight w:val="1248" w:hRule="atLeast"/>
        </w:trPr>
        <w:tc>
          <w:tcPr>
            <w:tcW w:w="679" w:type="dxa"/>
          </w:tcPr>
          <w:p>
            <w:pPr>
              <w:pStyle w:val="TableParagraph"/>
              <w:rPr>
                <w:rFonts w:ascii="Times New Roman"/>
                <w:sz w:val="20"/>
              </w:rPr>
            </w:pPr>
          </w:p>
        </w:tc>
        <w:tc>
          <w:tcPr>
            <w:tcW w:w="1997" w:type="dxa"/>
          </w:tcPr>
          <w:p>
            <w:pPr>
              <w:pStyle w:val="TableParagraph"/>
              <w:spacing w:line="220" w:lineRule="auto" w:before="149"/>
              <w:ind w:left="161" w:right="150"/>
              <w:rPr>
                <w:rFonts w:ascii="等线" w:eastAsia="等线" w:hint="eastAsia"/>
                <w:b/>
                <w:sz w:val="24"/>
              </w:rPr>
            </w:pPr>
            <w:r>
              <w:rPr>
                <w:rFonts w:ascii="等线" w:eastAsia="等线" w:hint="eastAsia"/>
                <w:b/>
                <w:sz w:val="24"/>
              </w:rPr>
              <w:t>少儿特别重大疾病保险金</w:t>
            </w:r>
          </w:p>
        </w:tc>
        <w:tc>
          <w:tcPr>
            <w:tcW w:w="7577" w:type="dxa"/>
          </w:tcPr>
          <w:p>
            <w:pPr>
              <w:pStyle w:val="TableParagraph"/>
              <w:spacing w:before="142"/>
              <w:ind w:left="151"/>
              <w:rPr>
                <w:sz w:val="21"/>
              </w:rPr>
            </w:pPr>
            <w:r>
              <w:rPr>
                <w:sz w:val="21"/>
              </w:rPr>
              <w:t>被保险人在 18 周岁之前，初次发生并被医院的专科医生确诊为本附加合同约</w:t>
            </w:r>
          </w:p>
          <w:p>
            <w:pPr>
              <w:pStyle w:val="TableParagraph"/>
              <w:spacing w:line="273" w:lineRule="auto" w:before="37"/>
              <w:ind w:left="152" w:right="280" w:hanging="1"/>
              <w:rPr>
                <w:sz w:val="21"/>
              </w:rPr>
            </w:pPr>
            <w:r>
              <w:rPr>
                <w:spacing w:val="-3"/>
                <w:w w:val="100"/>
                <w:sz w:val="21"/>
              </w:rPr>
              <w:t>定的少儿特别重大疾病，自确诊之日起生存满</w:t>
            </w:r>
            <w:r>
              <w:rPr>
                <w:spacing w:val="-3"/>
                <w:sz w:val="21"/>
              </w:rPr>
              <w:t> </w:t>
            </w:r>
            <w:r>
              <w:rPr>
                <w:w w:val="100"/>
                <w:sz w:val="21"/>
              </w:rPr>
              <w:t>30</w:t>
            </w:r>
            <w:r>
              <w:rPr>
                <w:spacing w:val="-55"/>
                <w:sz w:val="21"/>
              </w:rPr>
              <w:t> </w:t>
            </w:r>
            <w:r>
              <w:rPr>
                <w:spacing w:val="-3"/>
                <w:w w:val="100"/>
                <w:sz w:val="21"/>
              </w:rPr>
              <w:t>日</w:t>
            </w:r>
            <w:r>
              <w:rPr>
                <w:w w:val="100"/>
                <w:sz w:val="21"/>
              </w:rPr>
              <w:t>（含</w:t>
            </w:r>
            <w:r>
              <w:rPr>
                <w:spacing w:val="-53"/>
                <w:sz w:val="21"/>
              </w:rPr>
              <w:t> </w:t>
            </w:r>
            <w:r>
              <w:rPr>
                <w:spacing w:val="-3"/>
                <w:w w:val="100"/>
                <w:sz w:val="21"/>
              </w:rPr>
              <w:t>3</w:t>
            </w:r>
            <w:r>
              <w:rPr>
                <w:w w:val="100"/>
                <w:sz w:val="21"/>
              </w:rPr>
              <w:t>0</w:t>
            </w:r>
            <w:r>
              <w:rPr>
                <w:spacing w:val="-53"/>
                <w:sz w:val="21"/>
              </w:rPr>
              <w:t> </w:t>
            </w:r>
            <w:r>
              <w:rPr>
                <w:spacing w:val="-2"/>
                <w:w w:val="100"/>
                <w:sz w:val="21"/>
              </w:rPr>
              <w:t>日当日</w:t>
            </w:r>
            <w:r>
              <w:rPr>
                <w:spacing w:val="-108"/>
                <w:w w:val="100"/>
                <w:sz w:val="21"/>
              </w:rPr>
              <w:t>）</w:t>
            </w:r>
            <w:r>
              <w:rPr>
                <w:spacing w:val="-2"/>
                <w:w w:val="100"/>
                <w:sz w:val="21"/>
              </w:rPr>
              <w:t>，我们将</w:t>
            </w:r>
            <w:r>
              <w:rPr>
                <w:spacing w:val="-4"/>
                <w:sz w:val="21"/>
              </w:rPr>
              <w:t>按本附加合同基本保险金额给付少儿特别重大疾病保险金，本附加合同终止。</w:t>
            </w:r>
          </w:p>
        </w:tc>
      </w:tr>
      <w:tr>
        <w:trPr>
          <w:trHeight w:val="1559" w:hRule="atLeast"/>
        </w:trPr>
        <w:tc>
          <w:tcPr>
            <w:tcW w:w="679" w:type="dxa"/>
          </w:tcPr>
          <w:p>
            <w:pPr>
              <w:pStyle w:val="TableParagraph"/>
              <w:rPr>
                <w:rFonts w:ascii="Times New Roman"/>
                <w:sz w:val="20"/>
              </w:rPr>
            </w:pPr>
          </w:p>
        </w:tc>
        <w:tc>
          <w:tcPr>
            <w:tcW w:w="1997" w:type="dxa"/>
          </w:tcPr>
          <w:p>
            <w:pPr>
              <w:pStyle w:val="TableParagraph"/>
              <w:spacing w:line="220" w:lineRule="auto" w:before="149"/>
              <w:ind w:left="161" w:right="150"/>
              <w:rPr>
                <w:rFonts w:ascii="等线" w:eastAsia="等线" w:hint="eastAsia"/>
                <w:b/>
                <w:sz w:val="24"/>
              </w:rPr>
            </w:pPr>
            <w:r>
              <w:rPr>
                <w:rFonts w:ascii="等线" w:eastAsia="等线" w:hint="eastAsia"/>
                <w:b/>
                <w:sz w:val="24"/>
              </w:rPr>
              <w:t>成人重大疾病保险金</w:t>
            </w:r>
          </w:p>
        </w:tc>
        <w:tc>
          <w:tcPr>
            <w:tcW w:w="7577" w:type="dxa"/>
          </w:tcPr>
          <w:p>
            <w:pPr>
              <w:pStyle w:val="TableParagraph"/>
              <w:spacing w:line="273" w:lineRule="auto" w:before="142"/>
              <w:ind w:left="152" w:right="305" w:hanging="1"/>
              <w:rPr>
                <w:sz w:val="21"/>
              </w:rPr>
            </w:pPr>
            <w:r>
              <w:rPr>
                <w:spacing w:val="-3"/>
                <w:sz w:val="21"/>
              </w:rPr>
              <w:t>被保险人初次发生并被医院的专科医生确诊为本附加合同约定的成人重大疾 </w:t>
            </w:r>
            <w:r>
              <w:rPr>
                <w:spacing w:val="-6"/>
                <w:sz w:val="21"/>
              </w:rPr>
              <w:t>病，我们按本附加合同当时的基本保险金额</w:t>
            </w:r>
            <w:r>
              <w:rPr>
                <w:spacing w:val="-3"/>
                <w:sz w:val="21"/>
              </w:rPr>
              <w:t>（扣除给付的轻症疾病提前给付保险金之和后的金额</w:t>
            </w:r>
            <w:r>
              <w:rPr>
                <w:spacing w:val="-8"/>
                <w:sz w:val="21"/>
              </w:rPr>
              <w:t>）</w:t>
            </w:r>
            <w:r>
              <w:rPr>
                <w:spacing w:val="-5"/>
                <w:sz w:val="21"/>
              </w:rPr>
              <w:t>给付成人重大疾病保险金，本附加合同终止；主合同基本</w:t>
            </w:r>
            <w:r>
              <w:rPr>
                <w:spacing w:val="-3"/>
                <w:sz w:val="21"/>
              </w:rPr>
              <w:t>保险金额减少为扣除本附加合同基本保险金额后的金额。</w:t>
            </w:r>
          </w:p>
        </w:tc>
      </w:tr>
      <w:tr>
        <w:trPr>
          <w:trHeight w:val="1979" w:hRule="atLeast"/>
        </w:trPr>
        <w:tc>
          <w:tcPr>
            <w:tcW w:w="679" w:type="dxa"/>
          </w:tcPr>
          <w:p>
            <w:pPr>
              <w:pStyle w:val="TableParagraph"/>
              <w:rPr>
                <w:rFonts w:ascii="Times New Roman"/>
                <w:sz w:val="20"/>
              </w:rPr>
            </w:pPr>
          </w:p>
        </w:tc>
        <w:tc>
          <w:tcPr>
            <w:tcW w:w="1997" w:type="dxa"/>
          </w:tcPr>
          <w:p>
            <w:pPr>
              <w:pStyle w:val="TableParagraph"/>
              <w:spacing w:line="220" w:lineRule="auto" w:before="149"/>
              <w:ind w:left="161" w:right="150"/>
              <w:rPr>
                <w:rFonts w:ascii="等线" w:eastAsia="等线" w:hint="eastAsia"/>
                <w:b/>
                <w:sz w:val="24"/>
              </w:rPr>
            </w:pPr>
            <w:r>
              <w:rPr>
                <w:rFonts w:ascii="等线" w:eastAsia="等线" w:hint="eastAsia"/>
                <w:b/>
                <w:sz w:val="24"/>
              </w:rPr>
              <w:t>成人轻症疾病提前给付保险金</w:t>
            </w:r>
          </w:p>
        </w:tc>
        <w:tc>
          <w:tcPr>
            <w:tcW w:w="7577" w:type="dxa"/>
          </w:tcPr>
          <w:p>
            <w:pPr>
              <w:pStyle w:val="TableParagraph"/>
              <w:spacing w:line="273" w:lineRule="auto" w:before="142"/>
              <w:ind w:left="151" w:right="229"/>
              <w:rPr>
                <w:sz w:val="21"/>
              </w:rPr>
            </w:pPr>
            <w:r>
              <w:rPr>
                <w:spacing w:val="-3"/>
                <w:sz w:val="21"/>
              </w:rPr>
              <w:t>被保险人初次发生并被医院的专科医生确诊为本附加合同约定的成人轻症疾 </w:t>
            </w:r>
            <w:r>
              <w:rPr>
                <w:spacing w:val="-5"/>
                <w:sz w:val="21"/>
              </w:rPr>
              <w:t>病，我们按本附加合同基本保险金额 </w:t>
            </w:r>
            <w:r>
              <w:rPr>
                <w:sz w:val="21"/>
              </w:rPr>
              <w:t>20</w:t>
            </w:r>
            <w:r>
              <w:rPr>
                <w:spacing w:val="-3"/>
                <w:sz w:val="21"/>
              </w:rPr>
              <w:t>％给付成人轻症疾病提前给付保险金， </w:t>
            </w:r>
            <w:r>
              <w:rPr>
                <w:spacing w:val="-8"/>
                <w:sz w:val="21"/>
              </w:rPr>
              <w:t>但最多不超过人民币 </w:t>
            </w:r>
            <w:r>
              <w:rPr>
                <w:sz w:val="21"/>
              </w:rPr>
              <w:t>50000</w:t>
            </w:r>
            <w:r>
              <w:rPr>
                <w:spacing w:val="-16"/>
                <w:sz w:val="21"/>
              </w:rPr>
              <w:t> 元。</w:t>
            </w:r>
          </w:p>
          <w:p>
            <w:pPr>
              <w:pStyle w:val="TableParagraph"/>
              <w:spacing w:before="9"/>
              <w:rPr>
                <w:sz w:val="21"/>
              </w:rPr>
            </w:pPr>
          </w:p>
          <w:p>
            <w:pPr>
              <w:pStyle w:val="TableParagraph"/>
              <w:spacing w:line="310" w:lineRule="atLeast"/>
              <w:ind w:left="152" w:right="303" w:hanging="1"/>
              <w:rPr>
                <w:sz w:val="21"/>
              </w:rPr>
            </w:pPr>
            <w:r>
              <w:rPr>
                <w:spacing w:val="-6"/>
                <w:sz w:val="21"/>
              </w:rPr>
              <w:t>每种成人轻症疾病只给付 </w:t>
            </w:r>
            <w:r>
              <w:rPr>
                <w:sz w:val="21"/>
              </w:rPr>
              <w:t>1</w:t>
            </w:r>
            <w:r>
              <w:rPr>
                <w:spacing w:val="-9"/>
                <w:sz w:val="21"/>
              </w:rPr>
              <w:t> 次成人轻症疾病提前给付保险金，给付后该种成人</w:t>
            </w:r>
            <w:r>
              <w:rPr>
                <w:spacing w:val="-5"/>
                <w:sz w:val="21"/>
              </w:rPr>
              <w:t>轻症疾病提前给付保险金保险责任终止。</w:t>
            </w:r>
          </w:p>
        </w:tc>
      </w:tr>
    </w:tbl>
    <w:p>
      <w:pPr>
        <w:spacing w:after="0" w:line="310" w:lineRule="atLeast"/>
        <w:rPr>
          <w:sz w:val="21"/>
        </w:rPr>
        <w:sectPr>
          <w:pgSz w:w="11910" w:h="16840"/>
          <w:pgMar w:top="1480" w:bottom="280" w:left="720" w:right="7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976"/>
        <w:gridCol w:w="7376"/>
      </w:tblGrid>
      <w:tr>
        <w:trPr>
          <w:trHeight w:val="1351" w:hRule="atLeast"/>
        </w:trPr>
        <w:tc>
          <w:tcPr>
            <w:tcW w:w="607" w:type="dxa"/>
          </w:tcPr>
          <w:p>
            <w:pPr>
              <w:pStyle w:val="TableParagraph"/>
              <w:rPr>
                <w:rFonts w:ascii="Times New Roman"/>
                <w:sz w:val="20"/>
              </w:rPr>
            </w:pPr>
          </w:p>
        </w:tc>
        <w:tc>
          <w:tcPr>
            <w:tcW w:w="1976" w:type="dxa"/>
          </w:tcPr>
          <w:p>
            <w:pPr>
              <w:pStyle w:val="TableParagraph"/>
              <w:rPr>
                <w:rFonts w:ascii="Times New Roman"/>
                <w:sz w:val="20"/>
              </w:rPr>
            </w:pPr>
          </w:p>
        </w:tc>
        <w:tc>
          <w:tcPr>
            <w:tcW w:w="7376" w:type="dxa"/>
          </w:tcPr>
          <w:p>
            <w:pPr>
              <w:pStyle w:val="TableParagraph"/>
              <w:spacing w:line="209" w:lineRule="exact"/>
              <w:ind w:left="153"/>
              <w:rPr>
                <w:sz w:val="21"/>
              </w:rPr>
            </w:pPr>
            <w:r>
              <w:rPr>
                <w:sz w:val="21"/>
              </w:rPr>
              <w:t>轻症疾病提前给付保险金给付后，本附加合同的基本保险金额递减为扣除成人</w:t>
            </w:r>
          </w:p>
          <w:p>
            <w:pPr>
              <w:pStyle w:val="TableParagraph"/>
              <w:spacing w:line="273" w:lineRule="auto" w:before="37"/>
              <w:ind w:left="153" w:right="104" w:hanging="1"/>
              <w:rPr>
                <w:sz w:val="21"/>
              </w:rPr>
            </w:pPr>
            <w:r>
              <w:rPr>
                <w:spacing w:val="-3"/>
                <w:sz w:val="21"/>
              </w:rPr>
              <w:t>轻症疾病提前给付保险金后的金额，当本附加合同的基本保险金额递减为零 </w:t>
            </w:r>
            <w:r>
              <w:rPr>
                <w:spacing w:val="-6"/>
                <w:sz w:val="21"/>
              </w:rPr>
              <w:t>时，本附加合同终止；主合同基本保险金额减少为扣除成人轻症疾病提前给付</w:t>
            </w:r>
            <w:r>
              <w:rPr>
                <w:spacing w:val="-3"/>
                <w:sz w:val="21"/>
              </w:rPr>
              <w:t>保险金之和后的金额。</w:t>
            </w:r>
          </w:p>
        </w:tc>
      </w:tr>
      <w:tr>
        <w:trPr>
          <w:trHeight w:val="937" w:hRule="atLeast"/>
        </w:trPr>
        <w:tc>
          <w:tcPr>
            <w:tcW w:w="607" w:type="dxa"/>
          </w:tcPr>
          <w:p>
            <w:pPr>
              <w:pStyle w:val="TableParagraph"/>
              <w:rPr>
                <w:rFonts w:ascii="Times New Roman"/>
                <w:sz w:val="20"/>
              </w:rPr>
            </w:pPr>
          </w:p>
        </w:tc>
        <w:tc>
          <w:tcPr>
            <w:tcW w:w="1976" w:type="dxa"/>
          </w:tcPr>
          <w:p>
            <w:pPr>
              <w:pStyle w:val="TableParagraph"/>
              <w:spacing w:before="123"/>
              <w:ind w:left="141"/>
              <w:rPr>
                <w:rFonts w:ascii="等线" w:eastAsia="等线" w:hint="eastAsia"/>
                <w:b/>
                <w:sz w:val="24"/>
              </w:rPr>
            </w:pPr>
            <w:r>
              <w:rPr>
                <w:rFonts w:ascii="等线" w:eastAsia="等线" w:hint="eastAsia"/>
                <w:b/>
                <w:sz w:val="24"/>
              </w:rPr>
              <w:t>对主合同的影响</w:t>
            </w:r>
          </w:p>
        </w:tc>
        <w:tc>
          <w:tcPr>
            <w:tcW w:w="7376" w:type="dxa"/>
          </w:tcPr>
          <w:p>
            <w:pPr>
              <w:pStyle w:val="TableParagraph"/>
              <w:spacing w:line="273" w:lineRule="auto" w:before="142"/>
              <w:ind w:left="153" w:right="51"/>
              <w:rPr>
                <w:sz w:val="21"/>
              </w:rPr>
            </w:pPr>
            <w:r>
              <w:rPr>
                <w:sz w:val="21"/>
              </w:rPr>
              <w:t>主合同约定的各项保险责任按减少或再次减少后的基本保险金额确定。当主合同基本保险金额减少至零时，主合同终止。</w:t>
            </w:r>
          </w:p>
        </w:tc>
      </w:tr>
      <w:tr>
        <w:trPr>
          <w:trHeight w:val="4704" w:hRule="atLeast"/>
        </w:trPr>
        <w:tc>
          <w:tcPr>
            <w:tcW w:w="607" w:type="dxa"/>
          </w:tcPr>
          <w:p>
            <w:pPr>
              <w:pStyle w:val="TableParagraph"/>
              <w:spacing w:before="140"/>
              <w:ind w:left="88" w:right="160"/>
              <w:jc w:val="center"/>
              <w:rPr>
                <w:b/>
                <w:sz w:val="21"/>
              </w:rPr>
            </w:pPr>
            <w:r>
              <w:rPr>
                <w:b/>
                <w:sz w:val="21"/>
              </w:rPr>
              <w:t>2.5</w:t>
            </w:r>
          </w:p>
        </w:tc>
        <w:tc>
          <w:tcPr>
            <w:tcW w:w="1976" w:type="dxa"/>
          </w:tcPr>
          <w:p>
            <w:pPr>
              <w:pStyle w:val="TableParagraph"/>
              <w:spacing w:before="140"/>
              <w:ind w:left="141"/>
              <w:rPr>
                <w:b/>
                <w:sz w:val="21"/>
              </w:rPr>
            </w:pPr>
            <w:r>
              <w:rPr>
                <w:b/>
                <w:sz w:val="21"/>
              </w:rPr>
              <w:t>责任免除</w:t>
            </w:r>
          </w:p>
        </w:tc>
        <w:tc>
          <w:tcPr>
            <w:tcW w:w="7376" w:type="dxa"/>
          </w:tcPr>
          <w:p>
            <w:pPr>
              <w:pStyle w:val="TableParagraph"/>
              <w:spacing w:line="273" w:lineRule="auto" w:before="140"/>
              <w:ind w:left="153" w:right="104"/>
              <w:jc w:val="both"/>
              <w:rPr>
                <w:rFonts w:ascii="黑体" w:hAnsi="黑体" w:eastAsia="黑体" w:hint="eastAsia"/>
                <w:sz w:val="21"/>
              </w:rPr>
            </w:pPr>
            <w:r>
              <w:rPr>
                <w:rFonts w:ascii="黑体" w:hAnsi="黑体" w:eastAsia="黑体" w:hint="eastAsia"/>
                <w:spacing w:val="-4"/>
                <w:sz w:val="21"/>
              </w:rPr>
              <w:t>因下列情形之一，导致被保险人初次发</w:t>
            </w:r>
            <w:r>
              <w:rPr>
                <w:rFonts w:ascii="黑体" w:hAnsi="黑体" w:eastAsia="黑体" w:hint="eastAsia"/>
                <w:spacing w:val="-3"/>
                <w:sz w:val="21"/>
              </w:rPr>
              <w:t>Th</w:t>
            </w:r>
            <w:r>
              <w:rPr>
                <w:rFonts w:ascii="黑体" w:hAnsi="黑体" w:eastAsia="黑体" w:hint="eastAsia"/>
                <w:spacing w:val="-5"/>
                <w:sz w:val="21"/>
              </w:rPr>
              <w:t>“少儿重大疾病”、“少儿特别重大疾病”、“成人重大疾病”或“成人轻症疾病”的，我们不承担给付保险金的</w:t>
            </w:r>
            <w:r>
              <w:rPr>
                <w:rFonts w:ascii="黑体" w:hAnsi="黑体" w:eastAsia="黑体" w:hint="eastAsia"/>
                <w:sz w:val="21"/>
              </w:rPr>
              <w:t>责任：</w:t>
            </w:r>
          </w:p>
          <w:p>
            <w:pPr>
              <w:pStyle w:val="TableParagraph"/>
              <w:numPr>
                <w:ilvl w:val="0"/>
                <w:numId w:val="2"/>
              </w:numPr>
              <w:tabs>
                <w:tab w:pos="576" w:val="left" w:leader="none"/>
              </w:tabs>
              <w:spacing w:line="240" w:lineRule="auto" w:before="7" w:after="0"/>
              <w:ind w:left="572" w:right="0" w:hanging="419"/>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2"/>
              </w:numPr>
              <w:tabs>
                <w:tab w:pos="576" w:val="left" w:leader="none"/>
              </w:tabs>
              <w:spacing w:line="240" w:lineRule="auto" w:before="36" w:after="0"/>
              <w:ind w:left="572" w:right="0" w:hanging="419"/>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2"/>
              </w:numPr>
              <w:tabs>
                <w:tab w:pos="576" w:val="left" w:leader="none"/>
              </w:tabs>
              <w:spacing w:line="240" w:lineRule="auto" w:before="36" w:after="0"/>
              <w:ind w:left="572" w:right="0" w:hanging="419"/>
              <w:jc w:val="left"/>
              <w:rPr>
                <w:rFonts w:ascii="黑体" w:eastAsia="黑体" w:hint="eastAsia"/>
                <w:sz w:val="21"/>
              </w:rPr>
            </w:pPr>
            <w:r>
              <w:rPr>
                <w:rFonts w:ascii="黑体" w:eastAsia="黑体" w:hint="eastAsia"/>
                <w:spacing w:val="-3"/>
                <w:w w:val="100"/>
                <w:sz w:val="21"/>
              </w:rPr>
              <w:t>被保险人服用、主动吸食或注射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3"/>
                <w:w w:val="100"/>
                <w:sz w:val="21"/>
              </w:rPr>
              <w:t>3</w:t>
            </w:r>
            <w:r>
              <w:rPr>
                <w:rFonts w:ascii="黑体" w:eastAsia="黑体" w:hint="eastAsia"/>
                <w:spacing w:val="-106"/>
                <w:w w:val="100"/>
                <w:sz w:val="21"/>
              </w:rPr>
              <w:t>）</w:t>
            </w:r>
            <w:r>
              <w:rPr>
                <w:rFonts w:ascii="黑体" w:eastAsia="黑体" w:hint="eastAsia"/>
                <w:w w:val="100"/>
                <w:sz w:val="21"/>
              </w:rPr>
              <w:t>；</w:t>
            </w:r>
          </w:p>
          <w:p>
            <w:pPr>
              <w:pStyle w:val="TableParagraph"/>
              <w:numPr>
                <w:ilvl w:val="0"/>
                <w:numId w:val="2"/>
              </w:numPr>
              <w:tabs>
                <w:tab w:pos="576" w:val="left" w:leader="none"/>
              </w:tabs>
              <w:spacing w:line="273" w:lineRule="auto" w:before="36" w:after="0"/>
              <w:ind w:left="572" w:right="102" w:hanging="419"/>
              <w:jc w:val="left"/>
              <w:rPr>
                <w:rFonts w:ascii="黑体" w:eastAsia="黑体" w:hint="eastAsia"/>
                <w:sz w:val="21"/>
              </w:rPr>
            </w:pPr>
            <w:r>
              <w:rPr>
                <w:rFonts w:ascii="黑体" w:eastAsia="黑体" w:hint="eastAsia"/>
                <w:spacing w:val="-3"/>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19"/>
                <w:sz w:val="21"/>
              </w:rPr>
              <w:t> </w:t>
            </w:r>
            <w:r>
              <w:rPr>
                <w:rFonts w:ascii="黑体" w:eastAsia="黑体" w:hint="eastAsia"/>
                <w:w w:val="100"/>
                <w:sz w:val="21"/>
              </w:rPr>
              <w:t>8.14</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spacing w:val="-1"/>
                <w:w w:val="100"/>
                <w:sz w:val="21"/>
              </w:rPr>
              <w:t>无合法有效驾驶证驾驶</w:t>
            </w:r>
            <w:r>
              <w:rPr>
                <w:rFonts w:ascii="黑体" w:eastAsia="黑体" w:hint="eastAsia"/>
                <w:w w:val="100"/>
                <w:sz w:val="21"/>
              </w:rPr>
              <w:t>（见</w:t>
            </w:r>
            <w:r>
              <w:rPr>
                <w:rFonts w:ascii="黑体" w:eastAsia="黑体" w:hint="eastAsia"/>
                <w:spacing w:val="-19"/>
                <w:sz w:val="21"/>
              </w:rPr>
              <w:t> </w:t>
            </w:r>
            <w:r>
              <w:rPr>
                <w:rFonts w:ascii="黑体" w:eastAsia="黑体" w:hint="eastAsia"/>
                <w:spacing w:val="-3"/>
                <w:w w:val="100"/>
                <w:sz w:val="21"/>
              </w:rPr>
              <w:t>8</w:t>
            </w:r>
            <w:r>
              <w:rPr>
                <w:rFonts w:ascii="黑体" w:eastAsia="黑体" w:hint="eastAsia"/>
                <w:w w:val="100"/>
                <w:sz w:val="21"/>
              </w:rPr>
              <w:t>.15</w:t>
            </w:r>
            <w:r>
              <w:rPr>
                <w:rFonts w:ascii="黑体" w:eastAsia="黑体" w:hint="eastAsia"/>
                <w:spacing w:val="-108"/>
                <w:w w:val="100"/>
                <w:sz w:val="21"/>
              </w:rPr>
              <w:t>）</w:t>
            </w:r>
            <w:r>
              <w:rPr>
                <w:rFonts w:ascii="黑体" w:eastAsia="黑体" w:hint="eastAsia"/>
                <w:spacing w:val="-2"/>
                <w:w w:val="100"/>
                <w:sz w:val="21"/>
              </w:rPr>
              <w:t>，或驾</w:t>
            </w:r>
            <w:r>
              <w:rPr>
                <w:rFonts w:ascii="黑体" w:eastAsia="黑体" w:hint="eastAsia"/>
                <w:spacing w:val="-3"/>
                <w:sz w:val="21"/>
              </w:rPr>
              <w:t>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21"/>
                <w:sz w:val="21"/>
              </w:rPr>
              <w:t>见 </w:t>
            </w:r>
            <w:r>
              <w:rPr>
                <w:rFonts w:ascii="黑体" w:eastAsia="黑体" w:hint="eastAsia"/>
                <w:sz w:val="21"/>
              </w:rPr>
              <w:t>8.16）</w:t>
            </w:r>
            <w:r>
              <w:rPr>
                <w:rFonts w:ascii="黑体" w:eastAsia="黑体" w:hint="eastAsia"/>
                <w:spacing w:val="-3"/>
                <w:sz w:val="21"/>
              </w:rPr>
              <w:t>的机动车；</w:t>
            </w:r>
          </w:p>
          <w:p>
            <w:pPr>
              <w:pStyle w:val="TableParagraph"/>
              <w:numPr>
                <w:ilvl w:val="0"/>
                <w:numId w:val="2"/>
              </w:numPr>
              <w:tabs>
                <w:tab w:pos="576" w:val="left" w:leader="none"/>
              </w:tabs>
              <w:spacing w:line="240" w:lineRule="auto" w:before="7" w:after="0"/>
              <w:ind w:left="572" w:right="0" w:hanging="419"/>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黑体" w:eastAsia="黑体" w:hint="eastAsia"/>
                <w:spacing w:val="-3"/>
                <w:sz w:val="21"/>
              </w:rPr>
              <w:t>（</w:t>
            </w:r>
            <w:r>
              <w:rPr>
                <w:rFonts w:ascii="黑体" w:eastAsia="黑体" w:hint="eastAsia"/>
                <w:spacing w:val="-17"/>
                <w:sz w:val="21"/>
              </w:rPr>
              <w:t>见 </w:t>
            </w:r>
            <w:r>
              <w:rPr>
                <w:rFonts w:ascii="黑体" w:eastAsia="黑体" w:hint="eastAsia"/>
                <w:sz w:val="21"/>
              </w:rPr>
              <w:t>8.17）</w:t>
            </w:r>
            <w:r>
              <w:rPr>
                <w:rFonts w:ascii="黑体" w:eastAsia="黑体" w:hint="eastAsia"/>
                <w:spacing w:val="-3"/>
                <w:sz w:val="21"/>
              </w:rPr>
              <w:t>期间因疾病导致的；</w:t>
            </w:r>
          </w:p>
          <w:p>
            <w:pPr>
              <w:pStyle w:val="TableParagraph"/>
              <w:numPr>
                <w:ilvl w:val="0"/>
                <w:numId w:val="2"/>
              </w:numPr>
              <w:tabs>
                <w:tab w:pos="576" w:val="left" w:leader="none"/>
              </w:tabs>
              <w:spacing w:line="240" w:lineRule="auto" w:before="37" w:after="0"/>
              <w:ind w:left="572" w:right="0" w:hanging="419"/>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2"/>
              </w:numPr>
              <w:tabs>
                <w:tab w:pos="576" w:val="left" w:leader="none"/>
              </w:tabs>
              <w:spacing w:line="240" w:lineRule="auto" w:before="37" w:after="0"/>
              <w:ind w:left="572" w:right="0" w:hanging="419"/>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2"/>
              </w:numPr>
              <w:tabs>
                <w:tab w:pos="573" w:val="left" w:leader="none"/>
              </w:tabs>
              <w:spacing w:line="240" w:lineRule="auto" w:before="37" w:after="0"/>
              <w:ind w:left="573" w:right="0" w:hanging="420"/>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3"/>
                <w:w w:val="100"/>
                <w:sz w:val="21"/>
              </w:rPr>
              <w:t>8</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1</w:t>
            </w:r>
            <w:r>
              <w:rPr>
                <w:rFonts w:ascii="黑体" w:eastAsia="黑体" w:hint="eastAsia"/>
                <w:w w:val="100"/>
                <w:sz w:val="21"/>
              </w:rPr>
              <w:t>9</w:t>
            </w:r>
            <w:r>
              <w:rPr>
                <w:rFonts w:ascii="黑体" w:eastAsia="黑体" w:hint="eastAsia"/>
                <w:spacing w:val="-106"/>
                <w:w w:val="100"/>
                <w:sz w:val="21"/>
              </w:rPr>
              <w:t>）。</w:t>
            </w:r>
          </w:p>
          <w:p>
            <w:pPr>
              <w:pStyle w:val="TableParagraph"/>
              <w:spacing w:before="8"/>
              <w:rPr>
                <w:sz w:val="26"/>
              </w:rPr>
            </w:pPr>
          </w:p>
          <w:p>
            <w:pPr>
              <w:pStyle w:val="TableParagraph"/>
              <w:spacing w:before="1"/>
              <w:ind w:left="153"/>
              <w:rPr>
                <w:rFonts w:ascii="黑体" w:eastAsia="黑体" w:hint="eastAsia"/>
                <w:sz w:val="21"/>
              </w:rPr>
            </w:pPr>
            <w:r>
              <w:rPr>
                <w:rFonts w:ascii="黑体" w:eastAsia="黑体" w:hint="eastAsia"/>
                <w:sz w:val="21"/>
              </w:rPr>
              <w:t>发Th上述情形，本附加合同终止。</w:t>
            </w:r>
          </w:p>
        </w:tc>
      </w:tr>
      <w:tr>
        <w:trPr>
          <w:trHeight w:val="753" w:hRule="atLeast"/>
        </w:trPr>
        <w:tc>
          <w:tcPr>
            <w:tcW w:w="607" w:type="dxa"/>
            <w:tcBorders>
              <w:bottom w:val="single" w:sz="8" w:space="0" w:color="000000"/>
            </w:tcBorders>
          </w:tcPr>
          <w:p>
            <w:pPr>
              <w:pStyle w:val="TableParagraph"/>
              <w:spacing w:before="192"/>
              <w:ind w:right="31"/>
              <w:jc w:val="center"/>
              <w:rPr>
                <w:rFonts w:ascii="Arial" w:hAnsi="Arial"/>
                <w:b/>
                <w:sz w:val="40"/>
              </w:rPr>
            </w:pPr>
            <w:r>
              <w:rPr>
                <w:rFonts w:ascii="Arial" w:hAnsi="Arial"/>
                <w:b/>
                <w:w w:val="119"/>
                <w:sz w:val="40"/>
              </w:rPr>
              <w:t></w:t>
            </w:r>
          </w:p>
        </w:tc>
        <w:tc>
          <w:tcPr>
            <w:tcW w:w="9352" w:type="dxa"/>
            <w:gridSpan w:val="2"/>
            <w:tcBorders>
              <w:bottom w:val="single" w:sz="8" w:space="0" w:color="000000"/>
            </w:tcBorders>
          </w:tcPr>
          <w:p>
            <w:pPr>
              <w:pStyle w:val="TableParagraph"/>
              <w:spacing w:before="7"/>
              <w:rPr>
                <w:sz w:val="18"/>
              </w:rPr>
            </w:pPr>
          </w:p>
          <w:p>
            <w:pPr>
              <w:pStyle w:val="TableParagraph"/>
              <w:spacing w:before="1"/>
              <w:ind w:left="141"/>
              <w:rPr>
                <w:b/>
                <w:sz w:val="24"/>
              </w:rPr>
            </w:pPr>
            <w:r>
              <w:rPr>
                <w:b/>
                <w:w w:val="95"/>
                <w:sz w:val="24"/>
              </w:rPr>
              <w:t>如何申请领取保险金</w:t>
            </w:r>
          </w:p>
        </w:tc>
      </w:tr>
      <w:tr>
        <w:trPr>
          <w:trHeight w:val="782" w:hRule="atLeast"/>
        </w:trPr>
        <w:tc>
          <w:tcPr>
            <w:tcW w:w="607" w:type="dxa"/>
            <w:tcBorders>
              <w:top w:val="single" w:sz="8" w:space="0" w:color="000000"/>
            </w:tcBorders>
          </w:tcPr>
          <w:p>
            <w:pPr>
              <w:pStyle w:val="TableParagraph"/>
              <w:spacing w:before="11"/>
              <w:rPr>
                <w:sz w:val="22"/>
              </w:rPr>
            </w:pPr>
          </w:p>
          <w:p>
            <w:pPr>
              <w:pStyle w:val="TableParagraph"/>
              <w:ind w:left="88" w:right="160"/>
              <w:jc w:val="center"/>
              <w:rPr>
                <w:b/>
                <w:sz w:val="21"/>
              </w:rPr>
            </w:pPr>
            <w:r>
              <w:rPr>
                <w:b/>
                <w:sz w:val="21"/>
              </w:rPr>
              <w:t>3.1</w:t>
            </w:r>
          </w:p>
        </w:tc>
        <w:tc>
          <w:tcPr>
            <w:tcW w:w="1976" w:type="dxa"/>
            <w:tcBorders>
              <w:top w:val="single" w:sz="8" w:space="0" w:color="000000"/>
            </w:tcBorders>
          </w:tcPr>
          <w:p>
            <w:pPr>
              <w:pStyle w:val="TableParagraph"/>
              <w:spacing w:before="11"/>
              <w:rPr>
                <w:sz w:val="22"/>
              </w:rPr>
            </w:pPr>
          </w:p>
          <w:p>
            <w:pPr>
              <w:pStyle w:val="TableParagraph"/>
              <w:ind w:left="141"/>
              <w:rPr>
                <w:b/>
                <w:sz w:val="21"/>
              </w:rPr>
            </w:pPr>
            <w:r>
              <w:rPr>
                <w:b/>
                <w:sz w:val="21"/>
              </w:rPr>
              <w:t>受益人</w:t>
            </w:r>
          </w:p>
        </w:tc>
        <w:tc>
          <w:tcPr>
            <w:tcW w:w="7376" w:type="dxa"/>
            <w:tcBorders>
              <w:top w:val="single" w:sz="8" w:space="0" w:color="000000"/>
            </w:tcBorders>
          </w:tcPr>
          <w:p>
            <w:pPr>
              <w:pStyle w:val="TableParagraph"/>
              <w:spacing w:before="11"/>
              <w:rPr>
                <w:sz w:val="22"/>
              </w:rPr>
            </w:pPr>
          </w:p>
          <w:p>
            <w:pPr>
              <w:pStyle w:val="TableParagraph"/>
              <w:ind w:left="153"/>
              <w:rPr>
                <w:sz w:val="21"/>
              </w:rPr>
            </w:pPr>
            <w:r>
              <w:rPr>
                <w:sz w:val="21"/>
              </w:rPr>
              <w:t>除另有约定外，本附加合同各项保险金的受益人均为被保险人本人。</w:t>
            </w:r>
          </w:p>
        </w:tc>
      </w:tr>
      <w:tr>
        <w:trPr>
          <w:trHeight w:val="623" w:hRule="atLeast"/>
        </w:trPr>
        <w:tc>
          <w:tcPr>
            <w:tcW w:w="607" w:type="dxa"/>
          </w:tcPr>
          <w:p>
            <w:pPr>
              <w:pStyle w:val="TableParagraph"/>
              <w:spacing w:before="140"/>
              <w:ind w:left="88" w:right="160"/>
              <w:jc w:val="center"/>
              <w:rPr>
                <w:b/>
                <w:sz w:val="21"/>
              </w:rPr>
            </w:pPr>
            <w:r>
              <w:rPr>
                <w:b/>
                <w:sz w:val="21"/>
              </w:rPr>
              <w:t>3.2</w:t>
            </w:r>
          </w:p>
        </w:tc>
        <w:tc>
          <w:tcPr>
            <w:tcW w:w="1976" w:type="dxa"/>
          </w:tcPr>
          <w:p>
            <w:pPr>
              <w:pStyle w:val="TableParagraph"/>
              <w:spacing w:before="140"/>
              <w:ind w:left="141"/>
              <w:rPr>
                <w:b/>
                <w:sz w:val="21"/>
              </w:rPr>
            </w:pPr>
            <w:r>
              <w:rPr>
                <w:b/>
                <w:sz w:val="21"/>
              </w:rPr>
              <w:t>保险金申请</w:t>
            </w:r>
          </w:p>
        </w:tc>
        <w:tc>
          <w:tcPr>
            <w:tcW w:w="7376" w:type="dxa"/>
          </w:tcPr>
          <w:p>
            <w:pPr>
              <w:pStyle w:val="TableParagraph"/>
              <w:spacing w:before="140"/>
              <w:ind w:left="153"/>
              <w:rPr>
                <w:sz w:val="21"/>
              </w:rPr>
            </w:pPr>
            <w:r>
              <w:rPr>
                <w:sz w:val="21"/>
              </w:rPr>
              <w:t>在申请保险金时，请按照下列方式办理：</w:t>
            </w:r>
          </w:p>
        </w:tc>
      </w:tr>
      <w:tr>
        <w:trPr>
          <w:trHeight w:val="3119" w:hRule="atLeast"/>
        </w:trPr>
        <w:tc>
          <w:tcPr>
            <w:tcW w:w="607" w:type="dxa"/>
          </w:tcPr>
          <w:p>
            <w:pPr>
              <w:pStyle w:val="TableParagraph"/>
              <w:rPr>
                <w:rFonts w:ascii="Times New Roman"/>
                <w:sz w:val="20"/>
              </w:rPr>
            </w:pPr>
          </w:p>
        </w:tc>
        <w:tc>
          <w:tcPr>
            <w:tcW w:w="1976" w:type="dxa"/>
          </w:tcPr>
          <w:p>
            <w:pPr>
              <w:pStyle w:val="TableParagraph"/>
              <w:spacing w:before="138"/>
              <w:ind w:left="141"/>
              <w:rPr>
                <w:rFonts w:ascii="等线" w:eastAsia="等线" w:hint="eastAsia"/>
                <w:b/>
                <w:sz w:val="24"/>
              </w:rPr>
            </w:pPr>
            <w:r>
              <w:rPr>
                <w:rFonts w:ascii="等线" w:eastAsia="等线" w:hint="eastAsia"/>
                <w:b/>
                <w:sz w:val="24"/>
              </w:rPr>
              <w:t>保险金申请</w:t>
            </w:r>
          </w:p>
        </w:tc>
        <w:tc>
          <w:tcPr>
            <w:tcW w:w="7376" w:type="dxa"/>
          </w:tcPr>
          <w:p>
            <w:pPr>
              <w:pStyle w:val="TableParagraph"/>
              <w:spacing w:before="140"/>
              <w:ind w:left="153"/>
              <w:rPr>
                <w:sz w:val="21"/>
              </w:rPr>
            </w:pPr>
            <w:r>
              <w:rPr>
                <w:sz w:val="21"/>
              </w:rPr>
              <w:t>在申请保险金时，申请人须填写保险金给付申请书，并提供下列证明和资料：</w:t>
            </w:r>
          </w:p>
          <w:p>
            <w:pPr>
              <w:pStyle w:val="TableParagraph"/>
              <w:spacing w:before="37"/>
              <w:ind w:left="153"/>
              <w:rPr>
                <w:sz w:val="21"/>
              </w:rPr>
            </w:pPr>
            <w:r>
              <w:rPr>
                <w:sz w:val="21"/>
              </w:rPr>
              <w:t>（1）保险合同；</w:t>
            </w:r>
          </w:p>
          <w:p>
            <w:pPr>
              <w:pStyle w:val="TableParagraph"/>
              <w:spacing w:before="37"/>
              <w:ind w:left="153"/>
              <w:rPr>
                <w:sz w:val="21"/>
              </w:rPr>
            </w:pPr>
            <w:r>
              <w:rPr>
                <w:sz w:val="21"/>
              </w:rPr>
              <w:t>（2）申请人的有效身份证件；</w:t>
            </w:r>
          </w:p>
          <w:p>
            <w:pPr>
              <w:pStyle w:val="TableParagraph"/>
              <w:spacing w:line="273" w:lineRule="auto" w:before="37"/>
              <w:ind w:left="657" w:right="180" w:hanging="505"/>
              <w:rPr>
                <w:sz w:val="21"/>
              </w:rPr>
            </w:pPr>
            <w:r>
              <w:rPr>
                <w:sz w:val="21"/>
              </w:rPr>
              <w:t>（3）医院出具的附有病理显微镜检查、血液检验及其他科学方法检验报告的疾病诊断证明书；</w:t>
            </w:r>
          </w:p>
          <w:p>
            <w:pPr>
              <w:pStyle w:val="TableParagraph"/>
              <w:spacing w:before="8"/>
              <w:ind w:left="170"/>
              <w:rPr>
                <w:sz w:val="21"/>
              </w:rPr>
            </w:pPr>
            <w:r>
              <w:rPr>
                <w:sz w:val="21"/>
              </w:rPr>
              <w:t>（4）所能提供的与确认保险事故的性质、原因等有关的其他证明和资料。</w:t>
            </w:r>
          </w:p>
          <w:p>
            <w:pPr>
              <w:pStyle w:val="TableParagraph"/>
              <w:spacing w:before="8"/>
              <w:rPr>
                <w:sz w:val="26"/>
              </w:rPr>
            </w:pPr>
          </w:p>
          <w:p>
            <w:pPr>
              <w:pStyle w:val="TableParagraph"/>
              <w:spacing w:line="273" w:lineRule="auto" w:before="1"/>
              <w:ind w:left="153" w:right="63"/>
              <w:rPr>
                <w:sz w:val="21"/>
              </w:rPr>
            </w:pPr>
            <w:r>
              <w:rPr>
                <w:sz w:val="21"/>
              </w:rPr>
              <w:t>以上证明和资料不完整的，我们将及时一次性通知申请人补充提供有关证明和资料。</w:t>
            </w:r>
          </w:p>
        </w:tc>
      </w:tr>
      <w:tr>
        <w:trPr>
          <w:trHeight w:val="1665" w:hRule="atLeast"/>
        </w:trPr>
        <w:tc>
          <w:tcPr>
            <w:tcW w:w="607" w:type="dxa"/>
          </w:tcPr>
          <w:p>
            <w:pPr>
              <w:pStyle w:val="TableParagraph"/>
              <w:spacing w:before="140"/>
              <w:ind w:left="88" w:right="160"/>
              <w:jc w:val="center"/>
              <w:rPr>
                <w:b/>
                <w:sz w:val="21"/>
              </w:rPr>
            </w:pPr>
            <w:r>
              <w:rPr>
                <w:b/>
                <w:sz w:val="21"/>
              </w:rPr>
              <w:t>3.3</w:t>
            </w:r>
          </w:p>
        </w:tc>
        <w:tc>
          <w:tcPr>
            <w:tcW w:w="1976" w:type="dxa"/>
          </w:tcPr>
          <w:p>
            <w:pPr>
              <w:pStyle w:val="TableParagraph"/>
              <w:spacing w:before="140"/>
              <w:ind w:left="141"/>
              <w:rPr>
                <w:b/>
                <w:sz w:val="21"/>
              </w:rPr>
            </w:pPr>
            <w:r>
              <w:rPr>
                <w:b/>
                <w:sz w:val="21"/>
              </w:rPr>
              <w:t>保险金给付</w:t>
            </w:r>
          </w:p>
        </w:tc>
        <w:tc>
          <w:tcPr>
            <w:tcW w:w="7376" w:type="dxa"/>
          </w:tcPr>
          <w:p>
            <w:pPr>
              <w:pStyle w:val="TableParagraph"/>
              <w:spacing w:before="140"/>
              <w:ind w:left="153"/>
              <w:rPr>
                <w:sz w:val="21"/>
              </w:rPr>
            </w:pPr>
            <w:r>
              <w:rPr>
                <w:spacing w:val="-5"/>
                <w:sz w:val="21"/>
              </w:rPr>
              <w:t>我们在收到保险金给付申请书及合同约定的证明和资料后，将在 </w:t>
            </w:r>
            <w:r>
              <w:rPr>
                <w:sz w:val="21"/>
              </w:rPr>
              <w:t>5</w:t>
            </w:r>
            <w:r>
              <w:rPr>
                <w:spacing w:val="-9"/>
                <w:sz w:val="21"/>
              </w:rPr>
              <w:t> 日内作出核</w:t>
            </w:r>
          </w:p>
          <w:p>
            <w:pPr>
              <w:pStyle w:val="TableParagraph"/>
              <w:spacing w:line="273" w:lineRule="auto" w:before="36"/>
              <w:ind w:left="153" w:right="180" w:hanging="1"/>
              <w:rPr>
                <w:sz w:val="21"/>
              </w:rPr>
            </w:pPr>
            <w:r>
              <w:rPr>
                <w:spacing w:val="-7"/>
                <w:sz w:val="21"/>
              </w:rPr>
              <w:t>定；情形复杂的，在 </w:t>
            </w:r>
            <w:r>
              <w:rPr>
                <w:sz w:val="21"/>
              </w:rPr>
              <w:t>30</w:t>
            </w:r>
            <w:r>
              <w:rPr>
                <w:spacing w:val="-8"/>
                <w:sz w:val="21"/>
              </w:rPr>
              <w:t> 日内作出核定。但因第三方责任或其他非我们的责任</w:t>
            </w:r>
            <w:r>
              <w:rPr>
                <w:spacing w:val="-5"/>
                <w:sz w:val="21"/>
              </w:rPr>
              <w:t>导致保险事故的性质、金额无法确定的除外。</w:t>
            </w:r>
          </w:p>
          <w:p>
            <w:pPr>
              <w:pStyle w:val="TableParagraph"/>
              <w:spacing w:before="4"/>
              <w:rPr>
                <w:sz w:val="24"/>
              </w:rPr>
            </w:pPr>
          </w:p>
          <w:p>
            <w:pPr>
              <w:pStyle w:val="TableParagraph"/>
              <w:spacing w:line="257" w:lineRule="exact" w:before="1"/>
              <w:ind w:left="153"/>
              <w:rPr>
                <w:sz w:val="21"/>
              </w:rPr>
            </w:pPr>
            <w:r>
              <w:rPr>
                <w:sz w:val="21"/>
              </w:rPr>
              <w:t>对属于保险责任的，在与受益人达成给付保险金的协议后 10 日内，履行给付</w:t>
            </w:r>
          </w:p>
        </w:tc>
      </w:tr>
    </w:tbl>
    <w:p>
      <w:pPr>
        <w:spacing w:after="0" w:line="257" w:lineRule="exact"/>
        <w:rPr>
          <w:sz w:val="21"/>
        </w:rPr>
        <w:sectPr>
          <w:pgSz w:w="11910" w:h="16840"/>
          <w:pgMar w:top="1480" w:bottom="280" w:left="800" w:right="9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
        <w:gridCol w:w="1769"/>
        <w:gridCol w:w="7584"/>
      </w:tblGrid>
      <w:tr>
        <w:trPr>
          <w:trHeight w:val="3537" w:hRule="atLeast"/>
        </w:trPr>
        <w:tc>
          <w:tcPr>
            <w:tcW w:w="618" w:type="dxa"/>
          </w:tcPr>
          <w:p>
            <w:pPr>
              <w:pStyle w:val="TableParagraph"/>
              <w:rPr>
                <w:rFonts w:ascii="Times New Roman"/>
                <w:sz w:val="20"/>
              </w:rPr>
            </w:pPr>
          </w:p>
        </w:tc>
        <w:tc>
          <w:tcPr>
            <w:tcW w:w="1769" w:type="dxa"/>
          </w:tcPr>
          <w:p>
            <w:pPr>
              <w:pStyle w:val="TableParagraph"/>
              <w:rPr>
                <w:rFonts w:ascii="Times New Roman"/>
                <w:sz w:val="20"/>
              </w:rPr>
            </w:pPr>
          </w:p>
        </w:tc>
        <w:tc>
          <w:tcPr>
            <w:tcW w:w="7584" w:type="dxa"/>
          </w:tcPr>
          <w:p>
            <w:pPr>
              <w:pStyle w:val="TableParagraph"/>
              <w:spacing w:line="211" w:lineRule="exact"/>
              <w:ind w:left="359"/>
              <w:rPr>
                <w:sz w:val="21"/>
              </w:rPr>
            </w:pPr>
            <w:r>
              <w:rPr>
                <w:sz w:val="21"/>
              </w:rPr>
              <w:t>保险金义务。</w:t>
            </w:r>
          </w:p>
          <w:p>
            <w:pPr>
              <w:pStyle w:val="TableParagraph"/>
              <w:spacing w:before="8"/>
              <w:rPr>
                <w:sz w:val="26"/>
              </w:rPr>
            </w:pPr>
          </w:p>
          <w:p>
            <w:pPr>
              <w:pStyle w:val="TableParagraph"/>
              <w:spacing w:line="273" w:lineRule="auto" w:before="1"/>
              <w:ind w:left="359" w:right="65"/>
              <w:rPr>
                <w:sz w:val="21"/>
              </w:rPr>
            </w:pPr>
            <w:r>
              <w:rPr>
                <w:sz w:val="21"/>
              </w:rPr>
              <w:t>我们未及时履行前款规定义务的，除支付保险金外，应当赔偿受益人因此受到的损失。</w:t>
            </w:r>
          </w:p>
          <w:p>
            <w:pPr>
              <w:pStyle w:val="TableParagraph"/>
              <w:spacing w:before="5"/>
              <w:rPr>
                <w:sz w:val="24"/>
              </w:rPr>
            </w:pPr>
          </w:p>
          <w:p>
            <w:pPr>
              <w:pStyle w:val="TableParagraph"/>
              <w:spacing w:line="273" w:lineRule="auto"/>
              <w:ind w:left="359" w:right="105"/>
              <w:rPr>
                <w:sz w:val="21"/>
              </w:rPr>
            </w:pPr>
            <w:r>
              <w:rPr>
                <w:spacing w:val="-8"/>
                <w:sz w:val="21"/>
              </w:rPr>
              <w:t>对不属于保险责任的，我们自作出核定之日起 </w:t>
            </w:r>
            <w:r>
              <w:rPr>
                <w:sz w:val="21"/>
              </w:rPr>
              <w:t>3</w:t>
            </w:r>
            <w:r>
              <w:rPr>
                <w:spacing w:val="-8"/>
                <w:sz w:val="21"/>
              </w:rPr>
              <w:t> 日内向受益人发出拒绝给付保</w:t>
            </w:r>
            <w:r>
              <w:rPr>
                <w:spacing w:val="-3"/>
                <w:sz w:val="21"/>
              </w:rPr>
              <w:t>险金通知书并说明理由。</w:t>
            </w:r>
          </w:p>
          <w:p>
            <w:pPr>
              <w:pStyle w:val="TableParagraph"/>
              <w:spacing w:before="5"/>
              <w:rPr>
                <w:sz w:val="24"/>
              </w:rPr>
            </w:pPr>
          </w:p>
          <w:p>
            <w:pPr>
              <w:pStyle w:val="TableParagraph"/>
              <w:spacing w:line="273" w:lineRule="auto"/>
              <w:ind w:left="340" w:right="105" w:firstLine="19"/>
              <w:rPr>
                <w:sz w:val="21"/>
              </w:rPr>
            </w:pPr>
            <w:r>
              <w:rPr>
                <w:spacing w:val="-5"/>
                <w:sz w:val="21"/>
              </w:rPr>
              <w:t>我们在收到保险金给付申请书及有关证明和资料之日起 </w:t>
            </w:r>
            <w:r>
              <w:rPr>
                <w:sz w:val="21"/>
              </w:rPr>
              <w:t>60</w:t>
            </w:r>
            <w:r>
              <w:rPr>
                <w:spacing w:val="-9"/>
                <w:sz w:val="21"/>
              </w:rPr>
              <w:t> 日内，对给付保险</w:t>
            </w:r>
            <w:r>
              <w:rPr>
                <w:spacing w:val="-4"/>
                <w:sz w:val="21"/>
              </w:rPr>
              <w:t>金的数额不能确定的，根据已有证明和资料可以确定的数额先予支付；我们最</w:t>
            </w:r>
            <w:r>
              <w:rPr>
                <w:spacing w:val="-3"/>
                <w:sz w:val="21"/>
              </w:rPr>
              <w:t>终确定给付保险金的数额后，将支付相应的差额。</w:t>
            </w:r>
          </w:p>
        </w:tc>
      </w:tr>
      <w:tr>
        <w:trPr>
          <w:trHeight w:val="960" w:hRule="atLeast"/>
        </w:trPr>
        <w:tc>
          <w:tcPr>
            <w:tcW w:w="618" w:type="dxa"/>
          </w:tcPr>
          <w:p>
            <w:pPr>
              <w:pStyle w:val="TableParagraph"/>
              <w:spacing w:before="142"/>
              <w:ind w:left="99" w:right="160"/>
              <w:jc w:val="center"/>
              <w:rPr>
                <w:b/>
                <w:sz w:val="21"/>
              </w:rPr>
            </w:pPr>
            <w:r>
              <w:rPr>
                <w:b/>
                <w:sz w:val="21"/>
              </w:rPr>
              <w:t>3.4</w:t>
            </w:r>
          </w:p>
        </w:tc>
        <w:tc>
          <w:tcPr>
            <w:tcW w:w="1769" w:type="dxa"/>
          </w:tcPr>
          <w:p>
            <w:pPr>
              <w:pStyle w:val="TableParagraph"/>
              <w:spacing w:before="142"/>
              <w:ind w:left="141"/>
              <w:rPr>
                <w:b/>
                <w:sz w:val="21"/>
              </w:rPr>
            </w:pPr>
            <w:r>
              <w:rPr>
                <w:b/>
                <w:sz w:val="21"/>
              </w:rPr>
              <w:t>诉讼时效</w:t>
            </w:r>
          </w:p>
        </w:tc>
        <w:tc>
          <w:tcPr>
            <w:tcW w:w="7584" w:type="dxa"/>
          </w:tcPr>
          <w:p>
            <w:pPr>
              <w:pStyle w:val="TableParagraph"/>
              <w:spacing w:line="273" w:lineRule="auto" w:before="142"/>
              <w:ind w:left="360" w:right="105" w:hanging="1"/>
              <w:rPr>
                <w:sz w:val="21"/>
              </w:rPr>
            </w:pPr>
            <w:r>
              <w:rPr>
                <w:spacing w:val="-5"/>
                <w:sz w:val="21"/>
              </w:rPr>
              <w:t>受益人向我们请求给付保险金的诉讼时效期间为 </w:t>
            </w:r>
            <w:r>
              <w:rPr>
                <w:sz w:val="21"/>
              </w:rPr>
              <w:t>2</w:t>
            </w:r>
            <w:r>
              <w:rPr>
                <w:spacing w:val="-10"/>
                <w:sz w:val="21"/>
              </w:rPr>
              <w:t> 年，自其知道或者应当知道</w:t>
            </w:r>
            <w:r>
              <w:rPr>
                <w:spacing w:val="-3"/>
                <w:sz w:val="21"/>
              </w:rPr>
              <w:t>保险事故发生之日起计算</w:t>
            </w:r>
          </w:p>
        </w:tc>
      </w:tr>
      <w:tr>
        <w:trPr>
          <w:trHeight w:val="753" w:hRule="atLeast"/>
        </w:trPr>
        <w:tc>
          <w:tcPr>
            <w:tcW w:w="618" w:type="dxa"/>
            <w:tcBorders>
              <w:bottom w:val="single" w:sz="8" w:space="0" w:color="000000"/>
            </w:tcBorders>
          </w:tcPr>
          <w:p>
            <w:pPr>
              <w:pStyle w:val="TableParagraph"/>
              <w:spacing w:before="194"/>
              <w:ind w:right="21"/>
              <w:jc w:val="center"/>
              <w:rPr>
                <w:rFonts w:ascii="Arial" w:hAnsi="Arial"/>
                <w:b/>
                <w:sz w:val="40"/>
              </w:rPr>
            </w:pPr>
            <w:r>
              <w:rPr>
                <w:rFonts w:ascii="Arial" w:hAnsi="Arial"/>
                <w:b/>
                <w:w w:val="119"/>
                <w:sz w:val="40"/>
              </w:rPr>
              <w:t></w:t>
            </w:r>
          </w:p>
        </w:tc>
        <w:tc>
          <w:tcPr>
            <w:tcW w:w="9353" w:type="dxa"/>
            <w:gridSpan w:val="2"/>
            <w:tcBorders>
              <w:bottom w:val="single" w:sz="8" w:space="0" w:color="000000"/>
            </w:tcBorders>
          </w:tcPr>
          <w:p>
            <w:pPr>
              <w:pStyle w:val="TableParagraph"/>
              <w:spacing w:before="10"/>
              <w:rPr>
                <w:sz w:val="18"/>
              </w:rPr>
            </w:pPr>
          </w:p>
          <w:p>
            <w:pPr>
              <w:pStyle w:val="TableParagraph"/>
              <w:ind w:left="141"/>
              <w:rPr>
                <w:b/>
                <w:sz w:val="24"/>
              </w:rPr>
            </w:pPr>
            <w:r>
              <w:rPr>
                <w:b/>
                <w:w w:val="95"/>
                <w:sz w:val="24"/>
              </w:rPr>
              <w:t>如何支付保险费</w:t>
            </w:r>
          </w:p>
        </w:tc>
      </w:tr>
      <w:tr>
        <w:trPr>
          <w:trHeight w:val="2654" w:hRule="atLeast"/>
        </w:trPr>
        <w:tc>
          <w:tcPr>
            <w:tcW w:w="618" w:type="dxa"/>
            <w:tcBorders>
              <w:top w:val="single" w:sz="8" w:space="0" w:color="000000"/>
            </w:tcBorders>
          </w:tcPr>
          <w:p>
            <w:pPr>
              <w:pStyle w:val="TableParagraph"/>
              <w:rPr>
                <w:sz w:val="23"/>
              </w:rPr>
            </w:pPr>
          </w:p>
          <w:p>
            <w:pPr>
              <w:pStyle w:val="TableParagraph"/>
              <w:ind w:left="99" w:right="160"/>
              <w:jc w:val="center"/>
              <w:rPr>
                <w:b/>
                <w:sz w:val="21"/>
              </w:rPr>
            </w:pPr>
            <w:r>
              <w:rPr>
                <w:b/>
                <w:sz w:val="21"/>
              </w:rPr>
              <w:t>4.1</w:t>
            </w:r>
          </w:p>
        </w:tc>
        <w:tc>
          <w:tcPr>
            <w:tcW w:w="1769" w:type="dxa"/>
            <w:tcBorders>
              <w:top w:val="single" w:sz="8" w:space="0" w:color="000000"/>
            </w:tcBorders>
          </w:tcPr>
          <w:p>
            <w:pPr>
              <w:pStyle w:val="TableParagraph"/>
              <w:rPr>
                <w:sz w:val="23"/>
              </w:rPr>
            </w:pPr>
          </w:p>
          <w:p>
            <w:pPr>
              <w:pStyle w:val="TableParagraph"/>
              <w:ind w:left="141"/>
              <w:rPr>
                <w:b/>
                <w:sz w:val="21"/>
              </w:rPr>
            </w:pPr>
            <w:r>
              <w:rPr>
                <w:b/>
                <w:sz w:val="21"/>
              </w:rPr>
              <w:t>保险费的支付</w:t>
            </w:r>
          </w:p>
        </w:tc>
        <w:tc>
          <w:tcPr>
            <w:tcW w:w="7584" w:type="dxa"/>
            <w:tcBorders>
              <w:top w:val="single" w:sz="8" w:space="0" w:color="000000"/>
            </w:tcBorders>
          </w:tcPr>
          <w:p>
            <w:pPr>
              <w:pStyle w:val="TableParagraph"/>
              <w:rPr>
                <w:sz w:val="23"/>
              </w:rPr>
            </w:pPr>
          </w:p>
          <w:p>
            <w:pPr>
              <w:pStyle w:val="TableParagraph"/>
              <w:ind w:left="359"/>
              <w:rPr>
                <w:sz w:val="21"/>
              </w:rPr>
            </w:pPr>
            <w:r>
              <w:rPr>
                <w:sz w:val="21"/>
              </w:rPr>
              <w:t>本附加合同的交费方式和交费期间由您和我们约定并在保险单上载明。</w:t>
            </w:r>
          </w:p>
          <w:p>
            <w:pPr>
              <w:pStyle w:val="TableParagraph"/>
              <w:spacing w:before="8"/>
              <w:rPr>
                <w:sz w:val="26"/>
              </w:rPr>
            </w:pPr>
          </w:p>
          <w:p>
            <w:pPr>
              <w:pStyle w:val="TableParagraph"/>
              <w:spacing w:line="273" w:lineRule="auto"/>
              <w:ind w:left="359" w:right="81"/>
              <w:jc w:val="both"/>
              <w:rPr>
                <w:sz w:val="21"/>
              </w:rPr>
            </w:pPr>
            <w:r>
              <w:rPr>
                <w:sz w:val="21"/>
              </w:rPr>
              <w:t>您应当按照本附加合同约定向我们支付保险费。如果您选择分期支付保险费， 您在支付首期保险费后，应在每期保险费约定支付日或之前支付对应各期的保险费。</w:t>
            </w:r>
          </w:p>
          <w:p>
            <w:pPr>
              <w:pStyle w:val="TableParagraph"/>
              <w:spacing w:before="5"/>
              <w:rPr>
                <w:sz w:val="24"/>
              </w:rPr>
            </w:pPr>
          </w:p>
          <w:p>
            <w:pPr>
              <w:pStyle w:val="TableParagraph"/>
              <w:ind w:left="360"/>
              <w:jc w:val="both"/>
              <w:rPr>
                <w:sz w:val="21"/>
              </w:rPr>
            </w:pPr>
            <w:r>
              <w:rPr>
                <w:sz w:val="21"/>
              </w:rPr>
              <w:t>本附加合同的保险费应与主合同保险费一并支付。</w:t>
            </w:r>
          </w:p>
        </w:tc>
      </w:tr>
      <w:tr>
        <w:trPr>
          <w:trHeight w:val="2209" w:hRule="atLeast"/>
        </w:trPr>
        <w:tc>
          <w:tcPr>
            <w:tcW w:w="618" w:type="dxa"/>
          </w:tcPr>
          <w:p>
            <w:pPr>
              <w:pStyle w:val="TableParagraph"/>
              <w:spacing w:before="142"/>
              <w:ind w:left="99" w:right="160"/>
              <w:jc w:val="center"/>
              <w:rPr>
                <w:b/>
                <w:sz w:val="21"/>
              </w:rPr>
            </w:pPr>
            <w:r>
              <w:rPr>
                <w:b/>
                <w:sz w:val="21"/>
              </w:rPr>
              <w:t>4.2</w:t>
            </w:r>
          </w:p>
        </w:tc>
        <w:tc>
          <w:tcPr>
            <w:tcW w:w="1769" w:type="dxa"/>
          </w:tcPr>
          <w:p>
            <w:pPr>
              <w:pStyle w:val="TableParagraph"/>
              <w:spacing w:before="142"/>
              <w:ind w:left="141"/>
              <w:rPr>
                <w:b/>
                <w:sz w:val="21"/>
              </w:rPr>
            </w:pPr>
            <w:r>
              <w:rPr>
                <w:b/>
                <w:sz w:val="21"/>
              </w:rPr>
              <w:t>保险费率调整</w:t>
            </w:r>
          </w:p>
        </w:tc>
        <w:tc>
          <w:tcPr>
            <w:tcW w:w="7584" w:type="dxa"/>
          </w:tcPr>
          <w:p>
            <w:pPr>
              <w:pStyle w:val="TableParagraph"/>
              <w:spacing w:before="142"/>
              <w:ind w:left="359"/>
              <w:rPr>
                <w:sz w:val="21"/>
              </w:rPr>
            </w:pPr>
            <w:r>
              <w:rPr>
                <w:sz w:val="21"/>
              </w:rPr>
              <w:t>我们保留提高或降低保险费率的权利。</w:t>
            </w:r>
          </w:p>
          <w:p>
            <w:pPr>
              <w:pStyle w:val="TableParagraph"/>
              <w:spacing w:line="273" w:lineRule="auto" w:before="34"/>
              <w:ind w:left="359" w:right="66"/>
              <w:rPr>
                <w:sz w:val="21"/>
              </w:rPr>
            </w:pPr>
            <w:r>
              <w:rPr>
                <w:sz w:val="21"/>
              </w:rPr>
              <w:t>我们将根据整体风险的变化情况，决定是否调整保险费率。本附加保险的费率调整针对所有被保险人或同一投保年龄的所有被保险人。</w:t>
            </w:r>
          </w:p>
          <w:p>
            <w:pPr>
              <w:pStyle w:val="TableParagraph"/>
              <w:spacing w:before="8"/>
              <w:rPr>
                <w:sz w:val="24"/>
              </w:rPr>
            </w:pPr>
          </w:p>
          <w:p>
            <w:pPr>
              <w:pStyle w:val="TableParagraph"/>
              <w:spacing w:line="273" w:lineRule="auto"/>
              <w:ind w:left="359" w:right="66"/>
              <w:rPr>
                <w:sz w:val="21"/>
              </w:rPr>
            </w:pPr>
            <w:r>
              <w:rPr>
                <w:sz w:val="21"/>
              </w:rPr>
              <w:t>我们进行保险费率调整并向保险监管机关备案后，您须按调整后的保险费率支付续期保险费，保险费率调整前您已经支付的保险费不受影响。</w:t>
            </w:r>
          </w:p>
        </w:tc>
      </w:tr>
      <w:tr>
        <w:trPr>
          <w:trHeight w:val="753" w:hRule="atLeast"/>
        </w:trPr>
        <w:tc>
          <w:tcPr>
            <w:tcW w:w="618" w:type="dxa"/>
            <w:tcBorders>
              <w:bottom w:val="single" w:sz="8" w:space="0" w:color="000000"/>
            </w:tcBorders>
          </w:tcPr>
          <w:p>
            <w:pPr>
              <w:pStyle w:val="TableParagraph"/>
              <w:spacing w:before="194"/>
              <w:ind w:right="21"/>
              <w:jc w:val="center"/>
              <w:rPr>
                <w:rFonts w:ascii="Arial" w:hAnsi="Arial"/>
                <w:b/>
                <w:sz w:val="40"/>
              </w:rPr>
            </w:pPr>
            <w:r>
              <w:rPr>
                <w:rFonts w:ascii="Arial" w:hAnsi="Arial"/>
                <w:b/>
                <w:w w:val="119"/>
                <w:sz w:val="40"/>
              </w:rPr>
              <w:t></w:t>
            </w:r>
          </w:p>
        </w:tc>
        <w:tc>
          <w:tcPr>
            <w:tcW w:w="9353" w:type="dxa"/>
            <w:gridSpan w:val="2"/>
            <w:tcBorders>
              <w:bottom w:val="single" w:sz="8" w:space="0" w:color="000000"/>
            </w:tcBorders>
          </w:tcPr>
          <w:p>
            <w:pPr>
              <w:pStyle w:val="TableParagraph"/>
              <w:spacing w:before="10"/>
              <w:rPr>
                <w:sz w:val="18"/>
              </w:rPr>
            </w:pPr>
          </w:p>
          <w:p>
            <w:pPr>
              <w:pStyle w:val="TableParagraph"/>
              <w:ind w:left="141"/>
              <w:rPr>
                <w:b/>
                <w:sz w:val="24"/>
              </w:rPr>
            </w:pPr>
            <w:r>
              <w:rPr>
                <w:b/>
                <w:w w:val="95"/>
                <w:sz w:val="24"/>
              </w:rPr>
              <w:t>如何恢复合同效力</w:t>
            </w:r>
          </w:p>
        </w:tc>
      </w:tr>
      <w:tr>
        <w:trPr>
          <w:trHeight w:val="2677" w:hRule="atLeast"/>
        </w:trPr>
        <w:tc>
          <w:tcPr>
            <w:tcW w:w="618" w:type="dxa"/>
            <w:tcBorders>
              <w:top w:val="single" w:sz="8" w:space="0" w:color="000000"/>
            </w:tcBorders>
          </w:tcPr>
          <w:p>
            <w:pPr>
              <w:pStyle w:val="TableParagraph"/>
              <w:spacing w:before="11"/>
              <w:rPr>
                <w:sz w:val="22"/>
              </w:rPr>
            </w:pPr>
          </w:p>
          <w:p>
            <w:pPr>
              <w:pStyle w:val="TableParagraph"/>
              <w:ind w:left="99" w:right="160"/>
              <w:jc w:val="center"/>
              <w:rPr>
                <w:b/>
                <w:sz w:val="21"/>
              </w:rPr>
            </w:pPr>
            <w:r>
              <w:rPr>
                <w:b/>
                <w:sz w:val="21"/>
              </w:rPr>
              <w:t>5.1</w:t>
            </w:r>
          </w:p>
        </w:tc>
        <w:tc>
          <w:tcPr>
            <w:tcW w:w="1769" w:type="dxa"/>
            <w:tcBorders>
              <w:top w:val="single" w:sz="8" w:space="0" w:color="000000"/>
            </w:tcBorders>
          </w:tcPr>
          <w:p>
            <w:pPr>
              <w:pStyle w:val="TableParagraph"/>
              <w:spacing w:before="11"/>
              <w:rPr>
                <w:sz w:val="22"/>
              </w:rPr>
            </w:pPr>
          </w:p>
          <w:p>
            <w:pPr>
              <w:pStyle w:val="TableParagraph"/>
              <w:ind w:left="141"/>
              <w:rPr>
                <w:b/>
                <w:sz w:val="21"/>
              </w:rPr>
            </w:pPr>
            <w:r>
              <w:rPr>
                <w:b/>
                <w:sz w:val="21"/>
              </w:rPr>
              <w:t>效力恢复</w:t>
            </w:r>
          </w:p>
        </w:tc>
        <w:tc>
          <w:tcPr>
            <w:tcW w:w="7584" w:type="dxa"/>
            <w:tcBorders>
              <w:top w:val="single" w:sz="8" w:space="0" w:color="000000"/>
            </w:tcBorders>
          </w:tcPr>
          <w:p>
            <w:pPr>
              <w:pStyle w:val="TableParagraph"/>
              <w:spacing w:before="11"/>
              <w:rPr>
                <w:sz w:val="22"/>
              </w:rPr>
            </w:pPr>
          </w:p>
          <w:p>
            <w:pPr>
              <w:pStyle w:val="TableParagraph"/>
              <w:spacing w:line="273" w:lineRule="auto"/>
              <w:ind w:left="360" w:right="105" w:hanging="1"/>
              <w:rPr>
                <w:sz w:val="21"/>
              </w:rPr>
            </w:pPr>
            <w:r>
              <w:rPr>
                <w:spacing w:val="-6"/>
                <w:sz w:val="21"/>
              </w:rPr>
              <w:t>本附加合同效力中止后 </w:t>
            </w:r>
            <w:r>
              <w:rPr>
                <w:sz w:val="21"/>
              </w:rPr>
              <w:t>2</w:t>
            </w:r>
            <w:r>
              <w:rPr>
                <w:spacing w:val="-10"/>
                <w:sz w:val="21"/>
              </w:rPr>
              <w:t> 年内，您可以申请恢复合同效力。经我们与您协商并</w:t>
            </w:r>
            <w:r>
              <w:rPr>
                <w:spacing w:val="-3"/>
                <w:sz w:val="21"/>
              </w:rPr>
              <w:t>达成协议，在您补交保险费及其他未还款项之日起，合同效力恢复。</w:t>
            </w:r>
          </w:p>
          <w:p>
            <w:pPr>
              <w:pStyle w:val="TableParagraph"/>
              <w:spacing w:before="5"/>
              <w:rPr>
                <w:sz w:val="24"/>
              </w:rPr>
            </w:pPr>
          </w:p>
          <w:p>
            <w:pPr>
              <w:pStyle w:val="TableParagraph"/>
              <w:spacing w:line="273" w:lineRule="auto"/>
              <w:ind w:left="360" w:right="105"/>
              <w:rPr>
                <w:sz w:val="21"/>
              </w:rPr>
            </w:pPr>
            <w:r>
              <w:rPr>
                <w:spacing w:val="-6"/>
                <w:sz w:val="21"/>
              </w:rPr>
              <w:t>自本附加合同效力中止之日起满 </w:t>
            </w:r>
            <w:r>
              <w:rPr>
                <w:sz w:val="21"/>
              </w:rPr>
              <w:t>2</w:t>
            </w:r>
            <w:r>
              <w:rPr>
                <w:spacing w:val="-10"/>
                <w:sz w:val="21"/>
              </w:rPr>
              <w:t> 年您和我们未达成协议的，我们有权解除合</w:t>
            </w:r>
            <w:r>
              <w:rPr>
                <w:sz w:val="21"/>
              </w:rPr>
              <w:t>同。</w:t>
            </w:r>
          </w:p>
          <w:p>
            <w:pPr>
              <w:pStyle w:val="TableParagraph"/>
              <w:spacing w:before="5"/>
              <w:rPr>
                <w:sz w:val="24"/>
              </w:rPr>
            </w:pPr>
          </w:p>
          <w:p>
            <w:pPr>
              <w:pStyle w:val="TableParagraph"/>
              <w:ind w:left="360"/>
              <w:rPr>
                <w:sz w:val="21"/>
              </w:rPr>
            </w:pPr>
            <w:r>
              <w:rPr>
                <w:sz w:val="21"/>
              </w:rPr>
              <w:t>主合同效力中止期间，本附加合同不得单独申请复效。</w:t>
            </w:r>
          </w:p>
        </w:tc>
      </w:tr>
      <w:tr>
        <w:trPr>
          <w:trHeight w:val="753" w:hRule="atLeast"/>
        </w:trPr>
        <w:tc>
          <w:tcPr>
            <w:tcW w:w="618" w:type="dxa"/>
            <w:tcBorders>
              <w:bottom w:val="single" w:sz="8" w:space="0" w:color="000000"/>
            </w:tcBorders>
          </w:tcPr>
          <w:p>
            <w:pPr>
              <w:pStyle w:val="TableParagraph"/>
              <w:spacing w:before="194"/>
              <w:ind w:right="21"/>
              <w:jc w:val="center"/>
              <w:rPr>
                <w:rFonts w:ascii="Arial" w:hAnsi="Arial"/>
                <w:b/>
                <w:sz w:val="40"/>
              </w:rPr>
            </w:pPr>
            <w:r>
              <w:rPr>
                <w:rFonts w:ascii="Arial" w:hAnsi="Arial"/>
                <w:b/>
                <w:w w:val="119"/>
                <w:sz w:val="40"/>
              </w:rPr>
              <w:t></w:t>
            </w:r>
          </w:p>
        </w:tc>
        <w:tc>
          <w:tcPr>
            <w:tcW w:w="9353" w:type="dxa"/>
            <w:gridSpan w:val="2"/>
            <w:tcBorders>
              <w:bottom w:val="single" w:sz="8" w:space="0" w:color="000000"/>
            </w:tcBorders>
          </w:tcPr>
          <w:p>
            <w:pPr>
              <w:pStyle w:val="TableParagraph"/>
              <w:spacing w:before="10"/>
              <w:rPr>
                <w:sz w:val="18"/>
              </w:rPr>
            </w:pPr>
          </w:p>
          <w:p>
            <w:pPr>
              <w:pStyle w:val="TableParagraph"/>
              <w:ind w:left="141"/>
              <w:rPr>
                <w:b/>
                <w:sz w:val="24"/>
              </w:rPr>
            </w:pPr>
            <w:r>
              <w:rPr>
                <w:b/>
                <w:w w:val="95"/>
                <w:sz w:val="24"/>
              </w:rPr>
              <w:t>如何解除保险合同</w:t>
            </w:r>
          </w:p>
        </w:tc>
      </w:tr>
    </w:tbl>
    <w:p>
      <w:pPr>
        <w:spacing w:after="0"/>
        <w:rPr>
          <w:sz w:val="24"/>
        </w:rPr>
        <w:sectPr>
          <w:pgSz w:w="11910" w:h="16840"/>
          <w:pgMar w:top="1160" w:bottom="280" w:left="800" w:right="9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980"/>
        <w:gridCol w:w="7373"/>
      </w:tblGrid>
      <w:tr>
        <w:trPr>
          <w:trHeight w:val="2991" w:hRule="atLeast"/>
        </w:trPr>
        <w:tc>
          <w:tcPr>
            <w:tcW w:w="607" w:type="dxa"/>
            <w:tcBorders>
              <w:top w:val="single" w:sz="8" w:space="0" w:color="000000"/>
            </w:tcBorders>
          </w:tcPr>
          <w:p>
            <w:pPr>
              <w:pStyle w:val="TableParagraph"/>
              <w:spacing w:before="8"/>
              <w:rPr>
                <w:sz w:val="22"/>
              </w:rPr>
            </w:pPr>
          </w:p>
          <w:p>
            <w:pPr>
              <w:pStyle w:val="TableParagraph"/>
              <w:ind w:left="88" w:right="160"/>
              <w:jc w:val="center"/>
              <w:rPr>
                <w:b/>
                <w:sz w:val="21"/>
              </w:rPr>
            </w:pPr>
            <w:r>
              <w:rPr>
                <w:b/>
                <w:sz w:val="21"/>
              </w:rPr>
              <w:t>6.1</w:t>
            </w:r>
          </w:p>
        </w:tc>
        <w:tc>
          <w:tcPr>
            <w:tcW w:w="1980" w:type="dxa"/>
            <w:tcBorders>
              <w:top w:val="single" w:sz="8" w:space="0" w:color="000000"/>
            </w:tcBorders>
          </w:tcPr>
          <w:p>
            <w:pPr>
              <w:pStyle w:val="TableParagraph"/>
              <w:spacing w:before="8"/>
              <w:rPr>
                <w:sz w:val="22"/>
              </w:rPr>
            </w:pPr>
          </w:p>
          <w:p>
            <w:pPr>
              <w:pStyle w:val="TableParagraph"/>
              <w:spacing w:line="273" w:lineRule="auto"/>
              <w:ind w:left="141" w:right="146"/>
              <w:rPr>
                <w:b/>
                <w:sz w:val="21"/>
              </w:rPr>
            </w:pPr>
            <w:r>
              <w:rPr>
                <w:b/>
                <w:sz w:val="21"/>
              </w:rPr>
              <w:t>您解除合同的手续及风险</w:t>
            </w:r>
          </w:p>
        </w:tc>
        <w:tc>
          <w:tcPr>
            <w:tcW w:w="7373" w:type="dxa"/>
            <w:tcBorders>
              <w:top w:val="single" w:sz="8" w:space="0" w:color="000000"/>
            </w:tcBorders>
          </w:tcPr>
          <w:p>
            <w:pPr>
              <w:pStyle w:val="TableParagraph"/>
              <w:spacing w:before="8"/>
              <w:rPr>
                <w:sz w:val="22"/>
              </w:rPr>
            </w:pPr>
          </w:p>
          <w:p>
            <w:pPr>
              <w:pStyle w:val="TableParagraph"/>
              <w:spacing w:line="273" w:lineRule="auto"/>
              <w:ind w:left="148" w:right="65"/>
              <w:rPr>
                <w:sz w:val="21"/>
              </w:rPr>
            </w:pPr>
            <w:r>
              <w:rPr>
                <w:sz w:val="21"/>
              </w:rPr>
              <w:t>如您在犹豫期后申请解除本附加合同，请填写解除合同申请书并向我们提供下列资料：</w:t>
            </w:r>
          </w:p>
          <w:p>
            <w:pPr>
              <w:pStyle w:val="TableParagraph"/>
              <w:spacing w:before="7"/>
              <w:ind w:left="148"/>
              <w:rPr>
                <w:sz w:val="21"/>
              </w:rPr>
            </w:pPr>
            <w:r>
              <w:rPr>
                <w:sz w:val="21"/>
              </w:rPr>
              <w:t>（1）保险合同；</w:t>
            </w:r>
          </w:p>
          <w:p>
            <w:pPr>
              <w:pStyle w:val="TableParagraph"/>
              <w:spacing w:before="36"/>
              <w:ind w:left="148"/>
              <w:rPr>
                <w:sz w:val="21"/>
              </w:rPr>
            </w:pPr>
            <w:r>
              <w:rPr>
                <w:sz w:val="21"/>
              </w:rPr>
              <w:t>（2）您的有效身份证件。</w:t>
            </w:r>
          </w:p>
          <w:p>
            <w:pPr>
              <w:pStyle w:val="TableParagraph"/>
              <w:spacing w:line="620" w:lineRule="atLeast" w:before="3"/>
              <w:ind w:left="148" w:right="2389"/>
              <w:rPr>
                <w:sz w:val="21"/>
              </w:rPr>
            </w:pPr>
            <w:r>
              <w:rPr>
                <w:sz w:val="21"/>
              </w:rPr>
              <w:t>自我们收到解除合同申请书时起，本附加合同终止。您犹豫期后解除合同会遭受一定损失。</w:t>
            </w:r>
          </w:p>
        </w:tc>
      </w:tr>
      <w:tr>
        <w:trPr>
          <w:trHeight w:val="753" w:hRule="atLeast"/>
        </w:trPr>
        <w:tc>
          <w:tcPr>
            <w:tcW w:w="607" w:type="dxa"/>
            <w:tcBorders>
              <w:bottom w:val="single" w:sz="8" w:space="0" w:color="000000"/>
            </w:tcBorders>
          </w:tcPr>
          <w:p>
            <w:pPr>
              <w:pStyle w:val="TableParagraph"/>
              <w:spacing w:before="188"/>
              <w:ind w:right="31"/>
              <w:jc w:val="center"/>
              <w:rPr>
                <w:rFonts w:ascii="Arial" w:hAnsi="Arial"/>
                <w:b/>
                <w:sz w:val="40"/>
              </w:rPr>
            </w:pPr>
            <w:r>
              <w:rPr>
                <w:rFonts w:ascii="Arial" w:hAnsi="Arial"/>
                <w:b/>
                <w:w w:val="119"/>
                <w:sz w:val="40"/>
              </w:rPr>
              <w:t></w:t>
            </w:r>
          </w:p>
        </w:tc>
        <w:tc>
          <w:tcPr>
            <w:tcW w:w="9353" w:type="dxa"/>
            <w:gridSpan w:val="2"/>
            <w:tcBorders>
              <w:bottom w:val="single" w:sz="8" w:space="0" w:color="000000"/>
            </w:tcBorders>
          </w:tcPr>
          <w:p>
            <w:pPr>
              <w:pStyle w:val="TableParagraph"/>
              <w:spacing w:before="4"/>
              <w:rPr>
                <w:sz w:val="18"/>
              </w:rPr>
            </w:pPr>
          </w:p>
          <w:p>
            <w:pPr>
              <w:pStyle w:val="TableParagraph"/>
              <w:spacing w:before="1"/>
              <w:ind w:left="141"/>
              <w:rPr>
                <w:b/>
                <w:sz w:val="24"/>
              </w:rPr>
            </w:pPr>
            <w:r>
              <w:rPr>
                <w:b/>
                <w:w w:val="95"/>
                <w:sz w:val="24"/>
              </w:rPr>
              <w:t>其他需要关注的事项</w:t>
            </w:r>
          </w:p>
        </w:tc>
      </w:tr>
      <w:tr>
        <w:trPr>
          <w:trHeight w:val="3588" w:hRule="atLeast"/>
        </w:trPr>
        <w:tc>
          <w:tcPr>
            <w:tcW w:w="607" w:type="dxa"/>
            <w:tcBorders>
              <w:top w:val="single" w:sz="8" w:space="0" w:color="000000"/>
            </w:tcBorders>
          </w:tcPr>
          <w:p>
            <w:pPr>
              <w:pStyle w:val="TableParagraph"/>
              <w:spacing w:before="5"/>
              <w:rPr>
                <w:sz w:val="22"/>
              </w:rPr>
            </w:pPr>
          </w:p>
          <w:p>
            <w:pPr>
              <w:pStyle w:val="TableParagraph"/>
              <w:ind w:left="88" w:right="160"/>
              <w:jc w:val="center"/>
              <w:rPr>
                <w:b/>
                <w:sz w:val="21"/>
              </w:rPr>
            </w:pPr>
            <w:r>
              <w:rPr>
                <w:b/>
                <w:sz w:val="21"/>
              </w:rPr>
              <w:t>7.1</w:t>
            </w:r>
          </w:p>
        </w:tc>
        <w:tc>
          <w:tcPr>
            <w:tcW w:w="1980" w:type="dxa"/>
            <w:tcBorders>
              <w:top w:val="single" w:sz="8" w:space="0" w:color="000000"/>
            </w:tcBorders>
          </w:tcPr>
          <w:p>
            <w:pPr>
              <w:pStyle w:val="TableParagraph"/>
              <w:spacing w:before="5"/>
              <w:rPr>
                <w:sz w:val="22"/>
              </w:rPr>
            </w:pPr>
          </w:p>
          <w:p>
            <w:pPr>
              <w:pStyle w:val="TableParagraph"/>
              <w:ind w:left="141"/>
              <w:rPr>
                <w:b/>
                <w:sz w:val="21"/>
              </w:rPr>
            </w:pPr>
            <w:r>
              <w:rPr>
                <w:b/>
                <w:sz w:val="21"/>
              </w:rPr>
              <w:t>年龄错误</w:t>
            </w:r>
          </w:p>
        </w:tc>
        <w:tc>
          <w:tcPr>
            <w:tcW w:w="7373" w:type="dxa"/>
            <w:tcBorders>
              <w:top w:val="single" w:sz="8" w:space="0" w:color="000000"/>
            </w:tcBorders>
          </w:tcPr>
          <w:p>
            <w:pPr>
              <w:pStyle w:val="TableParagraph"/>
              <w:spacing w:before="5"/>
              <w:rPr>
                <w:sz w:val="22"/>
              </w:rPr>
            </w:pPr>
          </w:p>
          <w:p>
            <w:pPr>
              <w:pStyle w:val="TableParagraph"/>
              <w:spacing w:line="273" w:lineRule="auto"/>
              <w:ind w:left="149" w:right="82"/>
              <w:rPr>
                <w:sz w:val="21"/>
              </w:rPr>
            </w:pPr>
            <w:r>
              <w:rPr>
                <w:sz w:val="21"/>
              </w:rPr>
              <w:t>您在申请投保时，应将与有效身份证件相符的被保险人的出生日期在投保单上填明，如果发生错误按照下列方式办理：</w:t>
            </w:r>
          </w:p>
          <w:p>
            <w:pPr>
              <w:pStyle w:val="TableParagraph"/>
              <w:spacing w:line="273" w:lineRule="auto" w:before="7"/>
              <w:ind w:left="669" w:right="100" w:hanging="521"/>
              <w:jc w:val="both"/>
              <w:rPr>
                <w:sz w:val="21"/>
              </w:rPr>
            </w:pPr>
            <w:r>
              <w:rPr>
                <w:sz w:val="21"/>
              </w:rPr>
              <w:t>（1）您申报的被保险人年龄不真实，并且真实年龄不符合本附加合同约定的投保年龄限制的，在保险事故发生之前我们有权解除合同。我们行使合同解除权适用“我们合同解除权的限制”的规定。</w:t>
            </w:r>
          </w:p>
          <w:p>
            <w:pPr>
              <w:pStyle w:val="TableParagraph"/>
              <w:spacing w:line="273" w:lineRule="auto" w:before="7"/>
              <w:ind w:left="669" w:right="100" w:hanging="521"/>
              <w:jc w:val="both"/>
              <w:rPr>
                <w:sz w:val="21"/>
              </w:rPr>
            </w:pPr>
            <w:r>
              <w:rPr>
                <w:sz w:val="21"/>
              </w:rPr>
              <w:t>（2）您申报的被保险人年龄不真实，致使您实付保险费少于应付保险费的， 我们有权更正并要求您补交保险费；若已经发生保险事故，在给付保险金时按实付保险费和应付保险费的比例给付。</w:t>
            </w:r>
          </w:p>
          <w:p>
            <w:pPr>
              <w:pStyle w:val="TableParagraph"/>
              <w:spacing w:line="273" w:lineRule="auto" w:before="7"/>
              <w:ind w:left="669" w:right="100" w:hanging="521"/>
              <w:jc w:val="both"/>
              <w:rPr>
                <w:sz w:val="21"/>
              </w:rPr>
            </w:pPr>
            <w:r>
              <w:rPr>
                <w:sz w:val="21"/>
              </w:rPr>
              <w:t>（3）您申报的被保险人年龄不真实，致使您实付保险费多于应付保险费的， 我们会将多收的保险费退还给您。</w:t>
            </w:r>
          </w:p>
        </w:tc>
      </w:tr>
      <w:tr>
        <w:trPr>
          <w:trHeight w:val="1560" w:hRule="atLeast"/>
        </w:trPr>
        <w:tc>
          <w:tcPr>
            <w:tcW w:w="607" w:type="dxa"/>
          </w:tcPr>
          <w:p>
            <w:pPr>
              <w:pStyle w:val="TableParagraph"/>
              <w:spacing w:before="137"/>
              <w:ind w:left="88" w:right="160"/>
              <w:jc w:val="center"/>
              <w:rPr>
                <w:b/>
                <w:sz w:val="21"/>
              </w:rPr>
            </w:pPr>
            <w:r>
              <w:rPr>
                <w:b/>
                <w:sz w:val="21"/>
              </w:rPr>
              <w:t>7.2</w:t>
            </w:r>
          </w:p>
        </w:tc>
        <w:tc>
          <w:tcPr>
            <w:tcW w:w="1980" w:type="dxa"/>
          </w:tcPr>
          <w:p>
            <w:pPr>
              <w:pStyle w:val="TableParagraph"/>
              <w:spacing w:before="137"/>
              <w:ind w:left="141"/>
              <w:rPr>
                <w:b/>
                <w:sz w:val="21"/>
              </w:rPr>
            </w:pPr>
            <w:r>
              <w:rPr>
                <w:b/>
                <w:sz w:val="21"/>
              </w:rPr>
              <w:t>效力终止</w:t>
            </w:r>
          </w:p>
        </w:tc>
        <w:tc>
          <w:tcPr>
            <w:tcW w:w="7373" w:type="dxa"/>
          </w:tcPr>
          <w:p>
            <w:pPr>
              <w:pStyle w:val="TableParagraph"/>
              <w:spacing w:before="137"/>
              <w:ind w:left="149"/>
              <w:rPr>
                <w:sz w:val="21"/>
              </w:rPr>
            </w:pPr>
            <w:r>
              <w:rPr>
                <w:sz w:val="21"/>
              </w:rPr>
              <w:t>当发生下列情形之一时，本附加合同效力终止：</w:t>
            </w:r>
          </w:p>
          <w:p>
            <w:pPr>
              <w:pStyle w:val="TableParagraph"/>
              <w:spacing w:before="37"/>
              <w:ind w:left="149"/>
              <w:rPr>
                <w:sz w:val="21"/>
              </w:rPr>
            </w:pPr>
            <w:r>
              <w:rPr>
                <w:sz w:val="21"/>
              </w:rPr>
              <w:t>（1）主合同效力终止；</w:t>
            </w:r>
          </w:p>
          <w:p>
            <w:pPr>
              <w:pStyle w:val="TableParagraph"/>
              <w:spacing w:before="37"/>
              <w:ind w:left="149"/>
              <w:rPr>
                <w:sz w:val="21"/>
              </w:rPr>
            </w:pPr>
            <w:r>
              <w:rPr>
                <w:sz w:val="21"/>
              </w:rPr>
              <w:t>（2）主合同办理减额交清；</w:t>
            </w:r>
          </w:p>
          <w:p>
            <w:pPr>
              <w:pStyle w:val="TableParagraph"/>
              <w:spacing w:before="37"/>
              <w:ind w:left="148"/>
              <w:rPr>
                <w:sz w:val="21"/>
              </w:rPr>
            </w:pPr>
            <w:r>
              <w:rPr>
                <w:sz w:val="21"/>
              </w:rPr>
              <w:t>（3）您申请解除本附加合同。</w:t>
            </w:r>
          </w:p>
        </w:tc>
      </w:tr>
      <w:tr>
        <w:trPr>
          <w:trHeight w:val="3456" w:hRule="atLeast"/>
        </w:trPr>
        <w:tc>
          <w:tcPr>
            <w:tcW w:w="607" w:type="dxa"/>
          </w:tcPr>
          <w:p>
            <w:pPr>
              <w:pStyle w:val="TableParagraph"/>
              <w:spacing w:before="137"/>
              <w:ind w:left="88" w:right="160"/>
              <w:jc w:val="center"/>
              <w:rPr>
                <w:b/>
                <w:sz w:val="21"/>
              </w:rPr>
            </w:pPr>
            <w:r>
              <w:rPr>
                <w:b/>
                <w:sz w:val="21"/>
              </w:rPr>
              <w:t>7.3</w:t>
            </w:r>
          </w:p>
        </w:tc>
        <w:tc>
          <w:tcPr>
            <w:tcW w:w="1980" w:type="dxa"/>
          </w:tcPr>
          <w:p>
            <w:pPr>
              <w:pStyle w:val="TableParagraph"/>
              <w:spacing w:before="137"/>
              <w:ind w:left="141"/>
              <w:rPr>
                <w:b/>
                <w:sz w:val="21"/>
              </w:rPr>
            </w:pPr>
            <w:r>
              <w:rPr>
                <w:b/>
                <w:sz w:val="21"/>
              </w:rPr>
              <w:t>适用主合同条款</w:t>
            </w:r>
          </w:p>
        </w:tc>
        <w:tc>
          <w:tcPr>
            <w:tcW w:w="7373" w:type="dxa"/>
          </w:tcPr>
          <w:p>
            <w:pPr>
              <w:pStyle w:val="TableParagraph"/>
              <w:spacing w:before="137"/>
              <w:ind w:left="149"/>
              <w:rPr>
                <w:sz w:val="21"/>
              </w:rPr>
            </w:pPr>
            <w:r>
              <w:rPr>
                <w:sz w:val="21"/>
              </w:rPr>
              <w:t>下列各项条款，适用主合同条款：</w:t>
            </w:r>
          </w:p>
          <w:p>
            <w:pPr>
              <w:pStyle w:val="TableParagraph"/>
              <w:spacing w:before="37"/>
              <w:ind w:left="148"/>
              <w:rPr>
                <w:sz w:val="21"/>
              </w:rPr>
            </w:pPr>
            <w:r>
              <w:rPr>
                <w:sz w:val="21"/>
              </w:rPr>
              <w:t>（1）保险事故通知；</w:t>
            </w:r>
          </w:p>
          <w:p>
            <w:pPr>
              <w:pStyle w:val="TableParagraph"/>
              <w:spacing w:before="37"/>
              <w:ind w:left="148"/>
              <w:rPr>
                <w:sz w:val="21"/>
              </w:rPr>
            </w:pPr>
            <w:r>
              <w:rPr>
                <w:sz w:val="21"/>
              </w:rPr>
              <w:t>（2）宽限期；</w:t>
            </w:r>
          </w:p>
          <w:p>
            <w:pPr>
              <w:pStyle w:val="TableParagraph"/>
              <w:spacing w:before="37"/>
              <w:ind w:left="148"/>
              <w:rPr>
                <w:sz w:val="21"/>
              </w:rPr>
            </w:pPr>
            <w:r>
              <w:rPr>
                <w:sz w:val="21"/>
              </w:rPr>
              <w:t>（3）效力中止；</w:t>
            </w:r>
          </w:p>
          <w:p>
            <w:pPr>
              <w:pStyle w:val="TableParagraph"/>
              <w:spacing w:before="37"/>
              <w:ind w:left="148"/>
              <w:rPr>
                <w:sz w:val="21"/>
              </w:rPr>
            </w:pPr>
            <w:r>
              <w:rPr>
                <w:sz w:val="21"/>
              </w:rPr>
              <w:t>（4）未还款项；</w:t>
            </w:r>
          </w:p>
          <w:p>
            <w:pPr>
              <w:pStyle w:val="TableParagraph"/>
              <w:spacing w:before="37"/>
              <w:ind w:left="148"/>
              <w:rPr>
                <w:sz w:val="21"/>
              </w:rPr>
            </w:pPr>
            <w:r>
              <w:rPr>
                <w:sz w:val="21"/>
              </w:rPr>
              <w:t>（5）明确说明与如实告知；</w:t>
            </w:r>
          </w:p>
          <w:p>
            <w:pPr>
              <w:pStyle w:val="TableParagraph"/>
              <w:spacing w:before="37"/>
              <w:ind w:left="148"/>
              <w:rPr>
                <w:sz w:val="21"/>
              </w:rPr>
            </w:pPr>
            <w:r>
              <w:rPr>
                <w:sz w:val="21"/>
              </w:rPr>
              <w:t>（6）我们合同解除权的限制；</w:t>
            </w:r>
          </w:p>
          <w:p>
            <w:pPr>
              <w:pStyle w:val="TableParagraph"/>
              <w:spacing w:before="37"/>
              <w:ind w:left="148"/>
              <w:rPr>
                <w:sz w:val="21"/>
              </w:rPr>
            </w:pPr>
            <w:r>
              <w:rPr>
                <w:sz w:val="21"/>
              </w:rPr>
              <w:t>（7）合同内容变更；</w:t>
            </w:r>
          </w:p>
          <w:p>
            <w:pPr>
              <w:pStyle w:val="TableParagraph"/>
              <w:spacing w:before="37"/>
              <w:ind w:left="148"/>
              <w:rPr>
                <w:sz w:val="21"/>
              </w:rPr>
            </w:pPr>
            <w:r>
              <w:rPr>
                <w:sz w:val="21"/>
              </w:rPr>
              <w:t>（8）联系方式变更；</w:t>
            </w:r>
          </w:p>
          <w:p>
            <w:pPr>
              <w:pStyle w:val="TableParagraph"/>
              <w:spacing w:before="37"/>
              <w:ind w:left="149"/>
              <w:rPr>
                <w:sz w:val="21"/>
              </w:rPr>
            </w:pPr>
            <w:r>
              <w:rPr>
                <w:sz w:val="21"/>
              </w:rPr>
              <w:t>（9）争议处理。</w:t>
            </w:r>
          </w:p>
        </w:tc>
      </w:tr>
      <w:tr>
        <w:trPr>
          <w:trHeight w:val="753" w:hRule="atLeast"/>
        </w:trPr>
        <w:tc>
          <w:tcPr>
            <w:tcW w:w="607" w:type="dxa"/>
            <w:tcBorders>
              <w:bottom w:val="single" w:sz="8" w:space="0" w:color="000000"/>
            </w:tcBorders>
          </w:tcPr>
          <w:p>
            <w:pPr>
              <w:pStyle w:val="TableParagraph"/>
              <w:spacing w:before="189"/>
              <w:ind w:right="31"/>
              <w:jc w:val="center"/>
              <w:rPr>
                <w:rFonts w:ascii="Arial" w:hAnsi="Arial"/>
                <w:b/>
                <w:sz w:val="40"/>
              </w:rPr>
            </w:pPr>
            <w:r>
              <w:rPr>
                <w:rFonts w:ascii="Arial" w:hAnsi="Arial"/>
                <w:b/>
                <w:w w:val="119"/>
                <w:sz w:val="40"/>
              </w:rPr>
              <w:t></w:t>
            </w:r>
          </w:p>
        </w:tc>
        <w:tc>
          <w:tcPr>
            <w:tcW w:w="1980" w:type="dxa"/>
            <w:tcBorders>
              <w:bottom w:val="single" w:sz="8" w:space="0" w:color="000000"/>
            </w:tcBorders>
          </w:tcPr>
          <w:p>
            <w:pPr>
              <w:pStyle w:val="TableParagraph"/>
              <w:spacing w:before="4"/>
              <w:rPr>
                <w:sz w:val="18"/>
              </w:rPr>
            </w:pPr>
          </w:p>
          <w:p>
            <w:pPr>
              <w:pStyle w:val="TableParagraph"/>
              <w:spacing w:before="1"/>
              <w:ind w:left="141"/>
              <w:rPr>
                <w:b/>
                <w:sz w:val="24"/>
              </w:rPr>
            </w:pPr>
            <w:r>
              <w:rPr>
                <w:b/>
                <w:sz w:val="24"/>
              </w:rPr>
              <w:t>释义</w:t>
            </w:r>
          </w:p>
        </w:tc>
        <w:tc>
          <w:tcPr>
            <w:tcW w:w="7373" w:type="dxa"/>
            <w:tcBorders>
              <w:bottom w:val="single" w:sz="8" w:space="0" w:color="000000"/>
            </w:tcBorders>
          </w:tcPr>
          <w:p>
            <w:pPr>
              <w:pStyle w:val="TableParagraph"/>
              <w:rPr>
                <w:rFonts w:ascii="Times New Roman"/>
                <w:sz w:val="20"/>
              </w:rPr>
            </w:pPr>
          </w:p>
        </w:tc>
      </w:tr>
      <w:tr>
        <w:trPr>
          <w:trHeight w:val="886" w:hRule="atLeast"/>
        </w:trPr>
        <w:tc>
          <w:tcPr>
            <w:tcW w:w="607" w:type="dxa"/>
            <w:tcBorders>
              <w:top w:val="single" w:sz="8" w:space="0" w:color="000000"/>
            </w:tcBorders>
          </w:tcPr>
          <w:p>
            <w:pPr>
              <w:pStyle w:val="TableParagraph"/>
              <w:spacing w:before="5"/>
              <w:rPr>
                <w:sz w:val="22"/>
              </w:rPr>
            </w:pPr>
          </w:p>
          <w:p>
            <w:pPr>
              <w:pStyle w:val="TableParagraph"/>
              <w:ind w:left="88" w:right="160"/>
              <w:jc w:val="center"/>
              <w:rPr>
                <w:b/>
                <w:sz w:val="21"/>
              </w:rPr>
            </w:pPr>
            <w:r>
              <w:rPr>
                <w:b/>
                <w:sz w:val="21"/>
              </w:rPr>
              <w:t>8.1</w:t>
            </w:r>
          </w:p>
        </w:tc>
        <w:tc>
          <w:tcPr>
            <w:tcW w:w="1980" w:type="dxa"/>
            <w:tcBorders>
              <w:top w:val="single" w:sz="8" w:space="0" w:color="000000"/>
            </w:tcBorders>
          </w:tcPr>
          <w:p>
            <w:pPr>
              <w:pStyle w:val="TableParagraph"/>
              <w:spacing w:before="5"/>
              <w:rPr>
                <w:sz w:val="22"/>
              </w:rPr>
            </w:pPr>
          </w:p>
          <w:p>
            <w:pPr>
              <w:pStyle w:val="TableParagraph"/>
              <w:ind w:left="141"/>
              <w:rPr>
                <w:b/>
                <w:sz w:val="21"/>
              </w:rPr>
            </w:pPr>
            <w:r>
              <w:rPr>
                <w:b/>
                <w:sz w:val="21"/>
              </w:rPr>
              <w:t>保单年度</w:t>
            </w:r>
          </w:p>
        </w:tc>
        <w:tc>
          <w:tcPr>
            <w:tcW w:w="7373" w:type="dxa"/>
            <w:tcBorders>
              <w:top w:val="single" w:sz="8" w:space="0" w:color="000000"/>
            </w:tcBorders>
          </w:tcPr>
          <w:p>
            <w:pPr>
              <w:pStyle w:val="TableParagraph"/>
              <w:spacing w:before="9"/>
              <w:rPr>
                <w:sz w:val="19"/>
              </w:rPr>
            </w:pPr>
          </w:p>
          <w:p>
            <w:pPr>
              <w:pStyle w:val="TableParagraph"/>
              <w:spacing w:line="310" w:lineRule="atLeast"/>
              <w:ind w:left="149" w:right="284"/>
              <w:rPr>
                <w:sz w:val="21"/>
              </w:rPr>
            </w:pPr>
            <w:r>
              <w:rPr>
                <w:sz w:val="21"/>
              </w:rPr>
              <w:t>指从保险合同生效日或生效对应日零时起至下一年度保险合同生效对应日零时止的期间为一个保单年度。</w:t>
            </w:r>
          </w:p>
        </w:tc>
      </w:tr>
    </w:tbl>
    <w:p>
      <w:pPr>
        <w:spacing w:after="0" w:line="310" w:lineRule="atLeast"/>
        <w:rPr>
          <w:sz w:val="21"/>
        </w:rPr>
        <w:sectPr>
          <w:pgSz w:w="11910" w:h="16840"/>
          <w:pgMar w:top="1120" w:bottom="280" w:left="800" w:right="9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789"/>
        <w:gridCol w:w="7785"/>
      </w:tblGrid>
      <w:tr>
        <w:trPr>
          <w:trHeight w:val="729" w:hRule="atLeast"/>
        </w:trPr>
        <w:tc>
          <w:tcPr>
            <w:tcW w:w="679" w:type="dxa"/>
          </w:tcPr>
          <w:p>
            <w:pPr>
              <w:pStyle w:val="TableParagraph"/>
              <w:spacing w:line="211" w:lineRule="exact"/>
              <w:ind w:right="160"/>
              <w:jc w:val="right"/>
              <w:rPr>
                <w:b/>
                <w:sz w:val="21"/>
              </w:rPr>
            </w:pPr>
            <w:r>
              <w:rPr>
                <w:b/>
                <w:sz w:val="21"/>
              </w:rPr>
              <w:t>8.2</w:t>
            </w:r>
          </w:p>
        </w:tc>
        <w:tc>
          <w:tcPr>
            <w:tcW w:w="1789" w:type="dxa"/>
          </w:tcPr>
          <w:p>
            <w:pPr>
              <w:pStyle w:val="TableParagraph"/>
              <w:spacing w:line="211" w:lineRule="exact"/>
              <w:ind w:left="161"/>
              <w:rPr>
                <w:b/>
                <w:sz w:val="21"/>
              </w:rPr>
            </w:pPr>
            <w:r>
              <w:rPr>
                <w:b/>
                <w:sz w:val="21"/>
              </w:rPr>
              <w:t>有效身份证件</w:t>
            </w:r>
          </w:p>
        </w:tc>
        <w:tc>
          <w:tcPr>
            <w:tcW w:w="7785" w:type="dxa"/>
          </w:tcPr>
          <w:p>
            <w:pPr>
              <w:pStyle w:val="TableParagraph"/>
              <w:spacing w:line="211" w:lineRule="exact"/>
              <w:ind w:left="360"/>
              <w:rPr>
                <w:sz w:val="21"/>
              </w:rPr>
            </w:pPr>
            <w:r>
              <w:rPr>
                <w:sz w:val="21"/>
              </w:rPr>
              <w:t>指由政府主管部门规定的证明其身份的证件，如：居民身份证、按规定可使用</w:t>
            </w:r>
          </w:p>
          <w:p>
            <w:pPr>
              <w:pStyle w:val="TableParagraph"/>
              <w:spacing w:before="37"/>
              <w:ind w:left="360"/>
              <w:rPr>
                <w:sz w:val="21"/>
              </w:rPr>
            </w:pPr>
            <w:r>
              <w:rPr>
                <w:sz w:val="21"/>
              </w:rPr>
              <w:t>的有效护照、军官证、武警警官证、士兵证等证件。</w:t>
            </w:r>
          </w:p>
        </w:tc>
      </w:tr>
      <w:tr>
        <w:trPr>
          <w:trHeight w:val="936" w:hRule="atLeast"/>
        </w:trPr>
        <w:tc>
          <w:tcPr>
            <w:tcW w:w="679" w:type="dxa"/>
          </w:tcPr>
          <w:p>
            <w:pPr>
              <w:pStyle w:val="TableParagraph"/>
              <w:spacing w:before="142"/>
              <w:ind w:right="160"/>
              <w:jc w:val="right"/>
              <w:rPr>
                <w:b/>
                <w:sz w:val="21"/>
              </w:rPr>
            </w:pPr>
            <w:r>
              <w:rPr>
                <w:b/>
                <w:sz w:val="21"/>
              </w:rPr>
              <w:t>8.3</w:t>
            </w:r>
          </w:p>
        </w:tc>
        <w:tc>
          <w:tcPr>
            <w:tcW w:w="1789" w:type="dxa"/>
          </w:tcPr>
          <w:p>
            <w:pPr>
              <w:pStyle w:val="TableParagraph"/>
              <w:spacing w:before="142"/>
              <w:ind w:left="161"/>
              <w:rPr>
                <w:b/>
                <w:sz w:val="21"/>
              </w:rPr>
            </w:pPr>
            <w:r>
              <w:rPr>
                <w:b/>
                <w:sz w:val="21"/>
              </w:rPr>
              <w:t>周岁</w:t>
            </w:r>
          </w:p>
        </w:tc>
        <w:tc>
          <w:tcPr>
            <w:tcW w:w="7785" w:type="dxa"/>
          </w:tcPr>
          <w:p>
            <w:pPr>
              <w:pStyle w:val="TableParagraph"/>
              <w:spacing w:line="273" w:lineRule="auto" w:before="142"/>
              <w:ind w:left="360" w:right="266"/>
              <w:rPr>
                <w:sz w:val="21"/>
              </w:rPr>
            </w:pPr>
            <w:r>
              <w:rPr>
                <w:sz w:val="21"/>
              </w:rPr>
              <w:t>指按有效身份证件中记载的出生日期计算的年龄，自出生之日起为零周岁，每经过一年增加一岁，不足一年的不计。</w:t>
            </w:r>
          </w:p>
        </w:tc>
      </w:tr>
      <w:tr>
        <w:trPr>
          <w:trHeight w:val="624" w:hRule="atLeast"/>
        </w:trPr>
        <w:tc>
          <w:tcPr>
            <w:tcW w:w="679" w:type="dxa"/>
          </w:tcPr>
          <w:p>
            <w:pPr>
              <w:pStyle w:val="TableParagraph"/>
              <w:spacing w:before="142"/>
              <w:ind w:right="160"/>
              <w:jc w:val="right"/>
              <w:rPr>
                <w:b/>
                <w:sz w:val="21"/>
              </w:rPr>
            </w:pPr>
            <w:r>
              <w:rPr>
                <w:b/>
                <w:w w:val="95"/>
                <w:sz w:val="21"/>
              </w:rPr>
              <w:t>8.4</w:t>
            </w:r>
          </w:p>
        </w:tc>
        <w:tc>
          <w:tcPr>
            <w:tcW w:w="1789" w:type="dxa"/>
          </w:tcPr>
          <w:p>
            <w:pPr>
              <w:pStyle w:val="TableParagraph"/>
              <w:spacing w:before="142"/>
              <w:ind w:left="161"/>
              <w:rPr>
                <w:b/>
                <w:sz w:val="21"/>
              </w:rPr>
            </w:pPr>
            <w:r>
              <w:rPr>
                <w:b/>
                <w:sz w:val="21"/>
              </w:rPr>
              <w:t>意外伤害事故</w:t>
            </w:r>
          </w:p>
        </w:tc>
        <w:tc>
          <w:tcPr>
            <w:tcW w:w="7785" w:type="dxa"/>
          </w:tcPr>
          <w:p>
            <w:pPr>
              <w:pStyle w:val="TableParagraph"/>
              <w:spacing w:before="142"/>
              <w:ind w:left="360"/>
              <w:rPr>
                <w:sz w:val="21"/>
              </w:rPr>
            </w:pPr>
            <w:r>
              <w:rPr>
                <w:sz w:val="21"/>
              </w:rPr>
              <w:t>指外来的、非本意的、突然的、非疾病的使被保险人身体受到伤害的客观事件。</w:t>
            </w:r>
          </w:p>
        </w:tc>
      </w:tr>
      <w:tr>
        <w:trPr>
          <w:trHeight w:val="11961" w:hRule="atLeast"/>
        </w:trPr>
        <w:tc>
          <w:tcPr>
            <w:tcW w:w="679" w:type="dxa"/>
          </w:tcPr>
          <w:p>
            <w:pPr>
              <w:pStyle w:val="TableParagraph"/>
              <w:spacing w:before="142"/>
              <w:ind w:right="160"/>
              <w:jc w:val="right"/>
              <w:rPr>
                <w:b/>
                <w:sz w:val="21"/>
              </w:rPr>
            </w:pPr>
            <w:r>
              <w:rPr>
                <w:b/>
                <w:sz w:val="21"/>
              </w:rPr>
              <w:t>8.5</w:t>
            </w:r>
          </w:p>
        </w:tc>
        <w:tc>
          <w:tcPr>
            <w:tcW w:w="1789" w:type="dxa"/>
          </w:tcPr>
          <w:p>
            <w:pPr>
              <w:pStyle w:val="TableParagraph"/>
              <w:spacing w:before="142"/>
              <w:ind w:left="161"/>
              <w:rPr>
                <w:b/>
                <w:sz w:val="21"/>
              </w:rPr>
            </w:pPr>
            <w:r>
              <w:rPr>
                <w:b/>
                <w:sz w:val="21"/>
              </w:rPr>
              <w:t>少儿重大疾病</w:t>
            </w:r>
          </w:p>
        </w:tc>
        <w:tc>
          <w:tcPr>
            <w:tcW w:w="7785" w:type="dxa"/>
          </w:tcPr>
          <w:p>
            <w:pPr>
              <w:pStyle w:val="TableParagraph"/>
              <w:spacing w:before="142"/>
              <w:ind w:left="360"/>
              <w:rPr>
                <w:b/>
                <w:sz w:val="21"/>
              </w:rPr>
            </w:pPr>
            <w:bookmarkStart w:name="（一）恶性肿瘤" w:id="1"/>
            <w:bookmarkEnd w:id="1"/>
            <w:r>
              <w:rPr/>
            </w:r>
            <w:r>
              <w:rPr>
                <w:b/>
                <w:sz w:val="21"/>
              </w:rPr>
              <w:t>（一）恶性肿瘤</w:t>
            </w:r>
          </w:p>
          <w:p>
            <w:pPr>
              <w:pStyle w:val="TableParagraph"/>
              <w:spacing w:line="273" w:lineRule="auto" w:before="36"/>
              <w:ind w:left="359" w:right="197" w:firstLine="420"/>
              <w:jc w:val="both"/>
              <w:rPr>
                <w:sz w:val="21"/>
              </w:rPr>
            </w:pPr>
            <w:r>
              <w:rPr>
                <w:spacing w:val="-5"/>
                <w:sz w:val="21"/>
              </w:rPr>
              <w:t>指恶性细胞不受控制的进行性增长和扩散，浸润和破坏周围正常组织，可</w:t>
            </w:r>
            <w:r>
              <w:rPr>
                <w:spacing w:val="-7"/>
                <w:sz w:val="21"/>
              </w:rPr>
              <w:t>以经血管、淋巴管和体腔扩散转移到身体其它部位的疾病。经病理学检查结果</w:t>
            </w:r>
            <w:r>
              <w:rPr>
                <w:spacing w:val="-15"/>
                <w:sz w:val="21"/>
              </w:rPr>
              <w:t>明确诊断，临床诊断属于世界卫生组织《疾病和有关健康问题的国际统计分类》</w:t>
            </w:r>
          </w:p>
          <w:p>
            <w:pPr>
              <w:pStyle w:val="TableParagraph"/>
              <w:spacing w:line="273" w:lineRule="auto" w:before="7"/>
              <w:ind w:left="885" w:right="4376" w:hanging="526"/>
              <w:rPr>
                <w:sz w:val="21"/>
              </w:rPr>
            </w:pPr>
            <w:r>
              <w:rPr>
                <w:sz w:val="21"/>
              </w:rPr>
              <w:t>（ICD-10）</w:t>
            </w:r>
            <w:r>
              <w:rPr>
                <w:spacing w:val="-3"/>
                <w:sz w:val="21"/>
              </w:rPr>
              <w:t>的恶性肿瘤范畴。  下列疾病不在保障范围内：</w:t>
            </w:r>
          </w:p>
          <w:p>
            <w:pPr>
              <w:pStyle w:val="TableParagraph"/>
              <w:spacing w:before="7"/>
              <w:ind w:left="360"/>
              <w:rPr>
                <w:sz w:val="21"/>
              </w:rPr>
            </w:pPr>
            <w:r>
              <w:rPr>
                <w:sz w:val="21"/>
              </w:rPr>
              <w:t>（1）原位癌；</w:t>
            </w:r>
          </w:p>
          <w:p>
            <w:pPr>
              <w:pStyle w:val="TableParagraph"/>
              <w:spacing w:before="36"/>
              <w:ind w:left="360"/>
              <w:rPr>
                <w:sz w:val="21"/>
              </w:rPr>
            </w:pPr>
            <w:r>
              <w:rPr>
                <w:sz w:val="21"/>
              </w:rPr>
              <w:t>（2）相当于 Binet 分期方案 A 期程度的慢性淋巴细胞白血病；</w:t>
            </w:r>
          </w:p>
          <w:p>
            <w:pPr>
              <w:pStyle w:val="TableParagraph"/>
              <w:spacing w:before="36"/>
              <w:ind w:left="359"/>
              <w:rPr>
                <w:sz w:val="21"/>
              </w:rPr>
            </w:pPr>
            <w:r>
              <w:rPr>
                <w:sz w:val="21"/>
              </w:rPr>
              <w:t>（3）相当于 Ann Arbor 分期方案 I 期程度的何杰金氏病；</w:t>
            </w:r>
          </w:p>
          <w:p>
            <w:pPr>
              <w:pStyle w:val="TableParagraph"/>
              <w:spacing w:before="36"/>
              <w:ind w:left="359"/>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359"/>
              <w:rPr>
                <w:sz w:val="21"/>
              </w:rPr>
            </w:pPr>
            <w:r>
              <w:rPr>
                <w:sz w:val="21"/>
              </w:rPr>
              <w:t>（5）TNM 分期为 T1N0M0 期或更轻分期的前列腺癌；</w:t>
            </w:r>
          </w:p>
          <w:p>
            <w:pPr>
              <w:pStyle w:val="TableParagraph"/>
              <w:spacing w:before="36"/>
              <w:ind w:left="359"/>
              <w:rPr>
                <w:sz w:val="21"/>
              </w:rPr>
            </w:pPr>
            <w:r>
              <w:rPr>
                <w:sz w:val="21"/>
              </w:rPr>
              <w:t>（6）感染艾滋病病毒或患艾滋病期间所患恶性肿瘤。</w:t>
            </w:r>
          </w:p>
          <w:p>
            <w:pPr>
              <w:pStyle w:val="TableParagraph"/>
              <w:spacing w:before="8"/>
              <w:rPr>
                <w:sz w:val="26"/>
              </w:rPr>
            </w:pPr>
          </w:p>
          <w:p>
            <w:pPr>
              <w:pStyle w:val="TableParagraph"/>
              <w:ind w:left="360"/>
              <w:rPr>
                <w:b/>
                <w:sz w:val="21"/>
              </w:rPr>
            </w:pPr>
            <w:bookmarkStart w:name="（二）脑炎后遗症或脑膜炎后遗症" w:id="2"/>
            <w:bookmarkEnd w:id="2"/>
            <w:r>
              <w:rPr/>
            </w:r>
            <w:r>
              <w:rPr>
                <w:b/>
                <w:sz w:val="21"/>
              </w:rPr>
              <w:t>（二）脑炎后遗症或脑膜炎后遗症</w:t>
            </w:r>
          </w:p>
          <w:p>
            <w:pPr>
              <w:pStyle w:val="TableParagraph"/>
              <w:spacing w:line="273" w:lineRule="auto" w:before="36"/>
              <w:ind w:left="360" w:right="301" w:firstLine="431"/>
              <w:jc w:val="both"/>
              <w:rPr>
                <w:sz w:val="21"/>
              </w:rPr>
            </w:pPr>
            <w:r>
              <w:rPr>
                <w:spacing w:val="-5"/>
                <w:sz w:val="21"/>
              </w:rPr>
              <w:t>指因患脑炎或脑膜炎导致的神经系统永久性的功能障碍。神经系统永久性</w:t>
            </w:r>
            <w:r>
              <w:rPr>
                <w:spacing w:val="-7"/>
                <w:sz w:val="21"/>
              </w:rPr>
              <w:t>的功能障碍，指疾病首次确诊 </w:t>
            </w:r>
            <w:r>
              <w:rPr>
                <w:sz w:val="21"/>
              </w:rPr>
              <w:t>180</w:t>
            </w:r>
            <w:r>
              <w:rPr>
                <w:spacing w:val="-7"/>
                <w:sz w:val="21"/>
              </w:rPr>
              <w:t> 天后，仍残留下列一种或一种以上障碍：</w:t>
            </w:r>
          </w:p>
          <w:p>
            <w:pPr>
              <w:pStyle w:val="TableParagraph"/>
              <w:spacing w:before="7"/>
              <w:ind w:left="360"/>
              <w:rPr>
                <w:sz w:val="21"/>
              </w:rPr>
            </w:pPr>
            <w:r>
              <w:rPr>
                <w:sz w:val="21"/>
              </w:rPr>
              <w:t>（1）一肢或一肢以上肢体机能完全丧失；</w:t>
            </w:r>
          </w:p>
          <w:p>
            <w:pPr>
              <w:pStyle w:val="TableParagraph"/>
              <w:spacing w:before="37"/>
              <w:ind w:left="360"/>
              <w:rPr>
                <w:sz w:val="21"/>
              </w:rPr>
            </w:pPr>
            <w:r>
              <w:rPr>
                <w:sz w:val="21"/>
              </w:rPr>
              <w:t>（2）语言能力或咀嚼吞咽能力完全丧失；</w:t>
            </w:r>
          </w:p>
          <w:p>
            <w:pPr>
              <w:pStyle w:val="TableParagraph"/>
              <w:spacing w:line="273" w:lineRule="auto" w:before="37"/>
              <w:ind w:left="359" w:right="301"/>
              <w:rPr>
                <w:sz w:val="21"/>
              </w:rPr>
            </w:pPr>
            <w:r>
              <w:rPr>
                <w:sz w:val="21"/>
              </w:rPr>
              <w:t>（3）自主生活能力完全丧失，无法独立完成六项基本日常生活活动中的三项或三项以上。</w:t>
            </w:r>
          </w:p>
          <w:p>
            <w:pPr>
              <w:pStyle w:val="TableParagraph"/>
              <w:spacing w:before="5"/>
              <w:rPr>
                <w:sz w:val="24"/>
              </w:rPr>
            </w:pPr>
          </w:p>
          <w:p>
            <w:pPr>
              <w:pStyle w:val="TableParagraph"/>
              <w:ind w:left="360"/>
              <w:rPr>
                <w:b/>
                <w:sz w:val="21"/>
              </w:rPr>
            </w:pPr>
            <w:bookmarkStart w:name="（三） 终末期肾病" w:id="3"/>
            <w:bookmarkEnd w:id="3"/>
            <w:r>
              <w:rPr/>
            </w:r>
            <w:r>
              <w:rPr>
                <w:b/>
                <w:sz w:val="21"/>
              </w:rPr>
              <w:t>（三） 终末期肾病</w:t>
            </w:r>
          </w:p>
          <w:p>
            <w:pPr>
              <w:pStyle w:val="TableParagraph"/>
              <w:spacing w:before="36"/>
              <w:ind w:left="791"/>
              <w:rPr>
                <w:sz w:val="21"/>
              </w:rPr>
            </w:pPr>
            <w:r>
              <w:rPr>
                <w:sz w:val="21"/>
              </w:rPr>
              <w:t>指双肾功能慢性不可逆性衰竭，达到尿毒症期，经诊断后已经进行了至少</w:t>
            </w:r>
          </w:p>
          <w:p>
            <w:pPr>
              <w:pStyle w:val="TableParagraph"/>
              <w:spacing w:before="36"/>
              <w:ind w:left="360"/>
              <w:rPr>
                <w:sz w:val="21"/>
              </w:rPr>
            </w:pPr>
            <w:r>
              <w:rPr>
                <w:sz w:val="21"/>
              </w:rPr>
              <w:t>90 天的规律性透析治疗或实施了肾脏移植手术。</w:t>
            </w:r>
          </w:p>
          <w:p>
            <w:pPr>
              <w:pStyle w:val="TableParagraph"/>
              <w:spacing w:before="8"/>
              <w:rPr>
                <w:sz w:val="26"/>
              </w:rPr>
            </w:pPr>
          </w:p>
          <w:p>
            <w:pPr>
              <w:pStyle w:val="TableParagraph"/>
              <w:ind w:left="360"/>
              <w:rPr>
                <w:b/>
                <w:sz w:val="21"/>
              </w:rPr>
            </w:pPr>
            <w:bookmarkStart w:name="（四）重大器官移植术或造血干细胞移植术" w:id="4"/>
            <w:bookmarkEnd w:id="4"/>
            <w:r>
              <w:rPr/>
            </w:r>
            <w:r>
              <w:rPr>
                <w:b/>
                <w:sz w:val="21"/>
              </w:rPr>
              <w:t>（四）重大器官移植术或造血干细胞移植术</w:t>
            </w:r>
          </w:p>
          <w:p>
            <w:pPr>
              <w:pStyle w:val="TableParagraph"/>
              <w:spacing w:line="273" w:lineRule="auto" w:before="37"/>
              <w:ind w:left="360" w:right="301" w:firstLine="431"/>
              <w:jc w:val="both"/>
              <w:rPr>
                <w:sz w:val="21"/>
              </w:rPr>
            </w:pPr>
            <w:r>
              <w:rPr>
                <w:spacing w:val="-7"/>
                <w:sz w:val="21"/>
              </w:rPr>
              <w:t>重大器官移植术，指因相应器官功能衰竭，已经实施了肾脏、肝脏、心脏</w:t>
            </w:r>
            <w:r>
              <w:rPr>
                <w:spacing w:val="-5"/>
                <w:sz w:val="21"/>
              </w:rPr>
              <w:t>或肺脏的异体移植手术。</w:t>
            </w:r>
          </w:p>
          <w:p>
            <w:pPr>
              <w:pStyle w:val="TableParagraph"/>
              <w:spacing w:line="273" w:lineRule="auto" w:before="8"/>
              <w:ind w:left="360" w:right="301" w:firstLine="431"/>
              <w:jc w:val="both"/>
              <w:rPr>
                <w:sz w:val="21"/>
              </w:rPr>
            </w:pPr>
            <w:r>
              <w:rPr>
                <w:spacing w:val="-6"/>
                <w:sz w:val="21"/>
              </w:rPr>
              <w:t>造血干细胞移植术，指因造血功能损害或造血系统恶性肿瘤，已经实施了造血干细胞</w:t>
            </w:r>
            <w:r>
              <w:rPr>
                <w:spacing w:val="-3"/>
                <w:sz w:val="21"/>
              </w:rPr>
              <w:t>（</w:t>
            </w:r>
            <w:r>
              <w:rPr>
                <w:spacing w:val="-4"/>
                <w:sz w:val="21"/>
              </w:rPr>
              <w:t>包括骨髓造血干细胞、外周造血干细胞和脐血造血干细胞</w:t>
            </w:r>
            <w:r>
              <w:rPr>
                <w:spacing w:val="-10"/>
                <w:sz w:val="21"/>
              </w:rPr>
              <w:t>）</w:t>
            </w:r>
            <w:r>
              <w:rPr>
                <w:spacing w:val="-3"/>
                <w:sz w:val="21"/>
              </w:rPr>
              <w:t>的异</w:t>
            </w:r>
            <w:r>
              <w:rPr>
                <w:spacing w:val="-2"/>
                <w:sz w:val="21"/>
              </w:rPr>
              <w:t>体移植手术。</w:t>
            </w:r>
          </w:p>
          <w:p>
            <w:pPr>
              <w:pStyle w:val="TableParagraph"/>
              <w:spacing w:before="6"/>
              <w:rPr>
                <w:sz w:val="24"/>
              </w:rPr>
            </w:pPr>
          </w:p>
          <w:p>
            <w:pPr>
              <w:pStyle w:val="TableParagraph"/>
              <w:ind w:left="360"/>
              <w:rPr>
                <w:b/>
                <w:sz w:val="21"/>
              </w:rPr>
            </w:pPr>
            <w:bookmarkStart w:name="（五）严重III度烧伤" w:id="5"/>
            <w:bookmarkEnd w:id="5"/>
            <w:r>
              <w:rPr/>
            </w:r>
            <w:r>
              <w:rPr>
                <w:b/>
                <w:sz w:val="21"/>
              </w:rPr>
              <w:t>（五）严重III度烧伤</w:t>
            </w:r>
          </w:p>
          <w:p>
            <w:pPr>
              <w:pStyle w:val="TableParagraph"/>
              <w:spacing w:line="273" w:lineRule="auto" w:before="37"/>
              <w:ind w:left="360" w:right="304" w:firstLine="431"/>
              <w:jc w:val="both"/>
              <w:rPr>
                <w:sz w:val="21"/>
              </w:rPr>
            </w:pPr>
            <w:r>
              <w:rPr>
                <w:spacing w:val="-4"/>
                <w:sz w:val="21"/>
              </w:rPr>
              <w:t>指烧伤程度为Ⅲ度，且Ⅲ度烧伤面积达到全身体表面积的 </w:t>
            </w:r>
            <w:r>
              <w:rPr>
                <w:sz w:val="21"/>
              </w:rPr>
              <w:t>20％</w:t>
            </w:r>
            <w:r>
              <w:rPr>
                <w:spacing w:val="-4"/>
                <w:sz w:val="21"/>
              </w:rPr>
              <w:t>或 </w:t>
            </w:r>
            <w:r>
              <w:rPr>
                <w:sz w:val="21"/>
              </w:rPr>
              <w:t>20</w:t>
            </w:r>
            <w:r>
              <w:rPr>
                <w:spacing w:val="-2"/>
                <w:sz w:val="21"/>
              </w:rPr>
              <w:t>％以</w:t>
            </w:r>
            <w:r>
              <w:rPr>
                <w:spacing w:val="-3"/>
                <w:sz w:val="21"/>
              </w:rPr>
              <w:t>上。体表面积根据 《中国新九分法》计算。</w:t>
            </w:r>
          </w:p>
          <w:p>
            <w:pPr>
              <w:pStyle w:val="TableParagraph"/>
              <w:spacing w:before="5"/>
              <w:rPr>
                <w:sz w:val="24"/>
              </w:rPr>
            </w:pPr>
          </w:p>
          <w:p>
            <w:pPr>
              <w:pStyle w:val="TableParagraph"/>
              <w:ind w:left="360"/>
              <w:rPr>
                <w:b/>
                <w:sz w:val="21"/>
              </w:rPr>
            </w:pPr>
            <w:bookmarkStart w:name="（六）严重川崎病" w:id="6"/>
            <w:bookmarkEnd w:id="6"/>
            <w:r>
              <w:rPr/>
            </w:r>
            <w:r>
              <w:rPr>
                <w:b/>
                <w:sz w:val="21"/>
              </w:rPr>
              <w:t>（六）严重川崎病</w:t>
            </w:r>
          </w:p>
          <w:p>
            <w:pPr>
              <w:pStyle w:val="TableParagraph"/>
              <w:spacing w:line="255" w:lineRule="exact" w:before="36"/>
              <w:ind w:left="780"/>
              <w:rPr>
                <w:sz w:val="21"/>
              </w:rPr>
            </w:pPr>
            <w:r>
              <w:rPr>
                <w:sz w:val="21"/>
              </w:rPr>
              <w:t>川崎病为一种病因不明的系统性血管炎。</w:t>
            </w:r>
          </w:p>
        </w:tc>
      </w:tr>
    </w:tbl>
    <w:p>
      <w:pPr>
        <w:spacing w:after="0" w:line="255" w:lineRule="exact"/>
        <w:rPr>
          <w:sz w:val="21"/>
        </w:rPr>
        <w:sectPr>
          <w:pgSz w:w="11910" w:h="16840"/>
          <w:pgMar w:top="1160" w:bottom="280" w:left="720" w:right="720"/>
        </w:sectPr>
      </w:pPr>
    </w:p>
    <w:p>
      <w:pPr>
        <w:pStyle w:val="BodyText"/>
        <w:spacing w:line="273" w:lineRule="auto" w:before="22"/>
        <w:ind w:right="169" w:firstLine="419"/>
      </w:pPr>
      <w:r>
        <w:rPr/>
        <w:t>本保单仅对诊断性检查证实川崎病并发动脉瘤或其他心血管异常，并且实际接受了手术治疗的情况予以理赔。</w:t>
      </w:r>
    </w:p>
    <w:p>
      <w:pPr>
        <w:pStyle w:val="BodyText"/>
        <w:spacing w:before="5"/>
        <w:ind w:left="0"/>
        <w:rPr>
          <w:sz w:val="24"/>
        </w:rPr>
      </w:pPr>
    </w:p>
    <w:p>
      <w:pPr>
        <w:pStyle w:val="Heading3"/>
        <w:spacing w:before="1"/>
      </w:pPr>
      <w:bookmarkStart w:name="（七）1型糖尿病" w:id="7"/>
      <w:bookmarkEnd w:id="7"/>
      <w:r>
        <w:rPr>
          <w:b w:val="0"/>
        </w:rPr>
      </w:r>
      <w:r>
        <w:rPr/>
        <w:t>（七）1 型糖尿病</w:t>
      </w:r>
    </w:p>
    <w:p>
      <w:pPr>
        <w:pStyle w:val="BodyText"/>
        <w:spacing w:line="273" w:lineRule="auto"/>
        <w:ind w:right="114" w:firstLine="419"/>
        <w:jc w:val="both"/>
      </w:pPr>
      <w:r>
        <w:rPr/>
        <w:t>1</w:t>
      </w:r>
      <w:r>
        <w:rPr>
          <w:spacing w:val="-4"/>
        </w:rPr>
        <w:t> 型糖尿病的特征为由于胰岛素分泌绝对不足引起严重胰岛素缺乏导致慢</w:t>
      </w:r>
      <w:r>
        <w:rPr>
          <w:spacing w:val="-6"/>
        </w:rPr>
        <w:t>性血糖升高，需要依赖外源性胰岛素进行机体的葡萄糖代谢和维持生命。被保</w:t>
      </w:r>
      <w:r>
        <w:rPr>
          <w:spacing w:val="-14"/>
        </w:rPr>
        <w:t>险人的 </w:t>
      </w:r>
      <w:r>
        <w:rPr/>
        <w:t>1</w:t>
      </w:r>
      <w:r>
        <w:rPr>
          <w:spacing w:val="-13"/>
        </w:rPr>
        <w:t> 型糖尿病必须诊断明确，而且有血胰岛素测定及血 </w:t>
      </w:r>
      <w:r>
        <w:rPr/>
        <w:t>C</w:t>
      </w:r>
      <w:r>
        <w:rPr>
          <w:spacing w:val="-22"/>
        </w:rPr>
        <w:t> 肽或尿 </w:t>
      </w:r>
      <w:r>
        <w:rPr/>
        <w:t>C</w:t>
      </w:r>
      <w:r>
        <w:rPr>
          <w:spacing w:val="-15"/>
        </w:rPr>
        <w:t> 肽测定</w:t>
      </w:r>
      <w:r>
        <w:rPr>
          <w:spacing w:val="-14"/>
        </w:rPr>
        <w:t>结果支持诊断，并且已经持续性地接受外源性胰岛素注射治疗连续 </w:t>
      </w:r>
      <w:r>
        <w:rPr/>
        <w:t>180</w:t>
      </w:r>
      <w:r>
        <w:rPr>
          <w:spacing w:val="-12"/>
        </w:rPr>
        <w:t> 天以上。</w:t>
      </w:r>
    </w:p>
    <w:p>
      <w:pPr>
        <w:pStyle w:val="BodyText"/>
        <w:spacing w:before="5"/>
        <w:ind w:left="0"/>
        <w:rPr>
          <w:sz w:val="24"/>
        </w:rPr>
      </w:pPr>
    </w:p>
    <w:p>
      <w:pPr>
        <w:pStyle w:val="Heading3"/>
      </w:pPr>
      <w:bookmarkStart w:name="（八）多个肢体缺失" w:id="8"/>
      <w:bookmarkEnd w:id="8"/>
      <w:r>
        <w:rPr>
          <w:b w:val="0"/>
        </w:rPr>
      </w:r>
      <w:r>
        <w:rPr/>
        <w:t>（八）多个肢体缺失</w:t>
      </w:r>
    </w:p>
    <w:p>
      <w:pPr>
        <w:pStyle w:val="BodyText"/>
        <w:spacing w:line="273" w:lineRule="auto" w:before="36"/>
        <w:ind w:right="162" w:firstLine="431"/>
      </w:pPr>
      <w:r>
        <w:rPr/>
        <w:t>指因疾病或意外伤害导致两个或两个以上肢体自腕关节或踝关节近端（靠近躯干端）以上完全性断离。</w:t>
      </w:r>
    </w:p>
    <w:p>
      <w:pPr>
        <w:pStyle w:val="BodyText"/>
        <w:spacing w:before="5"/>
        <w:ind w:left="0"/>
        <w:rPr>
          <w:sz w:val="24"/>
        </w:rPr>
      </w:pPr>
    </w:p>
    <w:p>
      <w:pPr>
        <w:pStyle w:val="Heading3"/>
      </w:pPr>
      <w:bookmarkStart w:name="（九）急性或亚急性重症肝炎" w:id="9"/>
      <w:bookmarkEnd w:id="9"/>
      <w:r>
        <w:rPr>
          <w:b w:val="0"/>
        </w:rPr>
      </w:r>
      <w:r>
        <w:rPr/>
        <w:t>（九）急性或亚急性重症肝炎</w:t>
      </w:r>
    </w:p>
    <w:p>
      <w:pPr>
        <w:pStyle w:val="BodyText"/>
        <w:spacing w:line="273" w:lineRule="auto"/>
        <w:ind w:left="1967" w:right="167" w:firstLine="432"/>
      </w:pPr>
      <w:r>
        <w:rPr/>
        <w:t>指因肝炎病毒感染引起肝组织弥漫性坏死，导致急性肝功能衰竭，且经血清学或病毒学检查证实，须满足下列全部条件：</w:t>
      </w:r>
    </w:p>
    <w:p>
      <w:pPr>
        <w:pStyle w:val="BodyText"/>
        <w:spacing w:before="7"/>
        <w:ind w:left="1967"/>
      </w:pPr>
      <w:r>
        <w:rPr/>
        <w:t>（1）重度黄疸或黄疸迅速加重；</w:t>
      </w:r>
    </w:p>
    <w:p>
      <w:pPr>
        <w:pStyle w:val="BodyText"/>
        <w:spacing w:before="36"/>
        <w:ind w:left="1967"/>
      </w:pPr>
      <w:r>
        <w:rPr/>
        <w:t>（2）肝性脑病；</w:t>
      </w:r>
    </w:p>
    <w:p>
      <w:pPr>
        <w:pStyle w:val="BodyText"/>
        <w:spacing w:before="36"/>
        <w:ind w:left="1967"/>
      </w:pPr>
      <w:r>
        <w:rPr/>
        <w:t>（3）B 超或其他影像学检查显示肝脏体积急速萎缩；</w:t>
      </w:r>
    </w:p>
    <w:p>
      <w:pPr>
        <w:pStyle w:val="BodyText"/>
        <w:spacing w:before="36"/>
        <w:ind w:left="1967"/>
      </w:pPr>
      <w:r>
        <w:rPr/>
        <w:t>（4）肝功能指标进行性恶化。</w:t>
      </w:r>
    </w:p>
    <w:p>
      <w:pPr>
        <w:pStyle w:val="BodyText"/>
        <w:spacing w:before="8"/>
        <w:ind w:left="0"/>
        <w:rPr>
          <w:sz w:val="26"/>
        </w:rPr>
      </w:pPr>
    </w:p>
    <w:p>
      <w:pPr>
        <w:pStyle w:val="Heading3"/>
        <w:spacing w:before="1"/>
      </w:pPr>
      <w:bookmarkStart w:name="（十）良性脑肿瘤" w:id="10"/>
      <w:bookmarkEnd w:id="10"/>
      <w:r>
        <w:rPr>
          <w:b w:val="0"/>
        </w:rPr>
      </w:r>
      <w:r>
        <w:rPr/>
        <w:t>（十）良性脑肿瘤</w:t>
      </w:r>
    </w:p>
    <w:p>
      <w:pPr>
        <w:pStyle w:val="BodyText"/>
        <w:spacing w:line="273" w:lineRule="auto"/>
        <w:ind w:right="214" w:firstLine="431"/>
        <w:jc w:val="both"/>
      </w:pPr>
      <w:r>
        <w:rPr>
          <w:spacing w:val="-7"/>
        </w:rPr>
        <w:t>指脑的良性肿瘤，已经引起颅内压增高，临床表现为视神经乳头水肿、精</w:t>
      </w:r>
      <w:r>
        <w:rPr>
          <w:w w:val="100"/>
        </w:rPr>
        <w:t>神症状、癫痫及运动感觉障碍等，并危及生命。须由头颅断层扫描</w:t>
      </w:r>
      <w:r>
        <w:rPr>
          <w:spacing w:val="1"/>
          <w:w w:val="100"/>
        </w:rPr>
        <w:t>（</w:t>
      </w:r>
      <w:r>
        <w:rPr>
          <w:w w:val="100"/>
        </w:rPr>
        <w:t>C</w:t>
      </w:r>
      <w:r>
        <w:rPr>
          <w:spacing w:val="2"/>
          <w:w w:val="100"/>
        </w:rPr>
        <w:t>T</w:t>
      </w:r>
      <w:r>
        <w:rPr>
          <w:spacing w:val="-106"/>
          <w:w w:val="100"/>
        </w:rPr>
        <w:t>）</w:t>
      </w:r>
      <w:r>
        <w:rPr>
          <w:w w:val="100"/>
        </w:rPr>
        <w:t>、核</w:t>
      </w:r>
      <w:r>
        <w:rPr>
          <w:spacing w:val="-3"/>
        </w:rPr>
        <w:t>磁共振检查（MRI）</w:t>
      </w:r>
      <w:r>
        <w:rPr>
          <w:spacing w:val="-4"/>
        </w:rPr>
        <w:t>或正电子发射断层扫描</w:t>
      </w:r>
      <w:r>
        <w:rPr>
          <w:spacing w:val="-3"/>
        </w:rPr>
        <w:t>（PET）</w:t>
      </w:r>
      <w:r>
        <w:rPr>
          <w:spacing w:val="-4"/>
        </w:rPr>
        <w:t>等影像学检查证实，并须满</w:t>
      </w:r>
      <w:r>
        <w:rPr>
          <w:spacing w:val="-3"/>
        </w:rPr>
        <w:t>足下列至少一项条件：</w:t>
      </w:r>
    </w:p>
    <w:p>
      <w:pPr>
        <w:pStyle w:val="BodyText"/>
        <w:spacing w:before="7"/>
      </w:pPr>
      <w:r>
        <w:rPr/>
        <w:t>（1）实际实施了开颅进行的脑肿瘤完全切除或部分切除的手术；</w:t>
      </w:r>
    </w:p>
    <w:p>
      <w:pPr>
        <w:pStyle w:val="BodyText"/>
        <w:spacing w:before="36"/>
      </w:pPr>
      <w:r>
        <w:rPr/>
        <w:t>（2）实际实施了对脑肿瘤进行的放射治疗。</w:t>
      </w:r>
    </w:p>
    <w:p>
      <w:pPr>
        <w:pStyle w:val="BodyText"/>
        <w:spacing w:before="36"/>
        <w:ind w:left="2399"/>
      </w:pPr>
      <w:r>
        <w:rPr/>
        <w:t>脑垂体瘤、脑囊肿、脑血管性疾病不在保障范围内。</w:t>
      </w:r>
    </w:p>
    <w:p>
      <w:pPr>
        <w:pStyle w:val="BodyText"/>
        <w:spacing w:before="8"/>
        <w:ind w:left="0"/>
        <w:rPr>
          <w:sz w:val="26"/>
        </w:rPr>
      </w:pPr>
    </w:p>
    <w:p>
      <w:pPr>
        <w:pStyle w:val="Heading3"/>
        <w:spacing w:before="1"/>
      </w:pPr>
      <w:bookmarkStart w:name="（十一）深度昏迷" w:id="11"/>
      <w:bookmarkEnd w:id="11"/>
      <w:r>
        <w:rPr>
          <w:b w:val="0"/>
        </w:rPr>
      </w:r>
      <w:r>
        <w:rPr/>
        <w:t>（十一）深度昏迷</w:t>
      </w:r>
    </w:p>
    <w:p>
      <w:pPr>
        <w:pStyle w:val="BodyText"/>
        <w:spacing w:line="273" w:lineRule="auto"/>
        <w:ind w:right="114" w:firstLine="431"/>
      </w:pPr>
      <w:r>
        <w:rPr/>
        <w:t>指因疾病或意外伤害导致意识丧失,对外界刺激和体内需求均无反应，昏</w:t>
      </w:r>
      <w:r>
        <w:rPr>
          <w:spacing w:val="-4"/>
        </w:rPr>
        <w:t>迷程度按照格拉斯哥昏迷分级</w:t>
      </w:r>
      <w:r>
        <w:rPr/>
        <w:t>（Glasgow</w:t>
      </w:r>
      <w:r>
        <w:rPr>
          <w:spacing w:val="-50"/>
        </w:rPr>
        <w:t> </w:t>
      </w:r>
      <w:r>
        <w:rPr/>
        <w:t>coma</w:t>
      </w:r>
      <w:r>
        <w:rPr>
          <w:spacing w:val="-50"/>
        </w:rPr>
        <w:t> </w:t>
      </w:r>
      <w:r>
        <w:rPr>
          <w:spacing w:val="-4"/>
        </w:rPr>
        <w:t>scale）</w:t>
      </w:r>
      <w:r>
        <w:rPr>
          <w:spacing w:val="-14"/>
        </w:rPr>
        <w:t>结果为 </w:t>
      </w:r>
      <w:r>
        <w:rPr/>
        <w:t>5</w:t>
      </w:r>
      <w:r>
        <w:rPr>
          <w:spacing w:val="-26"/>
        </w:rPr>
        <w:t> 分或 </w:t>
      </w:r>
      <w:r>
        <w:rPr/>
        <w:t>5</w:t>
      </w:r>
      <w:r>
        <w:rPr>
          <w:spacing w:val="-12"/>
        </w:rPr>
        <w:t> 分以下， </w:t>
      </w:r>
      <w:r>
        <w:rPr>
          <w:spacing w:val="-5"/>
        </w:rPr>
        <w:t>且已经持续使用呼吸机及其它生命维持系统 </w:t>
      </w:r>
      <w:r>
        <w:rPr/>
        <w:t>96</w:t>
      </w:r>
      <w:r>
        <w:rPr>
          <w:spacing w:val="-9"/>
        </w:rPr>
        <w:t> 小时以上。</w:t>
      </w:r>
    </w:p>
    <w:p>
      <w:pPr>
        <w:pStyle w:val="BodyText"/>
        <w:spacing w:before="7"/>
        <w:ind w:left="2400"/>
      </w:pPr>
      <w:r>
        <w:rPr/>
        <w:t>由于酗酒或药物滥用导致的深度昏迷不在保障范围内。</w:t>
      </w:r>
    </w:p>
    <w:p>
      <w:pPr>
        <w:pStyle w:val="BodyText"/>
        <w:spacing w:before="8"/>
        <w:ind w:left="0"/>
        <w:rPr>
          <w:sz w:val="26"/>
        </w:rPr>
      </w:pPr>
    </w:p>
    <w:p>
      <w:pPr>
        <w:pStyle w:val="Heading3"/>
      </w:pPr>
      <w:bookmarkStart w:name="（十二）双耳失聪 " w:id="12"/>
      <w:bookmarkEnd w:id="12"/>
      <w:r>
        <w:rPr>
          <w:b w:val="0"/>
        </w:rPr>
      </w:r>
      <w:r>
        <w:rPr/>
        <w:t>（十二）双耳失聪</w:t>
      </w:r>
    </w:p>
    <w:p>
      <w:pPr>
        <w:pStyle w:val="BodyText"/>
        <w:spacing w:before="36"/>
        <w:ind w:left="2400"/>
      </w:pPr>
      <w:r>
        <w:rPr/>
        <w:t>指因疾病或意外伤害导致双耳听力永久不可逆性丧失，在 500 赫兹、1000</w:t>
      </w:r>
    </w:p>
    <w:p>
      <w:pPr>
        <w:pStyle w:val="BodyText"/>
        <w:spacing w:line="273" w:lineRule="auto" w:before="36"/>
        <w:ind w:right="217" w:hanging="1"/>
      </w:pPr>
      <w:r>
        <w:rPr>
          <w:spacing w:val="-13"/>
        </w:rPr>
        <w:t>赫兹和 </w:t>
      </w:r>
      <w:r>
        <w:rPr/>
        <w:t>2000</w:t>
      </w:r>
      <w:r>
        <w:rPr>
          <w:spacing w:val="-12"/>
        </w:rPr>
        <w:t> 赫兹语音频率下，平均听阈大于 </w:t>
      </w:r>
      <w:r>
        <w:rPr/>
        <w:t>90</w:t>
      </w:r>
      <w:r>
        <w:rPr>
          <w:spacing w:val="-9"/>
        </w:rPr>
        <w:t> 分贝，且经纯音听力测试、声</w:t>
      </w:r>
      <w:r>
        <w:rPr>
          <w:spacing w:val="-5"/>
        </w:rPr>
        <w:t>导抗检测或听觉诱发电位检测等证实。</w:t>
      </w:r>
    </w:p>
    <w:p>
      <w:pPr>
        <w:pStyle w:val="BodyText"/>
        <w:spacing w:line="273" w:lineRule="auto" w:before="7"/>
        <w:ind w:right="167" w:firstLine="431"/>
      </w:pPr>
      <w:r>
        <w:rPr/>
        <w:t>被保险人申请理赔时年龄必须在三周岁以上，并且提供理赔当时的听力丧失诊断及检查证据。</w:t>
      </w:r>
    </w:p>
    <w:p>
      <w:pPr>
        <w:pStyle w:val="BodyText"/>
        <w:spacing w:before="5"/>
        <w:ind w:left="0"/>
        <w:rPr>
          <w:sz w:val="24"/>
        </w:rPr>
      </w:pPr>
    </w:p>
    <w:p>
      <w:pPr>
        <w:pStyle w:val="Heading3"/>
        <w:spacing w:before="1"/>
      </w:pPr>
      <w:bookmarkStart w:name="（十三）双目失明 " w:id="13"/>
      <w:bookmarkEnd w:id="13"/>
      <w:r>
        <w:rPr>
          <w:b w:val="0"/>
        </w:rPr>
      </w:r>
      <w:r>
        <w:rPr/>
        <w:t>（十三）双目失明</w:t>
      </w:r>
    </w:p>
    <w:p>
      <w:pPr>
        <w:pStyle w:val="BodyText"/>
        <w:spacing w:line="273" w:lineRule="auto"/>
        <w:ind w:left="1967" w:right="168" w:firstLine="420"/>
      </w:pPr>
      <w:r>
        <w:rPr/>
        <w:t>指因疾病或意外伤害导致双目视力永久不可逆性丧失，双眼中较好眼须满足下列至少一项条件：</w:t>
      </w:r>
    </w:p>
    <w:p>
      <w:pPr>
        <w:spacing w:after="0" w:line="273" w:lineRule="auto"/>
        <w:sectPr>
          <w:pgSz w:w="11910" w:h="16840"/>
          <w:pgMar w:top="1080" w:bottom="280" w:left="1680" w:right="920"/>
        </w:sectPr>
      </w:pPr>
    </w:p>
    <w:p>
      <w:pPr>
        <w:pStyle w:val="BodyText"/>
        <w:spacing w:before="22"/>
      </w:pPr>
      <w:r>
        <w:rPr/>
        <w:t>（1）眼球缺失或摘除；</w:t>
      </w:r>
    </w:p>
    <w:p>
      <w:pPr>
        <w:pStyle w:val="BodyText"/>
        <w:spacing w:line="273" w:lineRule="auto"/>
        <w:ind w:right="119"/>
      </w:pPr>
      <w:r>
        <w:rPr/>
        <w:t>（2）</w:t>
      </w:r>
      <w:r>
        <w:rPr>
          <w:spacing w:val="-3"/>
        </w:rPr>
        <w:t>矫正视力低于 </w:t>
      </w:r>
      <w:r>
        <w:rPr/>
        <w:t>0.02（</w:t>
      </w:r>
      <w:r>
        <w:rPr>
          <w:spacing w:val="-3"/>
        </w:rPr>
        <w:t>采用国际标准视力表，如果使用其他视力表应进行</w:t>
      </w:r>
      <w:r>
        <w:rPr>
          <w:w w:val="100"/>
        </w:rPr>
        <w:t>换算</w:t>
      </w:r>
      <w:r>
        <w:rPr>
          <w:spacing w:val="-108"/>
          <w:w w:val="100"/>
        </w:rPr>
        <w:t>）</w:t>
      </w:r>
      <w:r>
        <w:rPr>
          <w:w w:val="100"/>
        </w:rPr>
        <w:t>；</w:t>
      </w:r>
    </w:p>
    <w:p>
      <w:pPr>
        <w:pStyle w:val="BodyText"/>
        <w:spacing w:before="7"/>
      </w:pPr>
      <w:r>
        <w:rPr/>
        <w:t>（3）视野半径小于 5 度。</w:t>
      </w:r>
    </w:p>
    <w:p>
      <w:pPr>
        <w:pStyle w:val="BodyText"/>
        <w:spacing w:line="273" w:lineRule="auto" w:before="36"/>
        <w:ind w:right="114" w:firstLine="431"/>
        <w:jc w:val="both"/>
      </w:pPr>
      <w:r>
        <w:rPr>
          <w:spacing w:val="-5"/>
        </w:rPr>
        <w:t>被保险人申请理赔时年龄必须在三周岁以上，并且提供理赔当时的视力丧</w:t>
      </w:r>
      <w:r>
        <w:rPr>
          <w:spacing w:val="-4"/>
        </w:rPr>
        <w:t>失诊断及检查证据。</w:t>
      </w:r>
    </w:p>
    <w:p>
      <w:pPr>
        <w:pStyle w:val="BodyText"/>
        <w:spacing w:before="5"/>
        <w:ind w:left="0"/>
        <w:rPr>
          <w:sz w:val="24"/>
        </w:rPr>
      </w:pPr>
    </w:p>
    <w:p>
      <w:pPr>
        <w:pStyle w:val="Heading3"/>
      </w:pPr>
      <w:bookmarkStart w:name="（十四）瘫痪" w:id="14"/>
      <w:bookmarkEnd w:id="14"/>
      <w:r>
        <w:rPr>
          <w:b w:val="0"/>
        </w:rPr>
      </w:r>
      <w:r>
        <w:rPr/>
        <w:t>（十四）瘫痪</w:t>
      </w:r>
    </w:p>
    <w:p>
      <w:pPr>
        <w:pStyle w:val="BodyText"/>
        <w:spacing w:line="273" w:lineRule="auto" w:before="36"/>
        <w:ind w:right="114" w:firstLine="431"/>
        <w:jc w:val="both"/>
      </w:pPr>
      <w:r>
        <w:rPr>
          <w:spacing w:val="-5"/>
        </w:rPr>
        <w:t>指因疾病或意外伤害导致两肢或两肢以上肢体机能永久完全丧失。肢体机</w:t>
      </w:r>
      <w:r>
        <w:rPr>
          <w:spacing w:val="-6"/>
        </w:rPr>
        <w:t>能永久完全丧失，指疾病确诊 </w:t>
      </w:r>
      <w:r>
        <w:rPr/>
        <w:t>180</w:t>
      </w:r>
      <w:r>
        <w:rPr>
          <w:spacing w:val="-9"/>
        </w:rPr>
        <w:t> 天后或意外伤害发生 </w:t>
      </w:r>
      <w:r>
        <w:rPr/>
        <w:t>180</w:t>
      </w:r>
      <w:r>
        <w:rPr>
          <w:spacing w:val="-17"/>
        </w:rPr>
        <w:t> 天后，、每肢三大</w:t>
      </w:r>
      <w:r>
        <w:rPr>
          <w:spacing w:val="-7"/>
        </w:rPr>
        <w:t>关节中的两大关节仍然完全僵硬，或不能随意识活动。</w:t>
      </w:r>
    </w:p>
    <w:p>
      <w:pPr>
        <w:pStyle w:val="BodyText"/>
        <w:spacing w:before="5"/>
        <w:ind w:left="0"/>
        <w:rPr>
          <w:sz w:val="24"/>
        </w:rPr>
      </w:pPr>
    </w:p>
    <w:p>
      <w:pPr>
        <w:pStyle w:val="Heading3"/>
      </w:pPr>
      <w:bookmarkStart w:name="（十五）严重脑损伤" w:id="15"/>
      <w:bookmarkEnd w:id="15"/>
      <w:r>
        <w:rPr>
          <w:b w:val="0"/>
        </w:rPr>
      </w:r>
      <w:r>
        <w:rPr/>
        <w:t>（十五）严重脑损伤</w:t>
      </w:r>
    </w:p>
    <w:p>
      <w:pPr>
        <w:pStyle w:val="BodyText"/>
        <w:spacing w:line="273" w:lineRule="auto"/>
        <w:ind w:right="114" w:firstLine="431"/>
        <w:jc w:val="both"/>
      </w:pPr>
      <w:r>
        <w:rPr>
          <w:spacing w:val="-6"/>
        </w:rPr>
        <w:t>指因头部遭受机械性外力，引起脑重要部位损伤，导致神经系统永久性的</w:t>
      </w:r>
      <w:r>
        <w:rPr>
          <w:spacing w:val="-5"/>
          <w:w w:val="100"/>
        </w:rPr>
        <w:t>功能障碍。须由头颅断层扫描</w:t>
      </w:r>
      <w:r>
        <w:rPr>
          <w:spacing w:val="-3"/>
          <w:w w:val="100"/>
        </w:rPr>
        <w:t>（</w:t>
      </w:r>
      <w:r>
        <w:rPr>
          <w:w w:val="100"/>
        </w:rPr>
        <w:t>CT</w:t>
      </w:r>
      <w:r>
        <w:rPr>
          <w:spacing w:val="-108"/>
          <w:w w:val="100"/>
        </w:rPr>
        <w:t>）</w:t>
      </w:r>
      <w:r>
        <w:rPr>
          <w:spacing w:val="-4"/>
          <w:w w:val="100"/>
        </w:rPr>
        <w:t>、核磁共振检查</w:t>
      </w:r>
      <w:r>
        <w:rPr>
          <w:spacing w:val="-1"/>
          <w:w w:val="100"/>
        </w:rPr>
        <w:t>（</w:t>
      </w:r>
      <w:r>
        <w:rPr>
          <w:w w:val="100"/>
        </w:rPr>
        <w:t>MR</w:t>
      </w:r>
      <w:r>
        <w:rPr>
          <w:spacing w:val="-3"/>
          <w:w w:val="100"/>
        </w:rPr>
        <w:t>I</w:t>
      </w:r>
      <w:r>
        <w:rPr>
          <w:spacing w:val="-5"/>
          <w:w w:val="100"/>
        </w:rPr>
        <w:t>）</w:t>
      </w:r>
      <w:r>
        <w:rPr>
          <w:spacing w:val="-3"/>
          <w:w w:val="100"/>
        </w:rPr>
        <w:t>或正电子发射断层</w:t>
      </w:r>
      <w:r>
        <w:rPr/>
        <w:t>扫描（PET）</w:t>
      </w:r>
      <w:r>
        <w:rPr>
          <w:spacing w:val="1"/>
        </w:rPr>
        <w:t>等影像学检查证实。神经系统永久性的功能障碍，指脑损伤 </w:t>
      </w:r>
      <w:r>
        <w:rPr/>
        <w:t>180 </w:t>
      </w:r>
      <w:r>
        <w:rPr>
          <w:spacing w:val="-3"/>
        </w:rPr>
        <w:t>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left="1967" w:right="114"/>
      </w:pPr>
      <w:r>
        <w:rPr/>
        <w:t>（3）自主生活能力完全丧失，无法独立完成六项基本日常生活活动中的三项或三项以上。</w:t>
      </w:r>
    </w:p>
    <w:p>
      <w:pPr>
        <w:pStyle w:val="BodyText"/>
        <w:spacing w:before="5"/>
        <w:ind w:left="0"/>
        <w:rPr>
          <w:sz w:val="24"/>
        </w:rPr>
      </w:pPr>
    </w:p>
    <w:p>
      <w:pPr>
        <w:pStyle w:val="Heading3"/>
      </w:pPr>
      <w:bookmarkStart w:name="（十六）严重原发性肺动脉高压" w:id="16"/>
      <w:bookmarkEnd w:id="16"/>
      <w:r>
        <w:rPr>
          <w:b w:val="0"/>
        </w:rPr>
      </w:r>
      <w:r>
        <w:rPr/>
        <w:t>（十六）严重原发性肺动脉高压</w:t>
      </w:r>
    </w:p>
    <w:p>
      <w:pPr>
        <w:pStyle w:val="BodyText"/>
        <w:spacing w:line="273" w:lineRule="auto" w:before="36"/>
        <w:ind w:right="114" w:firstLine="431"/>
        <w:jc w:val="both"/>
      </w:pPr>
      <w:r>
        <w:rPr>
          <w:spacing w:val="-6"/>
        </w:rPr>
        <w:t>指不明原因的肺动脉压力持续性增高，进行性发展而导致的慢性疾病，已经造成永久不可逆性的体力活动能力受限，达到美国纽约心脏病学会心功能状</w:t>
      </w:r>
      <w:r>
        <w:rPr>
          <w:spacing w:val="-14"/>
        </w:rPr>
        <w:t>态分级 </w:t>
      </w:r>
      <w:r>
        <w:rPr/>
        <w:t>IV</w:t>
      </w:r>
      <w:r>
        <w:rPr>
          <w:spacing w:val="-11"/>
        </w:rPr>
        <w:t> 级，静息状态下肺动脉平均压超过 </w:t>
      </w:r>
      <w:r>
        <w:rPr/>
        <w:t>30mmHg。</w:t>
      </w:r>
    </w:p>
    <w:p>
      <w:pPr>
        <w:pStyle w:val="BodyText"/>
        <w:spacing w:before="5"/>
        <w:ind w:left="0"/>
        <w:rPr>
          <w:sz w:val="24"/>
        </w:rPr>
      </w:pPr>
    </w:p>
    <w:p>
      <w:pPr>
        <w:pStyle w:val="Heading3"/>
      </w:pPr>
      <w:bookmarkStart w:name="（十七）严重运动神经元病" w:id="17"/>
      <w:bookmarkEnd w:id="17"/>
      <w:r>
        <w:rPr>
          <w:b w:val="0"/>
        </w:rPr>
      </w:r>
      <w:r>
        <w:rPr/>
        <w:t>（十七）严重运动神经元病</w:t>
      </w:r>
    </w:p>
    <w:p>
      <w:pPr>
        <w:pStyle w:val="BodyText"/>
        <w:spacing w:line="273" w:lineRule="auto"/>
        <w:ind w:right="114" w:firstLine="431"/>
        <w:jc w:val="both"/>
      </w:pPr>
      <w:r>
        <w:rPr>
          <w:spacing w:val="-5"/>
        </w:rPr>
        <w:t>是一组中枢神经系统运动神经元的进行性变性疾病，包括进行性脊肌萎缩</w:t>
      </w:r>
      <w:r>
        <w:rPr>
          <w:spacing w:val="-7"/>
        </w:rPr>
        <w:t>症、进行性延髓麻痹症、原发性侧索硬化症、肌萎缩性侧索硬化症。须满足自主生活能力完全丧失，无法独立完成六项基本日常生活活动中的三项或三项以</w:t>
      </w:r>
      <w:r>
        <w:rPr/>
        <w:t>上。</w:t>
      </w:r>
    </w:p>
    <w:p>
      <w:pPr>
        <w:pStyle w:val="BodyText"/>
        <w:spacing w:before="5"/>
        <w:ind w:left="0"/>
        <w:rPr>
          <w:sz w:val="24"/>
        </w:rPr>
      </w:pPr>
    </w:p>
    <w:p>
      <w:pPr>
        <w:pStyle w:val="Heading3"/>
        <w:spacing w:before="1"/>
      </w:pPr>
      <w:bookmarkStart w:name="（十八）语言能力丧失 " w:id="18"/>
      <w:bookmarkEnd w:id="18"/>
      <w:r>
        <w:rPr>
          <w:b w:val="0"/>
        </w:rPr>
      </w:r>
      <w:r>
        <w:rPr/>
        <w:t>（十八）语言能力丧失</w:t>
      </w:r>
    </w:p>
    <w:p>
      <w:pPr>
        <w:pStyle w:val="BodyText"/>
        <w:ind w:left="2400"/>
      </w:pPr>
      <w:r>
        <w:rPr/>
        <w:t>指因疾病或意外伤害导致完全丧失语言能力，经过积极治疗至少 12 个月</w:t>
      </w:r>
    </w:p>
    <w:p>
      <w:pPr>
        <w:pStyle w:val="BodyText"/>
        <w:spacing w:line="273" w:lineRule="auto"/>
        <w:ind w:left="2400" w:right="1036" w:hanging="433"/>
      </w:pPr>
      <w:r>
        <w:rPr>
          <w:w w:val="100"/>
        </w:rPr>
        <w:t>（</w:t>
      </w:r>
      <w:r>
        <w:rPr>
          <w:spacing w:val="-3"/>
          <w:w w:val="100"/>
        </w:rPr>
        <w:t>声带完全切除不受此时间限制</w:t>
      </w:r>
      <w:r>
        <w:rPr>
          <w:spacing w:val="-106"/>
          <w:w w:val="100"/>
        </w:rPr>
        <w:t>）</w:t>
      </w:r>
      <w:r>
        <w:rPr>
          <w:spacing w:val="-3"/>
          <w:w w:val="100"/>
        </w:rPr>
        <w:t>，仍无法通过现有医疗手段恢复。</w:t>
      </w:r>
      <w:r>
        <w:rPr>
          <w:spacing w:val="-3"/>
        </w:rPr>
        <w:t>精神心理因素所致的语言能力丧失不在保障范围内。</w:t>
      </w:r>
    </w:p>
    <w:p>
      <w:pPr>
        <w:pStyle w:val="BodyText"/>
        <w:spacing w:line="261" w:lineRule="exact" w:before="0"/>
        <w:ind w:left="2400"/>
      </w:pPr>
      <w:r>
        <w:rPr/>
        <w:t>被保险人申请理赔时年龄必须在三周岁以上，并且提供理赔当时的语言能</w:t>
      </w:r>
    </w:p>
    <w:p>
      <w:pPr>
        <w:pStyle w:val="BodyText"/>
        <w:spacing w:before="66"/>
      </w:pPr>
      <w:r>
        <w:rPr/>
        <w:t>力丧失诊断及检查证据。</w:t>
      </w:r>
    </w:p>
    <w:p>
      <w:pPr>
        <w:pStyle w:val="BodyText"/>
        <w:spacing w:before="0"/>
        <w:ind w:left="0"/>
        <w:rPr>
          <w:sz w:val="20"/>
        </w:rPr>
      </w:pPr>
    </w:p>
    <w:p>
      <w:pPr>
        <w:pStyle w:val="Heading3"/>
        <w:spacing w:before="167"/>
      </w:pPr>
      <w:bookmarkStart w:name="（十九）重型再生障碍性贫血" w:id="19"/>
      <w:bookmarkEnd w:id="19"/>
      <w:r>
        <w:rPr>
          <w:b w:val="0"/>
        </w:rPr>
      </w:r>
      <w:r>
        <w:rPr/>
        <w:t>（十九）重型再生障碍性贫血</w:t>
      </w:r>
    </w:p>
    <w:p>
      <w:pPr>
        <w:pStyle w:val="BodyText"/>
        <w:spacing w:line="273" w:lineRule="auto"/>
        <w:ind w:right="114" w:firstLine="431"/>
        <w:jc w:val="both"/>
      </w:pPr>
      <w:r>
        <w:rPr>
          <w:spacing w:val="-5"/>
        </w:rPr>
        <w:t>指因骨髓造血功能慢性持续性衰竭导致的贫血、中性粒细胞减少及血小板</w:t>
      </w:r>
      <w:r>
        <w:rPr>
          <w:spacing w:val="-4"/>
        </w:rPr>
        <w:t>减少，须满足下列全部条件：</w:t>
      </w:r>
    </w:p>
    <w:p>
      <w:pPr>
        <w:pStyle w:val="BodyText"/>
        <w:spacing w:before="7"/>
      </w:pPr>
      <w:r>
        <w:rPr/>
        <w:t>（1）骨髓穿刺检查或骨髓活检结果支持诊断；</w:t>
      </w:r>
    </w:p>
    <w:p>
      <w:pPr>
        <w:pStyle w:val="BodyText"/>
        <w:spacing w:before="36"/>
      </w:pPr>
      <w:r>
        <w:rPr/>
        <w:t>（2）外周血象必须具备以下三项条件：</w:t>
      </w:r>
    </w:p>
    <w:p>
      <w:pPr>
        <w:pStyle w:val="BodyText"/>
        <w:spacing w:before="36"/>
        <w:ind w:left="2628"/>
      </w:pPr>
      <w:r>
        <w:rPr/>
        <w:t>① 中性粒细胞绝对值≤0.5×10</w:t>
      </w:r>
      <w:r>
        <w:rPr>
          <w:position w:val="11"/>
          <w:sz w:val="11"/>
        </w:rPr>
        <w:t>9</w:t>
      </w:r>
      <w:r>
        <w:rPr/>
        <w:t>/L；</w:t>
      </w:r>
    </w:p>
    <w:p>
      <w:pPr>
        <w:spacing w:after="0"/>
        <w:sectPr>
          <w:pgSz w:w="11910" w:h="16840"/>
          <w:pgMar w:top="1080" w:bottom="280" w:left="1680" w:right="10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2000"/>
        <w:gridCol w:w="7574"/>
      </w:tblGrid>
      <w:tr>
        <w:trPr>
          <w:trHeight w:val="8217" w:hRule="atLeast"/>
        </w:trPr>
        <w:tc>
          <w:tcPr>
            <w:tcW w:w="679" w:type="dxa"/>
          </w:tcPr>
          <w:p>
            <w:pPr>
              <w:pStyle w:val="TableParagraph"/>
              <w:rPr>
                <w:rFonts w:ascii="Times New Roman"/>
                <w:sz w:val="20"/>
              </w:rPr>
            </w:pPr>
          </w:p>
        </w:tc>
        <w:tc>
          <w:tcPr>
            <w:tcW w:w="2000" w:type="dxa"/>
          </w:tcPr>
          <w:p>
            <w:pPr>
              <w:pStyle w:val="TableParagraph"/>
              <w:rPr>
                <w:rFonts w:ascii="Times New Roman"/>
                <w:sz w:val="20"/>
              </w:rPr>
            </w:pPr>
          </w:p>
        </w:tc>
        <w:tc>
          <w:tcPr>
            <w:tcW w:w="7574" w:type="dxa"/>
          </w:tcPr>
          <w:p>
            <w:pPr>
              <w:pStyle w:val="TableParagraph"/>
              <w:spacing w:line="211" w:lineRule="exact"/>
              <w:ind w:left="809"/>
              <w:rPr>
                <w:sz w:val="21"/>
              </w:rPr>
            </w:pPr>
            <w:r>
              <w:rPr>
                <w:sz w:val="21"/>
              </w:rPr>
              <w:t>② 网织红细胞＜1%；</w:t>
            </w:r>
          </w:p>
          <w:p>
            <w:pPr>
              <w:pStyle w:val="TableParagraph"/>
              <w:spacing w:before="37"/>
              <w:ind w:left="809"/>
              <w:rPr>
                <w:sz w:val="21"/>
              </w:rPr>
            </w:pPr>
            <w:r>
              <w:rPr>
                <w:sz w:val="21"/>
              </w:rPr>
              <w:t>③ 血小板绝对值≤20×10</w:t>
            </w:r>
            <w:r>
              <w:rPr>
                <w:position w:val="11"/>
                <w:sz w:val="11"/>
              </w:rPr>
              <w:t>9</w:t>
            </w:r>
            <w:r>
              <w:rPr>
                <w:sz w:val="21"/>
              </w:rPr>
              <w:t>/L。</w:t>
            </w:r>
          </w:p>
          <w:p>
            <w:pPr>
              <w:pStyle w:val="TableParagraph"/>
              <w:spacing w:before="12"/>
              <w:rPr>
                <w:sz w:val="25"/>
              </w:rPr>
            </w:pPr>
          </w:p>
          <w:p>
            <w:pPr>
              <w:pStyle w:val="TableParagraph"/>
              <w:ind w:left="149"/>
              <w:rPr>
                <w:b/>
                <w:sz w:val="22"/>
              </w:rPr>
            </w:pPr>
            <w:bookmarkStart w:name="（二十）经输血导致的人类免疫缺陷病毒感染" w:id="20"/>
            <w:bookmarkEnd w:id="20"/>
            <w:r>
              <w:rPr/>
            </w:r>
            <w:r>
              <w:rPr>
                <w:b/>
                <w:sz w:val="21"/>
              </w:rPr>
              <w:t>（二十）</w:t>
            </w:r>
            <w:r>
              <w:rPr>
                <w:b/>
                <w:sz w:val="22"/>
              </w:rPr>
              <w:t>经输血导致的人类免疫缺陷病毒感染</w:t>
            </w:r>
          </w:p>
          <w:p>
            <w:pPr>
              <w:pStyle w:val="TableParagraph"/>
              <w:spacing w:before="32"/>
              <w:ind w:left="581"/>
              <w:rPr>
                <w:sz w:val="21"/>
              </w:rPr>
            </w:pPr>
            <w:r>
              <w:rPr>
                <w:sz w:val="21"/>
              </w:rPr>
              <w:t>被保险人感染上人类免疫缺陷病毒（HIV）并且满足下列全部条件：</w:t>
            </w:r>
          </w:p>
          <w:p>
            <w:pPr>
              <w:pStyle w:val="TableParagraph"/>
              <w:spacing w:before="36"/>
              <w:ind w:left="576"/>
              <w:rPr>
                <w:sz w:val="21"/>
              </w:rPr>
            </w:pPr>
            <w:r>
              <w:rPr>
                <w:sz w:val="21"/>
              </w:rPr>
              <w:t>（1）在保障起始日或复效日之后，被保险人因输血而感染 HIV；</w:t>
            </w:r>
          </w:p>
          <w:p>
            <w:pPr>
              <w:pStyle w:val="TableParagraph"/>
              <w:spacing w:line="273" w:lineRule="auto" w:before="36"/>
              <w:ind w:left="149" w:right="301" w:firstLine="427"/>
              <w:jc w:val="both"/>
              <w:rPr>
                <w:sz w:val="21"/>
              </w:rPr>
            </w:pPr>
            <w:r>
              <w:rPr>
                <w:sz w:val="21"/>
              </w:rPr>
              <w:t>（2）提供输血治疗的输血中心或医院出具该项输血感染属医疗责任事故的报告，或者法院终审裁定为医疗责任并且不准上诉；</w:t>
            </w:r>
          </w:p>
          <w:p>
            <w:pPr>
              <w:pStyle w:val="TableParagraph"/>
              <w:spacing w:before="7"/>
              <w:ind w:left="576"/>
              <w:rPr>
                <w:sz w:val="21"/>
              </w:rPr>
            </w:pPr>
            <w:r>
              <w:rPr>
                <w:sz w:val="21"/>
              </w:rPr>
              <w:t>（3）受感染的被保险人不是血友病患者。</w:t>
            </w:r>
          </w:p>
          <w:p>
            <w:pPr>
              <w:pStyle w:val="TableParagraph"/>
              <w:spacing w:line="273" w:lineRule="auto" w:before="37"/>
              <w:ind w:left="149" w:right="303" w:firstLine="427"/>
              <w:jc w:val="both"/>
              <w:rPr>
                <w:sz w:val="21"/>
              </w:rPr>
            </w:pPr>
            <w:r>
              <w:rPr>
                <w:spacing w:val="-5"/>
                <w:sz w:val="21"/>
              </w:rPr>
              <w:t>在任何治愈艾滋病</w:t>
            </w:r>
            <w:r>
              <w:rPr>
                <w:spacing w:val="-3"/>
                <w:sz w:val="21"/>
              </w:rPr>
              <w:t>（AIDS）</w:t>
            </w:r>
            <w:r>
              <w:rPr>
                <w:spacing w:val="-11"/>
                <w:sz w:val="21"/>
              </w:rPr>
              <w:t>或阻止 </w:t>
            </w:r>
            <w:r>
              <w:rPr>
                <w:sz w:val="21"/>
              </w:rPr>
              <w:t>HIV</w:t>
            </w:r>
            <w:r>
              <w:rPr>
                <w:spacing w:val="-8"/>
                <w:sz w:val="21"/>
              </w:rPr>
              <w:t> 病毒作用的疗法被发现以后，或能</w:t>
            </w:r>
            <w:r>
              <w:rPr>
                <w:spacing w:val="-18"/>
                <w:sz w:val="21"/>
              </w:rPr>
              <w:t>防止 </w:t>
            </w:r>
            <w:r>
              <w:rPr>
                <w:sz w:val="21"/>
              </w:rPr>
              <w:t>AIDS</w:t>
            </w:r>
            <w:r>
              <w:rPr>
                <w:spacing w:val="-8"/>
                <w:sz w:val="21"/>
              </w:rPr>
              <w:t> 发生的医疗方法被研究出来以后，本保障将不再予以赔付。</w:t>
            </w:r>
          </w:p>
          <w:p>
            <w:pPr>
              <w:pStyle w:val="TableParagraph"/>
              <w:spacing w:line="273" w:lineRule="auto" w:before="7"/>
              <w:ind w:left="149" w:right="304" w:firstLine="427"/>
              <w:jc w:val="both"/>
              <w:rPr>
                <w:sz w:val="21"/>
              </w:rPr>
            </w:pPr>
            <w:r>
              <w:rPr>
                <w:spacing w:val="-5"/>
                <w:sz w:val="21"/>
              </w:rPr>
              <w:t>任何因其他传播方式</w:t>
            </w:r>
            <w:r>
              <w:rPr>
                <w:spacing w:val="-3"/>
                <w:sz w:val="21"/>
              </w:rPr>
              <w:t>（</w:t>
            </w:r>
            <w:r>
              <w:rPr>
                <w:spacing w:val="-5"/>
                <w:sz w:val="21"/>
              </w:rPr>
              <w:t>包括：性传播或静脉注射毒品</w:t>
            </w:r>
            <w:r>
              <w:rPr>
                <w:spacing w:val="-13"/>
                <w:sz w:val="21"/>
              </w:rPr>
              <w:t>）</w:t>
            </w:r>
            <w:r>
              <w:rPr>
                <w:spacing w:val="15"/>
                <w:sz w:val="21"/>
              </w:rPr>
              <w:t>导致的</w:t>
            </w:r>
            <w:r>
              <w:rPr>
                <w:sz w:val="21"/>
              </w:rPr>
              <w:t>HIV</w:t>
            </w:r>
            <w:r>
              <w:rPr>
                <w:spacing w:val="-8"/>
                <w:sz w:val="21"/>
              </w:rPr>
              <w:t> 感染不</w:t>
            </w:r>
            <w:r>
              <w:rPr>
                <w:spacing w:val="-7"/>
                <w:sz w:val="21"/>
              </w:rPr>
              <w:t>在本保单保障范围内。保险公司必须拥有获得使用被保险人的所有血液样本的</w:t>
            </w:r>
            <w:r>
              <w:rPr>
                <w:spacing w:val="-3"/>
                <w:sz w:val="21"/>
              </w:rPr>
              <w:t>权利和能够对这些样本进行独立检验的权利。</w:t>
            </w:r>
          </w:p>
          <w:p>
            <w:pPr>
              <w:pStyle w:val="TableParagraph"/>
              <w:spacing w:before="5"/>
              <w:rPr>
                <w:sz w:val="24"/>
              </w:rPr>
            </w:pPr>
          </w:p>
          <w:p>
            <w:pPr>
              <w:pStyle w:val="TableParagraph"/>
              <w:ind w:left="149"/>
              <w:rPr>
                <w:b/>
                <w:sz w:val="21"/>
              </w:rPr>
            </w:pPr>
            <w:bookmarkStart w:name="（二十一）严重心肌病 " w:id="21"/>
            <w:bookmarkEnd w:id="21"/>
            <w:r>
              <w:rPr/>
            </w:r>
            <w:r>
              <w:rPr>
                <w:b/>
                <w:sz w:val="21"/>
              </w:rPr>
              <w:t>（二十一）严重心肌病</w:t>
            </w:r>
          </w:p>
          <w:p>
            <w:pPr>
              <w:pStyle w:val="TableParagraph"/>
              <w:spacing w:line="266" w:lineRule="auto" w:before="36"/>
              <w:ind w:left="149" w:right="266" w:firstLine="431"/>
              <w:jc w:val="both"/>
              <w:rPr>
                <w:sz w:val="21"/>
              </w:rPr>
            </w:pPr>
            <w:r>
              <w:rPr>
                <w:spacing w:val="-3"/>
                <w:sz w:val="21"/>
              </w:rPr>
              <w:t>指被保人因心肌病导致慢性心功能损害造成永久不可逆性的心功能衰竭， </w:t>
            </w:r>
            <w:r>
              <w:rPr>
                <w:spacing w:val="-5"/>
                <w:sz w:val="21"/>
              </w:rPr>
              <w:t>心功能衰竭程度达到纽约心脏病学会的心功能分级标准之心功能 </w:t>
            </w:r>
            <w:r>
              <w:rPr>
                <w:rFonts w:ascii="Arial" w:eastAsia="Arial"/>
                <w:sz w:val="21"/>
              </w:rPr>
              <w:t>IV </w:t>
            </w:r>
            <w:r>
              <w:rPr>
                <w:spacing w:val="-20"/>
                <w:sz w:val="21"/>
              </w:rPr>
              <w:t>级。被保险</w:t>
            </w:r>
            <w:r>
              <w:rPr>
                <w:spacing w:val="-3"/>
                <w:sz w:val="21"/>
              </w:rPr>
              <w:t>人永久不可逆性的体力活动能力受限，不能从事任何体力活动。</w:t>
            </w:r>
          </w:p>
          <w:p>
            <w:pPr>
              <w:pStyle w:val="TableParagraph"/>
              <w:spacing w:before="11"/>
              <w:rPr>
                <w:sz w:val="24"/>
              </w:rPr>
            </w:pPr>
          </w:p>
          <w:p>
            <w:pPr>
              <w:pStyle w:val="TableParagraph"/>
              <w:ind w:left="149"/>
              <w:rPr>
                <w:b/>
                <w:sz w:val="21"/>
              </w:rPr>
            </w:pPr>
            <w:bookmarkStart w:name="（二十二）脊髓灰质炎" w:id="22"/>
            <w:bookmarkEnd w:id="22"/>
            <w:r>
              <w:rPr/>
            </w:r>
            <w:r>
              <w:rPr>
                <w:b/>
                <w:sz w:val="21"/>
              </w:rPr>
              <w:t>（二十二）脊髓灰质炎</w:t>
            </w:r>
          </w:p>
          <w:p>
            <w:pPr>
              <w:pStyle w:val="TableParagraph"/>
              <w:spacing w:line="273" w:lineRule="auto" w:before="36"/>
              <w:ind w:left="149" w:right="298" w:firstLine="431"/>
              <w:jc w:val="both"/>
              <w:rPr>
                <w:sz w:val="21"/>
              </w:rPr>
            </w:pPr>
            <w:r>
              <w:rPr>
                <w:spacing w:val="-5"/>
                <w:sz w:val="21"/>
              </w:rPr>
              <w:t>脊髓灰质炎是由于脊髓灰质炎病毒感染所致的瘫痪性疾病，临床表现为运</w:t>
            </w:r>
            <w:r>
              <w:rPr>
                <w:spacing w:val="-6"/>
                <w:sz w:val="21"/>
              </w:rPr>
              <w:t>动功能损害或呼吸无力。脊髓灰质炎必须明确诊断。本保单仅对脊髓灰质炎造</w:t>
            </w:r>
            <w:r>
              <w:rPr>
                <w:spacing w:val="0"/>
                <w:sz w:val="21"/>
              </w:rPr>
              <w:t>成的神经系统功能损害导致被保险人一肢或一肢以上肢体机能永久完全丧失</w:t>
            </w:r>
            <w:r>
              <w:rPr>
                <w:spacing w:val="-7"/>
                <w:sz w:val="21"/>
              </w:rPr>
              <w:t>的情况予以理赔。肢体机能永久完全丧失，指疾病确诊 </w:t>
            </w:r>
            <w:r>
              <w:rPr>
                <w:sz w:val="21"/>
              </w:rPr>
              <w:t>180</w:t>
            </w:r>
            <w:r>
              <w:rPr>
                <w:spacing w:val="-9"/>
                <w:sz w:val="21"/>
              </w:rPr>
              <w:t> 天后，每肢三大关</w:t>
            </w:r>
            <w:r>
              <w:rPr>
                <w:spacing w:val="-3"/>
                <w:sz w:val="21"/>
              </w:rPr>
              <w:t>节中的两大关节仍然完全僵硬，或不能随意识活动。</w:t>
            </w:r>
          </w:p>
        </w:tc>
      </w:tr>
      <w:tr>
        <w:trPr>
          <w:trHeight w:val="6033" w:hRule="atLeast"/>
        </w:trPr>
        <w:tc>
          <w:tcPr>
            <w:tcW w:w="679" w:type="dxa"/>
          </w:tcPr>
          <w:p>
            <w:pPr>
              <w:pStyle w:val="TableParagraph"/>
              <w:spacing w:before="142"/>
              <w:ind w:left="200"/>
              <w:rPr>
                <w:b/>
                <w:sz w:val="21"/>
              </w:rPr>
            </w:pPr>
            <w:r>
              <w:rPr>
                <w:b/>
                <w:sz w:val="21"/>
              </w:rPr>
              <w:t>8.6</w:t>
            </w:r>
          </w:p>
        </w:tc>
        <w:tc>
          <w:tcPr>
            <w:tcW w:w="2000" w:type="dxa"/>
          </w:tcPr>
          <w:p>
            <w:pPr>
              <w:pStyle w:val="TableParagraph"/>
              <w:spacing w:before="142"/>
              <w:ind w:left="161"/>
              <w:rPr>
                <w:b/>
                <w:sz w:val="21"/>
              </w:rPr>
            </w:pPr>
            <w:r>
              <w:rPr>
                <w:b/>
                <w:sz w:val="21"/>
              </w:rPr>
              <w:t>少儿特别重大疾病</w:t>
            </w:r>
          </w:p>
        </w:tc>
        <w:tc>
          <w:tcPr>
            <w:tcW w:w="7574" w:type="dxa"/>
          </w:tcPr>
          <w:p>
            <w:pPr>
              <w:pStyle w:val="TableParagraph"/>
              <w:spacing w:before="142"/>
              <w:ind w:left="149"/>
              <w:rPr>
                <w:b/>
                <w:sz w:val="21"/>
              </w:rPr>
            </w:pPr>
            <w:bookmarkStart w:name="（一）恶性肿瘤" w:id="23"/>
            <w:bookmarkEnd w:id="23"/>
            <w:r>
              <w:rPr/>
            </w:r>
            <w:r>
              <w:rPr>
                <w:b/>
                <w:sz w:val="21"/>
              </w:rPr>
              <w:t>（一）恶性肿瘤</w:t>
            </w:r>
          </w:p>
          <w:p>
            <w:pPr>
              <w:pStyle w:val="TableParagraph"/>
              <w:spacing w:line="273" w:lineRule="auto" w:before="36"/>
              <w:ind w:left="148" w:right="197" w:firstLine="420"/>
              <w:jc w:val="both"/>
              <w:rPr>
                <w:sz w:val="21"/>
              </w:rPr>
            </w:pPr>
            <w:r>
              <w:rPr>
                <w:spacing w:val="-5"/>
                <w:sz w:val="21"/>
              </w:rPr>
              <w:t>指恶性细胞不受控制的进行性增长和扩散，浸润和破坏周围正常组织，可</w:t>
            </w:r>
            <w:r>
              <w:rPr>
                <w:spacing w:val="-7"/>
                <w:sz w:val="21"/>
              </w:rPr>
              <w:t>以经血管、淋巴管和体腔扩散转移到身体其它部位的疾病。经病理学检查结果</w:t>
            </w:r>
            <w:r>
              <w:rPr>
                <w:spacing w:val="-15"/>
                <w:sz w:val="21"/>
              </w:rPr>
              <w:t>明确诊断，临床诊断属于世界卫生组织《疾病和有关健康问题的国际统计分类》</w:t>
            </w:r>
          </w:p>
          <w:p>
            <w:pPr>
              <w:pStyle w:val="TableParagraph"/>
              <w:spacing w:line="273" w:lineRule="auto" w:before="7"/>
              <w:ind w:left="674" w:right="4374" w:hanging="526"/>
              <w:rPr>
                <w:sz w:val="21"/>
              </w:rPr>
            </w:pPr>
            <w:r>
              <w:rPr>
                <w:sz w:val="21"/>
              </w:rPr>
              <w:t>（ICD-10）</w:t>
            </w:r>
            <w:r>
              <w:rPr>
                <w:spacing w:val="-3"/>
                <w:sz w:val="21"/>
              </w:rPr>
              <w:t>的恶性肿瘤范畴。  下列疾病不在保障范围内：</w:t>
            </w:r>
          </w:p>
          <w:p>
            <w:pPr>
              <w:pStyle w:val="TableParagraph"/>
              <w:spacing w:before="7"/>
              <w:ind w:left="149"/>
              <w:rPr>
                <w:sz w:val="21"/>
              </w:rPr>
            </w:pPr>
            <w:r>
              <w:rPr>
                <w:sz w:val="21"/>
              </w:rPr>
              <w:t>（1）原位癌；</w:t>
            </w:r>
          </w:p>
          <w:p>
            <w:pPr>
              <w:pStyle w:val="TableParagraph"/>
              <w:spacing w:before="36"/>
              <w:ind w:left="149"/>
              <w:rPr>
                <w:sz w:val="21"/>
              </w:rPr>
            </w:pPr>
            <w:r>
              <w:rPr>
                <w:sz w:val="21"/>
              </w:rPr>
              <w:t>（2）相当于 Binet 分期方案 A 期程度的慢性淋巴细胞白血病；</w:t>
            </w:r>
          </w:p>
          <w:p>
            <w:pPr>
              <w:pStyle w:val="TableParagraph"/>
              <w:spacing w:before="36"/>
              <w:ind w:left="148"/>
              <w:rPr>
                <w:sz w:val="21"/>
              </w:rPr>
            </w:pPr>
            <w:r>
              <w:rPr>
                <w:sz w:val="21"/>
              </w:rPr>
              <w:t>（3）相当于 Ann Arbor 分期方案 I 期程度的何杰金氏病；</w:t>
            </w:r>
          </w:p>
          <w:p>
            <w:pPr>
              <w:pStyle w:val="TableParagraph"/>
              <w:spacing w:before="36"/>
              <w:ind w:left="148"/>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148"/>
              <w:rPr>
                <w:sz w:val="21"/>
              </w:rPr>
            </w:pPr>
            <w:r>
              <w:rPr>
                <w:sz w:val="21"/>
              </w:rPr>
              <w:t>（5）TNM 分期为 T1N0M0 期或更轻分期的前列腺癌；</w:t>
            </w:r>
          </w:p>
          <w:p>
            <w:pPr>
              <w:pStyle w:val="TableParagraph"/>
              <w:spacing w:before="36"/>
              <w:ind w:left="148"/>
              <w:rPr>
                <w:sz w:val="21"/>
              </w:rPr>
            </w:pPr>
            <w:r>
              <w:rPr>
                <w:sz w:val="21"/>
              </w:rPr>
              <w:t>（6）感染艾滋病病毒或患艾滋病期间所患恶性肿瘤。</w:t>
            </w:r>
          </w:p>
          <w:p>
            <w:pPr>
              <w:pStyle w:val="TableParagraph"/>
              <w:spacing w:before="8"/>
              <w:rPr>
                <w:sz w:val="26"/>
              </w:rPr>
            </w:pPr>
          </w:p>
          <w:p>
            <w:pPr>
              <w:pStyle w:val="TableParagraph"/>
              <w:ind w:left="149"/>
              <w:rPr>
                <w:b/>
                <w:sz w:val="21"/>
              </w:rPr>
            </w:pPr>
            <w:bookmarkStart w:name="（二）脑炎后遗症或脑膜炎后遗症" w:id="24"/>
            <w:bookmarkEnd w:id="24"/>
            <w:r>
              <w:rPr/>
            </w:r>
            <w:r>
              <w:rPr>
                <w:b/>
                <w:sz w:val="21"/>
              </w:rPr>
              <w:t>（二）脑炎后遗症或脑膜炎后遗症</w:t>
            </w:r>
          </w:p>
          <w:p>
            <w:pPr>
              <w:pStyle w:val="TableParagraph"/>
              <w:spacing w:line="273" w:lineRule="auto" w:before="36"/>
              <w:ind w:left="149" w:right="252" w:firstLine="431"/>
              <w:rPr>
                <w:sz w:val="21"/>
              </w:rPr>
            </w:pPr>
            <w:r>
              <w:rPr>
                <w:sz w:val="21"/>
              </w:rPr>
              <w:t>指因患脑炎或脑膜炎导致的神经系统永久性的功能障碍。神经系统永久性的功能障碍，指疾病首次确诊 180 天后，仍残留下列一种或一种以上障碍：</w:t>
            </w:r>
          </w:p>
          <w:p>
            <w:pPr>
              <w:pStyle w:val="TableParagraph"/>
              <w:spacing w:before="7"/>
              <w:ind w:left="149"/>
              <w:rPr>
                <w:sz w:val="21"/>
              </w:rPr>
            </w:pPr>
            <w:r>
              <w:rPr>
                <w:sz w:val="21"/>
              </w:rPr>
              <w:t>（1）一肢或一肢以上肢体机能完全丧失；</w:t>
            </w:r>
          </w:p>
          <w:p>
            <w:pPr>
              <w:pStyle w:val="TableParagraph"/>
              <w:spacing w:before="37"/>
              <w:ind w:left="149"/>
              <w:rPr>
                <w:sz w:val="21"/>
              </w:rPr>
            </w:pPr>
            <w:r>
              <w:rPr>
                <w:sz w:val="21"/>
              </w:rPr>
              <w:t>（2）语言能力或咀嚼吞咽能力完全丧失；</w:t>
            </w:r>
          </w:p>
          <w:p>
            <w:pPr>
              <w:pStyle w:val="TableParagraph"/>
              <w:spacing w:line="255" w:lineRule="exact" w:before="37"/>
              <w:ind w:left="149"/>
              <w:rPr>
                <w:sz w:val="21"/>
              </w:rPr>
            </w:pPr>
            <w:r>
              <w:rPr>
                <w:sz w:val="21"/>
              </w:rPr>
              <w:t>（3）自主生活能力完全丧失，无法独立完成六项基本日常生活活动中的三项</w:t>
            </w:r>
          </w:p>
        </w:tc>
      </w:tr>
    </w:tbl>
    <w:p>
      <w:pPr>
        <w:spacing w:after="0" w:line="255" w:lineRule="exact"/>
        <w:rPr>
          <w:sz w:val="21"/>
        </w:rPr>
        <w:sectPr>
          <w:pgSz w:w="11910" w:h="16840"/>
          <w:pgMar w:top="1160" w:bottom="280" w:left="72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789"/>
        <w:gridCol w:w="7785"/>
      </w:tblGrid>
      <w:tr>
        <w:trPr>
          <w:trHeight w:val="5097" w:hRule="atLeast"/>
        </w:trPr>
        <w:tc>
          <w:tcPr>
            <w:tcW w:w="679" w:type="dxa"/>
          </w:tcPr>
          <w:p>
            <w:pPr>
              <w:pStyle w:val="TableParagraph"/>
              <w:rPr>
                <w:rFonts w:ascii="Times New Roman"/>
                <w:sz w:val="20"/>
              </w:rPr>
            </w:pPr>
          </w:p>
        </w:tc>
        <w:tc>
          <w:tcPr>
            <w:tcW w:w="1789" w:type="dxa"/>
          </w:tcPr>
          <w:p>
            <w:pPr>
              <w:pStyle w:val="TableParagraph"/>
              <w:rPr>
                <w:rFonts w:ascii="Times New Roman"/>
                <w:sz w:val="20"/>
              </w:rPr>
            </w:pPr>
          </w:p>
        </w:tc>
        <w:tc>
          <w:tcPr>
            <w:tcW w:w="7785" w:type="dxa"/>
          </w:tcPr>
          <w:p>
            <w:pPr>
              <w:pStyle w:val="TableParagraph"/>
              <w:spacing w:line="211" w:lineRule="exact"/>
              <w:ind w:left="360"/>
              <w:rPr>
                <w:sz w:val="21"/>
              </w:rPr>
            </w:pPr>
            <w:r>
              <w:rPr>
                <w:sz w:val="21"/>
              </w:rPr>
              <w:t>或三项以上。</w:t>
            </w:r>
          </w:p>
          <w:p>
            <w:pPr>
              <w:pStyle w:val="TableParagraph"/>
              <w:spacing w:before="8"/>
              <w:rPr>
                <w:sz w:val="26"/>
              </w:rPr>
            </w:pPr>
          </w:p>
          <w:p>
            <w:pPr>
              <w:pStyle w:val="TableParagraph"/>
              <w:spacing w:before="1"/>
              <w:ind w:left="360"/>
              <w:rPr>
                <w:b/>
                <w:sz w:val="21"/>
              </w:rPr>
            </w:pPr>
            <w:bookmarkStart w:name="（三）终末期肾病" w:id="25"/>
            <w:bookmarkEnd w:id="25"/>
            <w:r>
              <w:rPr/>
            </w:r>
            <w:r>
              <w:rPr>
                <w:b/>
                <w:sz w:val="21"/>
              </w:rPr>
              <w:t>（三）终末期肾病</w:t>
            </w:r>
          </w:p>
          <w:p>
            <w:pPr>
              <w:pStyle w:val="TableParagraph"/>
              <w:spacing w:before="37"/>
              <w:ind w:left="791"/>
              <w:rPr>
                <w:sz w:val="21"/>
              </w:rPr>
            </w:pPr>
            <w:r>
              <w:rPr>
                <w:sz w:val="21"/>
              </w:rPr>
              <w:t>指双肾功能慢性不可逆性衰竭，达到尿毒症期，经诊断后已经进行了至少</w:t>
            </w:r>
          </w:p>
          <w:p>
            <w:pPr>
              <w:pStyle w:val="TableParagraph"/>
              <w:spacing w:before="37"/>
              <w:ind w:left="360"/>
              <w:rPr>
                <w:sz w:val="21"/>
              </w:rPr>
            </w:pPr>
            <w:r>
              <w:rPr>
                <w:sz w:val="21"/>
              </w:rPr>
              <w:t>90 天的规律性透析治疗或实施了肾脏移植手术。</w:t>
            </w:r>
          </w:p>
          <w:p>
            <w:pPr>
              <w:pStyle w:val="TableParagraph"/>
              <w:spacing w:before="9"/>
              <w:rPr>
                <w:sz w:val="26"/>
              </w:rPr>
            </w:pPr>
          </w:p>
          <w:p>
            <w:pPr>
              <w:pStyle w:val="TableParagraph"/>
              <w:ind w:left="360"/>
              <w:rPr>
                <w:b/>
                <w:sz w:val="21"/>
              </w:rPr>
            </w:pPr>
            <w:bookmarkStart w:name="（四）重大器官移植术或造血干细胞移植术" w:id="26"/>
            <w:bookmarkEnd w:id="26"/>
            <w:r>
              <w:rPr/>
            </w:r>
            <w:r>
              <w:rPr>
                <w:b/>
                <w:sz w:val="21"/>
              </w:rPr>
              <w:t>（四）重大器官移植术或造血干细胞移植术</w:t>
            </w:r>
          </w:p>
          <w:p>
            <w:pPr>
              <w:pStyle w:val="TableParagraph"/>
              <w:spacing w:line="273" w:lineRule="auto" w:before="37"/>
              <w:ind w:left="360" w:right="301" w:firstLine="431"/>
              <w:jc w:val="both"/>
              <w:rPr>
                <w:sz w:val="21"/>
              </w:rPr>
            </w:pPr>
            <w:r>
              <w:rPr>
                <w:spacing w:val="-7"/>
                <w:sz w:val="21"/>
              </w:rPr>
              <w:t>重大器官移植术，指因相应器官功能衰竭，已经实施了肾脏、肝脏、心脏</w:t>
            </w:r>
            <w:r>
              <w:rPr>
                <w:spacing w:val="-5"/>
                <w:sz w:val="21"/>
              </w:rPr>
              <w:t>或肺脏的异体移植手术。</w:t>
            </w:r>
          </w:p>
          <w:p>
            <w:pPr>
              <w:pStyle w:val="TableParagraph"/>
              <w:spacing w:line="273" w:lineRule="auto" w:before="7"/>
              <w:ind w:left="360" w:right="301" w:firstLine="431"/>
              <w:jc w:val="both"/>
              <w:rPr>
                <w:sz w:val="21"/>
              </w:rPr>
            </w:pPr>
            <w:r>
              <w:rPr>
                <w:spacing w:val="-6"/>
                <w:sz w:val="21"/>
              </w:rPr>
              <w:t>造血干细胞移植术，指因造血功能损害或造血系统恶性肿瘤，已经实施了造血干细胞</w:t>
            </w:r>
            <w:r>
              <w:rPr>
                <w:spacing w:val="-3"/>
                <w:sz w:val="21"/>
              </w:rPr>
              <w:t>（</w:t>
            </w:r>
            <w:r>
              <w:rPr>
                <w:spacing w:val="-4"/>
                <w:sz w:val="21"/>
              </w:rPr>
              <w:t>包括骨髓造血干细胞、外周造血干细胞和脐血造血干细胞</w:t>
            </w:r>
            <w:r>
              <w:rPr>
                <w:spacing w:val="-10"/>
                <w:sz w:val="21"/>
              </w:rPr>
              <w:t>）</w:t>
            </w:r>
            <w:r>
              <w:rPr>
                <w:spacing w:val="-3"/>
                <w:sz w:val="21"/>
              </w:rPr>
              <w:t>的异</w:t>
            </w:r>
            <w:r>
              <w:rPr>
                <w:spacing w:val="-2"/>
                <w:sz w:val="21"/>
              </w:rPr>
              <w:t>体移植手术。</w:t>
            </w:r>
          </w:p>
          <w:p>
            <w:pPr>
              <w:pStyle w:val="TableParagraph"/>
              <w:spacing w:before="5"/>
              <w:rPr>
                <w:sz w:val="24"/>
              </w:rPr>
            </w:pPr>
          </w:p>
          <w:p>
            <w:pPr>
              <w:pStyle w:val="TableParagraph"/>
              <w:ind w:left="360"/>
              <w:rPr>
                <w:b/>
                <w:sz w:val="21"/>
              </w:rPr>
            </w:pPr>
            <w:bookmarkStart w:name="（五）严重III度烧伤" w:id="27"/>
            <w:bookmarkEnd w:id="27"/>
            <w:r>
              <w:rPr/>
            </w:r>
            <w:r>
              <w:rPr>
                <w:b/>
                <w:sz w:val="21"/>
              </w:rPr>
              <w:t>（五）严重III度烧伤</w:t>
            </w:r>
          </w:p>
          <w:p>
            <w:pPr>
              <w:pStyle w:val="TableParagraph"/>
              <w:spacing w:line="273" w:lineRule="auto" w:before="37"/>
              <w:ind w:left="360" w:right="385" w:hanging="1"/>
              <w:rPr>
                <w:sz w:val="21"/>
              </w:rPr>
            </w:pPr>
            <w:r>
              <w:rPr>
                <w:spacing w:val="-5"/>
                <w:sz w:val="21"/>
              </w:rPr>
              <w:t>指烧伤程度为Ⅲ度，且Ⅲ度烧伤面积达到全身体表面积的 </w:t>
            </w:r>
            <w:r>
              <w:rPr>
                <w:sz w:val="21"/>
              </w:rPr>
              <w:t>20</w:t>
            </w:r>
            <w:r>
              <w:rPr>
                <w:spacing w:val="-14"/>
                <w:sz w:val="21"/>
              </w:rPr>
              <w:t>％或 </w:t>
            </w:r>
            <w:r>
              <w:rPr>
                <w:sz w:val="21"/>
              </w:rPr>
              <w:t>20</w:t>
            </w:r>
            <w:r>
              <w:rPr>
                <w:spacing w:val="-2"/>
                <w:sz w:val="21"/>
              </w:rPr>
              <w:t>％以上。</w:t>
            </w:r>
            <w:r>
              <w:rPr>
                <w:spacing w:val="-3"/>
                <w:sz w:val="21"/>
              </w:rPr>
              <w:t>体表面积根据 《中国新九分法》计算。</w:t>
            </w:r>
          </w:p>
        </w:tc>
      </w:tr>
      <w:tr>
        <w:trPr>
          <w:trHeight w:val="9153" w:hRule="atLeast"/>
        </w:trPr>
        <w:tc>
          <w:tcPr>
            <w:tcW w:w="679" w:type="dxa"/>
          </w:tcPr>
          <w:p>
            <w:pPr>
              <w:pStyle w:val="TableParagraph"/>
              <w:spacing w:before="142"/>
              <w:ind w:left="200"/>
              <w:rPr>
                <w:b/>
                <w:sz w:val="21"/>
              </w:rPr>
            </w:pPr>
            <w:r>
              <w:rPr>
                <w:b/>
                <w:sz w:val="21"/>
              </w:rPr>
              <w:t>8.7</w:t>
            </w:r>
          </w:p>
        </w:tc>
        <w:tc>
          <w:tcPr>
            <w:tcW w:w="1789" w:type="dxa"/>
          </w:tcPr>
          <w:p>
            <w:pPr>
              <w:pStyle w:val="TableParagraph"/>
              <w:spacing w:before="142"/>
              <w:ind w:left="161"/>
              <w:rPr>
                <w:b/>
                <w:sz w:val="21"/>
              </w:rPr>
            </w:pPr>
            <w:r>
              <w:rPr>
                <w:b/>
                <w:sz w:val="21"/>
              </w:rPr>
              <w:t>成人重大疾病</w:t>
            </w:r>
          </w:p>
        </w:tc>
        <w:tc>
          <w:tcPr>
            <w:tcW w:w="7785" w:type="dxa"/>
          </w:tcPr>
          <w:p>
            <w:pPr>
              <w:pStyle w:val="TableParagraph"/>
              <w:spacing w:line="273" w:lineRule="auto" w:before="142"/>
              <w:ind w:left="360" w:right="485"/>
              <w:rPr>
                <w:sz w:val="21"/>
              </w:rPr>
            </w:pPr>
            <w:bookmarkStart w:name="以下重大疾病定义是由中国保险行业协会与中国医师协会共同制定的重大疾病保险的疾病定" w:id="28"/>
            <w:bookmarkEnd w:id="28"/>
            <w:r>
              <w:rPr/>
            </w:r>
            <w:r>
              <w:rPr>
                <w:sz w:val="21"/>
              </w:rPr>
              <w:t>以下重大疾病定义是由中国保险行业协会与中国医师协会共同制定的重大疾病保险的疾病定义。</w:t>
            </w:r>
          </w:p>
          <w:p>
            <w:pPr>
              <w:pStyle w:val="TableParagraph"/>
              <w:spacing w:before="5"/>
              <w:rPr>
                <w:sz w:val="24"/>
              </w:rPr>
            </w:pPr>
          </w:p>
          <w:p>
            <w:pPr>
              <w:pStyle w:val="TableParagraph"/>
              <w:ind w:left="360"/>
              <w:rPr>
                <w:b/>
                <w:sz w:val="21"/>
              </w:rPr>
            </w:pPr>
            <w:bookmarkStart w:name="（一）恶性肿瘤" w:id="29"/>
            <w:bookmarkEnd w:id="29"/>
            <w:r>
              <w:rPr/>
            </w:r>
            <w:r>
              <w:rPr>
                <w:b/>
                <w:sz w:val="21"/>
              </w:rPr>
              <w:t>（一）恶性肿瘤</w:t>
            </w:r>
          </w:p>
          <w:p>
            <w:pPr>
              <w:pStyle w:val="TableParagraph"/>
              <w:spacing w:line="273" w:lineRule="auto" w:before="37"/>
              <w:ind w:left="359" w:right="197" w:firstLine="420"/>
              <w:jc w:val="both"/>
              <w:rPr>
                <w:sz w:val="21"/>
              </w:rPr>
            </w:pPr>
            <w:r>
              <w:rPr>
                <w:spacing w:val="-5"/>
                <w:sz w:val="21"/>
              </w:rPr>
              <w:t>指恶性细胞不受控制的进行性增长和扩散，浸润和破坏周围正常组织，可</w:t>
            </w:r>
            <w:r>
              <w:rPr>
                <w:spacing w:val="-7"/>
                <w:sz w:val="21"/>
              </w:rPr>
              <w:t>以经血管、淋巴管和体腔扩散转移到身体其它部位的疾病。经病理学检查结果</w:t>
            </w:r>
            <w:r>
              <w:rPr>
                <w:spacing w:val="-15"/>
                <w:sz w:val="21"/>
              </w:rPr>
              <w:t>明确诊断，临床诊断属于世界卫生组织《疾病和有关健康问题的国际统计分类》</w:t>
            </w:r>
          </w:p>
          <w:p>
            <w:pPr>
              <w:pStyle w:val="TableParagraph"/>
              <w:spacing w:line="273" w:lineRule="auto" w:before="7"/>
              <w:ind w:left="885" w:right="4374" w:hanging="526"/>
              <w:rPr>
                <w:sz w:val="21"/>
              </w:rPr>
            </w:pPr>
            <w:r>
              <w:rPr>
                <w:sz w:val="21"/>
              </w:rPr>
              <w:t>（ICD-10）</w:t>
            </w:r>
            <w:r>
              <w:rPr>
                <w:spacing w:val="-3"/>
                <w:sz w:val="21"/>
              </w:rPr>
              <w:t>的恶性肿瘤范畴。  下列疾病不在保障范围内：</w:t>
            </w:r>
          </w:p>
          <w:p>
            <w:pPr>
              <w:pStyle w:val="TableParagraph"/>
              <w:spacing w:before="7"/>
              <w:ind w:left="360"/>
              <w:rPr>
                <w:sz w:val="21"/>
              </w:rPr>
            </w:pPr>
            <w:r>
              <w:rPr>
                <w:sz w:val="21"/>
              </w:rPr>
              <w:t>（1）原位癌；</w:t>
            </w:r>
          </w:p>
          <w:p>
            <w:pPr>
              <w:pStyle w:val="TableParagraph"/>
              <w:spacing w:before="37"/>
              <w:ind w:left="360"/>
              <w:rPr>
                <w:sz w:val="21"/>
              </w:rPr>
            </w:pPr>
            <w:r>
              <w:rPr>
                <w:sz w:val="21"/>
              </w:rPr>
              <w:t>（2）相当于 Binet 分期方案 A 期程度的慢性淋巴细胞白血病；</w:t>
            </w:r>
          </w:p>
          <w:p>
            <w:pPr>
              <w:pStyle w:val="TableParagraph"/>
              <w:spacing w:before="37"/>
              <w:ind w:left="359"/>
              <w:rPr>
                <w:sz w:val="21"/>
              </w:rPr>
            </w:pPr>
            <w:r>
              <w:rPr>
                <w:sz w:val="21"/>
              </w:rPr>
              <w:t>（3）相当于 Ann Arbor 分期方案 I 期程度的何杰金氏病；</w:t>
            </w:r>
          </w:p>
          <w:p>
            <w:pPr>
              <w:pStyle w:val="TableParagraph"/>
              <w:spacing w:before="37"/>
              <w:ind w:left="359"/>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7"/>
              <w:ind w:left="359"/>
              <w:rPr>
                <w:sz w:val="21"/>
              </w:rPr>
            </w:pPr>
            <w:r>
              <w:rPr>
                <w:sz w:val="21"/>
              </w:rPr>
              <w:t>（5）TNM 分期为 T1N0M0 期或更轻分期的前列腺癌；</w:t>
            </w:r>
          </w:p>
          <w:p>
            <w:pPr>
              <w:pStyle w:val="TableParagraph"/>
              <w:spacing w:before="37"/>
              <w:ind w:left="359"/>
              <w:rPr>
                <w:sz w:val="21"/>
              </w:rPr>
            </w:pPr>
            <w:r>
              <w:rPr>
                <w:sz w:val="21"/>
              </w:rPr>
              <w:t>（6）感染艾滋病病毒或患艾滋病期间所患恶性肿瘤。</w:t>
            </w:r>
          </w:p>
          <w:p>
            <w:pPr>
              <w:pStyle w:val="TableParagraph"/>
              <w:spacing w:before="9"/>
              <w:rPr>
                <w:sz w:val="26"/>
              </w:rPr>
            </w:pPr>
          </w:p>
          <w:p>
            <w:pPr>
              <w:pStyle w:val="TableParagraph"/>
              <w:ind w:left="360"/>
              <w:rPr>
                <w:b/>
                <w:sz w:val="21"/>
              </w:rPr>
            </w:pPr>
            <w:bookmarkStart w:name="（二）急性心肌梗塞" w:id="30"/>
            <w:bookmarkEnd w:id="30"/>
            <w:r>
              <w:rPr/>
            </w:r>
            <w:r>
              <w:rPr>
                <w:b/>
                <w:sz w:val="21"/>
              </w:rPr>
              <w:t>（二）急性心肌梗塞</w:t>
            </w:r>
          </w:p>
          <w:p>
            <w:pPr>
              <w:pStyle w:val="TableParagraph"/>
              <w:spacing w:line="273" w:lineRule="auto" w:before="37"/>
              <w:ind w:left="360" w:right="301" w:firstLine="431"/>
              <w:jc w:val="both"/>
              <w:rPr>
                <w:sz w:val="21"/>
              </w:rPr>
            </w:pPr>
            <w:r>
              <w:rPr>
                <w:spacing w:val="-5"/>
                <w:sz w:val="21"/>
              </w:rPr>
              <w:t>指因冠状动脉阻塞导致的相应区域供血不足造成部分心肌坏死。须满足下</w:t>
            </w:r>
            <w:r>
              <w:rPr>
                <w:spacing w:val="-4"/>
                <w:sz w:val="21"/>
              </w:rPr>
              <w:t>列至少三项条件：</w:t>
            </w:r>
          </w:p>
          <w:p>
            <w:pPr>
              <w:pStyle w:val="TableParagraph"/>
              <w:spacing w:before="7"/>
              <w:ind w:left="360"/>
              <w:rPr>
                <w:sz w:val="21"/>
              </w:rPr>
            </w:pPr>
            <w:r>
              <w:rPr>
                <w:sz w:val="21"/>
              </w:rPr>
              <w:t>（1）典型临床表现，例如急性胸痛等；</w:t>
            </w:r>
          </w:p>
          <w:p>
            <w:pPr>
              <w:pStyle w:val="TableParagraph"/>
              <w:spacing w:before="36"/>
              <w:ind w:left="360"/>
              <w:rPr>
                <w:sz w:val="21"/>
              </w:rPr>
            </w:pPr>
            <w:r>
              <w:rPr>
                <w:sz w:val="21"/>
              </w:rPr>
              <w:t>（2）新近的心电图改变提示急性心肌梗塞；</w:t>
            </w:r>
          </w:p>
          <w:p>
            <w:pPr>
              <w:pStyle w:val="TableParagraph"/>
              <w:spacing w:line="273" w:lineRule="auto" w:before="36"/>
              <w:ind w:left="359" w:right="301"/>
              <w:rPr>
                <w:sz w:val="21"/>
              </w:rPr>
            </w:pPr>
            <w:r>
              <w:rPr>
                <w:sz w:val="21"/>
              </w:rPr>
              <w:t>（3）心肌酶或肌钙蛋白有诊断意义的升高，或呈符合急性心肌梗塞的动态性变化；</w:t>
            </w:r>
          </w:p>
          <w:p>
            <w:pPr>
              <w:pStyle w:val="TableParagraph"/>
              <w:spacing w:before="7"/>
              <w:ind w:left="359"/>
              <w:rPr>
                <w:sz w:val="21"/>
              </w:rPr>
            </w:pPr>
            <w:r>
              <w:rPr>
                <w:spacing w:val="-9"/>
                <w:sz w:val="21"/>
              </w:rPr>
              <w:t>（4）</w:t>
            </w:r>
            <w:r>
              <w:rPr>
                <w:spacing w:val="-15"/>
                <w:sz w:val="21"/>
              </w:rPr>
              <w:t>发病 </w:t>
            </w:r>
            <w:r>
              <w:rPr>
                <w:sz w:val="21"/>
              </w:rPr>
              <w:t>90</w:t>
            </w:r>
            <w:r>
              <w:rPr>
                <w:spacing w:val="-14"/>
                <w:sz w:val="21"/>
              </w:rPr>
              <w:t> 天后，经检查证实左室功能降低的，如左心室射血分数低于 </w:t>
            </w:r>
            <w:r>
              <w:rPr>
                <w:spacing w:val="-3"/>
                <w:sz w:val="21"/>
              </w:rPr>
              <w:t>50</w:t>
            </w:r>
            <w:r>
              <w:rPr>
                <w:spacing w:val="-2"/>
                <w:sz w:val="21"/>
              </w:rPr>
              <w:t>%。</w:t>
            </w:r>
          </w:p>
          <w:p>
            <w:pPr>
              <w:pStyle w:val="TableParagraph"/>
              <w:spacing w:before="9"/>
              <w:rPr>
                <w:sz w:val="26"/>
              </w:rPr>
            </w:pPr>
          </w:p>
          <w:p>
            <w:pPr>
              <w:pStyle w:val="TableParagraph"/>
              <w:ind w:left="360"/>
              <w:rPr>
                <w:b/>
                <w:sz w:val="21"/>
              </w:rPr>
            </w:pPr>
            <w:bookmarkStart w:name="（三）脑中风后遗症" w:id="31"/>
            <w:bookmarkEnd w:id="31"/>
            <w:r>
              <w:rPr/>
            </w:r>
            <w:r>
              <w:rPr>
                <w:b/>
                <w:sz w:val="21"/>
              </w:rPr>
              <w:t>（三）脑中风后遗症</w:t>
            </w:r>
          </w:p>
          <w:p>
            <w:pPr>
              <w:pStyle w:val="TableParagraph"/>
              <w:spacing w:line="310" w:lineRule="atLeast" w:before="1"/>
              <w:ind w:left="360" w:right="301" w:firstLine="431"/>
              <w:jc w:val="both"/>
              <w:rPr>
                <w:sz w:val="21"/>
              </w:rPr>
            </w:pPr>
            <w:r>
              <w:rPr>
                <w:spacing w:val="-5"/>
                <w:sz w:val="21"/>
              </w:rPr>
              <w:t>指因脑血管的突发病变引起脑血管出血、栓塞或梗塞，并导致神经系统永</w:t>
            </w:r>
            <w:r>
              <w:rPr>
                <w:spacing w:val="-8"/>
                <w:sz w:val="21"/>
              </w:rPr>
              <w:t>久性功能障碍。神经系统永久性的功能障碍，指疾病确诊 </w:t>
            </w:r>
            <w:r>
              <w:rPr>
                <w:sz w:val="21"/>
              </w:rPr>
              <w:t>180</w:t>
            </w:r>
            <w:r>
              <w:rPr>
                <w:spacing w:val="-10"/>
                <w:sz w:val="21"/>
              </w:rPr>
              <w:t> 天后，仍遗留下</w:t>
            </w:r>
            <w:r>
              <w:rPr>
                <w:spacing w:val="-3"/>
                <w:sz w:val="21"/>
              </w:rPr>
              <w:t>列一种或一种以上障碍：</w:t>
            </w:r>
          </w:p>
        </w:tc>
      </w:tr>
    </w:tbl>
    <w:p>
      <w:pPr>
        <w:spacing w:after="0" w:line="310" w:lineRule="atLeast"/>
        <w:jc w:val="both"/>
        <w:rPr>
          <w:sz w:val="21"/>
        </w:rPr>
        <w:sectPr>
          <w:pgSz w:w="11910" w:h="16840"/>
          <w:pgMar w:top="1160" w:bottom="280" w:left="720" w:right="720"/>
        </w:sectPr>
      </w:pPr>
    </w:p>
    <w:p>
      <w:pPr>
        <w:pStyle w:val="BodyText"/>
        <w:spacing w:before="22"/>
      </w:pPr>
      <w:r>
        <w:rPr/>
        <w:t>（1）一肢或一肢以上肢体机能完全丧失；</w:t>
      </w:r>
    </w:p>
    <w:p>
      <w:pPr>
        <w:pStyle w:val="BodyText"/>
      </w:pPr>
      <w:r>
        <w:rPr/>
        <w:t>（2）语言能力或咀嚼吞咽能力完全丧失；</w:t>
      </w:r>
    </w:p>
    <w:p>
      <w:pPr>
        <w:pStyle w:val="BodyText"/>
        <w:spacing w:line="273" w:lineRule="auto"/>
        <w:ind w:left="1967" w:right="114"/>
      </w:pPr>
      <w:r>
        <w:rPr/>
        <w:t>（3）自主生活能力完全丧失，无法独立完成六项基本日常生活活动中的三项或三项以上。</w:t>
      </w:r>
    </w:p>
    <w:p>
      <w:pPr>
        <w:pStyle w:val="BodyText"/>
        <w:spacing w:before="5"/>
        <w:ind w:left="0"/>
        <w:rPr>
          <w:sz w:val="24"/>
        </w:rPr>
      </w:pPr>
    </w:p>
    <w:p>
      <w:pPr>
        <w:pStyle w:val="Heading3"/>
        <w:spacing w:before="1"/>
      </w:pPr>
      <w:bookmarkStart w:name="（四）重大器官移植术或造血干细胞移植术" w:id="32"/>
      <w:bookmarkEnd w:id="32"/>
      <w:r>
        <w:rPr>
          <w:b w:val="0"/>
        </w:rPr>
      </w:r>
      <w:r>
        <w:rPr/>
        <w:t>（四）重大器官移植术或造血干细胞移植术</w:t>
      </w:r>
    </w:p>
    <w:p>
      <w:pPr>
        <w:pStyle w:val="BodyText"/>
        <w:spacing w:line="273" w:lineRule="auto"/>
        <w:ind w:right="114" w:firstLine="431"/>
        <w:jc w:val="both"/>
      </w:pPr>
      <w:r>
        <w:rPr>
          <w:spacing w:val="-7"/>
        </w:rPr>
        <w:t>重大器官移植术，指因相应器官功能衰竭，已经实施了肾脏、肝脏、心脏</w:t>
      </w:r>
      <w:r>
        <w:rPr>
          <w:spacing w:val="-5"/>
        </w:rPr>
        <w:t>或肺脏的异体移植手术。</w:t>
      </w:r>
    </w:p>
    <w:p>
      <w:pPr>
        <w:pStyle w:val="BodyText"/>
        <w:spacing w:line="273" w:lineRule="auto" w:before="7"/>
        <w:ind w:right="114" w:firstLine="431"/>
        <w:jc w:val="both"/>
      </w:pPr>
      <w:r>
        <w:rPr>
          <w:spacing w:val="-6"/>
        </w:rPr>
        <w:t>造血干细胞移植术，指因造血功能损害或造血系统恶性肿瘤，已经实施了造血干细胞</w:t>
      </w:r>
      <w:r>
        <w:rPr>
          <w:spacing w:val="-3"/>
        </w:rPr>
        <w:t>（</w:t>
      </w:r>
      <w:r>
        <w:rPr>
          <w:spacing w:val="-4"/>
        </w:rPr>
        <w:t>包括骨髓造血干细胞、外周造血干细胞和脐血造血干细胞</w:t>
      </w:r>
      <w:r>
        <w:rPr>
          <w:spacing w:val="-10"/>
        </w:rPr>
        <w:t>）</w:t>
      </w:r>
      <w:r>
        <w:rPr>
          <w:spacing w:val="-3"/>
        </w:rPr>
        <w:t>的异</w:t>
      </w:r>
      <w:r>
        <w:rPr>
          <w:spacing w:val="-2"/>
        </w:rPr>
        <w:t>体移植手术。</w:t>
      </w:r>
    </w:p>
    <w:p>
      <w:pPr>
        <w:pStyle w:val="BodyText"/>
        <w:spacing w:before="5"/>
        <w:ind w:left="0"/>
        <w:rPr>
          <w:sz w:val="24"/>
        </w:rPr>
      </w:pPr>
    </w:p>
    <w:p>
      <w:pPr>
        <w:pStyle w:val="Heading3"/>
      </w:pPr>
      <w:bookmarkStart w:name="（五）冠状动脉搭桥术" w:id="33"/>
      <w:bookmarkEnd w:id="33"/>
      <w:r>
        <w:rPr>
          <w:b w:val="0"/>
        </w:rPr>
      </w:r>
      <w:r>
        <w:rPr/>
        <w:t>（五）冠状动脉搭桥术</w:t>
      </w:r>
    </w:p>
    <w:p>
      <w:pPr>
        <w:pStyle w:val="BodyText"/>
        <w:spacing w:line="273" w:lineRule="auto" w:before="36"/>
        <w:ind w:right="114" w:firstLine="431"/>
        <w:jc w:val="both"/>
      </w:pPr>
      <w:r>
        <w:rPr>
          <w:spacing w:val="-7"/>
        </w:rPr>
        <w:t>指为治疗严重的冠心病，实际实施了开胸进行的冠状动脉血管旁路移植的手术。</w:t>
      </w:r>
    </w:p>
    <w:p>
      <w:pPr>
        <w:pStyle w:val="BodyText"/>
        <w:spacing w:line="273" w:lineRule="auto" w:before="7"/>
        <w:ind w:right="116" w:firstLine="431"/>
        <w:jc w:val="both"/>
      </w:pPr>
      <w:r>
        <w:rPr>
          <w:spacing w:val="-6"/>
        </w:rPr>
        <w:t>冠状动脉支架植入手术、心导管球囊扩张术、激光射频技术及其他非开胸</w:t>
      </w:r>
      <w:r>
        <w:rPr>
          <w:spacing w:val="-4"/>
        </w:rPr>
        <w:t>的介入手术、腔镜手术不在保障范围内。</w:t>
      </w:r>
    </w:p>
    <w:p>
      <w:pPr>
        <w:pStyle w:val="BodyText"/>
        <w:spacing w:before="5"/>
        <w:ind w:left="0"/>
        <w:rPr>
          <w:sz w:val="24"/>
        </w:rPr>
      </w:pPr>
    </w:p>
    <w:p>
      <w:pPr>
        <w:pStyle w:val="Heading3"/>
        <w:spacing w:before="1"/>
      </w:pPr>
      <w:bookmarkStart w:name="（六）终末期肾病" w:id="34"/>
      <w:bookmarkEnd w:id="34"/>
      <w:r>
        <w:rPr>
          <w:b w:val="0"/>
        </w:rPr>
      </w:r>
      <w:r>
        <w:rPr/>
        <w:t>（六）终末期肾病</w:t>
      </w:r>
    </w:p>
    <w:p>
      <w:pPr>
        <w:pStyle w:val="BodyText"/>
        <w:ind w:left="2400"/>
      </w:pPr>
      <w:r>
        <w:rPr/>
        <w:t>指双肾功能慢性不可逆性衰竭，达到尿毒症期，经诊断后已经进行了至少</w:t>
      </w:r>
    </w:p>
    <w:p>
      <w:pPr>
        <w:pStyle w:val="BodyText"/>
      </w:pPr>
      <w:r>
        <w:rPr/>
        <w:t>90 天的规律性透析治疗或实施了肾脏移植手术。</w:t>
      </w:r>
    </w:p>
    <w:p>
      <w:pPr>
        <w:pStyle w:val="BodyText"/>
        <w:spacing w:before="9"/>
        <w:ind w:left="0"/>
        <w:rPr>
          <w:sz w:val="26"/>
        </w:rPr>
      </w:pPr>
    </w:p>
    <w:p>
      <w:pPr>
        <w:pStyle w:val="Heading3"/>
      </w:pPr>
      <w:bookmarkStart w:name="（七）多个肢体缺失" w:id="35"/>
      <w:bookmarkEnd w:id="35"/>
      <w:r>
        <w:rPr>
          <w:b w:val="0"/>
        </w:rPr>
      </w:r>
      <w:r>
        <w:rPr/>
        <w:t>（七）多个肢体缺失</w:t>
      </w:r>
    </w:p>
    <w:p>
      <w:pPr>
        <w:pStyle w:val="BodyText"/>
        <w:spacing w:line="273" w:lineRule="auto"/>
        <w:ind w:right="114" w:firstLine="431"/>
        <w:jc w:val="both"/>
      </w:pPr>
      <w:r>
        <w:rPr>
          <w:spacing w:val="-5"/>
        </w:rPr>
        <w:t>指因疾病或意外伤害导致两个或两个以上肢体自腕关节或踝关节近端</w:t>
      </w:r>
      <w:r>
        <w:rPr>
          <w:spacing w:val="-3"/>
        </w:rPr>
        <w:t>（</w:t>
      </w:r>
      <w:r>
        <w:rPr/>
        <w:t>靠</w:t>
      </w:r>
      <w:r>
        <w:rPr>
          <w:spacing w:val="-1"/>
        </w:rPr>
        <w:t>近躯干端</w:t>
      </w:r>
      <w:r>
        <w:rPr>
          <w:spacing w:val="-3"/>
        </w:rPr>
        <w:t>）以上完全性断离。</w:t>
      </w:r>
    </w:p>
    <w:p>
      <w:pPr>
        <w:pStyle w:val="BodyText"/>
        <w:spacing w:before="5"/>
        <w:ind w:left="0"/>
        <w:rPr>
          <w:sz w:val="24"/>
        </w:rPr>
      </w:pPr>
    </w:p>
    <w:p>
      <w:pPr>
        <w:pStyle w:val="Heading3"/>
      </w:pPr>
      <w:bookmarkStart w:name="（八）急性或亚急性重症肝炎" w:id="36"/>
      <w:bookmarkEnd w:id="36"/>
      <w:r>
        <w:rPr>
          <w:b w:val="0"/>
        </w:rPr>
      </w:r>
      <w:r>
        <w:rPr/>
        <w:t>（八）急性或亚急性重症肝炎</w:t>
      </w:r>
    </w:p>
    <w:p>
      <w:pPr>
        <w:pStyle w:val="BodyText"/>
        <w:spacing w:line="273" w:lineRule="auto" w:before="36"/>
        <w:ind w:right="114" w:firstLine="431"/>
        <w:jc w:val="both"/>
      </w:pPr>
      <w:r>
        <w:rPr>
          <w:spacing w:val="-5"/>
        </w:rPr>
        <w:t>指因肝炎病毒感染引起肝组织弥漫性坏死，导致急性肝功能衰竭，且经血</w:t>
      </w:r>
      <w:r>
        <w:rPr>
          <w:spacing w:val="-4"/>
        </w:rPr>
        <w:t>清学或病毒学检查证实，须满足下列全部条件：</w:t>
      </w:r>
    </w:p>
    <w:p>
      <w:pPr>
        <w:pStyle w:val="BodyText"/>
        <w:spacing w:before="7"/>
      </w:pPr>
      <w:r>
        <w:rPr/>
        <w:t>（1）重度黄疸或黄疸迅速加重；</w:t>
      </w:r>
    </w:p>
    <w:p>
      <w:pPr>
        <w:pStyle w:val="BodyText"/>
      </w:pPr>
      <w:r>
        <w:rPr/>
        <w:t>（2）肝性脑病；</w:t>
      </w:r>
    </w:p>
    <w:p>
      <w:pPr>
        <w:pStyle w:val="BodyText"/>
      </w:pPr>
      <w:r>
        <w:rPr/>
        <w:t>（3）B 超或其他影像学检查显示肝脏体积急速萎缩；</w:t>
      </w:r>
    </w:p>
    <w:p>
      <w:pPr>
        <w:pStyle w:val="BodyText"/>
      </w:pPr>
      <w:r>
        <w:rPr/>
        <w:t>（4）肝功能指标进行性恶化。</w:t>
      </w:r>
    </w:p>
    <w:p>
      <w:pPr>
        <w:pStyle w:val="BodyText"/>
        <w:spacing w:before="9"/>
        <w:ind w:left="0"/>
        <w:rPr>
          <w:sz w:val="26"/>
        </w:rPr>
      </w:pPr>
    </w:p>
    <w:p>
      <w:pPr>
        <w:pStyle w:val="Heading3"/>
      </w:pPr>
      <w:bookmarkStart w:name="（九）良性脑肿瘤" w:id="37"/>
      <w:bookmarkEnd w:id="37"/>
      <w:r>
        <w:rPr>
          <w:b w:val="0"/>
        </w:rPr>
      </w:r>
      <w:r>
        <w:rPr/>
        <w:t>（九）良性脑肿瘤</w:t>
      </w:r>
    </w:p>
    <w:p>
      <w:pPr>
        <w:pStyle w:val="BodyText"/>
        <w:spacing w:line="273" w:lineRule="auto" w:before="36"/>
        <w:ind w:right="114" w:firstLine="431"/>
        <w:jc w:val="both"/>
      </w:pPr>
      <w:r>
        <w:rPr>
          <w:spacing w:val="-7"/>
        </w:rPr>
        <w:t>指脑的良性肿瘤，已经引起颅内压增高，临床表现为视神经乳头水肿、精</w:t>
      </w:r>
      <w:r>
        <w:rPr>
          <w:w w:val="100"/>
        </w:rPr>
        <w:t>神症状、癫痫及运动感觉障碍等，并危及生命。须由头颅断层扫描</w:t>
      </w:r>
      <w:r>
        <w:rPr>
          <w:spacing w:val="1"/>
          <w:w w:val="100"/>
        </w:rPr>
        <w:t>（</w:t>
      </w:r>
      <w:r>
        <w:rPr>
          <w:w w:val="100"/>
        </w:rPr>
        <w:t>C</w:t>
      </w:r>
      <w:r>
        <w:rPr>
          <w:spacing w:val="2"/>
          <w:w w:val="100"/>
        </w:rPr>
        <w:t>T</w:t>
      </w:r>
      <w:r>
        <w:rPr>
          <w:spacing w:val="-106"/>
          <w:w w:val="100"/>
        </w:rPr>
        <w:t>）</w:t>
      </w:r>
      <w:r>
        <w:rPr>
          <w:w w:val="100"/>
        </w:rPr>
        <w:t>、核</w:t>
      </w:r>
      <w:r>
        <w:rPr>
          <w:spacing w:val="-3"/>
        </w:rPr>
        <w:t>磁共振检查（MRI）</w:t>
      </w:r>
      <w:r>
        <w:rPr>
          <w:spacing w:val="-4"/>
        </w:rPr>
        <w:t>或正电子发射断层扫描</w:t>
      </w:r>
      <w:r>
        <w:rPr>
          <w:spacing w:val="-3"/>
        </w:rPr>
        <w:t>（PET）</w:t>
      </w:r>
      <w:r>
        <w:rPr>
          <w:spacing w:val="-4"/>
        </w:rPr>
        <w:t>等影像学检查证实，并须满</w:t>
      </w:r>
      <w:r>
        <w:rPr>
          <w:spacing w:val="-3"/>
        </w:rPr>
        <w:t>足下列至少一项条件：</w:t>
      </w:r>
    </w:p>
    <w:p>
      <w:pPr>
        <w:pStyle w:val="BodyText"/>
        <w:spacing w:before="7"/>
      </w:pPr>
      <w:r>
        <w:rPr/>
        <w:t>（1）实际实施了开颅进行的脑肿瘤完全切除或部分切除的手术；</w:t>
      </w:r>
    </w:p>
    <w:p>
      <w:pPr>
        <w:pStyle w:val="BodyText"/>
      </w:pPr>
      <w:r>
        <w:rPr/>
        <w:t>（2）实际实施了对脑肿瘤进行的放射治疗。</w:t>
      </w:r>
    </w:p>
    <w:p>
      <w:pPr>
        <w:pStyle w:val="BodyText"/>
        <w:ind w:left="2399"/>
      </w:pPr>
      <w:r>
        <w:rPr/>
        <w:t>脑垂体瘤、脑囊肿、脑血管性疾病不在保障范围内。</w:t>
      </w:r>
    </w:p>
    <w:p>
      <w:pPr>
        <w:pStyle w:val="BodyText"/>
        <w:spacing w:before="9"/>
        <w:ind w:left="0"/>
        <w:rPr>
          <w:sz w:val="26"/>
        </w:rPr>
      </w:pPr>
    </w:p>
    <w:p>
      <w:pPr>
        <w:pStyle w:val="Heading3"/>
      </w:pPr>
      <w:bookmarkStart w:name="（十）慢性肝功能衰竭失代偿期" w:id="38"/>
      <w:bookmarkEnd w:id="38"/>
      <w:r>
        <w:rPr>
          <w:b w:val="0"/>
        </w:rPr>
      </w:r>
      <w:r>
        <w:rPr/>
        <w:t>（十）慢性肝功能衰竭失代偿期</w:t>
      </w:r>
    </w:p>
    <w:p>
      <w:pPr>
        <w:pStyle w:val="BodyText"/>
        <w:ind w:left="2400"/>
      </w:pPr>
      <w:r>
        <w:rPr/>
        <w:t>指因慢性肝脏疾病导致肝功能衰竭，须满足下列全部条件：</w:t>
      </w:r>
    </w:p>
    <w:p>
      <w:pPr>
        <w:pStyle w:val="BodyText"/>
      </w:pPr>
      <w:r>
        <w:rPr/>
        <w:t>（1）持续性黄疸；</w:t>
      </w:r>
    </w:p>
    <w:p>
      <w:pPr>
        <w:spacing w:after="0"/>
        <w:sectPr>
          <w:pgSz w:w="11910" w:h="16840"/>
          <w:pgMar w:top="1080" w:bottom="280" w:left="1680" w:right="1020"/>
        </w:sectPr>
      </w:pPr>
    </w:p>
    <w:p>
      <w:pPr>
        <w:pStyle w:val="BodyText"/>
        <w:spacing w:before="22"/>
      </w:pPr>
      <w:r>
        <w:rPr/>
        <w:t>（2）腹水；</w:t>
      </w:r>
    </w:p>
    <w:p>
      <w:pPr>
        <w:pStyle w:val="BodyText"/>
      </w:pPr>
      <w:r>
        <w:rPr/>
        <w:t>（3）肝性脑病；</w:t>
      </w:r>
    </w:p>
    <w:p>
      <w:pPr>
        <w:pStyle w:val="BodyText"/>
      </w:pPr>
      <w:r>
        <w:rPr/>
        <w:t>（4）充血性脾肿大伴脾功能亢进或食管胃底静脉曲张。</w:t>
      </w:r>
    </w:p>
    <w:p>
      <w:pPr>
        <w:pStyle w:val="BodyText"/>
        <w:ind w:left="2399"/>
      </w:pPr>
      <w:r>
        <w:rPr/>
        <w:t>因酗酒或药物滥用导致的肝功能衰竭不在保障范围内。</w:t>
      </w:r>
    </w:p>
    <w:p>
      <w:pPr>
        <w:pStyle w:val="BodyText"/>
        <w:spacing w:before="8"/>
        <w:ind w:left="0"/>
        <w:rPr>
          <w:sz w:val="26"/>
        </w:rPr>
      </w:pPr>
    </w:p>
    <w:p>
      <w:pPr>
        <w:pStyle w:val="Heading3"/>
        <w:spacing w:before="1"/>
      </w:pPr>
      <w:bookmarkStart w:name="（十一）脑炎后遗症或脑膜炎后遗症" w:id="39"/>
      <w:bookmarkEnd w:id="39"/>
      <w:r>
        <w:rPr>
          <w:b w:val="0"/>
        </w:rPr>
      </w:r>
      <w:r>
        <w:rPr/>
        <w:t>（十一）脑炎后遗症或脑膜炎后遗症</w:t>
      </w:r>
    </w:p>
    <w:p>
      <w:pPr>
        <w:pStyle w:val="BodyText"/>
        <w:spacing w:line="273" w:lineRule="auto"/>
        <w:ind w:right="169" w:firstLine="431"/>
      </w:pPr>
      <w:r>
        <w:rPr/>
        <w:t>指因患脑炎或脑膜炎导致的神经系统永久性的功能障碍。神经系统永久性的功能障碍，指疾病首次确诊 180 天后，仍残留下列一种或一种以上障碍：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left="1967" w:right="214"/>
      </w:pPr>
      <w:r>
        <w:rPr/>
        <w:t>（3）自主生活能力完全丧失，无法独立完成六项基本日常生活活动中的三项或三项以上。</w:t>
      </w:r>
    </w:p>
    <w:p>
      <w:pPr>
        <w:pStyle w:val="BodyText"/>
        <w:spacing w:before="5"/>
        <w:ind w:left="0"/>
        <w:rPr>
          <w:sz w:val="24"/>
        </w:rPr>
      </w:pPr>
    </w:p>
    <w:p>
      <w:pPr>
        <w:pStyle w:val="Heading3"/>
      </w:pPr>
      <w:bookmarkStart w:name="（十二）深度昏迷" w:id="40"/>
      <w:bookmarkEnd w:id="40"/>
      <w:r>
        <w:rPr>
          <w:b w:val="0"/>
        </w:rPr>
      </w:r>
      <w:r>
        <w:rPr/>
        <w:t>（十二）深度昏迷</w:t>
      </w:r>
    </w:p>
    <w:p>
      <w:pPr>
        <w:pStyle w:val="BodyText"/>
        <w:spacing w:line="273" w:lineRule="auto" w:before="36"/>
        <w:ind w:right="114" w:firstLine="431"/>
      </w:pPr>
      <w:r>
        <w:rPr/>
        <w:t>指因疾病或意外伤害导致意识丧失,对外界刺激和体内需求均无反应，昏</w:t>
      </w:r>
      <w:r>
        <w:rPr>
          <w:spacing w:val="-4"/>
        </w:rPr>
        <w:t>迷程度按照格拉斯哥昏迷分级</w:t>
      </w:r>
      <w:r>
        <w:rPr/>
        <w:t>（Glasgow</w:t>
      </w:r>
      <w:r>
        <w:rPr>
          <w:spacing w:val="-50"/>
        </w:rPr>
        <w:t> </w:t>
      </w:r>
      <w:r>
        <w:rPr/>
        <w:t>coma</w:t>
      </w:r>
      <w:r>
        <w:rPr>
          <w:spacing w:val="-50"/>
        </w:rPr>
        <w:t> </w:t>
      </w:r>
      <w:r>
        <w:rPr>
          <w:spacing w:val="-4"/>
        </w:rPr>
        <w:t>scale）</w:t>
      </w:r>
      <w:r>
        <w:rPr>
          <w:spacing w:val="-14"/>
        </w:rPr>
        <w:t>结果为 </w:t>
      </w:r>
      <w:r>
        <w:rPr/>
        <w:t>5</w:t>
      </w:r>
      <w:r>
        <w:rPr>
          <w:spacing w:val="-26"/>
        </w:rPr>
        <w:t> 分或 </w:t>
      </w:r>
      <w:r>
        <w:rPr/>
        <w:t>5</w:t>
      </w:r>
      <w:r>
        <w:rPr>
          <w:spacing w:val="-12"/>
        </w:rPr>
        <w:t> 分以下， </w:t>
      </w:r>
      <w:r>
        <w:rPr>
          <w:spacing w:val="-5"/>
        </w:rPr>
        <w:t>且已经持续使用呼吸机及其它生命维持系统 </w:t>
      </w:r>
      <w:r>
        <w:rPr/>
        <w:t>96</w:t>
      </w:r>
      <w:r>
        <w:rPr>
          <w:spacing w:val="-9"/>
        </w:rPr>
        <w:t> 小时以上。</w:t>
      </w:r>
    </w:p>
    <w:p>
      <w:pPr>
        <w:pStyle w:val="BodyText"/>
        <w:spacing w:before="7"/>
        <w:ind w:left="2400"/>
      </w:pPr>
      <w:r>
        <w:rPr/>
        <w:t>由于酗酒或药物滥用导致的深度昏迷不在保障范围内。</w:t>
      </w:r>
    </w:p>
    <w:p>
      <w:pPr>
        <w:pStyle w:val="BodyText"/>
        <w:spacing w:before="9"/>
        <w:ind w:left="0"/>
        <w:rPr>
          <w:sz w:val="26"/>
        </w:rPr>
      </w:pPr>
    </w:p>
    <w:p>
      <w:pPr>
        <w:pStyle w:val="Heading3"/>
      </w:pPr>
      <w:bookmarkStart w:name="（十三）双耳失聪 " w:id="41"/>
      <w:bookmarkEnd w:id="41"/>
      <w:r>
        <w:rPr>
          <w:b w:val="0"/>
        </w:rPr>
      </w:r>
      <w:r>
        <w:rPr/>
        <w:t>（十三）双耳失聪</w:t>
      </w:r>
    </w:p>
    <w:p>
      <w:pPr>
        <w:pStyle w:val="BodyText"/>
        <w:ind w:left="2400"/>
      </w:pPr>
      <w:r>
        <w:rPr/>
        <w:t>指因疾病或意外伤害导致双耳听力永久不可逆性丧失，在 500 赫兹、1000</w:t>
      </w:r>
    </w:p>
    <w:p>
      <w:pPr>
        <w:pStyle w:val="BodyText"/>
        <w:spacing w:line="273" w:lineRule="auto"/>
        <w:ind w:right="217" w:hanging="1"/>
      </w:pPr>
      <w:r>
        <w:rPr>
          <w:spacing w:val="-13"/>
        </w:rPr>
        <w:t>赫兹和 </w:t>
      </w:r>
      <w:r>
        <w:rPr/>
        <w:t>2000</w:t>
      </w:r>
      <w:r>
        <w:rPr>
          <w:spacing w:val="-12"/>
        </w:rPr>
        <w:t> 赫兹语音频率下，平均听阈大于 </w:t>
      </w:r>
      <w:r>
        <w:rPr/>
        <w:t>90</w:t>
      </w:r>
      <w:r>
        <w:rPr>
          <w:spacing w:val="-9"/>
        </w:rPr>
        <w:t> 分贝，且经纯音听力测试、声</w:t>
      </w:r>
      <w:r>
        <w:rPr>
          <w:spacing w:val="-5"/>
        </w:rPr>
        <w:t>导抗检测或听觉诱发电位检测等证实。</w:t>
      </w:r>
    </w:p>
    <w:p>
      <w:pPr>
        <w:pStyle w:val="BodyText"/>
        <w:spacing w:before="5"/>
        <w:ind w:left="0"/>
        <w:rPr>
          <w:sz w:val="24"/>
        </w:rPr>
      </w:pPr>
    </w:p>
    <w:p>
      <w:pPr>
        <w:pStyle w:val="Heading3"/>
        <w:spacing w:before="1"/>
      </w:pPr>
      <w:bookmarkStart w:name="（十四）双目失明 " w:id="42"/>
      <w:bookmarkEnd w:id="42"/>
      <w:r>
        <w:rPr>
          <w:b w:val="0"/>
        </w:rPr>
      </w:r>
      <w:r>
        <w:rPr/>
        <w:t>（十四）双目失明</w:t>
      </w:r>
    </w:p>
    <w:p>
      <w:pPr>
        <w:pStyle w:val="BodyText"/>
        <w:spacing w:line="273" w:lineRule="auto"/>
        <w:ind w:left="1967" w:right="168" w:firstLine="420"/>
      </w:pPr>
      <w:r>
        <w:rPr/>
        <w:t>指因疾病或意外伤害导致双目视力永久不可逆性丧失，双眼中较好眼须满足下列至少一项条件：</w:t>
      </w:r>
    </w:p>
    <w:p>
      <w:pPr>
        <w:pStyle w:val="BodyText"/>
        <w:spacing w:before="7"/>
        <w:ind w:left="1967"/>
      </w:pPr>
      <w:r>
        <w:rPr/>
        <w:t>（1）眼球缺失或摘除；</w:t>
      </w:r>
    </w:p>
    <w:p>
      <w:pPr>
        <w:pStyle w:val="BodyText"/>
        <w:spacing w:line="273" w:lineRule="auto" w:before="36"/>
        <w:ind w:left="1967" w:right="219"/>
      </w:pPr>
      <w:r>
        <w:rPr/>
        <w:t>（2）</w:t>
      </w:r>
      <w:r>
        <w:rPr>
          <w:spacing w:val="-3"/>
        </w:rPr>
        <w:t>矫正视力低于 </w:t>
      </w:r>
      <w:r>
        <w:rPr/>
        <w:t>0.02（</w:t>
      </w:r>
      <w:r>
        <w:rPr>
          <w:spacing w:val="-3"/>
        </w:rPr>
        <w:t>采用国际标准视力表，如果使用其他视力表应进行</w:t>
      </w:r>
      <w:r>
        <w:rPr>
          <w:w w:val="100"/>
        </w:rPr>
        <w:t>换算</w:t>
      </w:r>
      <w:r>
        <w:rPr>
          <w:spacing w:val="-108"/>
          <w:w w:val="100"/>
        </w:rPr>
        <w:t>）</w:t>
      </w:r>
      <w:r>
        <w:rPr>
          <w:w w:val="100"/>
        </w:rPr>
        <w:t>；</w:t>
      </w:r>
    </w:p>
    <w:p>
      <w:pPr>
        <w:pStyle w:val="BodyText"/>
        <w:spacing w:before="7"/>
        <w:ind w:left="1967"/>
      </w:pPr>
      <w:r>
        <w:rPr/>
        <w:t>（3）视野半径小于 5 度。</w:t>
      </w:r>
    </w:p>
    <w:p>
      <w:pPr>
        <w:pStyle w:val="BodyText"/>
        <w:spacing w:before="9"/>
        <w:ind w:left="0"/>
        <w:rPr>
          <w:sz w:val="26"/>
        </w:rPr>
      </w:pPr>
    </w:p>
    <w:p>
      <w:pPr>
        <w:pStyle w:val="Heading3"/>
      </w:pPr>
      <w:bookmarkStart w:name="（十五）瘫痪" w:id="43"/>
      <w:bookmarkEnd w:id="43"/>
      <w:r>
        <w:rPr>
          <w:b w:val="0"/>
        </w:rPr>
      </w:r>
      <w:r>
        <w:rPr/>
        <w:t>（十五）瘫痪</w:t>
      </w:r>
    </w:p>
    <w:p>
      <w:pPr>
        <w:pStyle w:val="BodyText"/>
        <w:spacing w:line="273" w:lineRule="auto"/>
        <w:ind w:right="214" w:firstLine="431"/>
        <w:jc w:val="both"/>
      </w:pPr>
      <w:r>
        <w:rPr>
          <w:spacing w:val="-5"/>
        </w:rPr>
        <w:t>指因疾病或意外伤害导致两肢或两肢以上肢体机能永久完全丧失。肢体机</w:t>
      </w:r>
      <w:r>
        <w:rPr>
          <w:spacing w:val="-9"/>
        </w:rPr>
        <w:t>能永久完全丧失，指疾病确诊 </w:t>
      </w:r>
      <w:r>
        <w:rPr/>
        <w:t>180</w:t>
      </w:r>
      <w:r>
        <w:rPr>
          <w:spacing w:val="-13"/>
        </w:rPr>
        <w:t> 天后或意外伤害发生 </w:t>
      </w:r>
      <w:r>
        <w:rPr/>
        <w:t>180</w:t>
      </w:r>
      <w:r>
        <w:rPr>
          <w:spacing w:val="-11"/>
        </w:rPr>
        <w:t> 天后，每肢三大关</w:t>
      </w:r>
      <w:r>
        <w:rPr>
          <w:spacing w:val="-3"/>
        </w:rPr>
        <w:t>节中的两大关节仍然完全僵硬，或不能随意识活动。</w:t>
      </w:r>
    </w:p>
    <w:p>
      <w:pPr>
        <w:pStyle w:val="BodyText"/>
        <w:spacing w:before="5"/>
        <w:ind w:left="0"/>
        <w:rPr>
          <w:sz w:val="24"/>
        </w:rPr>
      </w:pPr>
    </w:p>
    <w:p>
      <w:pPr>
        <w:pStyle w:val="Heading3"/>
        <w:spacing w:before="1"/>
      </w:pPr>
      <w:bookmarkStart w:name="（十六）心脏瓣膜手术" w:id="44"/>
      <w:bookmarkEnd w:id="44"/>
      <w:r>
        <w:rPr>
          <w:b w:val="0"/>
        </w:rPr>
      </w:r>
      <w:r>
        <w:rPr/>
        <w:t>（十六）心脏瓣膜手术</w:t>
      </w:r>
    </w:p>
    <w:p>
      <w:pPr>
        <w:pStyle w:val="BodyText"/>
        <w:ind w:left="2400"/>
      </w:pPr>
      <w:r>
        <w:rPr/>
        <w:t>指为治疗心脏瓣膜疾病，实际实施了开胸进行的心脏瓣膜置换或修复的手</w:t>
      </w:r>
    </w:p>
    <w:p>
      <w:pPr>
        <w:pStyle w:val="BodyText"/>
      </w:pPr>
      <w:r>
        <w:rPr/>
        <w:t>术。</w:t>
      </w:r>
    </w:p>
    <w:p>
      <w:pPr>
        <w:pStyle w:val="BodyText"/>
        <w:spacing w:before="9"/>
        <w:ind w:left="0"/>
        <w:rPr>
          <w:sz w:val="26"/>
        </w:rPr>
      </w:pPr>
    </w:p>
    <w:p>
      <w:pPr>
        <w:pStyle w:val="Heading3"/>
      </w:pPr>
      <w:bookmarkStart w:name="（十七）严重阿尔茨海默病" w:id="45"/>
      <w:bookmarkEnd w:id="45"/>
      <w:r>
        <w:rPr>
          <w:b w:val="0"/>
        </w:rPr>
      </w:r>
      <w:r>
        <w:rPr/>
        <w:t>（十七）严重阿尔茨海默病</w:t>
      </w:r>
    </w:p>
    <w:p>
      <w:pPr>
        <w:pStyle w:val="BodyText"/>
        <w:spacing w:line="273" w:lineRule="auto"/>
        <w:ind w:right="214" w:firstLine="431"/>
        <w:jc w:val="both"/>
      </w:pPr>
      <w:r>
        <w:rPr>
          <w:spacing w:val="-6"/>
        </w:rPr>
        <w:t>指因大脑进行性、不可逆性改变导致智能严重衰退或丧失，临床表现为明</w:t>
      </w:r>
      <w:r>
        <w:rPr>
          <w:spacing w:val="-7"/>
        </w:rPr>
        <w:t>显的认知能力障碍、行为异常和社交能力减退，其日常生活必须持续受到他人</w:t>
      </w:r>
      <w:r>
        <w:rPr>
          <w:spacing w:val="-6"/>
          <w:w w:val="100"/>
        </w:rPr>
        <w:t>监护。须由头颅断层扫描</w:t>
      </w:r>
      <w:r>
        <w:rPr>
          <w:w w:val="100"/>
        </w:rPr>
        <w:t>（CT</w:t>
      </w:r>
      <w:r>
        <w:rPr>
          <w:spacing w:val="-108"/>
          <w:w w:val="100"/>
        </w:rPr>
        <w:t>）</w:t>
      </w:r>
      <w:r>
        <w:rPr>
          <w:spacing w:val="-4"/>
          <w:w w:val="100"/>
        </w:rPr>
        <w:t>、核磁共振检查</w:t>
      </w:r>
      <w:r>
        <w:rPr>
          <w:spacing w:val="-1"/>
          <w:w w:val="100"/>
        </w:rPr>
        <w:t>（</w:t>
      </w:r>
      <w:r>
        <w:rPr>
          <w:spacing w:val="-3"/>
          <w:w w:val="100"/>
        </w:rPr>
        <w:t>MR</w:t>
      </w:r>
      <w:r>
        <w:rPr>
          <w:spacing w:val="-1"/>
          <w:w w:val="100"/>
        </w:rPr>
        <w:t>I</w:t>
      </w:r>
      <w:r>
        <w:rPr>
          <w:spacing w:val="-5"/>
          <w:w w:val="100"/>
        </w:rPr>
        <w:t>）</w:t>
      </w:r>
      <w:r>
        <w:rPr>
          <w:spacing w:val="-3"/>
          <w:w w:val="100"/>
        </w:rPr>
        <w:t>或正电子发射断层扫描</w:t>
      </w:r>
    </w:p>
    <w:p>
      <w:pPr>
        <w:pStyle w:val="BodyText"/>
        <w:spacing w:before="7"/>
      </w:pPr>
      <w:r>
        <w:rPr/>
        <w:t>（PET）等影像学检查证实，自主生活能力完全丧失，无法独立完成六项基本</w:t>
      </w:r>
    </w:p>
    <w:p>
      <w:pPr>
        <w:spacing w:after="0"/>
        <w:sectPr>
          <w:pgSz w:w="11910" w:h="16840"/>
          <w:pgMar w:top="1080" w:bottom="280" w:left="1680" w:right="920"/>
        </w:sectPr>
      </w:pPr>
    </w:p>
    <w:p>
      <w:pPr>
        <w:pStyle w:val="BodyText"/>
        <w:spacing w:before="22"/>
      </w:pPr>
      <w:r>
        <w:rPr/>
        <w:t>日常生活活动中的三项或三项以上。</w:t>
      </w:r>
    </w:p>
    <w:p>
      <w:pPr>
        <w:pStyle w:val="BodyText"/>
        <w:ind w:left="2399"/>
      </w:pPr>
      <w:r>
        <w:rPr/>
        <w:t>神经官能症和精神疾病不在保障范围内。</w:t>
      </w:r>
    </w:p>
    <w:p>
      <w:pPr>
        <w:pStyle w:val="BodyText"/>
        <w:spacing w:before="8"/>
        <w:ind w:left="0"/>
        <w:rPr>
          <w:sz w:val="26"/>
        </w:rPr>
      </w:pPr>
    </w:p>
    <w:p>
      <w:pPr>
        <w:pStyle w:val="Heading3"/>
        <w:spacing w:before="1"/>
      </w:pPr>
      <w:bookmarkStart w:name="（十八）严重脑损伤" w:id="46"/>
      <w:bookmarkEnd w:id="46"/>
      <w:r>
        <w:rPr>
          <w:b w:val="0"/>
        </w:rPr>
      </w:r>
      <w:r>
        <w:rPr/>
        <w:t>（十八）严重脑损伤</w:t>
      </w:r>
    </w:p>
    <w:p>
      <w:pPr>
        <w:pStyle w:val="BodyText"/>
        <w:spacing w:line="273" w:lineRule="auto"/>
        <w:ind w:right="136" w:firstLine="431"/>
        <w:jc w:val="both"/>
      </w:pPr>
      <w:r>
        <w:rPr>
          <w:spacing w:val="-6"/>
        </w:rPr>
        <w:t>指因头部遭受机械性外力，引起脑重要部位损伤，导致神经系统永久性的</w:t>
      </w:r>
      <w:r>
        <w:rPr>
          <w:spacing w:val="-4"/>
          <w:w w:val="100"/>
        </w:rPr>
        <w:t>功能障碍。须由头颅断层扫描</w:t>
      </w:r>
      <w:r>
        <w:rPr>
          <w:spacing w:val="-3"/>
          <w:w w:val="100"/>
        </w:rPr>
        <w:t>（</w:t>
      </w:r>
      <w:r>
        <w:rPr>
          <w:w w:val="100"/>
        </w:rPr>
        <w:t>CT</w:t>
      </w:r>
      <w:r>
        <w:rPr>
          <w:spacing w:val="-108"/>
          <w:w w:val="100"/>
        </w:rPr>
        <w:t>）</w:t>
      </w:r>
      <w:r>
        <w:rPr>
          <w:spacing w:val="-4"/>
          <w:w w:val="100"/>
        </w:rPr>
        <w:t>、核磁共振检查</w:t>
      </w:r>
      <w:r>
        <w:rPr>
          <w:spacing w:val="-1"/>
          <w:w w:val="100"/>
        </w:rPr>
        <w:t>（</w:t>
      </w:r>
      <w:r>
        <w:rPr>
          <w:w w:val="100"/>
        </w:rPr>
        <w:t>MR</w:t>
      </w:r>
      <w:r>
        <w:rPr>
          <w:spacing w:val="-3"/>
          <w:w w:val="100"/>
        </w:rPr>
        <w:t>I</w:t>
      </w:r>
      <w:r>
        <w:rPr>
          <w:spacing w:val="-5"/>
          <w:w w:val="100"/>
        </w:rPr>
        <w:t>）</w:t>
      </w:r>
      <w:r>
        <w:rPr>
          <w:spacing w:val="-3"/>
          <w:w w:val="100"/>
        </w:rPr>
        <w:t>或正电子发射断层</w:t>
      </w:r>
      <w:r>
        <w:rPr/>
        <w:t>扫描（PET）</w:t>
      </w:r>
      <w:r>
        <w:rPr>
          <w:spacing w:val="1"/>
        </w:rPr>
        <w:t>等影像学检查证实。神经系统永久性的功能障碍，指脑损伤 </w:t>
      </w:r>
      <w:r>
        <w:rPr/>
        <w:t>180 </w:t>
      </w:r>
      <w:r>
        <w:rPr>
          <w:spacing w:val="-3"/>
        </w:rPr>
        <w:t>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left="1967" w:right="134"/>
      </w:pPr>
      <w:r>
        <w:rPr/>
        <w:t>（3）自主生活能力完全丧失，无法独立完成六项基本日常生活活动中的三项或三项以上。</w:t>
      </w:r>
    </w:p>
    <w:p>
      <w:pPr>
        <w:pStyle w:val="BodyText"/>
        <w:spacing w:before="5"/>
        <w:ind w:left="0"/>
        <w:rPr>
          <w:sz w:val="24"/>
        </w:rPr>
      </w:pPr>
    </w:p>
    <w:p>
      <w:pPr>
        <w:pStyle w:val="Heading3"/>
      </w:pPr>
      <w:bookmarkStart w:name="（十九）严重帕金森病" w:id="47"/>
      <w:bookmarkEnd w:id="47"/>
      <w:r>
        <w:rPr>
          <w:b w:val="0"/>
        </w:rPr>
      </w:r>
      <w:r>
        <w:rPr/>
        <w:t>（十九）严重帕金森病</w:t>
      </w:r>
    </w:p>
    <w:p>
      <w:pPr>
        <w:pStyle w:val="BodyText"/>
        <w:spacing w:line="273" w:lineRule="auto" w:before="36"/>
        <w:ind w:right="98" w:firstLine="431"/>
        <w:jc w:val="both"/>
      </w:pPr>
      <w:r>
        <w:rPr/>
        <w:t>指一种中枢神经系统的退行性疾病，临床表现为震颤麻痹、共济失调等。须满足下列全部条件：</w:t>
      </w:r>
    </w:p>
    <w:p>
      <w:pPr>
        <w:pStyle w:val="BodyText"/>
        <w:spacing w:before="7"/>
      </w:pPr>
      <w:r>
        <w:rPr/>
        <w:t>（1）药物治疗无法控制病情；</w:t>
      </w:r>
    </w:p>
    <w:p>
      <w:pPr>
        <w:pStyle w:val="BodyText"/>
        <w:spacing w:line="273" w:lineRule="auto"/>
        <w:ind w:left="1967" w:right="134"/>
      </w:pPr>
      <w:r>
        <w:rPr/>
        <w:t>（2）自主生活能力完全丧失，无法独立完成六项基本日常生活活动中的三项或三项以上。</w:t>
      </w:r>
    </w:p>
    <w:p>
      <w:pPr>
        <w:pStyle w:val="BodyText"/>
        <w:spacing w:before="8"/>
        <w:ind w:left="2687"/>
      </w:pPr>
      <w:r>
        <w:rPr/>
        <w:t>继发性帕金森综合征不在保障范围内。</w:t>
      </w:r>
    </w:p>
    <w:p>
      <w:pPr>
        <w:pStyle w:val="BodyText"/>
        <w:spacing w:before="9"/>
        <w:ind w:left="0"/>
        <w:rPr>
          <w:sz w:val="26"/>
        </w:rPr>
      </w:pPr>
    </w:p>
    <w:p>
      <w:pPr>
        <w:pStyle w:val="Heading3"/>
      </w:pPr>
      <w:bookmarkStart w:name="（二十）严重III度烧伤" w:id="48"/>
      <w:bookmarkEnd w:id="48"/>
      <w:r>
        <w:rPr>
          <w:b w:val="0"/>
        </w:rPr>
      </w:r>
      <w:r>
        <w:rPr/>
        <w:t>（二十）严重III度烧伤</w:t>
      </w:r>
    </w:p>
    <w:p>
      <w:pPr>
        <w:pStyle w:val="BodyText"/>
        <w:spacing w:line="273" w:lineRule="auto"/>
        <w:ind w:right="137" w:firstLine="431"/>
        <w:jc w:val="both"/>
      </w:pPr>
      <w:r>
        <w:rPr>
          <w:spacing w:val="-4"/>
        </w:rPr>
        <w:t>指烧伤程度为Ⅲ度，且Ⅲ度烧伤面积达到全身体表面积的 </w:t>
      </w:r>
      <w:r>
        <w:rPr/>
        <w:t>20％</w:t>
      </w:r>
      <w:r>
        <w:rPr>
          <w:spacing w:val="-4"/>
        </w:rPr>
        <w:t>或 </w:t>
      </w:r>
      <w:r>
        <w:rPr/>
        <w:t>20</w:t>
      </w:r>
      <w:r>
        <w:rPr>
          <w:spacing w:val="-2"/>
        </w:rPr>
        <w:t>％以</w:t>
      </w:r>
      <w:r>
        <w:rPr>
          <w:spacing w:val="-3"/>
        </w:rPr>
        <w:t>上。体表面积根据 《中国新九分法》计算。</w:t>
      </w:r>
    </w:p>
    <w:p>
      <w:pPr>
        <w:pStyle w:val="BodyText"/>
        <w:spacing w:before="5"/>
        <w:ind w:left="0"/>
        <w:rPr>
          <w:sz w:val="24"/>
        </w:rPr>
      </w:pPr>
    </w:p>
    <w:p>
      <w:pPr>
        <w:pStyle w:val="Heading3"/>
        <w:spacing w:before="1"/>
      </w:pPr>
      <w:bookmarkStart w:name="（二十一）严重原发性肺动脉高压" w:id="49"/>
      <w:bookmarkEnd w:id="49"/>
      <w:r>
        <w:rPr>
          <w:b w:val="0"/>
        </w:rPr>
      </w:r>
      <w:r>
        <w:rPr/>
        <w:t>（二十一）严重原发性肺动脉高压</w:t>
      </w:r>
    </w:p>
    <w:p>
      <w:pPr>
        <w:pStyle w:val="BodyText"/>
        <w:spacing w:line="273" w:lineRule="auto"/>
        <w:ind w:right="134" w:firstLine="431"/>
        <w:jc w:val="both"/>
      </w:pPr>
      <w:r>
        <w:rPr>
          <w:spacing w:val="-6"/>
        </w:rPr>
        <w:t>指不明原因的肺动脉压力持续性增高，进行性发展而导致的慢性疾病，已经造成永久不可逆性的体力活动能力受限，达到美国纽约心脏病学会心功能状</w:t>
      </w:r>
      <w:r>
        <w:rPr>
          <w:spacing w:val="-14"/>
        </w:rPr>
        <w:t>态分级 </w:t>
      </w:r>
      <w:r>
        <w:rPr/>
        <w:t>IV</w:t>
      </w:r>
      <w:r>
        <w:rPr>
          <w:spacing w:val="-11"/>
        </w:rPr>
        <w:t> 级，静息状态下肺动脉平均压超过 </w:t>
      </w:r>
      <w:r>
        <w:rPr/>
        <w:t>30mmHg。</w:t>
      </w:r>
    </w:p>
    <w:p>
      <w:pPr>
        <w:pStyle w:val="BodyText"/>
        <w:spacing w:before="5"/>
        <w:ind w:left="0"/>
        <w:rPr>
          <w:sz w:val="24"/>
        </w:rPr>
      </w:pPr>
    </w:p>
    <w:p>
      <w:pPr>
        <w:pStyle w:val="Heading3"/>
      </w:pPr>
      <w:bookmarkStart w:name="（二十二）严重运动神经元病" w:id="50"/>
      <w:bookmarkEnd w:id="50"/>
      <w:r>
        <w:rPr>
          <w:b w:val="0"/>
        </w:rPr>
      </w:r>
      <w:r>
        <w:rPr/>
        <w:t>（二十二）严重运动神经元病</w:t>
      </w:r>
    </w:p>
    <w:p>
      <w:pPr>
        <w:pStyle w:val="BodyText"/>
        <w:spacing w:line="273" w:lineRule="auto" w:before="36"/>
        <w:ind w:right="134" w:firstLine="431"/>
        <w:jc w:val="both"/>
      </w:pPr>
      <w:r>
        <w:rPr>
          <w:spacing w:val="-5"/>
        </w:rPr>
        <w:t>是一组中枢神经系统运动神经元的进行性变性疾病，包括进行性脊肌萎缩</w:t>
      </w:r>
      <w:r>
        <w:rPr>
          <w:spacing w:val="-7"/>
        </w:rPr>
        <w:t>症、进行性延髓麻痹症、原发性侧索硬化症、肌萎缩性侧索硬化症。须满足自主生活能力完全丧失，无法独立完成六项基本日常生活活动中的三项或三项以</w:t>
      </w:r>
      <w:r>
        <w:rPr/>
        <w:t>上。</w:t>
      </w:r>
    </w:p>
    <w:p>
      <w:pPr>
        <w:pStyle w:val="BodyText"/>
        <w:spacing w:before="5"/>
        <w:ind w:left="0"/>
        <w:rPr>
          <w:sz w:val="24"/>
        </w:rPr>
      </w:pPr>
    </w:p>
    <w:p>
      <w:pPr>
        <w:pStyle w:val="Heading3"/>
      </w:pPr>
      <w:bookmarkStart w:name="（二十三）语言能力丧失 " w:id="51"/>
      <w:bookmarkEnd w:id="51"/>
      <w:r>
        <w:rPr>
          <w:b w:val="0"/>
        </w:rPr>
      </w:r>
      <w:r>
        <w:rPr/>
        <w:t>（二十三）语言能力丧失</w:t>
      </w:r>
    </w:p>
    <w:p>
      <w:pPr>
        <w:pStyle w:val="BodyText"/>
        <w:ind w:left="2400"/>
      </w:pPr>
      <w:r>
        <w:rPr/>
        <w:t>指因疾病或意外伤害导致完全丧失语言能力，经过积极治疗至少 12 个月</w:t>
      </w:r>
    </w:p>
    <w:p>
      <w:pPr>
        <w:pStyle w:val="BodyText"/>
        <w:spacing w:line="273" w:lineRule="auto"/>
        <w:ind w:left="2399" w:right="1056" w:hanging="432"/>
      </w:pPr>
      <w:r>
        <w:rPr>
          <w:w w:val="100"/>
        </w:rPr>
        <w:t>（</w:t>
      </w:r>
      <w:r>
        <w:rPr>
          <w:spacing w:val="-3"/>
          <w:w w:val="100"/>
        </w:rPr>
        <w:t>声带完全切除不受此时间限制</w:t>
      </w:r>
      <w:r>
        <w:rPr>
          <w:spacing w:val="-106"/>
          <w:w w:val="100"/>
        </w:rPr>
        <w:t>）</w:t>
      </w:r>
      <w:r>
        <w:rPr>
          <w:spacing w:val="-3"/>
          <w:w w:val="100"/>
        </w:rPr>
        <w:t>，仍无法通过现有医疗手段恢复。</w:t>
      </w:r>
      <w:r>
        <w:rPr>
          <w:spacing w:val="-3"/>
        </w:rPr>
        <w:t>精神心理因素所致的语言能力丧失不在保障范围内。</w:t>
      </w:r>
    </w:p>
    <w:p>
      <w:pPr>
        <w:pStyle w:val="BodyText"/>
        <w:spacing w:before="8"/>
        <w:ind w:left="0"/>
        <w:rPr>
          <w:sz w:val="26"/>
        </w:rPr>
      </w:pPr>
    </w:p>
    <w:p>
      <w:pPr>
        <w:pStyle w:val="Heading3"/>
      </w:pPr>
      <w:bookmarkStart w:name="（二十四）重型再生障碍性贫血" w:id="52"/>
      <w:bookmarkEnd w:id="52"/>
      <w:r>
        <w:rPr>
          <w:b w:val="0"/>
        </w:rPr>
      </w:r>
      <w:r>
        <w:rPr/>
        <w:t>（二十四）重型再生障碍性贫血</w:t>
      </w:r>
    </w:p>
    <w:p>
      <w:pPr>
        <w:pStyle w:val="BodyText"/>
        <w:spacing w:line="273" w:lineRule="auto"/>
        <w:ind w:right="134" w:firstLine="431"/>
        <w:jc w:val="both"/>
      </w:pPr>
      <w:r>
        <w:rPr>
          <w:spacing w:val="-5"/>
        </w:rPr>
        <w:t>指因骨髓造血功能慢性持续性衰竭导致的贫血、中性粒细胞减少及血小板</w:t>
      </w:r>
      <w:r>
        <w:rPr>
          <w:spacing w:val="-4"/>
        </w:rPr>
        <w:t>减少，须满足下列全部条件：</w:t>
      </w:r>
    </w:p>
    <w:p>
      <w:pPr>
        <w:pStyle w:val="BodyText"/>
        <w:spacing w:before="7"/>
      </w:pPr>
      <w:r>
        <w:rPr/>
        <w:t>（1）骨髓穿刺检查或骨髓活检结果支持诊断；</w:t>
      </w:r>
    </w:p>
    <w:p>
      <w:pPr>
        <w:pStyle w:val="BodyText"/>
        <w:spacing w:before="36"/>
      </w:pPr>
      <w:r>
        <w:rPr/>
        <w:t>（2）外周血象必须具备以下三项条件：</w:t>
      </w:r>
    </w:p>
    <w:p>
      <w:pPr>
        <w:spacing w:after="0"/>
        <w:sectPr>
          <w:pgSz w:w="11910" w:h="16840"/>
          <w:pgMar w:top="1080" w:bottom="280" w:left="1680" w:right="1000"/>
        </w:sectPr>
      </w:pPr>
    </w:p>
    <w:p>
      <w:pPr>
        <w:pStyle w:val="BodyText"/>
        <w:spacing w:before="42"/>
        <w:ind w:left="2628"/>
      </w:pPr>
      <w:r>
        <w:rPr/>
        <w:t>① 中性粒细胞绝对值≤0.5×10</w:t>
      </w:r>
      <w:r>
        <w:rPr>
          <w:position w:val="11"/>
          <w:sz w:val="11"/>
        </w:rPr>
        <w:t>9</w:t>
      </w:r>
      <w:r>
        <w:rPr/>
        <w:t>/L；</w:t>
      </w:r>
    </w:p>
    <w:p>
      <w:pPr>
        <w:pStyle w:val="BodyText"/>
        <w:ind w:left="2628"/>
      </w:pPr>
      <w:r>
        <w:rPr/>
        <w:t>② 网织红细胞＜1%；</w:t>
      </w:r>
    </w:p>
    <w:p>
      <w:pPr>
        <w:pStyle w:val="BodyText"/>
        <w:ind w:left="2628"/>
      </w:pPr>
      <w:r>
        <w:rPr/>
        <w:t>③ 血小板绝对值≤20×10</w:t>
      </w:r>
      <w:r>
        <w:rPr>
          <w:position w:val="11"/>
          <w:sz w:val="11"/>
        </w:rPr>
        <w:t>9</w:t>
      </w:r>
      <w:r>
        <w:rPr/>
        <w:t>/L。</w:t>
      </w:r>
    </w:p>
    <w:p>
      <w:pPr>
        <w:pStyle w:val="BodyText"/>
        <w:spacing w:before="8"/>
        <w:ind w:left="0"/>
        <w:rPr>
          <w:sz w:val="26"/>
        </w:rPr>
      </w:pPr>
    </w:p>
    <w:p>
      <w:pPr>
        <w:pStyle w:val="Heading3"/>
      </w:pPr>
      <w:bookmarkStart w:name="（二十五）主动脉手术" w:id="53"/>
      <w:bookmarkEnd w:id="53"/>
      <w:r>
        <w:rPr>
          <w:b w:val="0"/>
        </w:rPr>
      </w:r>
      <w:r>
        <w:rPr/>
        <w:t>（二十五）主动脉手术</w:t>
      </w:r>
    </w:p>
    <w:p>
      <w:pPr>
        <w:pStyle w:val="BodyText"/>
        <w:spacing w:line="273" w:lineRule="auto" w:before="36"/>
        <w:ind w:right="134" w:firstLine="431"/>
        <w:jc w:val="both"/>
      </w:pPr>
      <w:r>
        <w:rPr>
          <w:spacing w:val="-6"/>
        </w:rPr>
        <w:t>指为治疗主动脉疾病，实际实施了开胸或开腹进行的切除、置换、修补病损主动脉血管的手术。主动脉指胸主动脉和腹主动脉，不包括胸主动脉和腹主</w:t>
      </w:r>
      <w:r>
        <w:rPr>
          <w:spacing w:val="-3"/>
        </w:rPr>
        <w:t>动脉的分支血管。</w:t>
      </w:r>
    </w:p>
    <w:p>
      <w:pPr>
        <w:pStyle w:val="BodyText"/>
        <w:spacing w:before="7"/>
        <w:ind w:left="2400"/>
      </w:pPr>
      <w:r>
        <w:rPr/>
        <w:t>动脉内血管成形术不在保障范围内。</w:t>
      </w:r>
    </w:p>
    <w:p>
      <w:pPr>
        <w:pStyle w:val="BodyText"/>
        <w:spacing w:before="8"/>
        <w:ind w:left="0"/>
        <w:rPr>
          <w:sz w:val="26"/>
        </w:rPr>
      </w:pPr>
    </w:p>
    <w:p>
      <w:pPr>
        <w:pStyle w:val="BodyText"/>
        <w:spacing w:line="273" w:lineRule="auto" w:before="0"/>
        <w:ind w:right="131"/>
      </w:pPr>
      <w:r>
        <w:rPr/>
        <w:t>以下重大疾病定义是本公司在中国保险行业协会与中国医师协会共同制定的重大疾病保险的疾病种类范围以外增加的疾病定义。</w:t>
      </w:r>
    </w:p>
    <w:p>
      <w:pPr>
        <w:pStyle w:val="BodyText"/>
        <w:spacing w:before="5"/>
        <w:ind w:left="0"/>
        <w:rPr>
          <w:sz w:val="24"/>
        </w:rPr>
      </w:pPr>
    </w:p>
    <w:p>
      <w:pPr>
        <w:pStyle w:val="Heading3"/>
      </w:pPr>
      <w:bookmarkStart w:name="（二十六）慢性呼吸功能衰竭" w:id="54"/>
      <w:bookmarkEnd w:id="54"/>
      <w:r>
        <w:rPr>
          <w:b w:val="0"/>
        </w:rPr>
      </w:r>
      <w:r>
        <w:rPr/>
        <w:t>（二十六）慢性呼吸功能衰竭</w:t>
      </w:r>
    </w:p>
    <w:p>
      <w:pPr>
        <w:pStyle w:val="BodyText"/>
        <w:spacing w:line="273" w:lineRule="auto" w:before="36"/>
        <w:ind w:right="137" w:firstLine="431"/>
        <w:jc w:val="both"/>
      </w:pPr>
      <w:r>
        <w:rPr>
          <w:spacing w:val="-5"/>
        </w:rPr>
        <w:t>慢性肺部疾病导致永久不可逆性的慢性呼吸功能衰竭，必须由呼吸专科医</w:t>
      </w:r>
      <w:r>
        <w:rPr>
          <w:spacing w:val="-3"/>
        </w:rPr>
        <w:t>师确认并符合下列所有条件：</w:t>
      </w:r>
    </w:p>
    <w:p>
      <w:pPr>
        <w:pStyle w:val="BodyText"/>
        <w:spacing w:before="7"/>
        <w:ind w:left="2400"/>
      </w:pPr>
      <w:r>
        <w:rPr/>
        <w:t>（1）休息时出现呼吸困难；</w:t>
      </w:r>
    </w:p>
    <w:p>
      <w:pPr>
        <w:pStyle w:val="BodyText"/>
        <w:ind w:left="2400"/>
      </w:pPr>
      <w:r>
        <w:rPr>
          <w:position w:val="1"/>
        </w:rPr>
        <w:t>（2）动脉血氧分压 （PaO </w:t>
      </w:r>
      <w:r>
        <w:rPr>
          <w:sz w:val="11"/>
        </w:rPr>
        <w:t>2 </w:t>
      </w:r>
      <w:r>
        <w:rPr>
          <w:position w:val="1"/>
        </w:rPr>
        <w:t>）&lt; 50mmHg；</w:t>
      </w:r>
    </w:p>
    <w:p>
      <w:pPr>
        <w:pStyle w:val="BodyText"/>
        <w:ind w:left="2400"/>
      </w:pPr>
      <w:r>
        <w:rPr>
          <w:position w:val="1"/>
        </w:rPr>
        <w:t>（3）动脉血氧饱和度 （SaO </w:t>
      </w:r>
      <w:r>
        <w:rPr>
          <w:sz w:val="11"/>
        </w:rPr>
        <w:t>2 </w:t>
      </w:r>
      <w:r>
        <w:rPr>
          <w:position w:val="1"/>
        </w:rPr>
        <w:t>）&lt; 80％；</w:t>
      </w:r>
    </w:p>
    <w:p>
      <w:pPr>
        <w:pStyle w:val="BodyText"/>
        <w:ind w:left="2400"/>
      </w:pPr>
      <w:r>
        <w:rPr/>
        <w:t>（4）因缺氧必须接受持续的输氧治疗。</w:t>
      </w:r>
    </w:p>
    <w:p>
      <w:pPr>
        <w:pStyle w:val="BodyText"/>
        <w:spacing w:before="11"/>
        <w:ind w:left="0"/>
        <w:rPr>
          <w:sz w:val="23"/>
        </w:rPr>
      </w:pPr>
    </w:p>
    <w:p>
      <w:pPr>
        <w:pStyle w:val="Heading3"/>
        <w:spacing w:before="37"/>
      </w:pPr>
      <w:bookmarkStart w:name="（二十七）严重多发性硬化" w:id="55"/>
      <w:bookmarkEnd w:id="55"/>
      <w:r>
        <w:rPr>
          <w:b w:val="0"/>
        </w:rPr>
      </w:r>
      <w:r>
        <w:rPr/>
        <w:t>（二十七）严重多发性硬化</w:t>
      </w:r>
    </w:p>
    <w:p>
      <w:pPr>
        <w:pStyle w:val="BodyText"/>
        <w:spacing w:line="273" w:lineRule="auto"/>
        <w:ind w:right="98" w:firstLine="431"/>
        <w:jc w:val="both"/>
      </w:pP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7"/>
        <w:ind w:left="2400"/>
      </w:pPr>
      <w:r>
        <w:rPr/>
        <w:t>（1）移动：自己从一个房间移动到另一个房间；或者</w:t>
      </w:r>
    </w:p>
    <w:p>
      <w:pPr>
        <w:pStyle w:val="BodyText"/>
        <w:spacing w:before="36"/>
        <w:ind w:left="2400"/>
      </w:pPr>
      <w:r>
        <w:rPr/>
        <w:t>（2）进食：自己从已准备好的碗或碟中取食物放入口中。</w:t>
      </w:r>
    </w:p>
    <w:p>
      <w:pPr>
        <w:pStyle w:val="BodyText"/>
        <w:spacing w:before="8"/>
        <w:ind w:left="0"/>
        <w:rPr>
          <w:sz w:val="26"/>
        </w:rPr>
      </w:pPr>
    </w:p>
    <w:p>
      <w:pPr>
        <w:pStyle w:val="Heading3"/>
      </w:pPr>
      <w:bookmarkStart w:name="（二十八）严重冠心病" w:id="56"/>
      <w:bookmarkEnd w:id="56"/>
      <w:r>
        <w:rPr>
          <w:b w:val="0"/>
        </w:rPr>
      </w:r>
      <w:r>
        <w:rPr/>
        <w:t>（二十八）严重冠心病</w:t>
      </w:r>
    </w:p>
    <w:p>
      <w:pPr>
        <w:pStyle w:val="BodyText"/>
        <w:spacing w:line="273" w:lineRule="auto" w:before="36"/>
        <w:ind w:left="1967" w:right="134" w:firstLine="432"/>
        <w:jc w:val="both"/>
      </w:pPr>
      <w:r>
        <w:rPr>
          <w:spacing w:val="-5"/>
        </w:rPr>
        <w:t>指经心脏科专科医师根据冠状动脉造影检查结果确诊的三支主要血管</w:t>
      </w:r>
      <w:r>
        <w:rPr>
          <w:spacing w:val="-4"/>
        </w:rPr>
        <w:t>（</w:t>
      </w:r>
      <w:r>
        <w:rPr/>
        <w:t>左</w:t>
      </w:r>
      <w:r>
        <w:rPr>
          <w:spacing w:val="-5"/>
        </w:rPr>
        <w:t>冠状动脉主干和右冠状动脉，或前降支、左旋支和右冠状动脉</w:t>
      </w:r>
      <w:r>
        <w:rPr>
          <w:spacing w:val="-10"/>
        </w:rPr>
        <w:t>）</w:t>
      </w:r>
      <w:r>
        <w:rPr>
          <w:spacing w:val="-3"/>
        </w:rPr>
        <w:t>严重狭窄性病变（至少一支血管管腔直径减少 </w:t>
      </w:r>
      <w:r>
        <w:rPr/>
        <w:t>75</w:t>
      </w:r>
      <w:r>
        <w:rPr>
          <w:spacing w:val="-3"/>
        </w:rPr>
        <w:t>％以上和其他两支血管管腔直径减少 </w:t>
      </w:r>
      <w:r>
        <w:rPr/>
        <w:t>60％ 以上</w:t>
      </w:r>
      <w:r>
        <w:rPr>
          <w:spacing w:val="-106"/>
        </w:rPr>
        <w:t>）</w:t>
      </w:r>
      <w:r>
        <w:rPr/>
        <w:t>。前降支、左旋支及右冠状动脉的分支血管的狭窄不作为本保障的衡量指标。</w:t>
      </w:r>
    </w:p>
    <w:p>
      <w:pPr>
        <w:pStyle w:val="BodyText"/>
        <w:spacing w:before="5"/>
        <w:ind w:left="0"/>
        <w:rPr>
          <w:sz w:val="24"/>
        </w:rPr>
      </w:pPr>
    </w:p>
    <w:p>
      <w:pPr>
        <w:pStyle w:val="Heading3"/>
      </w:pPr>
      <w:bookmarkStart w:name="（二十九）严重心肌病" w:id="57"/>
      <w:bookmarkEnd w:id="57"/>
      <w:r>
        <w:rPr>
          <w:b w:val="0"/>
        </w:rPr>
      </w:r>
      <w:r>
        <w:rPr/>
        <w:t>（二十九）严重心肌病</w:t>
      </w:r>
    </w:p>
    <w:p>
      <w:pPr>
        <w:pStyle w:val="BodyText"/>
        <w:spacing w:line="273" w:lineRule="auto"/>
        <w:ind w:right="99" w:firstLine="431"/>
        <w:jc w:val="both"/>
      </w:pPr>
      <w:r>
        <w:rPr/>
        <w:t>指被保人因心肌病导致慢性心功能损害造成永久不可逆性的心功能衰竭。心功能衰竭程度达到纽约心脏病学会的心功能分级标准之心功能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5"/>
        <w:ind w:left="0"/>
        <w:rPr>
          <w:sz w:val="24"/>
        </w:rPr>
      </w:pPr>
    </w:p>
    <w:p>
      <w:pPr>
        <w:pStyle w:val="Heading3"/>
      </w:pPr>
      <w:bookmarkStart w:name="（三十）系统性红斑狼疮 － III型或III型以上狼疮性肾炎" w:id="58"/>
      <w:bookmarkEnd w:id="58"/>
      <w:r>
        <w:rPr>
          <w:b w:val="0"/>
        </w:rPr>
      </w:r>
      <w:r>
        <w:rPr/>
        <w:t>（三十）系统性红斑狼疮 － III型或III型以上狼疮性肾炎</w:t>
      </w:r>
    </w:p>
    <w:p>
      <w:pPr>
        <w:spacing w:line="259" w:lineRule="auto" w:before="27"/>
        <w:ind w:left="1967" w:right="224" w:firstLine="432"/>
        <w:jc w:val="both"/>
        <w:rPr>
          <w:sz w:val="22"/>
        </w:rPr>
      </w:pPr>
      <w:r>
        <w:rPr>
          <w:sz w:val="22"/>
        </w:rPr>
        <w:t>系统性红斑狼疮是由多种因素引起，累及多系统的自身免疫性疾病。其特点是生成自身抗体对抗多种自身抗原。多见于育龄妇女。</w:t>
      </w:r>
    </w:p>
    <w:p>
      <w:pPr>
        <w:spacing w:line="259" w:lineRule="auto" w:before="6"/>
        <w:ind w:left="1967" w:right="215" w:firstLine="432"/>
        <w:jc w:val="both"/>
        <w:rPr>
          <w:sz w:val="22"/>
        </w:rPr>
      </w:pPr>
      <w:r>
        <w:rPr>
          <w:spacing w:val="-3"/>
          <w:sz w:val="22"/>
        </w:rPr>
        <w:t>本保单所指的系统性红斑狼疮仅限于累及肾脏（经肾脏活检确认的， </w:t>
      </w:r>
      <w:r>
        <w:rPr>
          <w:spacing w:val="-20"/>
          <w:sz w:val="22"/>
        </w:rPr>
        <w:t>符合 </w:t>
      </w:r>
      <w:r>
        <w:rPr>
          <w:sz w:val="22"/>
        </w:rPr>
        <w:t>WHO</w:t>
      </w:r>
      <w:r>
        <w:rPr>
          <w:spacing w:val="-15"/>
          <w:sz w:val="22"/>
        </w:rPr>
        <w:t> 诊断标准定义 </w:t>
      </w:r>
      <w:r>
        <w:rPr>
          <w:sz w:val="22"/>
        </w:rPr>
        <w:t>III</w:t>
      </w:r>
      <w:r>
        <w:rPr>
          <w:spacing w:val="-27"/>
          <w:sz w:val="22"/>
        </w:rPr>
        <w:t> 型或 </w:t>
      </w:r>
      <w:r>
        <w:rPr>
          <w:sz w:val="22"/>
        </w:rPr>
        <w:t>III</w:t>
      </w:r>
      <w:r>
        <w:rPr>
          <w:spacing w:val="-8"/>
          <w:sz w:val="22"/>
        </w:rPr>
        <w:t> 型以上狼疮性肾炎</w:t>
      </w:r>
      <w:r>
        <w:rPr>
          <w:spacing w:val="-3"/>
          <w:sz w:val="22"/>
        </w:rPr>
        <w:t>）</w:t>
      </w:r>
      <w:r>
        <w:rPr>
          <w:spacing w:val="-2"/>
          <w:sz w:val="22"/>
        </w:rPr>
        <w:t>的系统性红斑狼</w:t>
      </w:r>
      <w:r>
        <w:rPr>
          <w:spacing w:val="-3"/>
          <w:sz w:val="22"/>
        </w:rPr>
        <w:t>疮。其他类型的红斑性狼疮，如盘状狼疮、仅累及血液及关节的狼疮不在</w:t>
      </w:r>
    </w:p>
    <w:p>
      <w:pPr>
        <w:spacing w:after="0" w:line="259" w:lineRule="auto"/>
        <w:jc w:val="both"/>
        <w:rPr>
          <w:sz w:val="22"/>
        </w:rPr>
        <w:sectPr>
          <w:pgSz w:w="11910" w:h="16840"/>
          <w:pgMar w:top="1060" w:bottom="280" w:left="1680" w:right="1000"/>
        </w:sectPr>
      </w:pPr>
    </w:p>
    <w:p>
      <w:pPr>
        <w:spacing w:before="12"/>
        <w:ind w:left="1968" w:right="0" w:firstLine="0"/>
        <w:jc w:val="left"/>
        <w:rPr>
          <w:sz w:val="22"/>
        </w:rPr>
      </w:pPr>
      <w:r>
        <w:rPr>
          <w:sz w:val="22"/>
        </w:rPr>
        <w:t>本保单保障范围內。</w:t>
      </w:r>
    </w:p>
    <w:p>
      <w:pPr>
        <w:spacing w:line="520" w:lineRule="auto" w:before="23"/>
        <w:ind w:left="1968" w:right="2942" w:firstLine="431"/>
        <w:jc w:val="left"/>
        <w:rPr>
          <w:sz w:val="22"/>
        </w:rPr>
      </w:pPr>
      <w:r>
        <w:rPr/>
        <w:pict>
          <v:shape style="position:absolute;margin-left:178.638565pt;margin-top:51.310627pt;width:204.8pt;height:89.05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1"/>
                    <w:gridCol w:w="2625"/>
                  </w:tblGrid>
                  <w:tr>
                    <w:trPr>
                      <w:trHeight w:val="266" w:hRule="atLeast"/>
                    </w:trPr>
                    <w:tc>
                      <w:tcPr>
                        <w:tcW w:w="1471" w:type="dxa"/>
                      </w:tcPr>
                      <w:p>
                        <w:pPr>
                          <w:pStyle w:val="TableParagraph"/>
                          <w:spacing w:line="221" w:lineRule="exact"/>
                          <w:ind w:left="200"/>
                          <w:rPr>
                            <w:sz w:val="22"/>
                          </w:rPr>
                        </w:pPr>
                        <w:r>
                          <w:rPr>
                            <w:sz w:val="22"/>
                          </w:rPr>
                          <w:t>I 型</w:t>
                        </w:r>
                      </w:p>
                    </w:tc>
                    <w:tc>
                      <w:tcPr>
                        <w:tcW w:w="2625" w:type="dxa"/>
                      </w:tcPr>
                      <w:p>
                        <w:pPr>
                          <w:pStyle w:val="TableParagraph"/>
                          <w:spacing w:line="221" w:lineRule="exact"/>
                          <w:ind w:left="663"/>
                          <w:rPr>
                            <w:sz w:val="22"/>
                          </w:rPr>
                        </w:pPr>
                        <w:r>
                          <w:rPr>
                            <w:sz w:val="22"/>
                          </w:rPr>
                          <w:t>微小病变型</w:t>
                        </w:r>
                      </w:p>
                    </w:tc>
                  </w:tr>
                  <w:tr>
                    <w:trPr>
                      <w:trHeight w:val="311" w:hRule="atLeast"/>
                    </w:trPr>
                    <w:tc>
                      <w:tcPr>
                        <w:tcW w:w="1471" w:type="dxa"/>
                      </w:tcPr>
                      <w:p>
                        <w:pPr>
                          <w:pStyle w:val="TableParagraph"/>
                          <w:spacing w:line="266" w:lineRule="exact"/>
                          <w:ind w:left="200"/>
                          <w:rPr>
                            <w:sz w:val="22"/>
                          </w:rPr>
                        </w:pPr>
                        <w:r>
                          <w:rPr>
                            <w:sz w:val="22"/>
                          </w:rPr>
                          <w:t>II 型</w:t>
                        </w:r>
                      </w:p>
                    </w:tc>
                    <w:tc>
                      <w:tcPr>
                        <w:tcW w:w="2625" w:type="dxa"/>
                      </w:tcPr>
                      <w:p>
                        <w:pPr>
                          <w:pStyle w:val="TableParagraph"/>
                          <w:spacing w:line="266" w:lineRule="exact"/>
                          <w:ind w:left="663"/>
                          <w:rPr>
                            <w:sz w:val="22"/>
                          </w:rPr>
                        </w:pPr>
                        <w:r>
                          <w:rPr>
                            <w:sz w:val="22"/>
                          </w:rPr>
                          <w:t>系膜病变型</w:t>
                        </w:r>
                      </w:p>
                    </w:tc>
                  </w:tr>
                  <w:tr>
                    <w:trPr>
                      <w:trHeight w:val="311" w:hRule="atLeast"/>
                    </w:trPr>
                    <w:tc>
                      <w:tcPr>
                        <w:tcW w:w="1471" w:type="dxa"/>
                      </w:tcPr>
                      <w:p>
                        <w:pPr>
                          <w:pStyle w:val="TableParagraph"/>
                          <w:spacing w:line="266" w:lineRule="exact"/>
                          <w:ind w:left="200"/>
                          <w:rPr>
                            <w:sz w:val="22"/>
                          </w:rPr>
                        </w:pPr>
                        <w:r>
                          <w:rPr>
                            <w:sz w:val="22"/>
                          </w:rPr>
                          <w:t>III 型</w:t>
                        </w:r>
                      </w:p>
                    </w:tc>
                    <w:tc>
                      <w:tcPr>
                        <w:tcW w:w="2625" w:type="dxa"/>
                      </w:tcPr>
                      <w:p>
                        <w:pPr>
                          <w:pStyle w:val="TableParagraph"/>
                          <w:spacing w:line="266" w:lineRule="exact"/>
                          <w:ind w:left="663"/>
                          <w:rPr>
                            <w:sz w:val="22"/>
                          </w:rPr>
                        </w:pPr>
                        <w:r>
                          <w:rPr>
                            <w:sz w:val="22"/>
                          </w:rPr>
                          <w:t>局灶及节段增生型</w:t>
                        </w:r>
                      </w:p>
                    </w:tc>
                  </w:tr>
                  <w:tr>
                    <w:trPr>
                      <w:trHeight w:val="311" w:hRule="atLeast"/>
                    </w:trPr>
                    <w:tc>
                      <w:tcPr>
                        <w:tcW w:w="1471" w:type="dxa"/>
                      </w:tcPr>
                      <w:p>
                        <w:pPr>
                          <w:pStyle w:val="TableParagraph"/>
                          <w:spacing w:line="266" w:lineRule="exact"/>
                          <w:ind w:left="200"/>
                          <w:rPr>
                            <w:sz w:val="22"/>
                          </w:rPr>
                        </w:pPr>
                        <w:r>
                          <w:rPr>
                            <w:sz w:val="22"/>
                          </w:rPr>
                          <w:t>IV 型</w:t>
                        </w:r>
                      </w:p>
                    </w:tc>
                    <w:tc>
                      <w:tcPr>
                        <w:tcW w:w="2625" w:type="dxa"/>
                      </w:tcPr>
                      <w:p>
                        <w:pPr>
                          <w:pStyle w:val="TableParagraph"/>
                          <w:spacing w:line="266" w:lineRule="exact"/>
                          <w:ind w:left="663"/>
                          <w:rPr>
                            <w:sz w:val="22"/>
                          </w:rPr>
                        </w:pPr>
                        <w:r>
                          <w:rPr>
                            <w:sz w:val="22"/>
                          </w:rPr>
                          <w:t>弥漫增生型</w:t>
                        </w:r>
                      </w:p>
                    </w:tc>
                  </w:tr>
                  <w:tr>
                    <w:trPr>
                      <w:trHeight w:val="311" w:hRule="atLeast"/>
                    </w:trPr>
                    <w:tc>
                      <w:tcPr>
                        <w:tcW w:w="1471" w:type="dxa"/>
                      </w:tcPr>
                      <w:p>
                        <w:pPr>
                          <w:pStyle w:val="TableParagraph"/>
                          <w:spacing w:line="266" w:lineRule="exact"/>
                          <w:ind w:left="200"/>
                          <w:rPr>
                            <w:sz w:val="22"/>
                          </w:rPr>
                        </w:pPr>
                        <w:r>
                          <w:rPr>
                            <w:sz w:val="22"/>
                          </w:rPr>
                          <w:t>V 型</w:t>
                        </w:r>
                      </w:p>
                    </w:tc>
                    <w:tc>
                      <w:tcPr>
                        <w:tcW w:w="2625" w:type="dxa"/>
                      </w:tcPr>
                      <w:p>
                        <w:pPr>
                          <w:pStyle w:val="TableParagraph"/>
                          <w:spacing w:line="266" w:lineRule="exact"/>
                          <w:ind w:left="663"/>
                          <w:rPr>
                            <w:sz w:val="22"/>
                          </w:rPr>
                        </w:pPr>
                        <w:r>
                          <w:rPr>
                            <w:sz w:val="22"/>
                          </w:rPr>
                          <w:t>膜型</w:t>
                        </w:r>
                      </w:p>
                    </w:tc>
                  </w:tr>
                  <w:tr>
                    <w:trPr>
                      <w:trHeight w:val="266" w:hRule="atLeast"/>
                    </w:trPr>
                    <w:tc>
                      <w:tcPr>
                        <w:tcW w:w="1471" w:type="dxa"/>
                      </w:tcPr>
                      <w:p>
                        <w:pPr>
                          <w:pStyle w:val="TableParagraph"/>
                          <w:spacing w:line="246" w:lineRule="exact"/>
                          <w:ind w:left="200"/>
                          <w:rPr>
                            <w:sz w:val="22"/>
                          </w:rPr>
                        </w:pPr>
                        <w:r>
                          <w:rPr>
                            <w:sz w:val="22"/>
                          </w:rPr>
                          <w:t>VI 型</w:t>
                        </w:r>
                      </w:p>
                    </w:tc>
                    <w:tc>
                      <w:tcPr>
                        <w:tcW w:w="2625" w:type="dxa"/>
                      </w:tcPr>
                      <w:p>
                        <w:pPr>
                          <w:pStyle w:val="TableParagraph"/>
                          <w:spacing w:line="246" w:lineRule="exact"/>
                          <w:ind w:left="663"/>
                          <w:rPr>
                            <w:sz w:val="22"/>
                          </w:rPr>
                        </w:pPr>
                        <w:r>
                          <w:rPr>
                            <w:sz w:val="22"/>
                          </w:rPr>
                          <w:t>肾小球硬化型</w:t>
                        </w:r>
                      </w:p>
                    </w:tc>
                  </w:tr>
                </w:tbl>
                <w:p>
                  <w:pPr>
                    <w:pStyle w:val="BodyText"/>
                    <w:spacing w:before="0"/>
                    <w:ind w:left="0"/>
                  </w:pPr>
                </w:p>
              </w:txbxContent>
            </v:textbox>
            <w10:wrap type="none"/>
          </v:shape>
        </w:pict>
      </w:r>
      <w:r>
        <w:rPr>
          <w:sz w:val="22"/>
        </w:rPr>
        <w:t>本病必须由免疫和风湿科专家医师确诊。</w:t>
      </w:r>
      <w:r>
        <w:rPr>
          <w:sz w:val="22"/>
          <w:u w:val="single"/>
        </w:rPr>
        <w:t>世界卫生组织（WHO）狼疮性肾炎分型：</w:t>
      </w: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17"/>
        </w:rPr>
      </w:pPr>
    </w:p>
    <w:p>
      <w:pPr>
        <w:spacing w:before="0"/>
        <w:ind w:left="1968" w:right="0" w:firstLine="0"/>
        <w:jc w:val="left"/>
        <w:rPr>
          <w:b/>
          <w:sz w:val="22"/>
        </w:rPr>
      </w:pPr>
      <w:bookmarkStart w:name="（三十一）经输血导致的人类免疫缺陷病毒感染" w:id="59"/>
      <w:bookmarkEnd w:id="59"/>
      <w:r>
        <w:rPr/>
      </w:r>
      <w:r>
        <w:rPr>
          <w:b/>
          <w:sz w:val="21"/>
        </w:rPr>
        <w:t>（三十一）</w:t>
      </w:r>
      <w:r>
        <w:rPr>
          <w:b/>
          <w:sz w:val="22"/>
        </w:rPr>
        <w:t>经输血导致的人类免疫缺陷病毒感染</w:t>
      </w:r>
    </w:p>
    <w:p>
      <w:pPr>
        <w:pStyle w:val="BodyText"/>
        <w:spacing w:before="33"/>
        <w:ind w:left="2400"/>
      </w:pPr>
      <w:r>
        <w:rPr/>
        <w:t>被保险人感染上人类免疫缺陷病毒（HIV）并且满足下列全部条件：</w:t>
      </w:r>
    </w:p>
    <w:p>
      <w:pPr>
        <w:pStyle w:val="BodyText"/>
        <w:ind w:left="2395"/>
      </w:pPr>
      <w:r>
        <w:rPr/>
        <w:t>（1）在保障起始日或复效日之后，被保险人因输血而感染 HIV；</w:t>
      </w:r>
    </w:p>
    <w:p>
      <w:pPr>
        <w:pStyle w:val="BodyText"/>
        <w:spacing w:line="273" w:lineRule="auto"/>
        <w:ind w:right="214" w:firstLine="427"/>
      </w:pPr>
      <w:r>
        <w:rPr/>
        <w:t>（2）提供输血治疗的输血中心或医院出具该项输血感染属医疗责任事故的报告，或者法院终审裁定为医疗责任并且不准上诉；</w:t>
      </w:r>
    </w:p>
    <w:p>
      <w:pPr>
        <w:pStyle w:val="BodyText"/>
        <w:spacing w:before="7"/>
        <w:ind w:left="2395"/>
      </w:pPr>
      <w:r>
        <w:rPr/>
        <w:t>（3）受感染的被保险人不是血友病患者。</w:t>
      </w:r>
    </w:p>
    <w:p>
      <w:pPr>
        <w:pStyle w:val="BodyText"/>
        <w:spacing w:line="273" w:lineRule="auto" w:before="36"/>
        <w:ind w:right="217" w:firstLine="427"/>
      </w:pPr>
      <w:r>
        <w:rPr>
          <w:spacing w:val="-5"/>
        </w:rPr>
        <w:t>在任何治愈艾滋病</w:t>
      </w:r>
      <w:r>
        <w:rPr>
          <w:spacing w:val="-3"/>
        </w:rPr>
        <w:t>（AIDS）</w:t>
      </w:r>
      <w:r>
        <w:rPr>
          <w:spacing w:val="-11"/>
        </w:rPr>
        <w:t>或阻止 </w:t>
      </w:r>
      <w:r>
        <w:rPr/>
        <w:t>HIV</w:t>
      </w:r>
      <w:r>
        <w:rPr>
          <w:spacing w:val="-8"/>
        </w:rPr>
        <w:t> 病毒作用的疗法被发现以后，或能</w:t>
      </w:r>
      <w:r>
        <w:rPr>
          <w:spacing w:val="-18"/>
        </w:rPr>
        <w:t>防止 </w:t>
      </w:r>
      <w:r>
        <w:rPr/>
        <w:t>AIDS</w:t>
      </w:r>
      <w:r>
        <w:rPr>
          <w:spacing w:val="-8"/>
        </w:rPr>
        <w:t> 发生的医疗方法被研究出来以后，本保障将不再予以赔付。</w:t>
      </w:r>
    </w:p>
    <w:p>
      <w:pPr>
        <w:pStyle w:val="BodyText"/>
        <w:spacing w:line="273" w:lineRule="auto" w:before="7"/>
        <w:ind w:right="217" w:firstLine="427"/>
        <w:jc w:val="both"/>
      </w:pPr>
      <w:r>
        <w:rPr>
          <w:spacing w:val="-5"/>
        </w:rPr>
        <w:t>任何因其他传播方式</w:t>
      </w:r>
      <w:r>
        <w:rPr>
          <w:spacing w:val="-3"/>
        </w:rPr>
        <w:t>（</w:t>
      </w:r>
      <w:r>
        <w:rPr>
          <w:spacing w:val="-5"/>
        </w:rPr>
        <w:t>包括：性传播或静脉注射毒品</w:t>
      </w:r>
      <w:r>
        <w:rPr>
          <w:spacing w:val="-13"/>
        </w:rPr>
        <w:t>）</w:t>
      </w:r>
      <w:r>
        <w:rPr>
          <w:spacing w:val="-12"/>
        </w:rPr>
        <w:t>导致的 </w:t>
      </w:r>
      <w:r>
        <w:rPr/>
        <w:t>HIV</w:t>
      </w:r>
      <w:r>
        <w:rPr>
          <w:spacing w:val="-11"/>
        </w:rPr>
        <w:t> 感染不</w:t>
      </w:r>
      <w:r>
        <w:rPr>
          <w:spacing w:val="-8"/>
        </w:rPr>
        <w:t>在本保单保障范围内。保险公司必须拥有获得使用被保险人的所有血液样本的</w:t>
      </w:r>
      <w:r>
        <w:rPr>
          <w:spacing w:val="-3"/>
        </w:rPr>
        <w:t>权利和能够对这些样本进行独立检验的权利。</w:t>
      </w:r>
    </w:p>
    <w:p>
      <w:pPr>
        <w:pStyle w:val="BodyText"/>
        <w:spacing w:before="9"/>
        <w:ind w:left="0"/>
        <w:rPr>
          <w:sz w:val="23"/>
        </w:rPr>
      </w:pPr>
    </w:p>
    <w:p>
      <w:pPr>
        <w:spacing w:before="0"/>
        <w:ind w:left="1968" w:right="0" w:firstLine="0"/>
        <w:jc w:val="left"/>
        <w:rPr>
          <w:b/>
          <w:sz w:val="22"/>
        </w:rPr>
      </w:pPr>
      <w:bookmarkStart w:name="（三十二）因职业关系导致的人类免疫缺陷病毒（HIV）感染" w:id="60"/>
      <w:bookmarkEnd w:id="60"/>
      <w:r>
        <w:rPr/>
      </w:r>
      <w:r>
        <w:rPr>
          <w:b/>
          <w:sz w:val="21"/>
        </w:rPr>
        <w:t>（三十二）</w:t>
      </w:r>
      <w:r>
        <w:rPr>
          <w:b/>
          <w:sz w:val="22"/>
        </w:rPr>
        <w:t>因职业关系导致的人类免疫缺陷病毒（</w:t>
      </w:r>
      <w:r>
        <w:rPr>
          <w:rFonts w:ascii="Arial" w:eastAsia="Arial"/>
          <w:b/>
          <w:sz w:val="22"/>
        </w:rPr>
        <w:t>HIV</w:t>
      </w:r>
      <w:r>
        <w:rPr>
          <w:b/>
          <w:sz w:val="22"/>
        </w:rPr>
        <w:t>）感染</w:t>
      </w:r>
    </w:p>
    <w:p>
      <w:pPr>
        <w:spacing w:line="259" w:lineRule="auto" w:before="7"/>
        <w:ind w:left="1967" w:right="304" w:firstLine="432"/>
        <w:jc w:val="left"/>
        <w:rPr>
          <w:sz w:val="22"/>
        </w:rPr>
      </w:pPr>
      <w:r>
        <w:rPr>
          <w:sz w:val="22"/>
        </w:rPr>
        <w:t>被保险人在其常规职业工作过程中遭遇外伤，或者职业需要处理血液或者其他体液时感染上人类免疫缺陷病毒（HIV）。</w:t>
      </w:r>
    </w:p>
    <w:p>
      <w:pPr>
        <w:spacing w:before="5"/>
        <w:ind w:left="2399" w:right="0" w:firstLine="0"/>
        <w:jc w:val="left"/>
        <w:rPr>
          <w:sz w:val="22"/>
        </w:rPr>
      </w:pPr>
      <w:r>
        <w:rPr>
          <w:sz w:val="22"/>
        </w:rPr>
        <w:t>必须满足下列全部条件：</w:t>
      </w:r>
    </w:p>
    <w:p>
      <w:pPr>
        <w:spacing w:line="259" w:lineRule="auto" w:before="23"/>
        <w:ind w:left="1968" w:right="168" w:firstLine="431"/>
        <w:jc w:val="left"/>
        <w:rPr>
          <w:sz w:val="22"/>
        </w:rPr>
      </w:pPr>
      <w:r>
        <w:rPr>
          <w:sz w:val="22"/>
        </w:rPr>
        <w:t>（1）感染必须是在被保险人正在从事其职业工作中发生，该职业必须属于以下列表内的职业；</w:t>
      </w:r>
    </w:p>
    <w:p>
      <w:pPr>
        <w:spacing w:before="6"/>
        <w:ind w:left="2399" w:right="0" w:firstLine="0"/>
        <w:jc w:val="left"/>
        <w:rPr>
          <w:sz w:val="22"/>
        </w:rPr>
      </w:pPr>
      <w:r>
        <w:rPr>
          <w:sz w:val="22"/>
        </w:rPr>
        <w:t>（2）血清转化必须出现在事故发生后的 6 个月以内；</w:t>
      </w:r>
    </w:p>
    <w:p>
      <w:pPr>
        <w:spacing w:line="259" w:lineRule="auto" w:before="24"/>
        <w:ind w:left="1968" w:right="107" w:firstLine="431"/>
        <w:jc w:val="left"/>
        <w:rPr>
          <w:sz w:val="22"/>
        </w:rPr>
      </w:pPr>
      <w:r>
        <w:rPr>
          <w:w w:val="100"/>
          <w:sz w:val="22"/>
        </w:rPr>
        <w:t>（3</w:t>
      </w:r>
      <w:r>
        <w:rPr>
          <w:spacing w:val="-111"/>
          <w:w w:val="100"/>
          <w:sz w:val="22"/>
        </w:rPr>
        <w:t>）</w:t>
      </w:r>
      <w:r>
        <w:rPr>
          <w:spacing w:val="-3"/>
          <w:w w:val="100"/>
          <w:sz w:val="22"/>
        </w:rPr>
        <w:t>必须提供被保险人在所报事故发生后的</w:t>
      </w:r>
      <w:r>
        <w:rPr>
          <w:spacing w:val="-69"/>
          <w:sz w:val="22"/>
        </w:rPr>
        <w:t> </w:t>
      </w:r>
      <w:r>
        <w:rPr>
          <w:w w:val="100"/>
          <w:sz w:val="22"/>
        </w:rPr>
        <w:t>5</w:t>
      </w:r>
      <w:r>
        <w:rPr>
          <w:spacing w:val="-67"/>
          <w:sz w:val="22"/>
        </w:rPr>
        <w:t> </w:t>
      </w:r>
      <w:r>
        <w:rPr>
          <w:spacing w:val="-3"/>
          <w:w w:val="100"/>
          <w:sz w:val="22"/>
        </w:rPr>
        <w:t>天以内进行的检查报告，</w:t>
      </w:r>
      <w:r>
        <w:rPr>
          <w:spacing w:val="-7"/>
          <w:sz w:val="22"/>
        </w:rPr>
        <w:t>该报告必须显示被保险人血液 </w:t>
      </w:r>
      <w:r>
        <w:rPr>
          <w:sz w:val="22"/>
        </w:rPr>
        <w:t>HIV</w:t>
      </w:r>
      <w:r>
        <w:rPr>
          <w:spacing w:val="-10"/>
          <w:sz w:val="22"/>
        </w:rPr>
        <w:t> 病毒阴性和</w:t>
      </w:r>
      <w:r>
        <w:rPr>
          <w:spacing w:val="-3"/>
          <w:sz w:val="22"/>
        </w:rPr>
        <w:t>/</w:t>
      </w:r>
      <w:r>
        <w:rPr>
          <w:spacing w:val="-27"/>
          <w:sz w:val="22"/>
        </w:rPr>
        <w:t>或 </w:t>
      </w:r>
      <w:r>
        <w:rPr>
          <w:sz w:val="22"/>
        </w:rPr>
        <w:t>HIV</w:t>
      </w:r>
      <w:r>
        <w:rPr>
          <w:spacing w:val="-10"/>
          <w:sz w:val="22"/>
        </w:rPr>
        <w:t> 抗体阴性；</w:t>
      </w:r>
    </w:p>
    <w:p>
      <w:pPr>
        <w:spacing w:line="259" w:lineRule="auto" w:before="6"/>
        <w:ind w:left="1967" w:right="299" w:firstLine="432"/>
        <w:jc w:val="left"/>
        <w:rPr>
          <w:sz w:val="22"/>
        </w:rPr>
      </w:pPr>
      <w:r>
        <w:rPr>
          <w:sz w:val="22"/>
        </w:rPr>
        <w:t>（4）</w:t>
      </w:r>
      <w:r>
        <w:rPr>
          <w:spacing w:val="-8"/>
          <w:sz w:val="22"/>
        </w:rPr>
        <w:t>必须在事故发生后的 </w:t>
      </w:r>
      <w:r>
        <w:rPr>
          <w:sz w:val="22"/>
        </w:rPr>
        <w:t>12</w:t>
      </w:r>
      <w:r>
        <w:rPr>
          <w:spacing w:val="-12"/>
          <w:sz w:val="22"/>
        </w:rPr>
        <w:t> 个月内证实被保险人体内存在 </w:t>
      </w:r>
      <w:r>
        <w:rPr>
          <w:sz w:val="22"/>
        </w:rPr>
        <w:t>HIV</w:t>
      </w:r>
      <w:r>
        <w:rPr>
          <w:spacing w:val="-18"/>
          <w:sz w:val="22"/>
        </w:rPr>
        <w:t> 病毒</w:t>
      </w:r>
      <w:r>
        <w:rPr>
          <w:spacing w:val="-30"/>
          <w:sz w:val="22"/>
        </w:rPr>
        <w:t>或者 </w:t>
      </w:r>
      <w:r>
        <w:rPr>
          <w:sz w:val="22"/>
        </w:rPr>
        <w:t>HIV</w:t>
      </w:r>
      <w:r>
        <w:rPr>
          <w:spacing w:val="-15"/>
          <w:sz w:val="22"/>
        </w:rPr>
        <w:t> 抗体。</w:t>
      </w:r>
    </w:p>
    <w:p>
      <w:pPr>
        <w:spacing w:before="6"/>
        <w:ind w:left="2399" w:right="0" w:firstLine="0"/>
        <w:jc w:val="left"/>
        <w:rPr>
          <w:sz w:val="22"/>
        </w:rPr>
      </w:pPr>
      <w:r>
        <w:rPr>
          <w:sz w:val="22"/>
        </w:rPr>
        <w:t>职业限制如下所示:</w:t>
      </w:r>
    </w:p>
    <w:p>
      <w:pPr>
        <w:pStyle w:val="BodyText"/>
        <w:spacing w:before="12"/>
        <w:ind w:left="0"/>
        <w:rPr>
          <w:sz w:val="6"/>
        </w:rPr>
      </w:pPr>
    </w:p>
    <w:tbl>
      <w:tblPr>
        <w:tblW w:w="0" w:type="auto"/>
        <w:jc w:val="left"/>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1"/>
        <w:gridCol w:w="2532"/>
      </w:tblGrid>
      <w:tr>
        <w:trPr>
          <w:trHeight w:val="266" w:hRule="atLeast"/>
        </w:trPr>
        <w:tc>
          <w:tcPr>
            <w:tcW w:w="2971" w:type="dxa"/>
          </w:tcPr>
          <w:p>
            <w:pPr>
              <w:pStyle w:val="TableParagraph"/>
              <w:spacing w:line="221" w:lineRule="exact"/>
              <w:ind w:left="200"/>
              <w:rPr>
                <w:sz w:val="22"/>
              </w:rPr>
            </w:pPr>
            <w:r>
              <w:rPr>
                <w:sz w:val="22"/>
              </w:rPr>
              <w:t>医生和牙科医生</w:t>
            </w:r>
          </w:p>
        </w:tc>
        <w:tc>
          <w:tcPr>
            <w:tcW w:w="2532" w:type="dxa"/>
          </w:tcPr>
          <w:p>
            <w:pPr>
              <w:pStyle w:val="TableParagraph"/>
              <w:spacing w:line="221" w:lineRule="exact"/>
              <w:ind w:left="788"/>
              <w:rPr>
                <w:sz w:val="22"/>
              </w:rPr>
            </w:pPr>
            <w:r>
              <w:rPr>
                <w:sz w:val="22"/>
              </w:rPr>
              <w:t>护士</w:t>
            </w:r>
          </w:p>
        </w:tc>
      </w:tr>
      <w:tr>
        <w:trPr>
          <w:trHeight w:val="311" w:hRule="atLeast"/>
        </w:trPr>
        <w:tc>
          <w:tcPr>
            <w:tcW w:w="2971" w:type="dxa"/>
          </w:tcPr>
          <w:p>
            <w:pPr>
              <w:pStyle w:val="TableParagraph"/>
              <w:spacing w:line="266" w:lineRule="exact"/>
              <w:ind w:left="200"/>
              <w:rPr>
                <w:sz w:val="22"/>
              </w:rPr>
            </w:pPr>
            <w:r>
              <w:rPr>
                <w:sz w:val="22"/>
              </w:rPr>
              <w:t>实验室工作人员</w:t>
            </w:r>
          </w:p>
        </w:tc>
        <w:tc>
          <w:tcPr>
            <w:tcW w:w="2532" w:type="dxa"/>
          </w:tcPr>
          <w:p>
            <w:pPr>
              <w:pStyle w:val="TableParagraph"/>
              <w:spacing w:line="266" w:lineRule="exact"/>
              <w:ind w:left="788"/>
              <w:rPr>
                <w:sz w:val="22"/>
              </w:rPr>
            </w:pPr>
            <w:r>
              <w:rPr>
                <w:sz w:val="22"/>
              </w:rPr>
              <w:t>医院护工</w:t>
            </w:r>
          </w:p>
        </w:tc>
      </w:tr>
      <w:tr>
        <w:trPr>
          <w:trHeight w:val="311" w:hRule="atLeast"/>
        </w:trPr>
        <w:tc>
          <w:tcPr>
            <w:tcW w:w="2971" w:type="dxa"/>
          </w:tcPr>
          <w:p>
            <w:pPr>
              <w:pStyle w:val="TableParagraph"/>
              <w:spacing w:line="266" w:lineRule="exact"/>
              <w:ind w:left="200"/>
              <w:rPr>
                <w:sz w:val="22"/>
              </w:rPr>
            </w:pPr>
            <w:r>
              <w:rPr>
                <w:sz w:val="22"/>
              </w:rPr>
              <w:t>医生助理和牙医助理</w:t>
            </w:r>
          </w:p>
        </w:tc>
        <w:tc>
          <w:tcPr>
            <w:tcW w:w="2532" w:type="dxa"/>
          </w:tcPr>
          <w:p>
            <w:pPr>
              <w:pStyle w:val="TableParagraph"/>
              <w:spacing w:line="266" w:lineRule="exact"/>
              <w:ind w:left="788"/>
              <w:rPr>
                <w:sz w:val="22"/>
              </w:rPr>
            </w:pPr>
            <w:r>
              <w:rPr>
                <w:sz w:val="22"/>
              </w:rPr>
              <w:t>救护车工作人员</w:t>
            </w:r>
          </w:p>
        </w:tc>
      </w:tr>
      <w:tr>
        <w:trPr>
          <w:trHeight w:val="311" w:hRule="atLeast"/>
        </w:trPr>
        <w:tc>
          <w:tcPr>
            <w:tcW w:w="2971" w:type="dxa"/>
          </w:tcPr>
          <w:p>
            <w:pPr>
              <w:pStyle w:val="TableParagraph"/>
              <w:spacing w:line="266" w:lineRule="exact"/>
              <w:ind w:left="200"/>
              <w:rPr>
                <w:sz w:val="22"/>
              </w:rPr>
            </w:pPr>
            <w:r>
              <w:rPr>
                <w:sz w:val="22"/>
              </w:rPr>
              <w:t>助产士</w:t>
            </w:r>
          </w:p>
        </w:tc>
        <w:tc>
          <w:tcPr>
            <w:tcW w:w="2532" w:type="dxa"/>
          </w:tcPr>
          <w:p>
            <w:pPr>
              <w:pStyle w:val="TableParagraph"/>
              <w:spacing w:line="266" w:lineRule="exact"/>
              <w:ind w:left="788"/>
              <w:rPr>
                <w:sz w:val="22"/>
              </w:rPr>
            </w:pPr>
            <w:r>
              <w:rPr>
                <w:sz w:val="22"/>
              </w:rPr>
              <w:t>消防队员</w:t>
            </w:r>
          </w:p>
        </w:tc>
      </w:tr>
      <w:tr>
        <w:trPr>
          <w:trHeight w:val="266" w:hRule="atLeast"/>
        </w:trPr>
        <w:tc>
          <w:tcPr>
            <w:tcW w:w="2971" w:type="dxa"/>
          </w:tcPr>
          <w:p>
            <w:pPr>
              <w:pStyle w:val="TableParagraph"/>
              <w:spacing w:line="246" w:lineRule="exact"/>
              <w:ind w:left="200"/>
              <w:rPr>
                <w:sz w:val="22"/>
              </w:rPr>
            </w:pPr>
            <w:r>
              <w:rPr>
                <w:sz w:val="22"/>
              </w:rPr>
              <w:t>警察</w:t>
            </w:r>
          </w:p>
        </w:tc>
        <w:tc>
          <w:tcPr>
            <w:tcW w:w="2532" w:type="dxa"/>
          </w:tcPr>
          <w:p>
            <w:pPr>
              <w:pStyle w:val="TableParagraph"/>
              <w:spacing w:line="246" w:lineRule="exact"/>
              <w:ind w:left="788"/>
              <w:rPr>
                <w:sz w:val="22"/>
              </w:rPr>
            </w:pPr>
            <w:r>
              <w:rPr>
                <w:sz w:val="22"/>
              </w:rPr>
              <w:t>狱警</w:t>
            </w:r>
          </w:p>
        </w:tc>
      </w:tr>
    </w:tbl>
    <w:p>
      <w:pPr>
        <w:pStyle w:val="BodyText"/>
        <w:spacing w:before="6"/>
        <w:ind w:left="0"/>
        <w:rPr>
          <w:sz w:val="26"/>
        </w:rPr>
      </w:pPr>
    </w:p>
    <w:p>
      <w:pPr>
        <w:pStyle w:val="Heading3"/>
      </w:pPr>
      <w:bookmarkStart w:name="（三十三）脊髓灰质炎" w:id="61"/>
      <w:bookmarkEnd w:id="61"/>
      <w:r>
        <w:rPr>
          <w:b w:val="0"/>
        </w:rPr>
      </w:r>
      <w:r>
        <w:rPr/>
        <w:t>（三十三）脊髓灰质炎</w:t>
      </w:r>
    </w:p>
    <w:p>
      <w:pPr>
        <w:pStyle w:val="BodyText"/>
        <w:spacing w:line="273" w:lineRule="auto"/>
        <w:ind w:right="211" w:firstLine="431"/>
        <w:jc w:val="both"/>
      </w:pPr>
      <w:r>
        <w:rPr>
          <w:spacing w:val="-5"/>
        </w:rPr>
        <w:t>脊髓灰质炎是由于脊髓灰质炎病毒感染所致的瘫痪性疾病，临床表现为运</w:t>
      </w:r>
      <w:r>
        <w:rPr>
          <w:spacing w:val="-6"/>
        </w:rPr>
        <w:t>动功能损害或呼吸无力。脊髓灰质炎必须明确诊断。本保单仅对脊髓灰质炎造</w:t>
      </w:r>
      <w:r>
        <w:rPr>
          <w:spacing w:val="0"/>
        </w:rPr>
        <w:t>成的神经系统功能损害导致被保险人一肢或一肢以上肢体机能永久完全丧失</w:t>
      </w:r>
      <w:r>
        <w:rPr>
          <w:spacing w:val="-7"/>
        </w:rPr>
        <w:t>的情况予以理赔。肢体机能永久完全丧失，指疾病确诊 </w:t>
      </w:r>
      <w:r>
        <w:rPr/>
        <w:t>180</w:t>
      </w:r>
      <w:r>
        <w:rPr>
          <w:spacing w:val="-9"/>
        </w:rPr>
        <w:t> 天后，每肢三大关</w:t>
      </w:r>
    </w:p>
    <w:p>
      <w:pPr>
        <w:spacing w:after="0" w:line="273" w:lineRule="auto"/>
        <w:jc w:val="both"/>
        <w:sectPr>
          <w:pgSz w:w="11910" w:h="16840"/>
          <w:pgMar w:top="1080" w:bottom="280" w:left="1680" w:right="9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789"/>
        <w:gridCol w:w="7785"/>
      </w:tblGrid>
      <w:tr>
        <w:trPr>
          <w:trHeight w:val="417" w:hRule="atLeast"/>
        </w:trPr>
        <w:tc>
          <w:tcPr>
            <w:tcW w:w="679" w:type="dxa"/>
          </w:tcPr>
          <w:p>
            <w:pPr>
              <w:pStyle w:val="TableParagraph"/>
              <w:rPr>
                <w:rFonts w:ascii="Times New Roman"/>
                <w:sz w:val="20"/>
              </w:rPr>
            </w:pPr>
          </w:p>
        </w:tc>
        <w:tc>
          <w:tcPr>
            <w:tcW w:w="1789" w:type="dxa"/>
          </w:tcPr>
          <w:p>
            <w:pPr>
              <w:pStyle w:val="TableParagraph"/>
              <w:rPr>
                <w:rFonts w:ascii="Times New Roman"/>
                <w:sz w:val="20"/>
              </w:rPr>
            </w:pPr>
          </w:p>
        </w:tc>
        <w:tc>
          <w:tcPr>
            <w:tcW w:w="7785" w:type="dxa"/>
          </w:tcPr>
          <w:p>
            <w:pPr>
              <w:pStyle w:val="TableParagraph"/>
              <w:spacing w:line="211" w:lineRule="exact"/>
              <w:ind w:left="360"/>
              <w:rPr>
                <w:sz w:val="21"/>
              </w:rPr>
            </w:pPr>
            <w:r>
              <w:rPr>
                <w:sz w:val="21"/>
              </w:rPr>
              <w:t>节中的两大关节仍然完全僵硬，或不能随意识活动。</w:t>
            </w:r>
          </w:p>
        </w:tc>
      </w:tr>
      <w:tr>
        <w:trPr>
          <w:trHeight w:val="10303" w:hRule="atLeast"/>
        </w:trPr>
        <w:tc>
          <w:tcPr>
            <w:tcW w:w="679" w:type="dxa"/>
          </w:tcPr>
          <w:p>
            <w:pPr>
              <w:pStyle w:val="TableParagraph"/>
              <w:spacing w:before="142"/>
              <w:ind w:left="200"/>
              <w:rPr>
                <w:b/>
                <w:sz w:val="21"/>
              </w:rPr>
            </w:pPr>
            <w:r>
              <w:rPr>
                <w:b/>
                <w:sz w:val="21"/>
              </w:rPr>
              <w:t>8.8</w:t>
            </w:r>
          </w:p>
        </w:tc>
        <w:tc>
          <w:tcPr>
            <w:tcW w:w="1789" w:type="dxa"/>
          </w:tcPr>
          <w:p>
            <w:pPr>
              <w:pStyle w:val="TableParagraph"/>
              <w:spacing w:before="142"/>
              <w:ind w:left="161"/>
              <w:rPr>
                <w:b/>
                <w:sz w:val="21"/>
              </w:rPr>
            </w:pPr>
            <w:r>
              <w:rPr>
                <w:b/>
                <w:sz w:val="21"/>
              </w:rPr>
              <w:t>成人轻症疾病</w:t>
            </w:r>
          </w:p>
        </w:tc>
        <w:tc>
          <w:tcPr>
            <w:tcW w:w="7785" w:type="dxa"/>
          </w:tcPr>
          <w:p>
            <w:pPr>
              <w:pStyle w:val="TableParagraph"/>
              <w:spacing w:before="142"/>
              <w:ind w:left="360"/>
              <w:rPr>
                <w:b/>
                <w:sz w:val="21"/>
              </w:rPr>
            </w:pPr>
            <w:bookmarkStart w:name="（一）非危及生命的恶性病变" w:id="62"/>
            <w:bookmarkEnd w:id="62"/>
            <w:r>
              <w:rPr/>
            </w:r>
            <w:r>
              <w:rPr>
                <w:b/>
                <w:sz w:val="21"/>
              </w:rPr>
              <w:t>（一）非危及生命的恶性病变</w:t>
            </w:r>
          </w:p>
          <w:p>
            <w:pPr>
              <w:pStyle w:val="TableParagraph"/>
              <w:spacing w:line="273" w:lineRule="auto" w:before="36"/>
              <w:ind w:left="359" w:right="298" w:firstLine="420"/>
              <w:rPr>
                <w:sz w:val="21"/>
              </w:rPr>
            </w:pPr>
            <w:r>
              <w:rPr>
                <w:sz w:val="21"/>
              </w:rPr>
              <w:t>指经组织病理学检查被明确诊断为下列恶性病变，并且接受了相应的治疗。</w:t>
            </w:r>
          </w:p>
          <w:p>
            <w:pPr>
              <w:pStyle w:val="TableParagraph"/>
              <w:spacing w:before="7"/>
              <w:ind w:left="580"/>
              <w:rPr>
                <w:sz w:val="21"/>
              </w:rPr>
            </w:pPr>
            <w:r>
              <w:rPr>
                <w:sz w:val="21"/>
              </w:rPr>
              <w:t>（</w:t>
            </w:r>
            <w:r>
              <w:rPr>
                <w:rFonts w:ascii="Arial" w:eastAsia="Arial"/>
                <w:sz w:val="21"/>
              </w:rPr>
              <w:t>1</w:t>
            </w:r>
            <w:r>
              <w:rPr>
                <w:sz w:val="21"/>
              </w:rPr>
              <w:t>）原位癌；</w:t>
            </w:r>
          </w:p>
          <w:p>
            <w:pPr>
              <w:pStyle w:val="TableParagraph"/>
              <w:spacing w:before="22"/>
              <w:ind w:left="580"/>
              <w:rPr>
                <w:sz w:val="21"/>
              </w:rPr>
            </w:pPr>
            <w:r>
              <w:rPr>
                <w:sz w:val="21"/>
              </w:rPr>
              <w:t>（</w:t>
            </w:r>
            <w:r>
              <w:rPr>
                <w:rFonts w:ascii="Arial" w:eastAsia="Arial"/>
                <w:sz w:val="21"/>
              </w:rPr>
              <w:t>2</w:t>
            </w:r>
            <w:r>
              <w:rPr>
                <w:sz w:val="21"/>
              </w:rPr>
              <w:t>）</w:t>
            </w:r>
            <w:r>
              <w:rPr>
                <w:spacing w:val="-14"/>
                <w:sz w:val="21"/>
              </w:rPr>
              <w:t>相当于 </w:t>
            </w:r>
            <w:r>
              <w:rPr>
                <w:rFonts w:ascii="Arial" w:eastAsia="Arial"/>
                <w:sz w:val="21"/>
              </w:rPr>
              <w:t>Binet</w:t>
            </w:r>
            <w:r>
              <w:rPr>
                <w:rFonts w:ascii="Arial" w:eastAsia="Arial"/>
                <w:spacing w:val="53"/>
                <w:sz w:val="21"/>
              </w:rPr>
              <w:t> </w:t>
            </w:r>
            <w:r>
              <w:rPr>
                <w:spacing w:val="-11"/>
                <w:sz w:val="21"/>
              </w:rPr>
              <w:t>分期方案 </w:t>
            </w:r>
            <w:r>
              <w:rPr>
                <w:rFonts w:ascii="Arial" w:eastAsia="Arial"/>
                <w:sz w:val="21"/>
              </w:rPr>
              <w:t>A </w:t>
            </w:r>
            <w:r>
              <w:rPr>
                <w:spacing w:val="-3"/>
                <w:sz w:val="21"/>
              </w:rPr>
              <w:t>期程度的慢性淋巴细胞白血病；</w:t>
            </w:r>
          </w:p>
          <w:p>
            <w:pPr>
              <w:pStyle w:val="TableParagraph"/>
              <w:spacing w:before="22"/>
              <w:ind w:left="580"/>
              <w:rPr>
                <w:sz w:val="21"/>
              </w:rPr>
            </w:pPr>
            <w:r>
              <w:rPr>
                <w:sz w:val="21"/>
              </w:rPr>
              <w:t>（</w:t>
            </w:r>
            <w:r>
              <w:rPr>
                <w:rFonts w:ascii="Arial" w:eastAsia="Arial"/>
                <w:sz w:val="21"/>
              </w:rPr>
              <w:t>3</w:t>
            </w:r>
            <w:r>
              <w:rPr>
                <w:sz w:val="21"/>
              </w:rPr>
              <w:t>）</w:t>
            </w:r>
            <w:r>
              <w:rPr>
                <w:spacing w:val="-15"/>
                <w:sz w:val="21"/>
              </w:rPr>
              <w:t>相当于 </w:t>
            </w:r>
            <w:r>
              <w:rPr>
                <w:rFonts w:ascii="Arial" w:eastAsia="Arial"/>
                <w:sz w:val="21"/>
              </w:rPr>
              <w:t>Ann Arbor </w:t>
            </w:r>
            <w:r>
              <w:rPr>
                <w:spacing w:val="-11"/>
                <w:sz w:val="21"/>
              </w:rPr>
              <w:t>分期方案 </w:t>
            </w:r>
            <w:r>
              <w:rPr>
                <w:rFonts w:ascii="Arial" w:eastAsia="Arial"/>
                <w:sz w:val="21"/>
              </w:rPr>
              <w:t>I </w:t>
            </w:r>
            <w:r>
              <w:rPr>
                <w:spacing w:val="-3"/>
                <w:sz w:val="21"/>
              </w:rPr>
              <w:t>期程度的何杰金氏病；</w:t>
            </w:r>
          </w:p>
          <w:p>
            <w:pPr>
              <w:pStyle w:val="TableParagraph"/>
              <w:spacing w:before="22"/>
              <w:ind w:left="580"/>
              <w:rPr>
                <w:sz w:val="21"/>
              </w:rPr>
            </w:pPr>
            <w:r>
              <w:rPr>
                <w:sz w:val="21"/>
              </w:rPr>
              <w:t>（</w:t>
            </w:r>
            <w:r>
              <w:rPr>
                <w:rFonts w:ascii="Arial" w:eastAsia="Arial"/>
                <w:sz w:val="21"/>
              </w:rPr>
              <w:t>4</w:t>
            </w:r>
            <w:r>
              <w:rPr>
                <w:sz w:val="21"/>
              </w:rPr>
              <w:t>）皮肤癌；</w:t>
            </w:r>
          </w:p>
          <w:p>
            <w:pPr>
              <w:pStyle w:val="TableParagraph"/>
              <w:spacing w:before="22"/>
              <w:ind w:left="580"/>
              <w:rPr>
                <w:sz w:val="21"/>
              </w:rPr>
            </w:pPr>
            <w:r>
              <w:rPr>
                <w:sz w:val="21"/>
              </w:rPr>
              <w:t>（</w:t>
            </w:r>
            <w:r>
              <w:rPr>
                <w:rFonts w:ascii="Arial" w:eastAsia="Arial"/>
                <w:sz w:val="21"/>
              </w:rPr>
              <w:t>5</w:t>
            </w:r>
            <w:r>
              <w:rPr>
                <w:sz w:val="21"/>
              </w:rPr>
              <w:t>）</w:t>
            </w:r>
            <w:r>
              <w:rPr>
                <w:rFonts w:ascii="Arial" w:eastAsia="Arial"/>
                <w:sz w:val="21"/>
              </w:rPr>
              <w:t>TNM </w:t>
            </w:r>
            <w:r>
              <w:rPr>
                <w:sz w:val="21"/>
              </w:rPr>
              <w:t>分期为 </w:t>
            </w:r>
            <w:r>
              <w:rPr>
                <w:rFonts w:ascii="Arial" w:eastAsia="Arial"/>
                <w:sz w:val="21"/>
              </w:rPr>
              <w:t>T1N0M0 </w:t>
            </w:r>
            <w:r>
              <w:rPr>
                <w:sz w:val="21"/>
              </w:rPr>
              <w:t>期或更轻分期的前列腺癌。</w:t>
            </w:r>
          </w:p>
          <w:p>
            <w:pPr>
              <w:pStyle w:val="TableParagraph"/>
              <w:spacing w:before="7"/>
              <w:rPr>
                <w:sz w:val="25"/>
              </w:rPr>
            </w:pPr>
          </w:p>
          <w:p>
            <w:pPr>
              <w:pStyle w:val="TableParagraph"/>
              <w:ind w:left="360"/>
              <w:rPr>
                <w:b/>
                <w:sz w:val="21"/>
              </w:rPr>
            </w:pPr>
            <w:bookmarkStart w:name="（二）不典型的急性心肌梗塞" w:id="63"/>
            <w:bookmarkEnd w:id="63"/>
            <w:r>
              <w:rPr/>
            </w:r>
            <w:r>
              <w:rPr>
                <w:b/>
                <w:sz w:val="21"/>
              </w:rPr>
              <w:t>（二）不典型的急性心肌梗塞</w:t>
            </w:r>
          </w:p>
          <w:p>
            <w:pPr>
              <w:pStyle w:val="TableParagraph"/>
              <w:spacing w:line="273" w:lineRule="auto" w:before="37"/>
              <w:ind w:left="371" w:right="304" w:firstLine="408"/>
              <w:rPr>
                <w:sz w:val="21"/>
              </w:rPr>
            </w:pPr>
            <w:r>
              <w:rPr>
                <w:sz w:val="21"/>
              </w:rPr>
              <w:t>指被临床诊断为急性心肌梗塞并接受了急性心肌梗塞治疗虽然未达到重大疾病“急性心肌梗塞”的给付标准，但满足下列全部条件：</w:t>
            </w:r>
          </w:p>
          <w:p>
            <w:pPr>
              <w:pStyle w:val="TableParagraph"/>
              <w:spacing w:before="7"/>
              <w:ind w:left="593"/>
              <w:rPr>
                <w:sz w:val="21"/>
              </w:rPr>
            </w:pPr>
            <w:r>
              <w:rPr>
                <w:sz w:val="21"/>
              </w:rPr>
              <w:t>（1）肌钙蛋白有诊断意义的升高；</w:t>
            </w:r>
          </w:p>
          <w:p>
            <w:pPr>
              <w:pStyle w:val="TableParagraph"/>
              <w:spacing w:before="36"/>
              <w:ind w:left="593"/>
              <w:rPr>
                <w:sz w:val="21"/>
              </w:rPr>
            </w:pPr>
            <w:r>
              <w:rPr>
                <w:sz w:val="21"/>
              </w:rPr>
              <w:t>（2）心电图有损伤性的ST段改变但未出现病理Q波。</w:t>
            </w:r>
          </w:p>
          <w:p>
            <w:pPr>
              <w:pStyle w:val="TableParagraph"/>
              <w:spacing w:before="8"/>
              <w:rPr>
                <w:sz w:val="26"/>
              </w:rPr>
            </w:pPr>
          </w:p>
          <w:p>
            <w:pPr>
              <w:pStyle w:val="TableParagraph"/>
              <w:ind w:left="360"/>
              <w:rPr>
                <w:b/>
                <w:sz w:val="21"/>
              </w:rPr>
            </w:pPr>
            <w:bookmarkStart w:name="（三）心脏瓣膜介入治疗" w:id="64"/>
            <w:bookmarkEnd w:id="64"/>
            <w:r>
              <w:rPr/>
            </w:r>
            <w:r>
              <w:rPr>
                <w:b/>
                <w:sz w:val="21"/>
              </w:rPr>
              <w:t>（三）心脏瓣膜介入治疗</w:t>
            </w:r>
          </w:p>
          <w:p>
            <w:pPr>
              <w:pStyle w:val="TableParagraph"/>
              <w:spacing w:line="273" w:lineRule="auto" w:before="36"/>
              <w:ind w:left="359" w:right="277" w:firstLine="420"/>
              <w:rPr>
                <w:sz w:val="21"/>
              </w:rPr>
            </w:pPr>
            <w:r>
              <w:rPr>
                <w:sz w:val="21"/>
              </w:rPr>
              <w:t>为了治疗心脏瓣膜疾病，实际实施了非开胸的经胸壁打孔内镜手术或经皮经导管介入手术进行的心脏瓣膜置换或修复手术。</w:t>
            </w:r>
          </w:p>
          <w:p>
            <w:pPr>
              <w:pStyle w:val="TableParagraph"/>
              <w:spacing w:before="5"/>
              <w:rPr>
                <w:sz w:val="24"/>
              </w:rPr>
            </w:pPr>
          </w:p>
          <w:p>
            <w:pPr>
              <w:pStyle w:val="TableParagraph"/>
              <w:ind w:left="360"/>
              <w:rPr>
                <w:b/>
                <w:sz w:val="21"/>
              </w:rPr>
            </w:pPr>
            <w:bookmarkStart w:name="（四）视力严重受损" w:id="65"/>
            <w:bookmarkEnd w:id="65"/>
            <w:r>
              <w:rPr/>
            </w:r>
            <w:r>
              <w:rPr>
                <w:b/>
                <w:sz w:val="21"/>
              </w:rPr>
              <w:t>（四）视力严重受损</w:t>
            </w:r>
          </w:p>
          <w:p>
            <w:pPr>
              <w:pStyle w:val="TableParagraph"/>
              <w:spacing w:line="273" w:lineRule="auto" w:before="37"/>
              <w:ind w:left="360" w:right="254" w:firstLine="419"/>
              <w:rPr>
                <w:sz w:val="21"/>
              </w:rPr>
            </w:pPr>
            <w:r>
              <w:rPr>
                <w:sz w:val="21"/>
              </w:rPr>
              <w:t>指因疾病或意外伤害导致双目视力永久不可逆性丧失，虽然未达到重大疾病“双目失明”的给付标准，但满足下列全部条件：</w:t>
            </w:r>
          </w:p>
          <w:p>
            <w:pPr>
              <w:pStyle w:val="TableParagraph"/>
              <w:spacing w:line="256" w:lineRule="auto" w:before="8"/>
              <w:ind w:left="360" w:right="306" w:firstLine="419"/>
              <w:rPr>
                <w:sz w:val="21"/>
              </w:rPr>
            </w:pPr>
            <w:r>
              <w:rPr>
                <w:spacing w:val="-4"/>
                <w:sz w:val="21"/>
              </w:rPr>
              <w:t>（1）</w:t>
            </w:r>
            <w:r>
              <w:rPr>
                <w:spacing w:val="-5"/>
                <w:sz w:val="21"/>
              </w:rPr>
              <w:t>双眼中较好眼矫正视力低于 </w:t>
            </w:r>
            <w:r>
              <w:rPr>
                <w:rFonts w:ascii="Times New Roman" w:eastAsia="Times New Roman"/>
                <w:spacing w:val="-4"/>
                <w:sz w:val="21"/>
              </w:rPr>
              <w:t>0.1</w:t>
            </w:r>
            <w:r>
              <w:rPr>
                <w:spacing w:val="-4"/>
                <w:sz w:val="21"/>
              </w:rPr>
              <w:t>（采用国际标准视力表，如果使用其</w:t>
            </w:r>
            <w:r>
              <w:rPr>
                <w:spacing w:val="-3"/>
                <w:w w:val="100"/>
                <w:sz w:val="21"/>
              </w:rPr>
              <w:t>他视力表应进行换算</w:t>
            </w:r>
            <w:r>
              <w:rPr>
                <w:spacing w:val="-106"/>
                <w:w w:val="100"/>
                <w:sz w:val="21"/>
              </w:rPr>
              <w:t>）</w:t>
            </w:r>
            <w:r>
              <w:rPr>
                <w:w w:val="100"/>
                <w:sz w:val="21"/>
              </w:rPr>
              <w:t>；</w:t>
            </w:r>
          </w:p>
          <w:p>
            <w:pPr>
              <w:pStyle w:val="TableParagraph"/>
              <w:spacing w:before="22"/>
              <w:ind w:left="780"/>
              <w:rPr>
                <w:sz w:val="21"/>
              </w:rPr>
            </w:pPr>
            <w:r>
              <w:rPr>
                <w:sz w:val="21"/>
              </w:rPr>
              <w:t>（</w:t>
            </w:r>
            <w:r>
              <w:rPr>
                <w:rFonts w:ascii="Times New Roman" w:eastAsia="Times New Roman"/>
                <w:sz w:val="21"/>
              </w:rPr>
              <w:t>2</w:t>
            </w:r>
            <w:r>
              <w:rPr>
                <w:sz w:val="21"/>
              </w:rPr>
              <w:t>）视野半径小于 </w:t>
            </w:r>
            <w:r>
              <w:rPr>
                <w:rFonts w:ascii="Times New Roman" w:eastAsia="Times New Roman"/>
                <w:sz w:val="21"/>
              </w:rPr>
              <w:t>20 </w:t>
            </w:r>
            <w:r>
              <w:rPr>
                <w:sz w:val="21"/>
              </w:rPr>
              <w:t>度。</w:t>
            </w:r>
          </w:p>
          <w:p>
            <w:pPr>
              <w:pStyle w:val="TableParagraph"/>
              <w:spacing w:before="5"/>
              <w:rPr>
                <w:sz w:val="25"/>
              </w:rPr>
            </w:pPr>
          </w:p>
          <w:p>
            <w:pPr>
              <w:pStyle w:val="TableParagraph"/>
              <w:spacing w:before="1"/>
              <w:ind w:left="360"/>
              <w:rPr>
                <w:b/>
                <w:sz w:val="21"/>
              </w:rPr>
            </w:pPr>
            <w:bookmarkStart w:name="（五）脑垂体瘤、脑囊肿、脑动脉瘤及脑血管瘤" w:id="66"/>
            <w:bookmarkEnd w:id="66"/>
            <w:r>
              <w:rPr/>
            </w:r>
            <w:r>
              <w:rPr>
                <w:b/>
                <w:sz w:val="21"/>
              </w:rPr>
              <w:t>（五）脑垂体瘤、脑囊肿、脑动脉瘤及脑血管瘤</w:t>
            </w:r>
          </w:p>
          <w:p>
            <w:pPr>
              <w:pStyle w:val="TableParagraph"/>
              <w:spacing w:line="259" w:lineRule="auto" w:before="37"/>
              <w:ind w:left="359" w:right="304" w:firstLine="420"/>
              <w:rPr>
                <w:sz w:val="21"/>
              </w:rPr>
            </w:pPr>
            <w:r>
              <w:rPr>
                <w:w w:val="100"/>
                <w:sz w:val="21"/>
              </w:rPr>
              <w:t>指经头颅断层扫描</w:t>
            </w:r>
            <w:r>
              <w:rPr>
                <w:spacing w:val="1"/>
                <w:w w:val="100"/>
                <w:sz w:val="21"/>
              </w:rPr>
              <w:t>（</w:t>
            </w:r>
            <w:r>
              <w:rPr>
                <w:rFonts w:ascii="Arial" w:eastAsia="Arial"/>
                <w:spacing w:val="-2"/>
                <w:w w:val="100"/>
                <w:sz w:val="21"/>
              </w:rPr>
              <w:t>C</w:t>
            </w:r>
            <w:r>
              <w:rPr>
                <w:rFonts w:ascii="Arial" w:eastAsia="Arial"/>
                <w:w w:val="100"/>
                <w:sz w:val="21"/>
              </w:rPr>
              <w:t>T</w:t>
            </w:r>
            <w:r>
              <w:rPr>
                <w:spacing w:val="-106"/>
                <w:w w:val="100"/>
                <w:sz w:val="21"/>
              </w:rPr>
              <w:t>）</w:t>
            </w:r>
            <w:r>
              <w:rPr>
                <w:w w:val="100"/>
                <w:sz w:val="21"/>
              </w:rPr>
              <w:t>、核磁共振</w:t>
            </w:r>
            <w:r>
              <w:rPr>
                <w:spacing w:val="1"/>
                <w:w w:val="100"/>
                <w:sz w:val="21"/>
              </w:rPr>
              <w:t>（</w:t>
            </w:r>
            <w:r>
              <w:rPr>
                <w:rFonts w:ascii="Arial" w:eastAsia="Arial"/>
                <w:spacing w:val="-4"/>
                <w:w w:val="100"/>
                <w:sz w:val="21"/>
              </w:rPr>
              <w:t>M</w:t>
            </w:r>
            <w:r>
              <w:rPr>
                <w:rFonts w:ascii="Arial" w:eastAsia="Arial"/>
                <w:spacing w:val="0"/>
                <w:w w:val="100"/>
                <w:sz w:val="21"/>
              </w:rPr>
              <w:t>R</w:t>
            </w:r>
            <w:r>
              <w:rPr>
                <w:rFonts w:ascii="Arial" w:eastAsia="Arial"/>
                <w:spacing w:val="-2"/>
                <w:w w:val="100"/>
                <w:sz w:val="21"/>
              </w:rPr>
              <w:t>I</w:t>
            </w:r>
            <w:r>
              <w:rPr>
                <w:w w:val="100"/>
                <w:sz w:val="21"/>
              </w:rPr>
              <w:t>）或其他影像学检查被确诊为</w:t>
            </w:r>
            <w:r>
              <w:rPr>
                <w:spacing w:val="-3"/>
                <w:sz w:val="21"/>
              </w:rPr>
              <w:t>下列病变，并实际接受了手术切除治疗或放射治疗。</w:t>
            </w:r>
          </w:p>
          <w:p>
            <w:pPr>
              <w:pStyle w:val="TableParagraph"/>
              <w:spacing w:before="20"/>
              <w:ind w:left="580"/>
              <w:rPr>
                <w:sz w:val="21"/>
              </w:rPr>
            </w:pPr>
            <w:r>
              <w:rPr>
                <w:sz w:val="21"/>
              </w:rPr>
              <w:t>（</w:t>
            </w:r>
            <w:r>
              <w:rPr>
                <w:rFonts w:ascii="Arial" w:eastAsia="Arial"/>
                <w:sz w:val="21"/>
              </w:rPr>
              <w:t>1</w:t>
            </w:r>
            <w:r>
              <w:rPr>
                <w:sz w:val="21"/>
              </w:rPr>
              <w:t>）脑垂体瘤；</w:t>
            </w:r>
          </w:p>
          <w:p>
            <w:pPr>
              <w:pStyle w:val="TableParagraph"/>
              <w:spacing w:before="22"/>
              <w:ind w:left="580"/>
              <w:rPr>
                <w:sz w:val="21"/>
              </w:rPr>
            </w:pPr>
            <w:r>
              <w:rPr>
                <w:sz w:val="21"/>
              </w:rPr>
              <w:t>（</w:t>
            </w:r>
            <w:r>
              <w:rPr>
                <w:rFonts w:ascii="Arial" w:eastAsia="Arial"/>
                <w:sz w:val="21"/>
              </w:rPr>
              <w:t>2</w:t>
            </w:r>
            <w:r>
              <w:rPr>
                <w:sz w:val="21"/>
              </w:rPr>
              <w:t>）脑囊肿；</w:t>
            </w:r>
          </w:p>
          <w:p>
            <w:pPr>
              <w:pStyle w:val="TableParagraph"/>
              <w:spacing w:before="22"/>
              <w:ind w:left="580"/>
              <w:rPr>
                <w:sz w:val="21"/>
              </w:rPr>
            </w:pPr>
            <w:r>
              <w:rPr>
                <w:sz w:val="21"/>
              </w:rPr>
              <w:t>（</w:t>
            </w:r>
            <w:r>
              <w:rPr>
                <w:rFonts w:ascii="Times New Roman" w:eastAsia="Times New Roman"/>
                <w:sz w:val="21"/>
              </w:rPr>
              <w:t>3</w:t>
            </w:r>
            <w:r>
              <w:rPr>
                <w:sz w:val="21"/>
              </w:rPr>
              <w:t>）脑动脉瘤、脑血管瘤。</w:t>
            </w:r>
          </w:p>
        </w:tc>
      </w:tr>
      <w:tr>
        <w:trPr>
          <w:trHeight w:val="3217" w:hRule="atLeast"/>
        </w:trPr>
        <w:tc>
          <w:tcPr>
            <w:tcW w:w="679" w:type="dxa"/>
          </w:tcPr>
          <w:p>
            <w:pPr>
              <w:pStyle w:val="TableParagraph"/>
              <w:rPr>
                <w:rFonts w:ascii="Times New Roman"/>
                <w:sz w:val="20"/>
              </w:rPr>
            </w:pPr>
          </w:p>
        </w:tc>
        <w:tc>
          <w:tcPr>
            <w:tcW w:w="1789" w:type="dxa"/>
          </w:tcPr>
          <w:p>
            <w:pPr>
              <w:pStyle w:val="TableParagraph"/>
              <w:rPr>
                <w:rFonts w:ascii="Times New Roman"/>
                <w:sz w:val="20"/>
              </w:rPr>
            </w:pPr>
          </w:p>
        </w:tc>
        <w:tc>
          <w:tcPr>
            <w:tcW w:w="7785" w:type="dxa"/>
          </w:tcPr>
          <w:p>
            <w:pPr>
              <w:pStyle w:val="TableParagraph"/>
              <w:spacing w:before="134"/>
              <w:ind w:left="360"/>
              <w:rPr>
                <w:sz w:val="21"/>
              </w:rPr>
            </w:pPr>
            <w:r>
              <w:rPr>
                <w:sz w:val="21"/>
              </w:rPr>
              <w:t>上述 8.5 至 8.8 的释义中部分术语释义如下：</w:t>
            </w:r>
          </w:p>
          <w:p>
            <w:pPr>
              <w:pStyle w:val="TableParagraph"/>
              <w:spacing w:before="36"/>
              <w:ind w:left="360"/>
              <w:rPr>
                <w:sz w:val="21"/>
              </w:rPr>
            </w:pPr>
            <w:r>
              <w:rPr>
                <w:sz w:val="21"/>
              </w:rPr>
              <w:t>（一）肢体机能完全丧失</w:t>
            </w:r>
          </w:p>
          <w:p>
            <w:pPr>
              <w:pStyle w:val="TableParagraph"/>
              <w:spacing w:line="273" w:lineRule="auto" w:before="36"/>
              <w:ind w:left="360" w:right="297"/>
              <w:rPr>
                <w:sz w:val="21"/>
              </w:rPr>
            </w:pPr>
            <w:r>
              <w:rPr>
                <w:sz w:val="21"/>
              </w:rPr>
              <w:t>肢体机能完全丧失是指肢体的三大关节中的两大关节僵硬，或不能随意识活动。肢体是指包括肩关节的整个上肢或包括髋关节的整个下肢。</w:t>
            </w:r>
          </w:p>
          <w:p>
            <w:pPr>
              <w:pStyle w:val="TableParagraph"/>
              <w:spacing w:before="4"/>
              <w:rPr>
                <w:sz w:val="24"/>
              </w:rPr>
            </w:pPr>
          </w:p>
          <w:p>
            <w:pPr>
              <w:pStyle w:val="TableParagraph"/>
              <w:spacing w:before="1"/>
              <w:ind w:left="360"/>
              <w:rPr>
                <w:sz w:val="21"/>
              </w:rPr>
            </w:pPr>
            <w:r>
              <w:rPr>
                <w:sz w:val="21"/>
              </w:rPr>
              <w:t>（二）语言能力或咀嚼吞咽能力完全丧失</w:t>
            </w:r>
          </w:p>
          <w:p>
            <w:pPr>
              <w:pStyle w:val="TableParagraph"/>
              <w:spacing w:line="310" w:lineRule="atLeast" w:before="2"/>
              <w:ind w:left="360" w:right="198"/>
              <w:rPr>
                <w:sz w:val="21"/>
              </w:rPr>
            </w:pPr>
            <w:r>
              <w:rPr>
                <w:spacing w:val="-4"/>
                <w:sz w:val="21"/>
              </w:rPr>
              <w:t>语言能力完全丧失是指无法发出四种语音</w:t>
            </w:r>
            <w:r>
              <w:rPr>
                <w:spacing w:val="-3"/>
                <w:sz w:val="21"/>
              </w:rPr>
              <w:t>（</w:t>
            </w:r>
            <w:r>
              <w:rPr>
                <w:spacing w:val="-5"/>
                <w:sz w:val="21"/>
              </w:rPr>
              <w:t>包括口唇音、齿舌音、口盖音和喉</w:t>
            </w:r>
            <w:r>
              <w:rPr>
                <w:sz w:val="21"/>
              </w:rPr>
              <w:t>头音</w:t>
            </w:r>
            <w:r>
              <w:rPr>
                <w:spacing w:val="-46"/>
                <w:sz w:val="21"/>
              </w:rPr>
              <w:t>）</w:t>
            </w:r>
            <w:r>
              <w:rPr>
                <w:spacing w:val="-12"/>
                <w:sz w:val="21"/>
              </w:rPr>
              <w:t>中的任何三种、或声带全部切除，或因大脑语言中枢受伤害而患失语症。</w:t>
            </w:r>
            <w:r>
              <w:rPr>
                <w:spacing w:val="-7"/>
                <w:sz w:val="21"/>
              </w:rPr>
              <w:t>咀嚼吞咽能力完全丧失是指因牙齿以外的原因导致器质障碍或机能障碍，以致</w:t>
            </w:r>
            <w:r>
              <w:rPr>
                <w:spacing w:val="-5"/>
                <w:sz w:val="21"/>
              </w:rPr>
              <w:t>不能作咀嚼吞咽运动，除流质食物外不能摄取或吞咽的状态。</w:t>
            </w:r>
          </w:p>
        </w:tc>
      </w:tr>
    </w:tbl>
    <w:p>
      <w:pPr>
        <w:spacing w:after="0" w:line="310" w:lineRule="atLeast"/>
        <w:rPr>
          <w:sz w:val="21"/>
        </w:rPr>
        <w:sectPr>
          <w:pgSz w:w="11910" w:h="16840"/>
          <w:pgMar w:top="1160" w:bottom="280" w:left="72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47"/>
        <w:gridCol w:w="7491"/>
      </w:tblGrid>
      <w:tr>
        <w:trPr>
          <w:trHeight w:val="4785" w:hRule="atLeast"/>
        </w:trPr>
        <w:tc>
          <w:tcPr>
            <w:tcW w:w="732" w:type="dxa"/>
          </w:tcPr>
          <w:p>
            <w:pPr>
              <w:pStyle w:val="TableParagraph"/>
              <w:rPr>
                <w:rFonts w:ascii="Times New Roman"/>
                <w:sz w:val="20"/>
              </w:rPr>
            </w:pPr>
          </w:p>
        </w:tc>
        <w:tc>
          <w:tcPr>
            <w:tcW w:w="1947" w:type="dxa"/>
          </w:tcPr>
          <w:p>
            <w:pPr>
              <w:pStyle w:val="TableParagraph"/>
              <w:rPr>
                <w:rFonts w:ascii="Times New Roman"/>
                <w:sz w:val="20"/>
              </w:rPr>
            </w:pPr>
          </w:p>
        </w:tc>
        <w:tc>
          <w:tcPr>
            <w:tcW w:w="7491" w:type="dxa"/>
          </w:tcPr>
          <w:p>
            <w:pPr>
              <w:pStyle w:val="TableParagraph"/>
              <w:spacing w:line="211" w:lineRule="exact"/>
              <w:ind w:left="149"/>
              <w:rPr>
                <w:sz w:val="21"/>
              </w:rPr>
            </w:pPr>
            <w:r>
              <w:rPr>
                <w:sz w:val="21"/>
              </w:rPr>
              <w:t>（三）六项基本日常生活活动</w:t>
            </w:r>
          </w:p>
          <w:p>
            <w:pPr>
              <w:pStyle w:val="TableParagraph"/>
              <w:spacing w:before="37"/>
              <w:ind w:left="149"/>
              <w:rPr>
                <w:sz w:val="21"/>
              </w:rPr>
            </w:pPr>
            <w:r>
              <w:rPr>
                <w:sz w:val="21"/>
              </w:rPr>
              <w:t>六项基本日常生活活动是指：</w:t>
            </w:r>
          </w:p>
          <w:p>
            <w:pPr>
              <w:pStyle w:val="TableParagraph"/>
              <w:spacing w:before="37"/>
              <w:ind w:left="149"/>
              <w:rPr>
                <w:sz w:val="21"/>
              </w:rPr>
            </w:pPr>
            <w:r>
              <w:rPr>
                <w:sz w:val="21"/>
              </w:rPr>
              <w:t>1．穿衣：自己能够穿衣及脱衣；</w:t>
            </w:r>
          </w:p>
          <w:p>
            <w:pPr>
              <w:pStyle w:val="TableParagraph"/>
              <w:spacing w:before="37"/>
              <w:ind w:left="149"/>
              <w:rPr>
                <w:sz w:val="21"/>
              </w:rPr>
            </w:pPr>
            <w:r>
              <w:rPr>
                <w:sz w:val="21"/>
              </w:rPr>
              <w:t>2．移动：自己从一个房间到另一个房间；</w:t>
            </w:r>
          </w:p>
          <w:p>
            <w:pPr>
              <w:pStyle w:val="TableParagraph"/>
              <w:spacing w:before="37"/>
              <w:ind w:left="149"/>
              <w:rPr>
                <w:sz w:val="21"/>
              </w:rPr>
            </w:pPr>
            <w:r>
              <w:rPr>
                <w:sz w:val="21"/>
              </w:rPr>
              <w:t>3．行动：自己上下床或上下轮椅；</w:t>
            </w:r>
          </w:p>
          <w:p>
            <w:pPr>
              <w:pStyle w:val="TableParagraph"/>
              <w:spacing w:before="37"/>
              <w:ind w:left="149"/>
              <w:rPr>
                <w:sz w:val="21"/>
              </w:rPr>
            </w:pPr>
            <w:r>
              <w:rPr>
                <w:sz w:val="21"/>
              </w:rPr>
              <w:t>4．如厕：自己控制进行大小便；</w:t>
            </w:r>
          </w:p>
          <w:p>
            <w:pPr>
              <w:pStyle w:val="TableParagraph"/>
              <w:spacing w:before="37"/>
              <w:ind w:left="149"/>
              <w:rPr>
                <w:sz w:val="21"/>
              </w:rPr>
            </w:pPr>
            <w:r>
              <w:rPr>
                <w:sz w:val="21"/>
              </w:rPr>
              <w:t>5．进食：自己从已准备好的碗或碟中取食物放入口中；</w:t>
            </w:r>
          </w:p>
          <w:p>
            <w:pPr>
              <w:pStyle w:val="TableParagraph"/>
              <w:spacing w:before="37"/>
              <w:ind w:left="149"/>
              <w:rPr>
                <w:sz w:val="21"/>
              </w:rPr>
            </w:pPr>
            <w:r>
              <w:rPr>
                <w:sz w:val="21"/>
              </w:rPr>
              <w:t>6．洗澡：自己进行淋浴或盆浴。</w:t>
            </w:r>
          </w:p>
          <w:p>
            <w:pPr>
              <w:pStyle w:val="TableParagraph"/>
              <w:spacing w:before="8"/>
              <w:rPr>
                <w:sz w:val="26"/>
              </w:rPr>
            </w:pPr>
          </w:p>
          <w:p>
            <w:pPr>
              <w:pStyle w:val="TableParagraph"/>
              <w:ind w:left="149"/>
              <w:rPr>
                <w:sz w:val="21"/>
              </w:rPr>
            </w:pPr>
            <w:r>
              <w:rPr>
                <w:sz w:val="21"/>
              </w:rPr>
              <w:t>（四）永久不可逆</w:t>
            </w:r>
          </w:p>
          <w:p>
            <w:pPr>
              <w:pStyle w:val="TableParagraph"/>
              <w:spacing w:line="273" w:lineRule="auto" w:before="36"/>
              <w:ind w:left="148" w:right="199"/>
              <w:rPr>
                <w:sz w:val="21"/>
              </w:rPr>
            </w:pPr>
            <w:r>
              <w:rPr>
                <w:spacing w:val="-5"/>
                <w:sz w:val="21"/>
              </w:rPr>
              <w:t>永久不可逆是指自疾病确诊或意外伤害发生之日起，经过积极治疗 </w:t>
            </w:r>
            <w:r>
              <w:rPr>
                <w:sz w:val="21"/>
              </w:rPr>
              <w:t>180</w:t>
            </w:r>
            <w:r>
              <w:rPr>
                <w:spacing w:val="-12"/>
                <w:sz w:val="21"/>
              </w:rPr>
              <w:t> 天后， </w:t>
            </w:r>
            <w:r>
              <w:rPr>
                <w:spacing w:val="-3"/>
                <w:sz w:val="21"/>
              </w:rPr>
              <w:t>仍无法通过现有医疗手段恢复。</w:t>
            </w:r>
          </w:p>
          <w:p>
            <w:pPr>
              <w:pStyle w:val="TableParagraph"/>
              <w:spacing w:before="5"/>
              <w:rPr>
                <w:sz w:val="24"/>
              </w:rPr>
            </w:pPr>
          </w:p>
          <w:p>
            <w:pPr>
              <w:pStyle w:val="TableParagraph"/>
              <w:ind w:left="149"/>
              <w:rPr>
                <w:sz w:val="21"/>
              </w:rPr>
            </w:pPr>
            <w:r>
              <w:rPr>
                <w:sz w:val="21"/>
              </w:rPr>
              <w:t>（五）三大关节</w:t>
            </w:r>
          </w:p>
          <w:p>
            <w:pPr>
              <w:pStyle w:val="TableParagraph"/>
              <w:spacing w:before="37"/>
              <w:ind w:left="148"/>
              <w:rPr>
                <w:sz w:val="21"/>
              </w:rPr>
            </w:pPr>
            <w:r>
              <w:rPr>
                <w:sz w:val="21"/>
              </w:rPr>
              <w:t>上肢三大关节是指肩、肘、腕关节，下肢三大关节是指髋、膝、踝关节。</w:t>
            </w:r>
          </w:p>
        </w:tc>
      </w:tr>
      <w:tr>
        <w:trPr>
          <w:trHeight w:val="936" w:hRule="atLeast"/>
        </w:trPr>
        <w:tc>
          <w:tcPr>
            <w:tcW w:w="732" w:type="dxa"/>
          </w:tcPr>
          <w:p>
            <w:pPr>
              <w:pStyle w:val="TableParagraph"/>
              <w:spacing w:before="143"/>
              <w:ind w:left="200"/>
              <w:rPr>
                <w:b/>
                <w:sz w:val="21"/>
              </w:rPr>
            </w:pPr>
            <w:r>
              <w:rPr>
                <w:b/>
                <w:sz w:val="21"/>
              </w:rPr>
              <w:t>8.9</w:t>
            </w:r>
          </w:p>
        </w:tc>
        <w:tc>
          <w:tcPr>
            <w:tcW w:w="1947" w:type="dxa"/>
          </w:tcPr>
          <w:p>
            <w:pPr>
              <w:pStyle w:val="TableParagraph"/>
              <w:spacing w:before="143"/>
              <w:ind w:left="108"/>
              <w:rPr>
                <w:b/>
                <w:sz w:val="21"/>
              </w:rPr>
            </w:pPr>
            <w:r>
              <w:rPr>
                <w:b/>
                <w:sz w:val="21"/>
              </w:rPr>
              <w:t>现金价值</w:t>
            </w:r>
          </w:p>
        </w:tc>
        <w:tc>
          <w:tcPr>
            <w:tcW w:w="7491" w:type="dxa"/>
          </w:tcPr>
          <w:p>
            <w:pPr>
              <w:pStyle w:val="TableParagraph"/>
              <w:spacing w:line="273" w:lineRule="auto" w:before="143"/>
              <w:ind w:left="149" w:right="199"/>
              <w:rPr>
                <w:sz w:val="21"/>
              </w:rPr>
            </w:pPr>
            <w:r>
              <w:rPr>
                <w:sz w:val="21"/>
              </w:rPr>
              <w:t>指保险单所具有的价值，通常体现为解除合同时，根据精算原理计算的，由我们退还的那部分金额。</w:t>
            </w:r>
          </w:p>
        </w:tc>
      </w:tr>
      <w:tr>
        <w:trPr>
          <w:trHeight w:val="936" w:hRule="atLeast"/>
        </w:trPr>
        <w:tc>
          <w:tcPr>
            <w:tcW w:w="732" w:type="dxa"/>
          </w:tcPr>
          <w:p>
            <w:pPr>
              <w:pStyle w:val="TableParagraph"/>
              <w:spacing w:before="142"/>
              <w:ind w:left="200"/>
              <w:rPr>
                <w:b/>
                <w:sz w:val="21"/>
              </w:rPr>
            </w:pPr>
            <w:r>
              <w:rPr>
                <w:b/>
                <w:sz w:val="21"/>
              </w:rPr>
              <w:t>8.10</w:t>
            </w:r>
          </w:p>
        </w:tc>
        <w:tc>
          <w:tcPr>
            <w:tcW w:w="1947" w:type="dxa"/>
          </w:tcPr>
          <w:p>
            <w:pPr>
              <w:pStyle w:val="TableParagraph"/>
              <w:spacing w:before="142"/>
              <w:ind w:left="108"/>
              <w:rPr>
                <w:b/>
                <w:sz w:val="21"/>
              </w:rPr>
            </w:pPr>
            <w:r>
              <w:rPr>
                <w:b/>
                <w:sz w:val="21"/>
              </w:rPr>
              <w:t>初次发生</w:t>
            </w:r>
          </w:p>
        </w:tc>
        <w:tc>
          <w:tcPr>
            <w:tcW w:w="7491" w:type="dxa"/>
          </w:tcPr>
          <w:p>
            <w:pPr>
              <w:pStyle w:val="TableParagraph"/>
              <w:spacing w:line="273" w:lineRule="auto" w:before="142"/>
              <w:ind w:left="149" w:right="170"/>
              <w:rPr>
                <w:sz w:val="21"/>
              </w:rPr>
            </w:pPr>
            <w:r>
              <w:rPr>
                <w:sz w:val="21"/>
              </w:rPr>
              <w:t>指被保险人首次出现重大疾病的前兆或异常的身体状况，包括与重大疾病相关的症状及体征。</w:t>
            </w:r>
          </w:p>
        </w:tc>
      </w:tr>
      <w:tr>
        <w:trPr>
          <w:trHeight w:val="1559" w:hRule="atLeast"/>
        </w:trPr>
        <w:tc>
          <w:tcPr>
            <w:tcW w:w="732" w:type="dxa"/>
          </w:tcPr>
          <w:p>
            <w:pPr>
              <w:pStyle w:val="TableParagraph"/>
              <w:spacing w:before="142"/>
              <w:ind w:left="200"/>
              <w:rPr>
                <w:b/>
                <w:sz w:val="21"/>
              </w:rPr>
            </w:pPr>
            <w:r>
              <w:rPr>
                <w:b/>
                <w:sz w:val="21"/>
              </w:rPr>
              <w:t>8.11</w:t>
            </w:r>
          </w:p>
        </w:tc>
        <w:tc>
          <w:tcPr>
            <w:tcW w:w="1947" w:type="dxa"/>
          </w:tcPr>
          <w:p>
            <w:pPr>
              <w:pStyle w:val="TableParagraph"/>
              <w:spacing w:before="142"/>
              <w:ind w:left="108"/>
              <w:rPr>
                <w:b/>
                <w:sz w:val="21"/>
              </w:rPr>
            </w:pPr>
            <w:r>
              <w:rPr>
                <w:b/>
                <w:sz w:val="21"/>
              </w:rPr>
              <w:t>医院</w:t>
            </w:r>
          </w:p>
        </w:tc>
        <w:tc>
          <w:tcPr>
            <w:tcW w:w="7491" w:type="dxa"/>
          </w:tcPr>
          <w:p>
            <w:pPr>
              <w:pStyle w:val="TableParagraph"/>
              <w:spacing w:line="273" w:lineRule="auto" w:before="142"/>
              <w:ind w:left="149" w:right="220"/>
              <w:jc w:val="both"/>
              <w:rPr>
                <w:sz w:val="21"/>
              </w:rPr>
            </w:pPr>
            <w:r>
              <w:rPr>
                <w:spacing w:val="-4"/>
                <w:sz w:val="21"/>
              </w:rPr>
              <w:t>指国家卫生部医院等级分类中的二级或二级以上的公立医院，但不包括附属于</w:t>
            </w:r>
            <w:r>
              <w:rPr>
                <w:spacing w:val="-6"/>
                <w:sz w:val="21"/>
              </w:rPr>
              <w:t>前述医院或单独作为诊所、康复、护理、疗养、戒酒、戒毒等或相类似的医疗</w:t>
            </w:r>
            <w:r>
              <w:rPr>
                <w:spacing w:val="-5"/>
                <w:sz w:val="21"/>
              </w:rPr>
              <w:t>机构。同时该医院必须具有符合有关医院管理规定设置标准的医疗设备，并且</w:t>
            </w:r>
            <w:r>
              <w:rPr>
                <w:spacing w:val="-4"/>
                <w:sz w:val="21"/>
              </w:rPr>
              <w:t>全日二十四小时有合格医师及护士驻院提供医疗和护理等服务。</w:t>
            </w:r>
          </w:p>
        </w:tc>
      </w:tr>
      <w:tr>
        <w:trPr>
          <w:trHeight w:val="2496" w:hRule="atLeast"/>
        </w:trPr>
        <w:tc>
          <w:tcPr>
            <w:tcW w:w="732" w:type="dxa"/>
          </w:tcPr>
          <w:p>
            <w:pPr>
              <w:pStyle w:val="TableParagraph"/>
              <w:spacing w:before="142"/>
              <w:ind w:left="200"/>
              <w:rPr>
                <w:b/>
                <w:sz w:val="21"/>
              </w:rPr>
            </w:pPr>
            <w:r>
              <w:rPr>
                <w:b/>
                <w:sz w:val="21"/>
              </w:rPr>
              <w:t>8.12</w:t>
            </w:r>
          </w:p>
        </w:tc>
        <w:tc>
          <w:tcPr>
            <w:tcW w:w="1947" w:type="dxa"/>
          </w:tcPr>
          <w:p>
            <w:pPr>
              <w:pStyle w:val="TableParagraph"/>
              <w:spacing w:before="142"/>
              <w:ind w:left="108"/>
              <w:rPr>
                <w:b/>
                <w:sz w:val="21"/>
              </w:rPr>
            </w:pPr>
            <w:r>
              <w:rPr>
                <w:b/>
                <w:sz w:val="21"/>
              </w:rPr>
              <w:t>专科医生</w:t>
            </w:r>
          </w:p>
        </w:tc>
        <w:tc>
          <w:tcPr>
            <w:tcW w:w="7491" w:type="dxa"/>
          </w:tcPr>
          <w:p>
            <w:pPr>
              <w:pStyle w:val="TableParagraph"/>
              <w:spacing w:before="142"/>
              <w:ind w:left="149"/>
              <w:rPr>
                <w:sz w:val="21"/>
              </w:rPr>
            </w:pPr>
            <w:r>
              <w:rPr>
                <w:sz w:val="21"/>
              </w:rPr>
              <w:t>专科医生应当同时满足以下四项资格条件：</w:t>
            </w:r>
          </w:p>
          <w:p>
            <w:pPr>
              <w:pStyle w:val="TableParagraph"/>
              <w:spacing w:before="36"/>
              <w:ind w:left="149"/>
              <w:rPr>
                <w:sz w:val="21"/>
              </w:rPr>
            </w:pPr>
            <w:r>
              <w:rPr>
                <w:sz w:val="21"/>
              </w:rPr>
              <w:t>（1）具有有效的中华人民共和国《医师资格证书》；</w:t>
            </w:r>
          </w:p>
          <w:p>
            <w:pPr>
              <w:pStyle w:val="TableParagraph"/>
              <w:spacing w:line="273" w:lineRule="auto" w:before="37"/>
              <w:ind w:left="672" w:right="220" w:hanging="526"/>
              <w:rPr>
                <w:sz w:val="21"/>
              </w:rPr>
            </w:pPr>
            <w:r>
              <w:rPr>
                <w:spacing w:val="-4"/>
                <w:sz w:val="21"/>
              </w:rPr>
              <w:t>（2）</w:t>
            </w:r>
            <w:r>
              <w:rPr>
                <w:spacing w:val="-10"/>
                <w:sz w:val="21"/>
              </w:rPr>
              <w:t>具有有效的中华人民共和国《医师执业证书》，并按期到相关部门登记注册；</w:t>
            </w:r>
          </w:p>
          <w:p>
            <w:pPr>
              <w:pStyle w:val="TableParagraph"/>
              <w:spacing w:line="273" w:lineRule="auto" w:before="8"/>
              <w:ind w:left="674" w:right="222" w:hanging="526"/>
              <w:rPr>
                <w:sz w:val="21"/>
              </w:rPr>
            </w:pPr>
            <w:r>
              <w:rPr>
                <w:sz w:val="21"/>
              </w:rPr>
              <w:t>（3）具有有效的中华人民共和国主治医师或主治医师以上职称的《医师职称证书》；</w:t>
            </w:r>
          </w:p>
          <w:p>
            <w:pPr>
              <w:pStyle w:val="TableParagraph"/>
              <w:spacing w:before="8"/>
              <w:ind w:left="149"/>
              <w:rPr>
                <w:sz w:val="21"/>
              </w:rPr>
            </w:pPr>
            <w:r>
              <w:rPr>
                <w:sz w:val="21"/>
              </w:rPr>
              <w:t>（4）在二级或二级以上医院的相应科室从事临床工作三年以上。</w:t>
            </w:r>
          </w:p>
        </w:tc>
      </w:tr>
      <w:tr>
        <w:trPr>
          <w:trHeight w:val="1559" w:hRule="atLeast"/>
        </w:trPr>
        <w:tc>
          <w:tcPr>
            <w:tcW w:w="732" w:type="dxa"/>
          </w:tcPr>
          <w:p>
            <w:pPr>
              <w:pStyle w:val="TableParagraph"/>
              <w:spacing w:before="142"/>
              <w:ind w:left="200"/>
              <w:rPr>
                <w:b/>
                <w:sz w:val="21"/>
              </w:rPr>
            </w:pPr>
            <w:r>
              <w:rPr>
                <w:b/>
                <w:sz w:val="21"/>
              </w:rPr>
              <w:t>8.13</w:t>
            </w:r>
          </w:p>
        </w:tc>
        <w:tc>
          <w:tcPr>
            <w:tcW w:w="1947" w:type="dxa"/>
          </w:tcPr>
          <w:p>
            <w:pPr>
              <w:pStyle w:val="TableParagraph"/>
              <w:spacing w:before="142"/>
              <w:ind w:left="108"/>
              <w:rPr>
                <w:b/>
                <w:sz w:val="21"/>
              </w:rPr>
            </w:pPr>
            <w:r>
              <w:rPr>
                <w:b/>
                <w:sz w:val="21"/>
              </w:rPr>
              <w:t>毒品</w:t>
            </w:r>
          </w:p>
        </w:tc>
        <w:tc>
          <w:tcPr>
            <w:tcW w:w="7491" w:type="dxa"/>
          </w:tcPr>
          <w:p>
            <w:pPr>
              <w:pStyle w:val="TableParagraph"/>
              <w:spacing w:line="273" w:lineRule="auto" w:before="142"/>
              <w:ind w:left="149" w:right="222"/>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 </w:t>
            </w:r>
            <w:r>
              <w:rPr>
                <w:spacing w:val="-7"/>
                <w:sz w:val="21"/>
              </w:rPr>
              <w:t>品，但不包括由医生开具并遵医嘱使用的用于治疗疾病但含有毒品成分的处方</w:t>
            </w:r>
            <w:r>
              <w:rPr>
                <w:sz w:val="21"/>
              </w:rPr>
              <w:t>药品。</w:t>
            </w:r>
          </w:p>
        </w:tc>
      </w:tr>
      <w:tr>
        <w:trPr>
          <w:trHeight w:val="1252" w:hRule="atLeast"/>
        </w:trPr>
        <w:tc>
          <w:tcPr>
            <w:tcW w:w="732" w:type="dxa"/>
          </w:tcPr>
          <w:p>
            <w:pPr>
              <w:pStyle w:val="TableParagraph"/>
              <w:spacing w:before="142"/>
              <w:ind w:left="200"/>
              <w:rPr>
                <w:b/>
                <w:sz w:val="21"/>
              </w:rPr>
            </w:pPr>
            <w:r>
              <w:rPr>
                <w:b/>
                <w:sz w:val="21"/>
              </w:rPr>
              <w:t>8.14</w:t>
            </w:r>
          </w:p>
        </w:tc>
        <w:tc>
          <w:tcPr>
            <w:tcW w:w="1947" w:type="dxa"/>
          </w:tcPr>
          <w:p>
            <w:pPr>
              <w:pStyle w:val="TableParagraph"/>
              <w:spacing w:before="142"/>
              <w:ind w:left="108"/>
              <w:rPr>
                <w:b/>
                <w:sz w:val="21"/>
              </w:rPr>
            </w:pPr>
            <w:r>
              <w:rPr>
                <w:b/>
                <w:sz w:val="21"/>
              </w:rPr>
              <w:t>酒后驾驶</w:t>
            </w:r>
          </w:p>
        </w:tc>
        <w:tc>
          <w:tcPr>
            <w:tcW w:w="7491" w:type="dxa"/>
          </w:tcPr>
          <w:p>
            <w:pPr>
              <w:pStyle w:val="TableParagraph"/>
              <w:spacing w:line="273" w:lineRule="auto" w:before="142"/>
              <w:ind w:left="149" w:right="222"/>
              <w:jc w:val="both"/>
              <w:rPr>
                <w:sz w:val="21"/>
              </w:rPr>
            </w:pPr>
            <w:r>
              <w:rPr>
                <w:spacing w:val="-6"/>
                <w:sz w:val="21"/>
              </w:rPr>
              <w:t>指经检测或鉴定，发生事故时车辆驾驶人员每百毫升血液中的酒精含量达到或超过一定的标准，公安机关交通管理部门依据《道路交通安全法》的规定认定</w:t>
            </w:r>
            <w:r>
              <w:rPr>
                <w:spacing w:val="-3"/>
                <w:sz w:val="21"/>
              </w:rPr>
              <w:t>为饮酒后驾驶或醉酒后驾驶。</w:t>
            </w:r>
          </w:p>
        </w:tc>
      </w:tr>
      <w:tr>
        <w:trPr>
          <w:trHeight w:val="765" w:hRule="atLeast"/>
        </w:trPr>
        <w:tc>
          <w:tcPr>
            <w:tcW w:w="732" w:type="dxa"/>
          </w:tcPr>
          <w:p>
            <w:pPr>
              <w:pStyle w:val="TableParagraph"/>
              <w:spacing w:before="147"/>
              <w:ind w:left="200"/>
              <w:rPr>
                <w:b/>
                <w:sz w:val="21"/>
              </w:rPr>
            </w:pPr>
            <w:r>
              <w:rPr>
                <w:b/>
                <w:sz w:val="21"/>
              </w:rPr>
              <w:t>8.15</w:t>
            </w:r>
          </w:p>
        </w:tc>
        <w:tc>
          <w:tcPr>
            <w:tcW w:w="1947" w:type="dxa"/>
          </w:tcPr>
          <w:p>
            <w:pPr>
              <w:pStyle w:val="TableParagraph"/>
              <w:spacing w:line="320" w:lineRule="atLeast" w:before="126"/>
              <w:ind w:left="108" w:right="146"/>
              <w:rPr>
                <w:b/>
                <w:sz w:val="21"/>
              </w:rPr>
            </w:pPr>
            <w:r>
              <w:rPr>
                <w:b/>
                <w:sz w:val="21"/>
              </w:rPr>
              <w:t>无合法有效驾驶证驾驶</w:t>
            </w:r>
          </w:p>
        </w:tc>
        <w:tc>
          <w:tcPr>
            <w:tcW w:w="7491" w:type="dxa"/>
          </w:tcPr>
          <w:p>
            <w:pPr>
              <w:pStyle w:val="TableParagraph"/>
              <w:spacing w:before="147"/>
              <w:ind w:left="149"/>
              <w:rPr>
                <w:sz w:val="21"/>
              </w:rPr>
            </w:pPr>
            <w:r>
              <w:rPr>
                <w:sz w:val="21"/>
              </w:rPr>
              <w:t>指下列情形之一：</w:t>
            </w:r>
          </w:p>
          <w:p>
            <w:pPr>
              <w:pStyle w:val="TableParagraph"/>
              <w:spacing w:before="36"/>
              <w:ind w:left="149"/>
              <w:rPr>
                <w:sz w:val="21"/>
              </w:rPr>
            </w:pPr>
            <w:r>
              <w:rPr>
                <w:sz w:val="21"/>
              </w:rPr>
              <w:t>（1）没有取得驾驶资格；</w:t>
            </w:r>
          </w:p>
        </w:tc>
      </w:tr>
    </w:tbl>
    <w:p>
      <w:pPr>
        <w:spacing w:after="0"/>
        <w:rPr>
          <w:sz w:val="21"/>
        </w:rPr>
        <w:sectPr>
          <w:pgSz w:w="11910" w:h="16840"/>
          <w:pgMar w:top="1160" w:bottom="280" w:left="72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96"/>
        <w:gridCol w:w="7525"/>
      </w:tblGrid>
      <w:tr>
        <w:trPr>
          <w:trHeight w:val="1353" w:hRule="atLeast"/>
        </w:trPr>
        <w:tc>
          <w:tcPr>
            <w:tcW w:w="732" w:type="dxa"/>
          </w:tcPr>
          <w:p>
            <w:pPr>
              <w:pStyle w:val="TableParagraph"/>
              <w:rPr>
                <w:rFonts w:ascii="Times New Roman"/>
                <w:sz w:val="20"/>
              </w:rPr>
            </w:pPr>
          </w:p>
        </w:tc>
        <w:tc>
          <w:tcPr>
            <w:tcW w:w="1996" w:type="dxa"/>
          </w:tcPr>
          <w:p>
            <w:pPr>
              <w:pStyle w:val="TableParagraph"/>
              <w:rPr>
                <w:rFonts w:ascii="Times New Roman"/>
                <w:sz w:val="20"/>
              </w:rPr>
            </w:pPr>
          </w:p>
        </w:tc>
        <w:tc>
          <w:tcPr>
            <w:tcW w:w="7525" w:type="dxa"/>
          </w:tcPr>
          <w:p>
            <w:pPr>
              <w:pStyle w:val="TableParagraph"/>
              <w:spacing w:line="211" w:lineRule="exact"/>
              <w:ind w:left="100"/>
              <w:rPr>
                <w:sz w:val="21"/>
              </w:rPr>
            </w:pPr>
            <w:r>
              <w:rPr>
                <w:sz w:val="21"/>
              </w:rPr>
              <w:t>（2）驾驶与驾驶证准驾车型不相符合的车辆；</w:t>
            </w:r>
          </w:p>
          <w:p>
            <w:pPr>
              <w:pStyle w:val="TableParagraph"/>
              <w:spacing w:before="37"/>
              <w:ind w:left="100"/>
              <w:rPr>
                <w:sz w:val="21"/>
              </w:rPr>
            </w:pPr>
            <w:r>
              <w:rPr>
                <w:sz w:val="21"/>
              </w:rPr>
              <w:t>（3）持审验不合格的驾驶证驾驶；</w:t>
            </w:r>
          </w:p>
          <w:p>
            <w:pPr>
              <w:pStyle w:val="TableParagraph"/>
              <w:spacing w:line="273" w:lineRule="auto" w:before="37"/>
              <w:ind w:left="592" w:right="382" w:hanging="493"/>
              <w:rPr>
                <w:sz w:val="21"/>
              </w:rPr>
            </w:pPr>
            <w:r>
              <w:rPr>
                <w:sz w:val="21"/>
              </w:rPr>
              <w:t>（4）持学习驾驶证学习驾车时，无教练员随车指导，或不按指定时间、路线学习驾车。</w:t>
            </w:r>
          </w:p>
        </w:tc>
      </w:tr>
      <w:tr>
        <w:trPr>
          <w:trHeight w:val="1248" w:hRule="atLeast"/>
        </w:trPr>
        <w:tc>
          <w:tcPr>
            <w:tcW w:w="732" w:type="dxa"/>
          </w:tcPr>
          <w:p>
            <w:pPr>
              <w:pStyle w:val="TableParagraph"/>
              <w:spacing w:before="142"/>
              <w:ind w:right="107"/>
              <w:jc w:val="right"/>
              <w:rPr>
                <w:b/>
                <w:sz w:val="21"/>
              </w:rPr>
            </w:pPr>
            <w:r>
              <w:rPr>
                <w:b/>
                <w:w w:val="95"/>
                <w:sz w:val="21"/>
              </w:rPr>
              <w:t>8.16</w:t>
            </w:r>
          </w:p>
        </w:tc>
        <w:tc>
          <w:tcPr>
            <w:tcW w:w="1996" w:type="dxa"/>
          </w:tcPr>
          <w:p>
            <w:pPr>
              <w:pStyle w:val="TableParagraph"/>
              <w:spacing w:before="142"/>
              <w:ind w:left="108"/>
              <w:rPr>
                <w:b/>
                <w:sz w:val="21"/>
              </w:rPr>
            </w:pPr>
            <w:r>
              <w:rPr>
                <w:b/>
                <w:sz w:val="21"/>
              </w:rPr>
              <w:t>无有效行驶证</w:t>
            </w:r>
          </w:p>
        </w:tc>
        <w:tc>
          <w:tcPr>
            <w:tcW w:w="7525" w:type="dxa"/>
          </w:tcPr>
          <w:p>
            <w:pPr>
              <w:pStyle w:val="TableParagraph"/>
              <w:spacing w:before="142"/>
              <w:ind w:left="100"/>
              <w:rPr>
                <w:sz w:val="21"/>
              </w:rPr>
            </w:pPr>
            <w:r>
              <w:rPr>
                <w:sz w:val="21"/>
              </w:rPr>
              <w:t>指下列情形之一：</w:t>
            </w:r>
          </w:p>
          <w:p>
            <w:pPr>
              <w:pStyle w:val="TableParagraph"/>
              <w:spacing w:before="36"/>
              <w:ind w:left="100"/>
              <w:rPr>
                <w:sz w:val="21"/>
              </w:rPr>
            </w:pPr>
            <w:r>
              <w:rPr>
                <w:sz w:val="21"/>
              </w:rPr>
              <w:t>（1）机动车被依法注销登记的；</w:t>
            </w:r>
          </w:p>
          <w:p>
            <w:pPr>
              <w:pStyle w:val="TableParagraph"/>
              <w:spacing w:before="36"/>
              <w:ind w:left="100"/>
              <w:rPr>
                <w:sz w:val="21"/>
              </w:rPr>
            </w:pPr>
            <w:r>
              <w:rPr>
                <w:sz w:val="21"/>
              </w:rPr>
              <w:t>（2）未依法按时进行或通过机动车安全技术检验。</w:t>
            </w:r>
          </w:p>
        </w:tc>
      </w:tr>
      <w:tr>
        <w:trPr>
          <w:trHeight w:val="2183" w:hRule="atLeast"/>
        </w:trPr>
        <w:tc>
          <w:tcPr>
            <w:tcW w:w="732" w:type="dxa"/>
          </w:tcPr>
          <w:p>
            <w:pPr>
              <w:pStyle w:val="TableParagraph"/>
              <w:spacing w:before="142"/>
              <w:ind w:right="107"/>
              <w:jc w:val="right"/>
              <w:rPr>
                <w:b/>
                <w:sz w:val="21"/>
              </w:rPr>
            </w:pPr>
            <w:r>
              <w:rPr>
                <w:b/>
                <w:w w:val="95"/>
                <w:sz w:val="21"/>
              </w:rPr>
              <w:t>8.17</w:t>
            </w:r>
          </w:p>
        </w:tc>
        <w:tc>
          <w:tcPr>
            <w:tcW w:w="1996" w:type="dxa"/>
          </w:tcPr>
          <w:p>
            <w:pPr>
              <w:pStyle w:val="TableParagraph"/>
              <w:spacing w:line="280" w:lineRule="auto" w:before="166"/>
              <w:ind w:left="108" w:right="195"/>
              <w:rPr>
                <w:b/>
                <w:sz w:val="21"/>
              </w:rPr>
            </w:pPr>
            <w:r>
              <w:rPr>
                <w:b/>
                <w:sz w:val="21"/>
              </w:rPr>
              <w:t>感染艾滋病病毒或患艾滋病</w:t>
            </w:r>
          </w:p>
        </w:tc>
        <w:tc>
          <w:tcPr>
            <w:tcW w:w="7525" w:type="dxa"/>
          </w:tcPr>
          <w:p>
            <w:pPr>
              <w:pStyle w:val="TableParagraph"/>
              <w:spacing w:line="273" w:lineRule="auto" w:before="142"/>
              <w:ind w:left="100" w:right="332" w:hanging="1"/>
              <w:jc w:val="both"/>
              <w:rPr>
                <w:sz w:val="21"/>
              </w:rPr>
            </w:pPr>
            <w:r>
              <w:rPr>
                <w:spacing w:val="-4"/>
                <w:sz w:val="21"/>
              </w:rPr>
              <w:t>艾滋病病毒指人类免疫缺陷病毒，英文缩写为 </w:t>
            </w:r>
            <w:r>
              <w:rPr>
                <w:sz w:val="21"/>
              </w:rPr>
              <w:t>HIV</w:t>
            </w:r>
            <w:r>
              <w:rPr>
                <w:spacing w:val="-3"/>
                <w:sz w:val="21"/>
              </w:rPr>
              <w:t>。艾滋病指人类免疫缺陷病</w:t>
            </w:r>
            <w:r>
              <w:rPr>
                <w:spacing w:val="-5"/>
                <w:sz w:val="21"/>
              </w:rPr>
              <w:t>毒引起的获得性免疫缺陷综合症，英文缩写为 </w:t>
            </w:r>
            <w:r>
              <w:rPr>
                <w:sz w:val="21"/>
              </w:rPr>
              <w:t>AIDS。</w:t>
            </w:r>
          </w:p>
          <w:p>
            <w:pPr>
              <w:pStyle w:val="TableParagraph"/>
              <w:spacing w:before="4"/>
              <w:rPr>
                <w:sz w:val="24"/>
              </w:rPr>
            </w:pPr>
          </w:p>
          <w:p>
            <w:pPr>
              <w:pStyle w:val="TableParagraph"/>
              <w:spacing w:line="273" w:lineRule="auto" w:before="1"/>
              <w:ind w:left="100" w:right="303"/>
              <w:jc w:val="both"/>
              <w:rPr>
                <w:sz w:val="21"/>
              </w:rPr>
            </w:pPr>
            <w:r>
              <w:rPr>
                <w:spacing w:val="-4"/>
                <w:sz w:val="21"/>
              </w:rPr>
              <w:t>在人体血液或其它样本中检测到艾滋病病毒或其抗体呈阳性，没有出现临床症</w:t>
            </w:r>
            <w:r>
              <w:rPr>
                <w:spacing w:val="-7"/>
                <w:sz w:val="21"/>
              </w:rPr>
              <w:t>状或体征的，为感染艾滋病病毒；如果同时出现了明显临床症状或体征的，为</w:t>
            </w:r>
            <w:r>
              <w:rPr>
                <w:spacing w:val="-4"/>
                <w:sz w:val="21"/>
              </w:rPr>
              <w:t>患艾滋病。</w:t>
            </w:r>
          </w:p>
        </w:tc>
      </w:tr>
      <w:tr>
        <w:trPr>
          <w:trHeight w:val="936" w:hRule="atLeast"/>
        </w:trPr>
        <w:tc>
          <w:tcPr>
            <w:tcW w:w="732" w:type="dxa"/>
          </w:tcPr>
          <w:p>
            <w:pPr>
              <w:pStyle w:val="TableParagraph"/>
              <w:spacing w:before="142"/>
              <w:ind w:right="107"/>
              <w:jc w:val="right"/>
              <w:rPr>
                <w:b/>
                <w:sz w:val="21"/>
              </w:rPr>
            </w:pPr>
            <w:r>
              <w:rPr>
                <w:b/>
                <w:w w:val="95"/>
                <w:sz w:val="21"/>
              </w:rPr>
              <w:t>8.18</w:t>
            </w:r>
          </w:p>
        </w:tc>
        <w:tc>
          <w:tcPr>
            <w:tcW w:w="1996" w:type="dxa"/>
          </w:tcPr>
          <w:p>
            <w:pPr>
              <w:pStyle w:val="TableParagraph"/>
              <w:spacing w:before="142"/>
              <w:ind w:left="108"/>
              <w:rPr>
                <w:b/>
                <w:sz w:val="21"/>
              </w:rPr>
            </w:pPr>
            <w:r>
              <w:rPr>
                <w:b/>
                <w:sz w:val="21"/>
              </w:rPr>
              <w:t>遗传性疾病</w:t>
            </w:r>
          </w:p>
        </w:tc>
        <w:tc>
          <w:tcPr>
            <w:tcW w:w="7525" w:type="dxa"/>
          </w:tcPr>
          <w:p>
            <w:pPr>
              <w:pStyle w:val="TableParagraph"/>
              <w:spacing w:line="273" w:lineRule="auto" w:before="142"/>
              <w:ind w:left="100" w:right="253"/>
              <w:rPr>
                <w:sz w:val="21"/>
              </w:rPr>
            </w:pPr>
            <w:r>
              <w:rPr>
                <w:sz w:val="21"/>
              </w:rPr>
              <w:t>指生殖细胞或受精卵的遗传物质（染色体和基因）发生突变（或畸变）所引起的疾病，通常具有由亲代传至后代的垂直传递的特征。</w:t>
            </w:r>
          </w:p>
        </w:tc>
      </w:tr>
      <w:tr>
        <w:trPr>
          <w:trHeight w:val="1041" w:hRule="atLeast"/>
        </w:trPr>
        <w:tc>
          <w:tcPr>
            <w:tcW w:w="732" w:type="dxa"/>
          </w:tcPr>
          <w:p>
            <w:pPr>
              <w:pStyle w:val="TableParagraph"/>
              <w:spacing w:before="142"/>
              <w:ind w:right="107"/>
              <w:jc w:val="right"/>
              <w:rPr>
                <w:b/>
                <w:sz w:val="21"/>
              </w:rPr>
            </w:pPr>
            <w:r>
              <w:rPr>
                <w:b/>
                <w:w w:val="95"/>
                <w:sz w:val="21"/>
              </w:rPr>
              <w:t>8.19</w:t>
            </w:r>
          </w:p>
        </w:tc>
        <w:tc>
          <w:tcPr>
            <w:tcW w:w="1996" w:type="dxa"/>
          </w:tcPr>
          <w:p>
            <w:pPr>
              <w:pStyle w:val="TableParagraph"/>
              <w:spacing w:line="273" w:lineRule="auto" w:before="142"/>
              <w:ind w:left="108" w:right="99"/>
              <w:rPr>
                <w:b/>
                <w:sz w:val="21"/>
              </w:rPr>
            </w:pPr>
            <w:r>
              <w:rPr>
                <w:b/>
                <w:sz w:val="21"/>
              </w:rPr>
              <w:t>先天性畸形、变形或染色体异常</w:t>
            </w:r>
          </w:p>
        </w:tc>
        <w:tc>
          <w:tcPr>
            <w:tcW w:w="7525" w:type="dxa"/>
          </w:tcPr>
          <w:p>
            <w:pPr>
              <w:pStyle w:val="TableParagraph"/>
              <w:spacing w:line="310" w:lineRule="atLeast" w:before="107"/>
              <w:ind w:left="100" w:right="198"/>
              <w:rPr>
                <w:sz w:val="21"/>
              </w:rPr>
            </w:pPr>
            <w:r>
              <w:rPr>
                <w:spacing w:val="-6"/>
                <w:sz w:val="21"/>
              </w:rPr>
              <w:t>指被保险人出生时就具有的畸形、变形或染色体异常。先天性畸形、变形和染</w:t>
            </w:r>
            <w:r>
              <w:rPr>
                <w:spacing w:val="-4"/>
                <w:sz w:val="21"/>
              </w:rPr>
              <w:t>色体异常依照世界卫生组织《疾病和有关健康问题的国际统计分类</w:t>
            </w:r>
            <w:r>
              <w:rPr>
                <w:spacing w:val="-118"/>
                <w:sz w:val="21"/>
              </w:rPr>
              <w:t>》</w:t>
            </w:r>
            <w:r>
              <w:rPr>
                <w:sz w:val="21"/>
              </w:rPr>
              <w:t>（ICD-10） 确定。</w:t>
            </w:r>
          </w:p>
        </w:tc>
      </w:tr>
    </w:tbl>
    <w:sectPr>
      <w:pgSz w:w="11910" w:h="16840"/>
      <w:pgMar w:top="116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等线">
    <w:altName w:val="等线"/>
    <w:charset w:val="86"/>
    <w:family w:val="auto"/>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黑体">
    <w:altName w:val="黑体"/>
    <w:charset w:val="86"/>
    <w:family w:val="modern"/>
    <w:pitch w:val="fixed"/>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72" w:hanging="423"/>
        <w:jc w:val="left"/>
      </w:pPr>
      <w:rPr>
        <w:rFonts w:hint="default" w:ascii="黑体" w:hAnsi="黑体" w:eastAsia="黑体" w:cs="黑体"/>
        <w:w w:val="100"/>
        <w:sz w:val="21"/>
        <w:szCs w:val="21"/>
      </w:rPr>
    </w:lvl>
    <w:lvl w:ilvl="1">
      <w:start w:val="0"/>
      <w:numFmt w:val="bullet"/>
      <w:lvlText w:val="•"/>
      <w:lvlJc w:val="left"/>
      <w:pPr>
        <w:ind w:left="1259" w:hanging="423"/>
      </w:pPr>
      <w:rPr>
        <w:rFonts w:hint="default"/>
      </w:rPr>
    </w:lvl>
    <w:lvl w:ilvl="2">
      <w:start w:val="0"/>
      <w:numFmt w:val="bullet"/>
      <w:lvlText w:val="•"/>
      <w:lvlJc w:val="left"/>
      <w:pPr>
        <w:ind w:left="1939" w:hanging="423"/>
      </w:pPr>
      <w:rPr>
        <w:rFonts w:hint="default"/>
      </w:rPr>
    </w:lvl>
    <w:lvl w:ilvl="3">
      <w:start w:val="0"/>
      <w:numFmt w:val="bullet"/>
      <w:lvlText w:val="•"/>
      <w:lvlJc w:val="left"/>
      <w:pPr>
        <w:ind w:left="2618" w:hanging="423"/>
      </w:pPr>
      <w:rPr>
        <w:rFonts w:hint="default"/>
      </w:rPr>
    </w:lvl>
    <w:lvl w:ilvl="4">
      <w:start w:val="0"/>
      <w:numFmt w:val="bullet"/>
      <w:lvlText w:val="•"/>
      <w:lvlJc w:val="left"/>
      <w:pPr>
        <w:ind w:left="3298" w:hanging="423"/>
      </w:pPr>
      <w:rPr>
        <w:rFonts w:hint="default"/>
      </w:rPr>
    </w:lvl>
    <w:lvl w:ilvl="5">
      <w:start w:val="0"/>
      <w:numFmt w:val="bullet"/>
      <w:lvlText w:val="•"/>
      <w:lvlJc w:val="left"/>
      <w:pPr>
        <w:ind w:left="3978" w:hanging="423"/>
      </w:pPr>
      <w:rPr>
        <w:rFonts w:hint="default"/>
      </w:rPr>
    </w:lvl>
    <w:lvl w:ilvl="6">
      <w:start w:val="0"/>
      <w:numFmt w:val="bullet"/>
      <w:lvlText w:val="•"/>
      <w:lvlJc w:val="left"/>
      <w:pPr>
        <w:ind w:left="4657" w:hanging="423"/>
      </w:pPr>
      <w:rPr>
        <w:rFonts w:hint="default"/>
      </w:rPr>
    </w:lvl>
    <w:lvl w:ilvl="7">
      <w:start w:val="0"/>
      <w:numFmt w:val="bullet"/>
      <w:lvlText w:val="•"/>
      <w:lvlJc w:val="left"/>
      <w:pPr>
        <w:ind w:left="5337" w:hanging="423"/>
      </w:pPr>
      <w:rPr>
        <w:rFonts w:hint="default"/>
      </w:rPr>
    </w:lvl>
    <w:lvl w:ilvl="8">
      <w:start w:val="0"/>
      <w:numFmt w:val="bullet"/>
      <w:lvlText w:val="•"/>
      <w:lvlJc w:val="left"/>
      <w:pPr>
        <w:ind w:left="6016" w:hanging="423"/>
      </w:pPr>
      <w:rPr>
        <w:rFonts w:hint="default"/>
      </w:rPr>
    </w:lvl>
  </w:abstractNum>
  <w:abstractNum w:abstractNumId="0">
    <w:multiLevelType w:val="hybridMultilevel"/>
    <w:lvl w:ilvl="0">
      <w:start w:val="0"/>
      <w:numFmt w:val="bullet"/>
      <w:lvlText w:val=""/>
      <w:lvlJc w:val="left"/>
      <w:pPr>
        <w:ind w:left="1731" w:hanging="420"/>
      </w:pPr>
      <w:rPr>
        <w:rFonts w:hint="default" w:ascii="Wingdings" w:hAnsi="Wingdings" w:eastAsia="Wingdings" w:cs="Wingdings"/>
        <w:w w:val="100"/>
        <w:sz w:val="21"/>
        <w:szCs w:val="21"/>
      </w:rPr>
    </w:lvl>
    <w:lvl w:ilvl="1">
      <w:start w:val="0"/>
      <w:numFmt w:val="bullet"/>
      <w:lvlText w:val="•"/>
      <w:lvlJc w:val="left"/>
      <w:pPr>
        <w:ind w:left="1960" w:hanging="420"/>
      </w:pPr>
      <w:rPr>
        <w:rFonts w:hint="default"/>
      </w:rPr>
    </w:lvl>
    <w:lvl w:ilvl="2">
      <w:start w:val="0"/>
      <w:numFmt w:val="bullet"/>
      <w:lvlText w:val="•"/>
      <w:lvlJc w:val="left"/>
      <w:pPr>
        <w:ind w:left="2240" w:hanging="420"/>
      </w:pPr>
      <w:rPr>
        <w:rFonts w:hint="default"/>
      </w:rPr>
    </w:lvl>
    <w:lvl w:ilvl="3">
      <w:start w:val="0"/>
      <w:numFmt w:val="bullet"/>
      <w:lvlText w:val="•"/>
      <w:lvlJc w:val="left"/>
      <w:pPr>
        <w:ind w:left="3110" w:hanging="420"/>
      </w:pPr>
      <w:rPr>
        <w:rFonts w:hint="default"/>
      </w:rPr>
    </w:lvl>
    <w:lvl w:ilvl="4">
      <w:start w:val="0"/>
      <w:numFmt w:val="bullet"/>
      <w:lvlText w:val="•"/>
      <w:lvlJc w:val="left"/>
      <w:pPr>
        <w:ind w:left="3981" w:hanging="420"/>
      </w:pPr>
      <w:rPr>
        <w:rFonts w:hint="default"/>
      </w:rPr>
    </w:lvl>
    <w:lvl w:ilvl="5">
      <w:start w:val="0"/>
      <w:numFmt w:val="bullet"/>
      <w:lvlText w:val="•"/>
      <w:lvlJc w:val="left"/>
      <w:pPr>
        <w:ind w:left="4852" w:hanging="420"/>
      </w:pPr>
      <w:rPr>
        <w:rFonts w:hint="default"/>
      </w:rPr>
    </w:lvl>
    <w:lvl w:ilvl="6">
      <w:start w:val="0"/>
      <w:numFmt w:val="bullet"/>
      <w:lvlText w:val="•"/>
      <w:lvlJc w:val="left"/>
      <w:pPr>
        <w:ind w:left="5723" w:hanging="420"/>
      </w:pPr>
      <w:rPr>
        <w:rFonts w:hint="default"/>
      </w:rPr>
    </w:lvl>
    <w:lvl w:ilvl="7">
      <w:start w:val="0"/>
      <w:numFmt w:val="bullet"/>
      <w:lvlText w:val="•"/>
      <w:lvlJc w:val="left"/>
      <w:pPr>
        <w:ind w:left="6594" w:hanging="420"/>
      </w:pPr>
      <w:rPr>
        <w:rFonts w:hint="default"/>
      </w:rPr>
    </w:lvl>
    <w:lvl w:ilvl="8">
      <w:start w:val="0"/>
      <w:numFmt w:val="bullet"/>
      <w:lvlText w:val="•"/>
      <w:lvlJc w:val="left"/>
      <w:pPr>
        <w:ind w:left="7464"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968"/>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6"/>
      <w:ind w:left="1967"/>
      <w:outlineLvl w:val="2"/>
    </w:pPr>
    <w:rPr>
      <w:rFonts w:ascii="宋体" w:hAnsi="宋体" w:eastAsia="宋体" w:cs="宋体"/>
      <w:sz w:val="22"/>
      <w:szCs w:val="22"/>
    </w:rPr>
  </w:style>
  <w:style w:styleId="Heading3" w:type="paragraph">
    <w:name w:val="Heading 3"/>
    <w:basedOn w:val="Normal"/>
    <w:uiPriority w:val="1"/>
    <w:qFormat/>
    <w:pPr>
      <w:ind w:left="1968"/>
      <w:outlineLvl w:val="3"/>
    </w:pPr>
    <w:rPr>
      <w:rFonts w:ascii="宋体" w:hAnsi="宋体" w:eastAsia="宋体" w:cs="宋体"/>
      <w:b/>
      <w:bCs/>
      <w:sz w:val="21"/>
      <w:szCs w:val="21"/>
    </w:rPr>
  </w:style>
  <w:style w:styleId="ListParagraph" w:type="paragraph">
    <w:name w:val="List Paragraph"/>
    <w:basedOn w:val="Normal"/>
    <w:uiPriority w:val="1"/>
    <w:qFormat/>
    <w:pPr>
      <w:spacing w:before="22"/>
      <w:ind w:left="1731" w:hanging="41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2018-10-19T23:22:14Z</dcterms:created>
  <dcterms:modified xsi:type="dcterms:W3CDTF">2018-10-19T23:22:14Z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2014-05-08T00:00:00Z</vt:filetime>
  </property>
  <property fmtid="{D5CDD505-2E9C-101B-9397-08002B2CF9AE}" pid="3" name="Creator">
    <vt:lpwstr>Acrobat PDFMaker 9.1 Word 版</vt:lpwstr>
  </property>
  <property fmtid="{D5CDD505-2E9C-101B-9397-08002B2CF9AE}" pid="4" name="LastSaved">
    <vt:filetime>2018-10-19T00:00:00Z</vt:filetime>
  </property>
</Properties>
</file>