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122" w:right="0" w:firstLine="0"/>
        <w:jc w:val="center"/>
        <w:rPr>
          <w:b/>
          <w:sz w:val="30"/>
        </w:rPr>
      </w:pPr>
      <w:r>
        <w:rPr>
          <w:b/>
          <w:sz w:val="30"/>
        </w:rPr>
        <w:t>太平福禄倍至终身重大疾病保险条款</w:t>
      </w:r>
    </w:p>
    <w:p>
      <w:pPr>
        <w:pStyle w:val="BodyText"/>
        <w:ind w:left="0"/>
        <w:rPr>
          <w:b/>
          <w:sz w:val="30"/>
        </w:rPr>
      </w:pPr>
    </w:p>
    <w:p>
      <w:pPr>
        <w:pStyle w:val="BodyText"/>
        <w:spacing w:before="6"/>
        <w:ind w:left="0"/>
        <w:rPr>
          <w:b/>
          <w:sz w:val="44"/>
        </w:rPr>
      </w:pPr>
    </w:p>
    <w:p>
      <w:pPr>
        <w:spacing w:before="0"/>
        <w:ind w:left="3117" w:right="0" w:firstLine="0"/>
        <w:jc w:val="center"/>
        <w:rPr>
          <w:b/>
          <w:sz w:val="28"/>
        </w:rPr>
      </w:pPr>
      <w:r>
        <w:rPr>
          <w:b/>
          <w:sz w:val="28"/>
        </w:rPr>
        <w:t>特别提示</w:t>
      </w:r>
    </w:p>
    <w:p>
      <w:pPr>
        <w:spacing w:before="38"/>
        <w:ind w:left="73" w:right="64" w:firstLine="0"/>
        <w:jc w:val="center"/>
        <w:rPr>
          <w:sz w:val="18"/>
        </w:rPr>
      </w:pPr>
      <w:r>
        <w:rPr/>
        <w:br w:type="column"/>
      </w:r>
      <w:r>
        <w:rPr>
          <w:sz w:val="18"/>
        </w:rPr>
        <w:t>太平人寿</w:t>
      </w:r>
      <w:r>
        <w:rPr>
          <w:rFonts w:ascii="Times New Roman" w:eastAsia="Times New Roman"/>
          <w:sz w:val="18"/>
        </w:rPr>
        <w:t>[2016]</w:t>
      </w:r>
      <w:r>
        <w:rPr>
          <w:sz w:val="18"/>
        </w:rPr>
        <w:t>疾病保险 </w:t>
      </w:r>
      <w:r>
        <w:rPr>
          <w:rFonts w:ascii="Times New Roman" w:eastAsia="Times New Roman"/>
          <w:sz w:val="18"/>
        </w:rPr>
        <w:t>024 </w:t>
      </w:r>
      <w:r>
        <w:rPr>
          <w:sz w:val="18"/>
        </w:rPr>
        <w:t>号</w:t>
      </w:r>
    </w:p>
    <w:p>
      <w:pPr>
        <w:pStyle w:val="BodyText"/>
        <w:spacing w:before="6"/>
        <w:ind w:left="0"/>
        <w:rPr>
          <w:sz w:val="5"/>
        </w:rPr>
      </w:pPr>
    </w:p>
    <w:p>
      <w:pPr>
        <w:pStyle w:val="BodyText"/>
        <w:ind w:left="797"/>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2"/>
        <w:ind w:left="73" w:right="62"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7945" w:space="522"/>
            <w:col w:w="2683"/>
          </w:cols>
        </w:sectPr>
      </w:pPr>
    </w:p>
    <w:p>
      <w:pPr>
        <w:pStyle w:val="BodyText"/>
        <w:ind w:left="0"/>
        <w:rPr>
          <w:sz w:val="20"/>
        </w:rPr>
      </w:pPr>
    </w:p>
    <w:p>
      <w:pPr>
        <w:pStyle w:val="BodyText"/>
        <w:ind w:left="0"/>
        <w:rPr>
          <w:sz w:val="20"/>
        </w:rPr>
      </w:pPr>
    </w:p>
    <w:p>
      <w:pPr>
        <w:pStyle w:val="BodyText"/>
        <w:spacing w:before="1"/>
        <w:ind w:left="0"/>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9"/>
                          <w:ind w:left="143" w:right="197"/>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662" w:hanging="420"/>
        <w:jc w:val="left"/>
        <w:rPr>
          <w:b/>
          <w:sz w:val="24"/>
        </w:rPr>
      </w:pPr>
      <w:r>
        <w:rPr>
          <w:b/>
          <w:spacing w:val="-5"/>
          <w:sz w:val="24"/>
        </w:rPr>
        <w:t>签收本合同之日起 </w:t>
      </w:r>
      <w:r>
        <w:rPr>
          <w:rFonts w:ascii="Times New Roman" w:eastAsia="Times New Roman"/>
          <w:b/>
          <w:sz w:val="24"/>
        </w:rPr>
        <w:t>10</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第二十二条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第二十三条</w:t>
      </w:r>
    </w:p>
    <w:p>
      <w:pPr>
        <w:pStyle w:val="BodyText"/>
        <w:ind w:left="0"/>
        <w:rPr>
          <w:b/>
          <w:sz w:val="26"/>
        </w:rPr>
      </w:pPr>
    </w:p>
    <w:p>
      <w:pPr>
        <w:pStyle w:val="BodyText"/>
        <w:spacing w:before="7"/>
        <w:ind w:left="0"/>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3" w:right="4912"/>
        <w:jc w:val="center"/>
      </w:pPr>
      <w:r>
        <w:rPr/>
        <w:t>第</w:t>
      </w:r>
      <w:r>
        <w:rPr>
          <w:rFonts w:ascii="Times New Roman" w:eastAsia="Times New Roman"/>
        </w:rPr>
        <w:t>1</w:t>
      </w:r>
      <w:r>
        <w:rPr/>
        <w:t>页，共</w:t>
      </w:r>
      <w:r>
        <w:rPr>
          <w:rFonts w:ascii="Times New Roman" w:eastAsia="Times New Roman"/>
        </w:rPr>
        <w:t>22</w:t>
      </w:r>
      <w:r>
        <w:rPr/>
        <w:t>页</w:t>
      </w:r>
    </w:p>
    <w:p>
      <w:pPr>
        <w:spacing w:after="0"/>
        <w:jc w:val="center"/>
        <w:sectPr>
          <w:type w:val="continuous"/>
          <w:pgSz w:w="11910" w:h="16160"/>
          <w:pgMar w:top="560" w:bottom="280" w:left="500" w:right="26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325"/>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10014"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7</w:t>
            </w:r>
          </w:hyperlink>
        </w:p>
        <w:p>
          <w:pPr>
            <w:pStyle w:val="TOC2"/>
            <w:tabs>
              <w:tab w:pos="1742" w:val="left" w:leader="none"/>
              <w:tab w:pos="10013" w:val="right" w:leader="dot"/>
            </w:tabs>
            <w:spacing w:before="63"/>
            <w:rPr>
              <w:rFonts w:ascii="Times New Roman" w:eastAsia="Times New Roman"/>
            </w:rPr>
          </w:pPr>
          <w:hyperlink w:history="true" w:anchor="_bookmark19">
            <w:r>
              <w:rPr/>
              <w:t>第十六条</w:t>
              <w:tab/>
              <w:t>司法鉴定</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10014" w:val="right" w:leader="dot"/>
            </w:tabs>
            <w:spacing w:before="42"/>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3">
            <w:r>
              <w:rPr/>
              <w:t>第十九条</w:t>
              <w:tab/>
              <w:t>年金转换权</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4">
            <w:r>
              <w:rPr/>
              <w:t>第二十条</w:t>
              <w:tab/>
              <w:t>合同内容的变更权</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5">
            <w:r>
              <w:rPr/>
              <w:t>第二十一条</w:t>
              <w:tab/>
              <w:t>合同效力的中止与恢复</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6">
            <w:r>
              <w:rPr/>
              <w:t>第二十二条</w:t>
              <w:tab/>
              <w:t>犹豫期</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7">
            <w:r>
              <w:rPr/>
              <w:t>第二十三条</w:t>
              <w:tab/>
              <w:t>您解除合同的手续及风险</w:t>
              <w:tab/>
            </w:r>
            <w:r>
              <w:rPr>
                <w:rFonts w:ascii="Times New Roman" w:eastAsia="Times New Roman"/>
              </w:rPr>
              <w:t>9</w:t>
            </w:r>
          </w:hyperlink>
        </w:p>
        <w:p>
          <w:pPr>
            <w:pStyle w:val="TOC1"/>
            <w:tabs>
              <w:tab w:pos="1377" w:val="left" w:leader="none"/>
              <w:tab w:pos="10014" w:val="right" w:leader="dot"/>
            </w:tabs>
            <w:spacing w:before="42"/>
            <w:rPr>
              <w:rFonts w:ascii="Times New Roman" w:eastAsia="Times New Roman"/>
            </w:rPr>
          </w:pPr>
          <w:hyperlink w:history="true" w:anchor="_bookmark28">
            <w:r>
              <w:rPr/>
              <w:t>第六部分</w:t>
              <w:tab/>
              <w:t>您必须了解的其他</w:t>
            </w:r>
            <w:r>
              <w:rPr>
                <w:spacing w:val="-3"/>
              </w:rPr>
              <w:t>事</w:t>
            </w:r>
            <w:r>
              <w:rPr/>
              <w:t>项</w:t>
              <w:tab/>
            </w:r>
            <w:r>
              <w:rPr>
                <w:rFonts w:ascii="Times New Roman" w:eastAsia="Times New Roman"/>
              </w:rPr>
              <w:t>9</w:t>
            </w:r>
          </w:hyperlink>
        </w:p>
        <w:p>
          <w:pPr>
            <w:pStyle w:val="TOC2"/>
            <w:tabs>
              <w:tab w:pos="1742" w:val="left" w:leader="none"/>
              <w:tab w:pos="10013" w:val="right" w:leader="dot"/>
            </w:tabs>
            <w:spacing w:before="42"/>
            <w:rPr>
              <w:rFonts w:ascii="Times New Roman" w:eastAsia="Times New Roman"/>
            </w:rPr>
          </w:pPr>
          <w:hyperlink w:history="true" w:anchor="_bookmark29">
            <w:r>
              <w:rPr/>
              <w:t>第二十四条</w:t>
              <w:tab/>
              <w:t>明确说明与如实告知</w:t>
              <w:tab/>
            </w:r>
            <w:r>
              <w:rPr>
                <w:rFonts w:ascii="Times New Roman" w:eastAsia="Times New Roman"/>
              </w:rPr>
              <w:t>9</w:t>
            </w:r>
          </w:hyperlink>
        </w:p>
        <w:p>
          <w:pPr>
            <w:pStyle w:val="TOC2"/>
            <w:tabs>
              <w:tab w:pos="1742" w:val="left" w:leader="none"/>
              <w:tab w:pos="10017" w:val="right" w:leader="dot"/>
            </w:tabs>
            <w:spacing w:before="63"/>
            <w:rPr>
              <w:rFonts w:ascii="Times New Roman" w:eastAsia="Times New Roman"/>
            </w:rPr>
          </w:pPr>
          <w:hyperlink w:history="true" w:anchor="_bookmark30">
            <w:r>
              <w:rPr/>
              <w:t>第二十五条</w:t>
              <w:tab/>
              <w:t>我们合同解除权的限制</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1">
            <w:r>
              <w:rPr/>
              <w:t>第二十六条</w:t>
              <w:tab/>
              <w:t>吸烟与非吸烟的特别告知</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2">
            <w:r>
              <w:rPr/>
              <w:t>第二十七条</w:t>
              <w:tab/>
              <w:t>年龄错误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3">
            <w:r>
              <w:rPr/>
              <w:t>第二十八条</w:t>
              <w:tab/>
              <w:t>性别错误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4">
            <w:r>
              <w:rPr/>
              <w:t>第二十九条</w:t>
              <w:tab/>
              <w:t>未还款项</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5">
            <w:r>
              <w:rPr/>
              <w:t>第三十条</w:t>
              <w:tab/>
              <w:t>保险合同的终止</w:t>
              <w:tab/>
            </w:r>
            <w:r>
              <w:rPr>
                <w:rFonts w:ascii="Times New Roman" w:eastAsia="Times New Roman"/>
              </w:rPr>
              <w:t>10</w:t>
            </w:r>
          </w:hyperlink>
        </w:p>
        <w:p>
          <w:pPr>
            <w:pStyle w:val="TOC2"/>
            <w:tabs>
              <w:tab w:pos="1742" w:val="left" w:leader="none"/>
              <w:tab w:pos="10009" w:val="right" w:leader="dot"/>
            </w:tabs>
            <w:rPr>
              <w:rFonts w:ascii="Times New Roman" w:eastAsia="Times New Roman"/>
            </w:rPr>
          </w:pPr>
          <w:hyperlink w:history="true" w:anchor="_bookmark36">
            <w:r>
              <w:rPr/>
              <w:t>第三十一条</w:t>
              <w:tab/>
              <w:t>联系方式的变更</w:t>
              <w:tab/>
            </w:r>
            <w:r>
              <w:rPr>
                <w:rFonts w:ascii="Times New Roman" w:eastAsia="Times New Roman"/>
                <w:spacing w:val="-6"/>
              </w:rPr>
              <w:t>11</w:t>
            </w:r>
          </w:hyperlink>
        </w:p>
        <w:p>
          <w:pPr>
            <w:pStyle w:val="TOC2"/>
            <w:tabs>
              <w:tab w:pos="1742" w:val="left" w:leader="none"/>
              <w:tab w:pos="10009" w:val="right" w:leader="dot"/>
            </w:tabs>
            <w:rPr>
              <w:rFonts w:ascii="Times New Roman" w:eastAsia="Times New Roman"/>
            </w:rPr>
          </w:pPr>
          <w:hyperlink w:history="true" w:anchor="_bookmark37">
            <w:r>
              <w:rPr/>
              <w:t>第三十二条</w:t>
              <w:tab/>
              <w:t>争议处理</w:t>
              <w:tab/>
            </w:r>
            <w:r>
              <w:rPr>
                <w:rFonts w:ascii="Times New Roman" w:eastAsia="Times New Roman"/>
                <w:spacing w:val="-6"/>
              </w:rPr>
              <w:t>11</w:t>
            </w:r>
          </w:hyperlink>
        </w:p>
        <w:p>
          <w:pPr>
            <w:pStyle w:val="TOC2"/>
            <w:tabs>
              <w:tab w:pos="1742" w:val="left" w:leader="none"/>
              <w:tab w:pos="10009" w:val="right" w:leader="dot"/>
            </w:tabs>
            <w:rPr>
              <w:rFonts w:ascii="Times New Roman" w:eastAsia="Times New Roman"/>
            </w:rPr>
          </w:pPr>
          <w:hyperlink w:history="true" w:anchor="_bookmark38">
            <w:r>
              <w:rPr/>
              <w:t>第三十三条</w:t>
              <w:tab/>
              <w:t>特定疾病的定义</w:t>
              <w:tab/>
            </w:r>
            <w:r>
              <w:rPr>
                <w:rFonts w:ascii="Times New Roman" w:eastAsia="Times New Roman"/>
                <w:spacing w:val="-6"/>
              </w:rPr>
              <w:t>11</w:t>
            </w:r>
          </w:hyperlink>
        </w:p>
        <w:p>
          <w:pPr>
            <w:pStyle w:val="TOC2"/>
            <w:tabs>
              <w:tab w:pos="1742" w:val="left" w:leader="none"/>
              <w:tab w:pos="10017" w:val="right" w:leader="dot"/>
            </w:tabs>
            <w:rPr>
              <w:rFonts w:ascii="Times New Roman" w:eastAsia="Times New Roman"/>
            </w:rPr>
          </w:pPr>
          <w:hyperlink w:history="true" w:anchor="_bookmark39">
            <w:r>
              <w:rPr/>
              <w:t>第三十四条</w:t>
              <w:tab/>
              <w:t>重大疾病的种类、定义及所属组别</w:t>
              <w:tab/>
            </w:r>
            <w:r>
              <w:rPr>
                <w:rFonts w:ascii="Times New Roman" w:eastAsia="Times New Roman"/>
              </w:rPr>
              <w:t>13</w:t>
            </w:r>
          </w:hyperlink>
        </w:p>
      </w:sdtContent>
    </w:sdt>
    <w:p>
      <w:pPr>
        <w:spacing w:after="0"/>
        <w:rPr>
          <w:rFonts w:ascii="Times New Roman" w:eastAsia="Times New Roman"/>
        </w:rPr>
        <w:sectPr>
          <w:footerReference w:type="default" r:id="rId8"/>
          <w:pgSz w:w="11910" w:h="16160"/>
          <w:pgMar w:footer="671" w:header="0" w:top="152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6"/>
        <w:ind w:left="538"/>
      </w:pPr>
      <w:r>
        <w:rPr/>
        <w:t>本合同的保险期间为终身，自本合同生效日零时起至被保险人身故时止，并在保险单上载明。</w:t>
      </w:r>
    </w:p>
    <w:p>
      <w:pPr>
        <w:pStyle w:val="BodyText"/>
        <w:spacing w:before="6"/>
        <w:ind w:left="0"/>
        <w:rPr>
          <w:sz w:val="24"/>
        </w:rPr>
      </w:pPr>
    </w:p>
    <w:p>
      <w:pPr>
        <w:pStyle w:val="Heading1"/>
        <w:tabs>
          <w:tab w:pos="1418" w:val="left" w:leader="none"/>
        </w:tabs>
        <w:ind w:right="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7"/>
        <w:ind w:right="121"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spacing w:before="1"/>
      </w:pPr>
      <w:bookmarkStart w:name="_bookmark7" w:id="8"/>
      <w:bookmarkEnd w:id="8"/>
      <w:r>
        <w:rPr>
          <w:b w:val="0"/>
        </w:rPr>
      </w:r>
      <w:r>
        <w:rPr/>
        <w:t>第六条</w:t>
        <w:tab/>
        <w:t>等待期</w:t>
      </w:r>
    </w:p>
    <w:p>
      <w:pPr>
        <w:pStyle w:val="BodyText"/>
        <w:spacing w:line="256" w:lineRule="auto" w:before="37"/>
        <w:ind w:right="117" w:firstLine="420"/>
      </w:pPr>
      <w:r>
        <w:rPr>
          <w:spacing w:val="-6"/>
        </w:rPr>
        <w:t>自本合同生效日零时起 </w:t>
      </w:r>
      <w:r>
        <w:rPr>
          <w:rFonts w:ascii="Times New Roman" w:eastAsia="Times New Roman"/>
        </w:rPr>
        <w:t>90 </w:t>
      </w:r>
      <w:r>
        <w:rPr>
          <w:spacing w:val="-9"/>
        </w:rPr>
        <w:t>日为等待期。如果本合同曾一次或多次恢复效力，则自每次合同效力恢复之日</w:t>
      </w:r>
      <w:r>
        <w:rPr>
          <w:spacing w:val="-19"/>
        </w:rPr>
        <w:t>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828"/>
      </w:pPr>
      <w:r>
        <w:rPr/>
        <w:t>在本合同保险期间内且本合同有效，我们按照下列约定承担给付相应保险金的责任： 一、重大疾病保险金</w:t>
      </w:r>
    </w:p>
    <w:p>
      <w:pPr>
        <w:pStyle w:val="BodyText"/>
        <w:spacing w:before="7"/>
        <w:ind w:left="538"/>
      </w:pPr>
      <w:r>
        <w:rPr/>
        <w:t>（一）第一次重大疾病保险金</w:t>
      </w:r>
    </w:p>
    <w:p>
      <w:pPr>
        <w:pStyle w:val="ListParagraph"/>
        <w:numPr>
          <w:ilvl w:val="0"/>
          <w:numId w:val="2"/>
        </w:numPr>
        <w:tabs>
          <w:tab w:pos="805" w:val="left" w:leader="none"/>
        </w:tabs>
        <w:spacing w:line="256" w:lineRule="auto" w:before="37" w:after="0"/>
        <w:ind w:left="117" w:right="110"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w:t>
      </w:r>
      <w:r>
        <w:rPr>
          <w:spacing w:val="-3"/>
          <w:sz w:val="21"/>
          <w:vertAlign w:val="baseline"/>
        </w:rPr>
        <w:t>初次患上一种或多种本合同第三十四条所定义的重大疾病，我们按本合同的基本保险金额给付第一次重大疾</w:t>
      </w:r>
    </w:p>
    <w:p>
      <w:pPr>
        <w:pStyle w:val="BodyText"/>
        <w:spacing w:before="3"/>
        <w:ind w:left="0"/>
        <w:rPr>
          <w:sz w:val="11"/>
        </w:rPr>
      </w:pPr>
      <w:r>
        <w:rPr/>
        <w:pict>
          <v:line style="position:absolute;mso-position-horizontal-relative:page;mso-position-vertical-relative:paragraph;z-index:1072;mso-wrap-distance-left:0;mso-wrap-distance-right:0" from="53.880001pt,9.55442pt" to="197.930001pt,9.55442pt" stroked="true" strokeweight=".47998pt" strokecolor="#000000">
            <v:stroke dashstyle="solid"/>
            <w10:wrap type="topAndBottom"/>
          </v:line>
        </w:pict>
      </w:r>
    </w:p>
    <w:p>
      <w:pPr>
        <w:pStyle w:val="BodyText"/>
        <w:spacing w:line="274"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rPr>
          <w:rFonts w:ascii="楷体" w:eastAsia="楷体" w:hint="eastAsia"/>
        </w:rPr>
      </w:pPr>
      <w:r>
        <w:rPr>
          <w:rFonts w:ascii="楷体" w:eastAsia="楷体" w:hint="eastAsia"/>
        </w:rPr>
        <w:t>之日起为零周岁，每经过一年增加一岁，不足一年的不计。</w:t>
      </w:r>
    </w:p>
    <w:p>
      <w:pPr>
        <w:pStyle w:val="BodyText"/>
        <w:spacing w:line="271" w:lineRule="exact"/>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2" w:lineRule="exact"/>
        <w:rPr>
          <w:rFonts w:ascii="楷体" w:eastAsia="楷体" w:hint="eastAsia"/>
        </w:rPr>
      </w:pPr>
      <w:r>
        <w:rPr>
          <w:rFonts w:ascii="楷体" w:eastAsia="楷体" w:hint="eastAsia"/>
        </w:rPr>
        <w:t>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指被保险人出现本合同所界定疾病的前兆或异常的身体状况，且已经显现足以使一般人士引起注意并</w:t>
      </w:r>
    </w:p>
    <w:p>
      <w:pPr>
        <w:pStyle w:val="BodyText"/>
        <w:spacing w:line="272" w:lineRule="exact"/>
        <w:rPr>
          <w:rFonts w:ascii="楷体" w:eastAsia="楷体" w:hint="eastAsia"/>
        </w:rPr>
      </w:pPr>
      <w:r>
        <w:rPr>
          <w:rFonts w:ascii="楷体" w:eastAsia="楷体" w:hint="eastAsia"/>
        </w:rPr>
        <w:t>寻求诊断、治疗或护理的病症。</w:t>
      </w:r>
    </w:p>
    <w:p>
      <w:pPr>
        <w:pStyle w:val="BodyText"/>
        <w:spacing w:line="272" w:lineRule="exact"/>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1" w:top="1520" w:bottom="860" w:left="960" w:right="800"/>
        </w:sectPr>
      </w:pPr>
    </w:p>
    <w:p>
      <w:pPr>
        <w:spacing w:before="7"/>
        <w:ind w:left="117" w:right="0" w:firstLine="0"/>
        <w:jc w:val="left"/>
        <w:rPr>
          <w:sz w:val="21"/>
        </w:rPr>
      </w:pPr>
      <w:r>
        <w:rPr>
          <w:sz w:val="21"/>
        </w:rPr>
        <w:t>病保险金</w:t>
      </w:r>
      <w:r>
        <w:rPr>
          <w:b/>
          <w:sz w:val="21"/>
        </w:rPr>
        <w:t>，且以一次为限</w:t>
      </w:r>
      <w:r>
        <w:rPr>
          <w:sz w:val="21"/>
        </w:rPr>
        <w:t>。</w:t>
      </w:r>
    </w:p>
    <w:p>
      <w:pPr>
        <w:pStyle w:val="BodyText"/>
        <w:spacing w:line="264" w:lineRule="auto" w:before="37"/>
        <w:ind w:right="157" w:firstLine="420"/>
        <w:jc w:val="both"/>
      </w:pPr>
      <w:r>
        <w:rPr>
          <w:spacing w:val="-5"/>
        </w:rPr>
        <w:t>我们给付第一次重大疾病保险金后，本合同的</w:t>
      </w:r>
      <w:r>
        <w:rPr>
          <w:b/>
          <w:spacing w:val="-2"/>
        </w:rPr>
        <w:t>现金价值</w:t>
      </w:r>
      <w:r>
        <w:rPr>
          <w:rFonts w:ascii="Times New Roman" w:eastAsia="Times New Roman"/>
          <w:b/>
          <w:vertAlign w:val="superscript"/>
        </w:rPr>
        <w:t>7</w:t>
      </w:r>
      <w:r>
        <w:rPr>
          <w:rFonts w:ascii="Times New Roman" w:eastAsia="Times New Roman"/>
          <w:b/>
          <w:vertAlign w:val="baseline"/>
        </w:rPr>
      </w:r>
      <w:r>
        <w:rPr>
          <w:spacing w:val="-6"/>
          <w:vertAlign w:val="baseline"/>
        </w:rPr>
        <w:t>降为零，同时我们将豁免本合同在第一次重大疾病确诊日后的首个保险费约定支付日至交费期满之间本合同剩余的各期保险费，但不包括第一次重大疾病确</w:t>
      </w:r>
      <w:r>
        <w:rPr>
          <w:spacing w:val="-4"/>
          <w:vertAlign w:val="baseline"/>
        </w:rPr>
        <w:t>诊日之前所欠交的保险费及利息。</w:t>
      </w:r>
    </w:p>
    <w:p>
      <w:pPr>
        <w:spacing w:before="16"/>
        <w:ind w:left="540" w:right="0" w:firstLine="0"/>
        <w:jc w:val="left"/>
        <w:rPr>
          <w:sz w:val="21"/>
        </w:rPr>
      </w:pPr>
      <w:r>
        <w:rPr>
          <w:b/>
          <w:sz w:val="21"/>
        </w:rPr>
        <w:t>自第一次重大疾病确诊日起，我们不再承担给付特定疾病保险金的责任</w:t>
      </w:r>
      <w:r>
        <w:rPr>
          <w:sz w:val="21"/>
        </w:rPr>
        <w:t>。</w:t>
      </w:r>
    </w:p>
    <w:p>
      <w:pPr>
        <w:pStyle w:val="ListParagraph"/>
        <w:numPr>
          <w:ilvl w:val="0"/>
          <w:numId w:val="2"/>
        </w:numPr>
        <w:tabs>
          <w:tab w:pos="807" w:val="left" w:leader="none"/>
        </w:tabs>
        <w:spacing w:line="264" w:lineRule="auto" w:before="37" w:after="0"/>
        <w:ind w:left="117" w:right="157" w:firstLine="421"/>
        <w:jc w:val="both"/>
        <w:rPr>
          <w:sz w:val="21"/>
        </w:rPr>
      </w:pPr>
      <w:r>
        <w:rPr>
          <w:sz w:val="21"/>
        </w:rPr>
        <w:t>如果被保险人因意外伤害事故以外的原因经医院确诊初次患上一种或多种本合同第三十四条所定义</w:t>
      </w:r>
      <w:r>
        <w:rPr>
          <w:spacing w:val="-3"/>
          <w:sz w:val="21"/>
        </w:rPr>
        <w:t>的重大疾病，并且首次发病时间在等待期内，我们按本合同的已交保险费给付第一次重大疾病保险金，</w:t>
      </w:r>
      <w:r>
        <w:rPr>
          <w:b/>
          <w:sz w:val="21"/>
        </w:rPr>
        <w:t>同时本合同终止</w:t>
      </w:r>
      <w:r>
        <w:rPr>
          <w:sz w:val="21"/>
        </w:rPr>
        <w:t>。</w:t>
      </w:r>
    </w:p>
    <w:p>
      <w:pPr>
        <w:pStyle w:val="BodyText"/>
        <w:spacing w:before="16"/>
        <w:ind w:left="538"/>
      </w:pPr>
      <w:r>
        <w:rPr/>
        <w:t>（二）第二次重大疾病保险金</w:t>
      </w:r>
    </w:p>
    <w:p>
      <w:pPr>
        <w:pStyle w:val="BodyText"/>
        <w:spacing w:line="264" w:lineRule="auto" w:before="37"/>
        <w:ind w:right="154" w:firstLine="420"/>
        <w:jc w:val="both"/>
      </w:pPr>
      <w:r>
        <w:rPr>
          <w:spacing w:val="-4"/>
        </w:rPr>
        <w:t>我们给付第一次重大疾病保险金后，如果被保险人自第一次重大疾病确诊日起 </w:t>
      </w:r>
      <w:r>
        <w:rPr>
          <w:rFonts w:ascii="Times New Roman" w:eastAsia="Times New Roman"/>
        </w:rPr>
        <w:t>365 </w:t>
      </w:r>
      <w:r>
        <w:rPr>
          <w:spacing w:val="-3"/>
        </w:rPr>
        <w:t>日后，首次发病并经医院确诊初次患上本合同第三十四条所定义的第一次重大疾病所属组别以外的其他组别中的一种或多种重大疾病，我们按本合同的基本保险金额给付第二次重大疾病保险金</w:t>
      </w:r>
      <w:r>
        <w:rPr>
          <w:b/>
          <w:spacing w:val="-1"/>
        </w:rPr>
        <w:t>，且以一次为限</w:t>
      </w:r>
      <w:r>
        <w:rPr/>
        <w:t>。</w:t>
      </w:r>
    </w:p>
    <w:p>
      <w:pPr>
        <w:pStyle w:val="BodyText"/>
        <w:spacing w:before="16"/>
        <w:ind w:left="538"/>
      </w:pPr>
      <w:r>
        <w:rPr/>
        <w:t>（三）第三次重大疾病保险金</w:t>
      </w:r>
    </w:p>
    <w:p>
      <w:pPr>
        <w:pStyle w:val="BodyText"/>
        <w:spacing w:line="266" w:lineRule="auto" w:before="36"/>
        <w:ind w:right="154" w:firstLine="420"/>
        <w:jc w:val="both"/>
      </w:pPr>
      <w:r>
        <w:rPr>
          <w:spacing w:val="-4"/>
        </w:rPr>
        <w:t>我们给付第二次重大疾病保险金后，如果被保险人自第二次重大疾病确诊日起 </w:t>
      </w:r>
      <w:r>
        <w:rPr>
          <w:rFonts w:ascii="Times New Roman" w:eastAsia="Times New Roman"/>
        </w:rPr>
        <w:t>365 </w:t>
      </w:r>
      <w:r>
        <w:rPr>
          <w:spacing w:val="-3"/>
        </w:rPr>
        <w:t>日后，首次发病并经医院确诊初次患上本合同第三十四条所定义的第一次重大疾病以及第二次重大疾病所属组别以外的其他组别中的一种或多种重大疾病，我们按本合同的基本保险金额给付第三次重大疾病保险金，</w:t>
      </w:r>
      <w:r>
        <w:rPr>
          <w:b/>
        </w:rPr>
        <w:t>且以一次为限，同时</w:t>
      </w:r>
      <w:r>
        <w:rPr>
          <w:b/>
          <w:spacing w:val="-1"/>
        </w:rPr>
        <w:t>本合同终止</w:t>
      </w:r>
      <w:r>
        <w:rPr/>
        <w:t>。</w:t>
      </w:r>
    </w:p>
    <w:p>
      <w:pPr>
        <w:pStyle w:val="BodyText"/>
        <w:spacing w:before="13"/>
        <w:ind w:left="538"/>
      </w:pPr>
      <w:r>
        <w:rPr/>
        <w:t>二、特定疾病保险金</w:t>
      </w:r>
    </w:p>
    <w:p>
      <w:pPr>
        <w:pStyle w:val="ListParagraph"/>
        <w:numPr>
          <w:ilvl w:val="0"/>
          <w:numId w:val="3"/>
        </w:numPr>
        <w:tabs>
          <w:tab w:pos="807" w:val="left" w:leader="none"/>
        </w:tabs>
        <w:spacing w:line="256" w:lineRule="auto" w:before="36" w:after="0"/>
        <w:ind w:left="117" w:right="152" w:firstLine="421"/>
        <w:jc w:val="both"/>
        <w:rPr>
          <w:b/>
          <w:sz w:val="21"/>
        </w:rPr>
      </w:pPr>
      <w:r>
        <w:rPr>
          <w:sz w:val="21"/>
        </w:rPr>
        <w:t>如果被保险人因意外伤害事故或等待期后因意外伤害事故以外的原因导致首次发病并经医院确诊初</w:t>
      </w:r>
      <w:r>
        <w:rPr>
          <w:spacing w:val="-3"/>
          <w:sz w:val="21"/>
        </w:rPr>
        <w:t>次患上一种或多种本合同第三十三条所定义的特定疾病，我们按本合同基本保险金额的 </w:t>
      </w:r>
      <w:r>
        <w:rPr>
          <w:rFonts w:ascii="Times New Roman" w:eastAsia="Times New Roman"/>
          <w:sz w:val="21"/>
        </w:rPr>
        <w:t>20%</w:t>
      </w:r>
      <w:r>
        <w:rPr>
          <w:spacing w:val="-3"/>
          <w:sz w:val="21"/>
        </w:rPr>
        <w:t>额外给付特定疾病保险金，</w:t>
      </w:r>
      <w:r>
        <w:rPr>
          <w:b/>
          <w:spacing w:val="-1"/>
          <w:sz w:val="21"/>
        </w:rPr>
        <w:t>同时本项责任终止。</w:t>
      </w:r>
    </w:p>
    <w:p>
      <w:pPr>
        <w:pStyle w:val="ListParagraph"/>
        <w:numPr>
          <w:ilvl w:val="0"/>
          <w:numId w:val="3"/>
        </w:numPr>
        <w:tabs>
          <w:tab w:pos="803" w:val="left" w:leader="none"/>
        </w:tabs>
        <w:spacing w:line="256" w:lineRule="auto" w:before="22" w:after="0"/>
        <w:ind w:left="117" w:right="347" w:firstLine="421"/>
        <w:jc w:val="left"/>
        <w:rPr>
          <w:b/>
          <w:sz w:val="21"/>
        </w:rPr>
      </w:pPr>
      <w:r>
        <w:rPr>
          <w:spacing w:val="-3"/>
          <w:sz w:val="21"/>
        </w:rPr>
        <w:t>如果被保险人因意外伤害事故以外的原因经医院确诊初次患上一种或多种本合同第三十三条所定义的特定疾病，并且首次发病时间在等待期内，我们不承担本项责任，</w:t>
      </w:r>
      <w:r>
        <w:rPr>
          <w:b/>
          <w:sz w:val="21"/>
        </w:rPr>
        <w:t>同时本项责任终止。</w:t>
      </w:r>
    </w:p>
    <w:p>
      <w:pPr>
        <w:pStyle w:val="BodyText"/>
        <w:spacing w:before="23"/>
        <w:ind w:left="538"/>
      </w:pPr>
      <w:r>
        <w:rPr/>
        <w:t>三、身故保险金</w:t>
      </w:r>
    </w:p>
    <w:p>
      <w:pPr>
        <w:pStyle w:val="ListParagraph"/>
        <w:numPr>
          <w:ilvl w:val="0"/>
          <w:numId w:val="4"/>
        </w:numPr>
        <w:tabs>
          <w:tab w:pos="803" w:val="left" w:leader="none"/>
        </w:tabs>
        <w:spacing w:line="256" w:lineRule="auto" w:before="37" w:after="0"/>
        <w:ind w:left="117" w:right="157" w:firstLine="421"/>
        <w:jc w:val="both"/>
        <w:rPr>
          <w:sz w:val="21"/>
        </w:rPr>
      </w:pPr>
      <w:r>
        <w:rPr>
          <w:spacing w:val="-4"/>
          <w:sz w:val="21"/>
        </w:rPr>
        <w:t>如果被保险人因意外伤害事故或等待期后因意外伤害事故以外的原因导致身故，我们按以下方式给付</w:t>
      </w:r>
      <w:r>
        <w:rPr>
          <w:spacing w:val="-3"/>
          <w:sz w:val="21"/>
        </w:rPr>
        <w:t>身故保险金，</w:t>
      </w:r>
      <w:r>
        <w:rPr>
          <w:b/>
          <w:spacing w:val="-1"/>
          <w:sz w:val="21"/>
        </w:rPr>
        <w:t>同时本合同终止</w:t>
      </w:r>
      <w:r>
        <w:rPr>
          <w:sz w:val="21"/>
        </w:rPr>
        <w:t>。</w:t>
      </w:r>
    </w:p>
    <w:p>
      <w:pPr>
        <w:spacing w:line="256" w:lineRule="auto" w:before="22"/>
        <w:ind w:left="117" w:right="152" w:firstLine="420"/>
        <w:jc w:val="both"/>
        <w:rPr>
          <w:sz w:val="21"/>
        </w:rPr>
      </w:pPr>
      <w:r>
        <w:rPr>
          <w:sz w:val="21"/>
        </w:rPr>
        <w:t>（</w:t>
      </w:r>
      <w:r>
        <w:rPr>
          <w:rFonts w:ascii="Times New Roman" w:hAnsi="Times New Roman" w:eastAsia="Times New Roman"/>
          <w:sz w:val="21"/>
        </w:rPr>
        <w:t>1</w:t>
      </w:r>
      <w:r>
        <w:rPr>
          <w:sz w:val="21"/>
        </w:rPr>
        <w:t>）</w:t>
      </w:r>
      <w:r>
        <w:rPr>
          <w:spacing w:val="-2"/>
          <w:sz w:val="21"/>
        </w:rPr>
        <w:t>如果被保险人在 </w:t>
      </w:r>
      <w:r>
        <w:rPr>
          <w:rFonts w:ascii="Times New Roman" w:hAnsi="Times New Roman" w:eastAsia="Times New Roman"/>
          <w:sz w:val="21"/>
        </w:rPr>
        <w:t>18 </w:t>
      </w:r>
      <w:r>
        <w:rPr>
          <w:spacing w:val="-1"/>
          <w:sz w:val="21"/>
        </w:rPr>
        <w:t>周岁的</w:t>
      </w:r>
      <w:r>
        <w:rPr>
          <w:b/>
          <w:spacing w:val="-1"/>
          <w:sz w:val="21"/>
        </w:rPr>
        <w:t>保险单周年日</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3"/>
          <w:sz w:val="21"/>
          <w:vertAlign w:val="baseline"/>
        </w:rPr>
        <w:t>零时之前身故，身故保险金＝</w:t>
      </w:r>
      <w:r>
        <w:rPr>
          <w:spacing w:val="-2"/>
          <w:sz w:val="21"/>
          <w:vertAlign w:val="baseline"/>
        </w:rPr>
        <w:t>本合同的</w:t>
      </w:r>
      <w:r>
        <w:rPr>
          <w:b/>
          <w:sz w:val="21"/>
          <w:vertAlign w:val="baseline"/>
        </w:rPr>
        <w:t>标准体</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pacing w:val="-2"/>
          <w:sz w:val="21"/>
          <w:vertAlign w:val="baseline"/>
        </w:rPr>
        <w:t>年交保险</w:t>
      </w:r>
      <w:r>
        <w:rPr>
          <w:spacing w:val="-3"/>
          <w:sz w:val="21"/>
          <w:vertAlign w:val="baseline"/>
        </w:rPr>
        <w:t>费×被保险人身故时本合同的</w:t>
      </w:r>
      <w:r>
        <w:rPr>
          <w:b/>
          <w:spacing w:val="-1"/>
          <w:sz w:val="21"/>
          <w:vertAlign w:val="baseline"/>
        </w:rPr>
        <w:t>保单年度数</w:t>
      </w:r>
      <w:r>
        <w:rPr>
          <w:rFonts w:ascii="Times New Roman" w:hAnsi="Times New Roman" w:eastAsia="Times New Roman"/>
          <w:b/>
          <w:sz w:val="21"/>
          <w:vertAlign w:val="superscript"/>
        </w:rPr>
        <w:t>10</w:t>
      </w:r>
      <w:r>
        <w:rPr>
          <w:rFonts w:ascii="Times New Roman" w:hAnsi="Times New Roman" w:eastAsia="Times New Roman"/>
          <w:b/>
          <w:sz w:val="21"/>
          <w:vertAlign w:val="baseline"/>
        </w:rPr>
      </w:r>
      <w:r>
        <w:rPr>
          <w:sz w:val="21"/>
          <w:vertAlign w:val="baseline"/>
        </w:rPr>
        <w:t>或</w:t>
      </w:r>
      <w:r>
        <w:rPr>
          <w:b/>
          <w:spacing w:val="-1"/>
          <w:sz w:val="21"/>
          <w:vertAlign w:val="baseline"/>
        </w:rPr>
        <w:t>交费年期数</w:t>
      </w:r>
      <w:r>
        <w:rPr>
          <w:rFonts w:ascii="Times New Roman" w:hAnsi="Times New Roman" w:eastAsia="Times New Roman"/>
          <w:b/>
          <w:sz w:val="21"/>
          <w:vertAlign w:val="superscript"/>
        </w:rPr>
        <w:t>11</w:t>
      </w:r>
      <w:r>
        <w:rPr>
          <w:rFonts w:ascii="Times New Roman" w:hAnsi="Times New Roman" w:eastAsia="Times New Roman"/>
          <w:b/>
          <w:sz w:val="21"/>
          <w:vertAlign w:val="baseline"/>
        </w:rPr>
      </w:r>
      <w:r>
        <w:rPr>
          <w:sz w:val="21"/>
          <w:vertAlign w:val="baseline"/>
        </w:rPr>
        <w:t>（</w:t>
      </w:r>
      <w:r>
        <w:rPr>
          <w:spacing w:val="-3"/>
          <w:sz w:val="21"/>
          <w:vertAlign w:val="baseline"/>
        </w:rPr>
        <w:t>以较小者为准</w:t>
      </w:r>
      <w:r>
        <w:rPr>
          <w:spacing w:val="-106"/>
          <w:sz w:val="21"/>
          <w:vertAlign w:val="baseline"/>
        </w:rPr>
        <w:t>）</w:t>
      </w:r>
      <w:r>
        <w:rPr>
          <w:sz w:val="21"/>
          <w:vertAlign w:val="baseline"/>
        </w:rPr>
        <w:t>。</w:t>
      </w:r>
    </w:p>
    <w:p>
      <w:pPr>
        <w:pStyle w:val="BodyText"/>
        <w:spacing w:line="256" w:lineRule="auto" w:before="4"/>
        <w:ind w:right="157" w:firstLine="420"/>
        <w:jc w:val="both"/>
        <w:rPr>
          <w:b/>
        </w:rPr>
      </w:pPr>
      <w:r>
        <w:rPr>
          <w:spacing w:val="-13"/>
        </w:rPr>
        <w:t>（</w:t>
      </w:r>
      <w:r>
        <w:rPr>
          <w:rFonts w:ascii="Times New Roman" w:eastAsia="Times New Roman"/>
          <w:spacing w:val="-13"/>
        </w:rPr>
        <w:t>2</w:t>
      </w:r>
      <w:r>
        <w:rPr>
          <w:spacing w:val="-13"/>
        </w:rPr>
        <w:t>）</w:t>
      </w:r>
      <w:r>
        <w:rPr>
          <w:spacing w:val="-8"/>
        </w:rPr>
        <w:t>如果被保险人在 </w:t>
      </w:r>
      <w:r>
        <w:rPr>
          <w:rFonts w:ascii="Times New Roman" w:eastAsia="Times New Roman"/>
        </w:rPr>
        <w:t>18 </w:t>
      </w:r>
      <w:r>
        <w:rPr>
          <w:spacing w:val="-7"/>
        </w:rPr>
        <w:t>周岁的保险单周年日零时之后身故，或被保险人投保时年龄已满 </w:t>
      </w:r>
      <w:r>
        <w:rPr>
          <w:rFonts w:ascii="Times New Roman" w:eastAsia="Times New Roman"/>
        </w:rPr>
        <w:t>18 </w:t>
      </w:r>
      <w:r>
        <w:rPr>
          <w:spacing w:val="-3"/>
        </w:rPr>
        <w:t>周岁且在本合同保险期间内身故，我们按以下三项金额中的较大者给付身故保险金</w:t>
      </w:r>
      <w:r>
        <w:rPr>
          <w:b/>
        </w:rPr>
        <w:t>：</w:t>
      </w:r>
    </w:p>
    <w:p>
      <w:pPr>
        <w:pStyle w:val="BodyText"/>
        <w:spacing w:before="21"/>
        <w:ind w:left="538"/>
      </w:pPr>
      <w:r>
        <w:rPr/>
        <w:t>①被保险人身故时本合同的基本保险金额；</w:t>
      </w:r>
    </w:p>
    <w:p>
      <w:pPr>
        <w:pStyle w:val="BodyText"/>
        <w:spacing w:before="36"/>
        <w:ind w:left="538"/>
      </w:pPr>
      <w:r>
        <w:rPr>
          <w:spacing w:val="-3"/>
          <w:w w:val="100"/>
        </w:rPr>
        <w:t>②本合同的标准体年交保险费×被保险人身故时本合同的保单年度数或交费年期数</w:t>
      </w:r>
      <w:r>
        <w:rPr>
          <w:w w:val="100"/>
        </w:rPr>
        <w:t>（</w:t>
      </w:r>
      <w:r>
        <w:rPr>
          <w:spacing w:val="-3"/>
          <w:w w:val="100"/>
        </w:rPr>
        <w:t>以较小者为准</w:t>
      </w:r>
      <w:r>
        <w:rPr>
          <w:spacing w:val="-108"/>
          <w:w w:val="100"/>
        </w:rPr>
        <w:t>）</w:t>
      </w:r>
      <w:r>
        <w:rPr>
          <w:w w:val="100"/>
        </w:rPr>
        <w:t>；</w:t>
      </w:r>
    </w:p>
    <w:p>
      <w:pPr>
        <w:pStyle w:val="BodyText"/>
        <w:spacing w:before="44"/>
        <w:ind w:left="538"/>
      </w:pPr>
      <w:r>
        <w:rPr/>
        <w:t>③被保险人身故时本合同的现金价值。</w:t>
      </w:r>
    </w:p>
    <w:p>
      <w:pPr>
        <w:pStyle w:val="BodyText"/>
        <w:spacing w:before="5"/>
        <w:ind w:left="0"/>
        <w:rPr>
          <w:sz w:val="14"/>
        </w:rPr>
      </w:pPr>
    </w:p>
    <w:p>
      <w:pPr>
        <w:pStyle w:val="BodyText"/>
        <w:spacing w:line="274" w:lineRule="exact" w:before="80"/>
        <w:rPr>
          <w:rFonts w:ascii="楷体" w:eastAsia="楷体" w:hint="eastAsia"/>
        </w:rPr>
      </w:pPr>
      <w:r>
        <w:rPr>
          <w:rFonts w:ascii="Times New Roman" w:eastAsia="Times New Roman"/>
          <w:position w:val="10"/>
          <w:sz w:val="14"/>
        </w:rPr>
        <w:t>7</w:t>
      </w:r>
      <w:r>
        <w:rPr>
          <w:rFonts w:ascii="楷体" w:eastAsia="楷体" w:hint="eastAsia"/>
          <w:b/>
        </w:rPr>
        <w:t>现金价值：</w:t>
      </w:r>
      <w:r>
        <w:rPr>
          <w:rFonts w:ascii="楷体" w:eastAsia="楷体" w:hint="eastAsia"/>
        </w:rPr>
        <w:t>指保险单所具有的价值，通常体现为解除合同时，根据精算原理计算的，由我们退还的那部分金</w:t>
      </w:r>
    </w:p>
    <w:p>
      <w:pPr>
        <w:pStyle w:val="BodyText"/>
        <w:spacing w:line="237" w:lineRule="auto" w:before="2"/>
        <w:ind w:right="186"/>
        <w:rPr>
          <w:rFonts w:ascii="楷体" w:eastAsia="楷体" w:hint="eastAsia"/>
        </w:rPr>
      </w:pPr>
      <w:r>
        <w:rPr>
          <w:rFonts w:ascii="楷体" w:eastAsia="楷体" w:hint="eastAsia"/>
        </w:rPr>
        <w:t>额。保单年度末本合同所具有的现金价值在保险单或批注上列明。每个保单年度中，本合同所具有的现金价值根据本合同实际经过的日数计算。</w:t>
      </w:r>
    </w:p>
    <w:p>
      <w:pPr>
        <w:pStyle w:val="BodyText"/>
        <w:spacing w:line="271" w:lineRule="exact"/>
        <w:rPr>
          <w:rFonts w:ascii="楷体" w:eastAsia="楷体" w:hint="eastAsia"/>
        </w:rPr>
      </w:pPr>
      <w:r>
        <w:rPr>
          <w:rFonts w:ascii="Times New Roman" w:eastAsia="Times New Roman"/>
          <w:position w:val="10"/>
          <w:sz w:val="14"/>
        </w:rPr>
        <w:t>8</w:t>
      </w:r>
      <w:r>
        <w:rPr>
          <w:rFonts w:ascii="楷体" w:eastAsia="楷体" w:hint="eastAsia"/>
          <w:b/>
        </w:rPr>
        <w:t>保险单周年日：</w:t>
      </w:r>
      <w:r>
        <w:rPr>
          <w:rFonts w:ascii="楷体" w:eastAsia="楷体" w:hint="eastAsia"/>
        </w:rPr>
        <w:t>指在本合同有效期内，每一个保单年度内本合同生效日期的对应日。如果当月无对应的同一</w:t>
      </w:r>
    </w:p>
    <w:p>
      <w:pPr>
        <w:pStyle w:val="BodyText"/>
        <w:spacing w:line="272" w:lineRule="exact"/>
        <w:rPr>
          <w:rFonts w:ascii="楷体" w:eastAsia="楷体" w:hint="eastAsia"/>
        </w:rPr>
      </w:pPr>
      <w:r>
        <w:rPr>
          <w:rFonts w:ascii="楷体" w:eastAsia="楷体" w:hint="eastAsia"/>
        </w:rPr>
        <w:t>日，则以该月最后一日为对应日。</w:t>
      </w:r>
    </w:p>
    <w:p>
      <w:pPr>
        <w:pStyle w:val="BodyText"/>
        <w:spacing w:line="272" w:lineRule="exact"/>
        <w:rPr>
          <w:rFonts w:ascii="楷体" w:eastAsia="楷体" w:hint="eastAsia"/>
        </w:rPr>
      </w:pPr>
      <w:r>
        <w:rPr>
          <w:rFonts w:ascii="Times New Roman" w:eastAsia="Times New Roman"/>
          <w:position w:val="10"/>
          <w:sz w:val="14"/>
        </w:rPr>
        <w:t>9</w:t>
      </w:r>
      <w:r>
        <w:rPr>
          <w:rFonts w:ascii="楷体" w:eastAsia="楷体" w:hint="eastAsia"/>
          <w:b/>
        </w:rPr>
        <w:t>标准体：</w:t>
      </w:r>
      <w:r>
        <w:rPr>
          <w:rFonts w:ascii="楷体" w:eastAsia="楷体" w:hint="eastAsia"/>
        </w:rPr>
        <w:t>指经保险公司授权的专业人员审核后，保险公司不用增加额外保险费或特殊限制，而同意接受投保</w:t>
      </w:r>
    </w:p>
    <w:p>
      <w:pPr>
        <w:pStyle w:val="BodyText"/>
        <w:spacing w:line="272" w:lineRule="exact"/>
        <w:rPr>
          <w:rFonts w:ascii="楷体" w:eastAsia="楷体" w:hint="eastAsia"/>
        </w:rPr>
      </w:pPr>
      <w:r>
        <w:rPr>
          <w:rFonts w:ascii="楷体" w:eastAsia="楷体" w:hint="eastAsia"/>
        </w:rPr>
        <w:t>申请的被保险人。</w:t>
      </w:r>
    </w:p>
    <w:p>
      <w:pPr>
        <w:pStyle w:val="BodyText"/>
        <w:spacing w:line="225" w:lineRule="auto" w:before="15"/>
        <w:ind w:right="155"/>
        <w:rPr>
          <w:rFonts w:ascii="Times New Roman" w:eastAsia="Times New Roman"/>
        </w:rPr>
      </w:pPr>
      <w:r>
        <w:rPr>
          <w:rFonts w:ascii="Times New Roman" w:eastAsia="Times New Roman"/>
          <w:position w:val="10"/>
          <w:sz w:val="14"/>
        </w:rPr>
        <w:t>10</w:t>
      </w:r>
      <w:r>
        <w:rPr>
          <w:rFonts w:ascii="楷体" w:eastAsia="楷体" w:hint="eastAsia"/>
          <w:b/>
          <w:spacing w:val="-4"/>
        </w:rPr>
        <w:t>保单年度数：</w:t>
      </w:r>
      <w:r>
        <w:rPr>
          <w:rFonts w:ascii="楷体" w:eastAsia="楷体" w:hint="eastAsia"/>
          <w:spacing w:val="-6"/>
        </w:rPr>
        <w:t>指保险单自承保后所处的年度数。承保后首年的保单年度数为 </w:t>
      </w:r>
      <w:r>
        <w:rPr>
          <w:rFonts w:ascii="Times New Roman" w:eastAsia="Times New Roman"/>
          <w:spacing w:val="-10"/>
        </w:rPr>
        <w:t>1</w:t>
      </w:r>
      <w:r>
        <w:rPr>
          <w:rFonts w:ascii="楷体" w:eastAsia="楷体" w:hint="eastAsia"/>
          <w:spacing w:val="-4"/>
        </w:rPr>
        <w:t>，此后每到达一个保险单周年</w:t>
      </w:r>
      <w:r>
        <w:rPr>
          <w:rFonts w:ascii="楷体" w:eastAsia="楷体" w:hint="eastAsia"/>
          <w:spacing w:val="-11"/>
        </w:rPr>
        <w:t>日，保单年度数增加 </w:t>
      </w:r>
      <w:r>
        <w:rPr>
          <w:rFonts w:ascii="Times New Roman" w:eastAsia="Times New Roman"/>
          <w:spacing w:val="-3"/>
        </w:rPr>
        <w:t>1</w:t>
      </w:r>
      <w:r>
        <w:rPr>
          <w:rFonts w:ascii="楷体" w:eastAsia="楷体" w:hint="eastAsia"/>
          <w:spacing w:val="-11"/>
        </w:rPr>
        <w:t>。例如，如果本合同生效日为 </w:t>
      </w:r>
      <w:r>
        <w:rPr>
          <w:rFonts w:ascii="Times New Roman" w:eastAsia="Times New Roman"/>
        </w:rPr>
        <w:t>2003 </w:t>
      </w:r>
      <w:r>
        <w:rPr>
          <w:rFonts w:ascii="楷体" w:eastAsia="楷体" w:hint="eastAsia"/>
          <w:spacing w:val="-27"/>
        </w:rPr>
        <w:t>年 </w:t>
      </w:r>
      <w:r>
        <w:rPr>
          <w:rFonts w:ascii="Times New Roman" w:eastAsia="Times New Roman"/>
        </w:rPr>
        <w:t>7 </w:t>
      </w:r>
      <w:r>
        <w:rPr>
          <w:rFonts w:ascii="楷体" w:eastAsia="楷体" w:hint="eastAsia"/>
          <w:spacing w:val="-27"/>
        </w:rPr>
        <w:t>月 </w:t>
      </w:r>
      <w:r>
        <w:rPr>
          <w:rFonts w:ascii="Times New Roman" w:eastAsia="Times New Roman"/>
        </w:rPr>
        <w:t>1 </w:t>
      </w:r>
      <w:r>
        <w:rPr>
          <w:rFonts w:ascii="楷体" w:eastAsia="楷体" w:hint="eastAsia"/>
          <w:spacing w:val="-19"/>
        </w:rPr>
        <w:t>日，自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9"/>
        </w:rPr>
        <w:t>日至 </w:t>
      </w:r>
      <w:r>
        <w:rPr>
          <w:rFonts w:ascii="Times New Roman" w:eastAsia="Times New Roman"/>
        </w:rPr>
        <w:t>2004 </w:t>
      </w:r>
      <w:r>
        <w:rPr>
          <w:rFonts w:ascii="楷体" w:eastAsia="楷体" w:hint="eastAsia"/>
          <w:spacing w:val="-26"/>
        </w:rPr>
        <w:t>年 </w:t>
      </w:r>
      <w:r>
        <w:rPr>
          <w:rFonts w:ascii="Times New Roman" w:eastAsia="Times New Roman"/>
        </w:rPr>
        <w:t>6 </w:t>
      </w:r>
      <w:r>
        <w:rPr>
          <w:rFonts w:ascii="楷体" w:eastAsia="楷体" w:hint="eastAsia"/>
          <w:spacing w:val="-26"/>
        </w:rPr>
        <w:t>月 </w:t>
      </w:r>
      <w:r>
        <w:rPr>
          <w:rFonts w:ascii="Times New Roman" w:eastAsia="Times New Roman"/>
        </w:rPr>
        <w:t>30</w:t>
      </w:r>
    </w:p>
    <w:p>
      <w:pPr>
        <w:pStyle w:val="BodyText"/>
        <w:spacing w:line="225" w:lineRule="auto"/>
        <w:ind w:right="155"/>
        <w:rPr>
          <w:rFonts w:ascii="楷体" w:eastAsia="楷体" w:hint="eastAsia"/>
        </w:rPr>
      </w:pPr>
      <w:r>
        <w:rPr>
          <w:rFonts w:ascii="楷体" w:eastAsia="楷体" w:hint="eastAsia"/>
          <w:spacing w:val="-9"/>
        </w:rPr>
        <w:t>日保单年度数为 </w:t>
      </w:r>
      <w:r>
        <w:rPr>
          <w:rFonts w:ascii="Times New Roman" w:eastAsia="Times New Roman"/>
          <w:spacing w:val="-14"/>
        </w:rPr>
        <w:t>1</w:t>
      </w:r>
      <w:r>
        <w:rPr>
          <w:rFonts w:ascii="楷体" w:eastAsia="楷体" w:hint="eastAsia"/>
          <w:spacing w:val="-22"/>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8"/>
        </w:rPr>
        <w:t>日至 </w:t>
      </w:r>
      <w:r>
        <w:rPr>
          <w:rFonts w:ascii="Times New Roman" w:eastAsia="Times New Roman"/>
        </w:rPr>
        <w:t>2005 </w:t>
      </w:r>
      <w:r>
        <w:rPr>
          <w:rFonts w:ascii="楷体" w:eastAsia="楷体" w:hint="eastAsia"/>
          <w:spacing w:val="-26"/>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spacing w:val="-14"/>
        </w:rPr>
        <w:t>2</w:t>
      </w:r>
      <w:r>
        <w:rPr>
          <w:rFonts w:ascii="楷体" w:eastAsia="楷体" w:hint="eastAsia"/>
          <w:spacing w:val="-4"/>
        </w:rPr>
        <w:t>，后续年度以此类推</w:t>
      </w:r>
      <w:r>
        <w:rPr>
          <w:rFonts w:ascii="楷体" w:eastAsia="楷体" w:hint="eastAsia"/>
          <w:spacing w:val="-130"/>
        </w:rPr>
        <w:t>。</w:t>
      </w:r>
      <w:r>
        <w:rPr>
          <w:rFonts w:ascii="楷体" w:eastAsia="楷体" w:hint="eastAsia"/>
          <w:spacing w:val="-3"/>
        </w:rPr>
        <w:t>（</w:t>
      </w:r>
      <w:r>
        <w:rPr>
          <w:rFonts w:ascii="楷体" w:eastAsia="楷体" w:hint="eastAsia"/>
          <w:spacing w:val="-2"/>
        </w:rPr>
        <w:t>以上示例</w:t>
      </w:r>
      <w:r>
        <w:rPr>
          <w:rFonts w:ascii="楷体" w:eastAsia="楷体" w:hint="eastAsia"/>
          <w:spacing w:val="-3"/>
        </w:rPr>
        <w:t>仅供您辅助理解之用，实际合同生效日在保险单或批注上列明</w:t>
      </w:r>
      <w:r>
        <w:rPr>
          <w:rFonts w:ascii="楷体" w:eastAsia="楷体" w:hint="eastAsia"/>
        </w:rPr>
        <w:t>）</w:t>
      </w:r>
    </w:p>
    <w:p>
      <w:pPr>
        <w:pStyle w:val="BodyText"/>
        <w:spacing w:line="287" w:lineRule="exact" w:before="2"/>
        <w:rPr>
          <w:rFonts w:ascii="楷体" w:eastAsia="楷体" w:hint="eastAsia"/>
        </w:rPr>
      </w:pPr>
      <w:r>
        <w:rPr>
          <w:rFonts w:ascii="Times New Roman" w:eastAsia="Times New Roman"/>
          <w:position w:val="10"/>
          <w:sz w:val="14"/>
        </w:rPr>
        <w:t>11</w:t>
      </w:r>
      <w:r>
        <w:rPr>
          <w:rFonts w:ascii="楷体" w:eastAsia="楷体" w:hint="eastAsia"/>
          <w:b/>
        </w:rPr>
        <w:t>交费年期数：</w:t>
      </w:r>
      <w:r>
        <w:rPr>
          <w:rFonts w:ascii="楷体" w:eastAsia="楷体" w:hint="eastAsia"/>
        </w:rPr>
        <w:t>指保险单中约定的交费年期的数值。如果交费方式为趸交，则交费年期数为 </w:t>
      </w:r>
      <w:r>
        <w:rPr>
          <w:rFonts w:ascii="Times New Roman" w:eastAsia="Times New Roman"/>
        </w:rPr>
        <w:t>1</w:t>
      </w:r>
      <w:r>
        <w:rPr>
          <w:rFonts w:ascii="楷体" w:eastAsia="楷体" w:hint="eastAsia"/>
        </w:rPr>
        <w:t>。</w:t>
      </w:r>
    </w:p>
    <w:p>
      <w:pPr>
        <w:spacing w:after="0" w:line="287" w:lineRule="exact"/>
        <w:rPr>
          <w:rFonts w:ascii="楷体" w:eastAsia="楷体" w:hint="eastAsia"/>
        </w:rPr>
        <w:sectPr>
          <w:footerReference w:type="default" r:id="rId9"/>
          <w:pgSz w:w="11910" w:h="16160"/>
          <w:pgMar w:footer="671" w:header="0" w:top="1360" w:bottom="860" w:left="960" w:right="760"/>
        </w:sectPr>
      </w:pPr>
    </w:p>
    <w:p>
      <w:pPr>
        <w:pStyle w:val="BodyText"/>
        <w:spacing w:line="264" w:lineRule="auto" w:before="160"/>
        <w:ind w:right="246" w:firstLine="420"/>
      </w:pPr>
      <w:r>
        <w:rPr>
          <w:spacing w:val="-3"/>
        </w:rPr>
        <w:t>上述标准体年交保险费以被保险人身故时的交费方式为基础计算，如果为</w:t>
      </w:r>
      <w:r>
        <w:rPr>
          <w:b/>
        </w:rPr>
        <w:t>趸交</w:t>
      </w:r>
      <w:r>
        <w:rPr>
          <w:rFonts w:ascii="Times New Roman" w:eastAsia="Times New Roman"/>
          <w:b/>
          <w:vertAlign w:val="superscript"/>
        </w:rPr>
        <w:t>12</w:t>
      </w:r>
      <w:r>
        <w:rPr>
          <w:rFonts w:ascii="Times New Roman" w:eastAsia="Times New Roman"/>
          <w:b/>
          <w:vertAlign w:val="baseline"/>
        </w:rPr>
      </w:r>
      <w:r>
        <w:rPr>
          <w:spacing w:val="-3"/>
          <w:vertAlign w:val="baseline"/>
        </w:rPr>
        <w:t>则对应趸交标准体保险费率，如果为分期支付则对应年交标准体保险费率，以被保险人身故时的基本保险金额对应的标准体年交保险费率为基础，按投保时被保险人的年龄计算。</w:t>
      </w:r>
    </w:p>
    <w:p>
      <w:pPr>
        <w:pStyle w:val="ListParagraph"/>
        <w:numPr>
          <w:ilvl w:val="0"/>
          <w:numId w:val="4"/>
        </w:numPr>
        <w:tabs>
          <w:tab w:pos="803" w:val="left" w:leader="none"/>
        </w:tabs>
        <w:spacing w:line="256" w:lineRule="auto" w:before="16" w:after="0"/>
        <w:ind w:left="117" w:right="214" w:firstLine="421"/>
        <w:jc w:val="left"/>
        <w:rPr>
          <w:sz w:val="21"/>
        </w:rPr>
      </w:pPr>
      <w:r>
        <w:rPr>
          <w:spacing w:val="-4"/>
          <w:sz w:val="21"/>
        </w:rPr>
        <w:t>如果被保险人在等待期内因意外伤害事故以外的原因导致身故，我们按本合同的已交保险费给付身故</w:t>
      </w:r>
      <w:r>
        <w:rPr>
          <w:spacing w:val="-2"/>
          <w:sz w:val="21"/>
        </w:rPr>
        <w:t>保险金，</w:t>
      </w:r>
      <w:r>
        <w:rPr>
          <w:b/>
          <w:spacing w:val="-1"/>
          <w:sz w:val="21"/>
        </w:rPr>
        <w:t>同时本合同终止</w:t>
      </w:r>
      <w:r>
        <w:rPr>
          <w:sz w:val="21"/>
        </w:rPr>
        <w:t>。</w:t>
      </w:r>
    </w:p>
    <w:p>
      <w:pPr>
        <w:tabs>
          <w:tab w:pos="969" w:val="left" w:leader="none"/>
        </w:tabs>
        <w:spacing w:line="624" w:lineRule="exact" w:before="80"/>
        <w:ind w:left="117" w:right="1691" w:firstLine="422"/>
        <w:jc w:val="left"/>
        <w:rPr>
          <w:b/>
          <w:sz w:val="21"/>
        </w:rPr>
      </w:pPr>
      <w:r>
        <w:rPr>
          <w:b/>
          <w:sz w:val="21"/>
        </w:rPr>
        <w:t>我们只给付本合同</w:t>
      </w:r>
      <w:r>
        <w:rPr>
          <w:b/>
          <w:spacing w:val="-3"/>
          <w:sz w:val="21"/>
        </w:rPr>
        <w:t>保</w:t>
      </w:r>
      <w:r>
        <w:rPr>
          <w:b/>
          <w:sz w:val="21"/>
        </w:rPr>
        <w:t>险</w:t>
      </w:r>
      <w:r>
        <w:rPr>
          <w:b/>
          <w:spacing w:val="-3"/>
          <w:sz w:val="21"/>
        </w:rPr>
        <w:t>责</w:t>
      </w:r>
      <w:r>
        <w:rPr>
          <w:b/>
          <w:sz w:val="21"/>
        </w:rPr>
        <w:t>任中约定的重大疾</w:t>
      </w:r>
      <w:r>
        <w:rPr>
          <w:b/>
          <w:spacing w:val="-3"/>
          <w:sz w:val="21"/>
        </w:rPr>
        <w:t>病</w:t>
      </w:r>
      <w:r>
        <w:rPr>
          <w:b/>
          <w:sz w:val="21"/>
        </w:rPr>
        <w:t>保</w:t>
      </w:r>
      <w:r>
        <w:rPr>
          <w:b/>
          <w:spacing w:val="-3"/>
          <w:sz w:val="21"/>
        </w:rPr>
        <w:t>险</w:t>
      </w:r>
      <w:r>
        <w:rPr>
          <w:b/>
          <w:sz w:val="21"/>
        </w:rPr>
        <w:t>金及身故保险金的</w:t>
      </w:r>
      <w:r>
        <w:rPr>
          <w:b/>
          <w:spacing w:val="-3"/>
          <w:sz w:val="21"/>
        </w:rPr>
        <w:t>其</w:t>
      </w:r>
      <w:r>
        <w:rPr>
          <w:b/>
          <w:sz w:val="21"/>
        </w:rPr>
        <w:t>中</w:t>
      </w:r>
      <w:r>
        <w:rPr>
          <w:b/>
          <w:spacing w:val="-3"/>
          <w:sz w:val="21"/>
        </w:rPr>
        <w:t>一</w:t>
      </w:r>
      <w:r>
        <w:rPr>
          <w:b/>
          <w:sz w:val="21"/>
        </w:rPr>
        <w:t>项保险金。</w:t>
      </w:r>
      <w:bookmarkStart w:name="_bookmark9" w:id="10"/>
      <w:bookmarkEnd w:id="10"/>
      <w:r>
        <w:rPr>
          <w:b/>
          <w:sz w:val="21"/>
        </w:rPr>
      </w:r>
      <w:r>
        <w:rPr>
          <w:b/>
          <w:sz w:val="21"/>
        </w:rPr>
        <w:t>第八条</w:t>
        <w:tab/>
        <w:t>责任免除</w:t>
      </w:r>
    </w:p>
    <w:p>
      <w:pPr>
        <w:pStyle w:val="BodyText"/>
        <w:spacing w:line="217" w:lineRule="exact"/>
        <w:ind w:left="538"/>
        <w:rPr>
          <w:rFonts w:ascii="黑体" w:eastAsia="黑体" w:hint="eastAsia"/>
        </w:rPr>
      </w:pPr>
      <w:r>
        <w:rPr>
          <w:rFonts w:ascii="黑体" w:eastAsia="黑体" w:hint="eastAsia"/>
        </w:rPr>
        <w:t>一、因下列情形之一导致被保险人患上本合同所定义的重大疾病或特定疾病的，我们不承担给付相应保</w:t>
      </w:r>
    </w:p>
    <w:p>
      <w:pPr>
        <w:pStyle w:val="BodyText"/>
        <w:spacing w:before="37"/>
        <w:rPr>
          <w:rFonts w:ascii="黑体" w:eastAsia="黑体" w:hint="eastAsia"/>
        </w:rPr>
      </w:pPr>
      <w:r>
        <w:rPr>
          <w:rFonts w:ascii="黑体" w:eastAsia="黑体" w:hint="eastAsia"/>
        </w:rPr>
        <w:t>险金的责任：</w:t>
      </w:r>
    </w:p>
    <w:p>
      <w:pPr>
        <w:pStyle w:val="ListParagraph"/>
        <w:numPr>
          <w:ilvl w:val="0"/>
          <w:numId w:val="5"/>
        </w:numPr>
        <w:tabs>
          <w:tab w:pos="803" w:val="left" w:leader="none"/>
        </w:tabs>
        <w:spacing w:line="282" w:lineRule="exact" w:before="15"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20</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3"/>
        <w:ind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1"/>
        <w:ind w:right="22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before="11"/>
        <w:ind w:left="0"/>
        <w:rPr>
          <w:rFonts w:ascii="黑体"/>
          <w:sz w:val="26"/>
        </w:rPr>
      </w:pPr>
      <w:r>
        <w:rPr/>
        <w:pict>
          <v:line style="position:absolute;mso-position-horizontal-relative:page;mso-position-vertical-relative:paragraph;z-index:1096;mso-wrap-distance-left:0;mso-wrap-distance-right:0" from="53.880001pt,19.77869pt" to="197.930001pt,19.77869pt" stroked="true" strokeweight=".48001pt" strokecolor="#000000">
            <v:stroke dashstyle="solid"/>
            <w10:wrap type="topAndBottom"/>
          </v:line>
        </w:pict>
      </w:r>
    </w:p>
    <w:p>
      <w:pPr>
        <w:spacing w:line="273" w:lineRule="exact" w:before="35"/>
        <w:ind w:left="117" w:right="0" w:firstLine="0"/>
        <w:jc w:val="left"/>
        <w:rPr>
          <w:rFonts w:ascii="楷体" w:eastAsia="楷体" w:hint="eastAsia"/>
          <w:sz w:val="21"/>
        </w:rPr>
      </w:pPr>
      <w:r>
        <w:rPr>
          <w:rFonts w:ascii="Times New Roman" w:eastAsia="Times New Roman"/>
          <w:position w:val="10"/>
          <w:sz w:val="14"/>
        </w:rPr>
        <w:t>12</w:t>
      </w:r>
      <w:r>
        <w:rPr>
          <w:rFonts w:ascii="楷体" w:eastAsia="楷体" w:hint="eastAsia"/>
          <w:b/>
          <w:sz w:val="21"/>
        </w:rPr>
        <w:t>趸交：</w:t>
      </w:r>
      <w:r>
        <w:rPr>
          <w:rFonts w:ascii="楷体" w:eastAsia="楷体" w:hint="eastAsia"/>
          <w:sz w:val="21"/>
        </w:rPr>
        <w:t>指一次性支付保险费。</w:t>
      </w:r>
    </w:p>
    <w:p>
      <w:pPr>
        <w:pStyle w:val="BodyText"/>
        <w:spacing w:line="272" w:lineRule="exact"/>
        <w:rPr>
          <w:rFonts w:ascii="楷体" w:eastAsia="楷体" w:hint="eastAsia"/>
        </w:rPr>
      </w:pPr>
      <w:r>
        <w:rPr>
          <w:rFonts w:ascii="Times New Roman" w:eastAsia="Times New Roman"/>
          <w:spacing w:val="-1"/>
          <w:position w:val="10"/>
          <w:sz w:val="14"/>
        </w:rPr>
        <w:t>13</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rPr>
        <w:t>（</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2"/>
        <w:ind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rPr>
          <w:rFonts w:ascii="楷体" w:eastAsia="楷体" w:hint="eastAsia"/>
        </w:rPr>
      </w:pPr>
      <w:r>
        <w:rPr>
          <w:rFonts w:ascii="Times New Roman" w:eastAsia="Times New Roman"/>
          <w:position w:val="10"/>
          <w:sz w:val="14"/>
        </w:rPr>
        <w:t>14</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15</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3"/>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spacing w:val="-1"/>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rPr>
          <w:rFonts w:ascii="楷体" w:eastAsia="楷体" w:hint="eastAsia"/>
        </w:rPr>
      </w:pPr>
      <w:r>
        <w:rPr>
          <w:rFonts w:ascii="Times New Roman" w:eastAsia="Times New Roman"/>
          <w:position w:val="10"/>
          <w:sz w:val="14"/>
        </w:rPr>
        <w:t>16</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7"/>
        <w:ind w:right="2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69" w:lineRule="exact"/>
        <w:rPr>
          <w:rFonts w:ascii="楷体" w:eastAsia="楷体" w:hint="eastAsia"/>
        </w:rPr>
      </w:pPr>
      <w:r>
        <w:rPr>
          <w:rFonts w:ascii="Times New Roman" w:eastAsia="Times New Roman"/>
          <w:position w:val="10"/>
          <w:sz w:val="14"/>
        </w:rPr>
        <w:t>17</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rPr>
          <w:rFonts w:ascii="楷体" w:eastAsia="楷体" w:hint="eastAsia"/>
        </w:rPr>
      </w:pPr>
      <w:r>
        <w:rPr>
          <w:rFonts w:ascii="楷体" w:eastAsia="楷体" w:hint="eastAsia"/>
        </w:rPr>
        <w:t>的轮式车辆。</w:t>
      </w:r>
    </w:p>
    <w:p>
      <w:pPr>
        <w:pStyle w:val="BodyText"/>
        <w:spacing w:line="228" w:lineRule="auto" w:before="14"/>
        <w:ind w:right="212"/>
        <w:rPr>
          <w:rFonts w:ascii="楷体" w:eastAsia="楷体" w:hint="eastAsia"/>
        </w:rPr>
      </w:pPr>
      <w:r>
        <w:rPr>
          <w:rFonts w:ascii="Times New Roman" w:eastAsia="Times New Roman"/>
          <w:position w:val="10"/>
          <w:sz w:val="14"/>
        </w:rPr>
        <w:t>18</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rPr>
          <w:rFonts w:ascii="楷体" w:eastAsia="楷体" w:hint="eastAsia"/>
        </w:rPr>
      </w:pPr>
      <w:r>
        <w:rPr>
          <w:rFonts w:ascii="Times New Roman" w:eastAsia="Times New Roman"/>
          <w:position w:val="10"/>
          <w:sz w:val="14"/>
        </w:rPr>
        <w:t>19</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9" w:lineRule="exact"/>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after="0" w:line="289" w:lineRule="exact"/>
        <w:rPr>
          <w:rFonts w:ascii="楷体" w:eastAsia="楷体" w:hint="eastAsia"/>
        </w:rPr>
        <w:sectPr>
          <w:footerReference w:type="default" r:id="rId10"/>
          <w:pgSz w:w="11910" w:h="16160"/>
          <w:pgMar w:footer="671" w:header="0" w:top="1520" w:bottom="860" w:left="960" w:right="700"/>
        </w:sectPr>
      </w:pPr>
    </w:p>
    <w:p>
      <w:pPr>
        <w:pStyle w:val="BodyText"/>
        <w:spacing w:before="7"/>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6"/>
        </w:numPr>
        <w:tabs>
          <w:tab w:pos="803" w:val="left" w:leader="none"/>
        </w:tabs>
        <w:spacing w:line="282" w:lineRule="exact" w:before="15"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5"/>
          <w:sz w:val="21"/>
        </w:rPr>
        <w:t>被保险人自本合同成立或者合同效力恢复之日起 </w:t>
      </w:r>
      <w:r>
        <w:rPr>
          <w:rFonts w:ascii="Times New Roman" w:eastAsia="Times New Roman"/>
          <w:sz w:val="21"/>
        </w:rPr>
        <w:t>2</w:t>
      </w:r>
      <w:r>
        <w:rPr>
          <w:rFonts w:ascii="Times New Roman" w:eastAsia="Times New Roman"/>
          <w:spacing w:val="20"/>
          <w:sz w:val="21"/>
        </w:rPr>
        <w:t> </w:t>
      </w:r>
      <w:r>
        <w:rPr>
          <w:rFonts w:ascii="黑体" w:eastAsia="黑体" w:hint="eastAsia"/>
          <w:spacing w:val="-6"/>
          <w:sz w:val="21"/>
        </w:rPr>
        <w:t>年内自杀，但自杀时为</w:t>
      </w:r>
      <w:r>
        <w:rPr>
          <w:rFonts w:ascii="黑体" w:eastAsia="黑体" w:hint="eastAsia"/>
          <w:b/>
          <w:sz w:val="21"/>
        </w:rPr>
        <w:t>无民事行为能力人</w:t>
      </w:r>
      <w:r>
        <w:rPr>
          <w:rFonts w:ascii="Times New Roman" w:eastAsia="Times New Roman"/>
          <w:b/>
          <w:sz w:val="21"/>
          <w:vertAlign w:val="superscript"/>
        </w:rPr>
        <w:t>21</w:t>
      </w:r>
      <w:r>
        <w:rPr>
          <w:rFonts w:ascii="Times New Roman" w:eastAsia="Times New Roman"/>
          <w:b/>
          <w:sz w:val="21"/>
          <w:vertAlign w:val="baseline"/>
        </w:rPr>
      </w:r>
      <w:r>
        <w:rPr>
          <w:rFonts w:ascii="黑体" w:eastAsia="黑体" w:hint="eastAsia"/>
          <w:spacing w:val="-2"/>
          <w:sz w:val="21"/>
          <w:vertAlign w:val="baseline"/>
        </w:rPr>
        <w:t>的除外；</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81"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4"/>
        <w:ind w:right="2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6"/>
        <w:ind w:left="0"/>
        <w:rPr>
          <w:rFonts w:ascii="黑体"/>
          <w:sz w:val="24"/>
        </w:rPr>
      </w:pPr>
    </w:p>
    <w:p>
      <w:pPr>
        <w:pStyle w:val="Heading1"/>
        <w:tabs>
          <w:tab w:pos="1418" w:val="left" w:leader="none"/>
        </w:tabs>
        <w:spacing w:before="1"/>
        <w:ind w:right="139"/>
        <w:jc w:val="center"/>
      </w:pPr>
      <w:bookmarkStart w:name="_bookmark10" w:id="11"/>
      <w:bookmarkEnd w:id="11"/>
      <w:r>
        <w:rPr>
          <w:b w:val="0"/>
        </w:rPr>
      </w:r>
      <w:r>
        <w:rPr/>
        <w:t>第三部分</w:t>
        <w:tab/>
      </w:r>
      <w:r>
        <w:rPr>
          <w:w w:val="95"/>
        </w:rPr>
        <w:t>如何支付保险费</w:t>
      </w:r>
    </w:p>
    <w:p>
      <w:pPr>
        <w:pStyle w:val="BodyText"/>
        <w:spacing w:before="11"/>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line="273" w:lineRule="auto" w:before="36"/>
        <w:ind w:right="260" w:firstLine="420"/>
      </w:pPr>
      <w:r>
        <w:rPr/>
        <w:t>您可以选择趸交或分期支付保险费。选择分期支付保险费的，您在支付了首期保险费后，应按本合同的约定在每个保险费约定支付日支付当期应支付的保险费。</w:t>
      </w:r>
    </w:p>
    <w:p>
      <w:pPr>
        <w:pStyle w:val="BodyText"/>
        <w:spacing w:before="5"/>
        <w:ind w:left="0"/>
        <w:rPr>
          <w:sz w:val="24"/>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7"/>
        <w:ind w:right="25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22</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6"/>
        <w:ind w:left="538"/>
      </w:pPr>
      <w:r>
        <w:rPr/>
        <w:t>如果您宽限期结束之后仍未支付保险费，则本合同自宽限期满的次日零时起效力中止。</w:t>
      </w:r>
    </w:p>
    <w:p>
      <w:pPr>
        <w:pStyle w:val="BodyText"/>
        <w:spacing w:before="6"/>
        <w:ind w:left="0"/>
        <w:rPr>
          <w:sz w:val="24"/>
        </w:rPr>
      </w:pPr>
    </w:p>
    <w:p>
      <w:pPr>
        <w:pStyle w:val="Heading1"/>
        <w:tabs>
          <w:tab w:pos="1418" w:val="left" w:leader="none"/>
        </w:tabs>
        <w:ind w:right="140"/>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7"/>
        <w:ind w:left="538" w:right="2600"/>
      </w:pPr>
      <w:r>
        <w:rPr/>
        <w:t>除另有约定外，重大疾病保险金、特定疾病保险金的受益人为被保险人本人。您或者被保险人可以指定一人或多人为身故保险金受益人。</w:t>
      </w:r>
    </w:p>
    <w:p>
      <w:pPr>
        <w:pStyle w:val="BodyText"/>
        <w:spacing w:line="273" w:lineRule="auto" w:before="7"/>
        <w:ind w:right="26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6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right="260" w:firstLine="420"/>
      </w:pPr>
      <w:r>
        <w:rPr/>
        <w:t>被保险人身故后，有下列情形之一的，保险金作为被保险人的遗产，由我们依照《中华人民共和国继承法》的规定履行给付保险金的义务：</w:t>
      </w:r>
    </w:p>
    <w:p>
      <w:pPr>
        <w:pStyle w:val="BodyText"/>
        <w:spacing w:line="273" w:lineRule="auto" w:before="7"/>
        <w:ind w:left="538" w:right="4489"/>
      </w:pPr>
      <w:r>
        <w:rPr/>
        <w:t>一、没有指定受益人，或者受益人指定不明无法确定的； 二、受益人先于被保险人身故，没有其他受益人的；</w:t>
      </w:r>
    </w:p>
    <w:p>
      <w:pPr>
        <w:pStyle w:val="BodyText"/>
        <w:spacing w:before="1"/>
        <w:ind w:left="0"/>
        <w:rPr>
          <w:sz w:val="10"/>
        </w:rPr>
      </w:pPr>
      <w:r>
        <w:rPr/>
        <w:pict>
          <v:line style="position:absolute;mso-position-horizontal-relative:page;mso-position-vertical-relative:paragraph;z-index:1120;mso-wrap-distance-left:0;mso-wrap-distance-right:0" from="53.880001pt,8.8026pt" to="197.930001pt,8.8026pt" stroked="true" strokeweight=".47998pt" strokecolor="#000000">
            <v:stroke dashstyle="solid"/>
            <w10:wrap type="topAndBottom"/>
          </v:line>
        </w:pict>
      </w:r>
    </w:p>
    <w:p>
      <w:pPr>
        <w:pStyle w:val="BodyText"/>
        <w:spacing w:before="32"/>
        <w:ind w:right="255"/>
        <w:rPr>
          <w:rFonts w:ascii="楷体" w:eastAsia="楷体" w:hint="eastAsia"/>
        </w:rPr>
      </w:pPr>
      <w:r>
        <w:rPr>
          <w:rFonts w:ascii="Times New Roman" w:eastAsia="Times New Roman"/>
          <w:position w:val="10"/>
          <w:sz w:val="14"/>
        </w:rPr>
        <w:t>21</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保险事故：</w:t>
      </w:r>
      <w:r>
        <w:rPr>
          <w:rFonts w:ascii="楷体" w:eastAsia="楷体" w:hint="eastAsia"/>
          <w:sz w:val="21"/>
        </w:rPr>
        <w:t>指本合同约定的保险责任范围内的事故。</w:t>
      </w:r>
    </w:p>
    <w:p>
      <w:pPr>
        <w:spacing w:line="272" w:lineRule="exact" w:before="0"/>
        <w:ind w:left="117" w:right="0" w:firstLine="0"/>
        <w:jc w:val="left"/>
        <w:rPr>
          <w:rFonts w:ascii="楷体" w:eastAsia="楷体" w:hint="eastAsia"/>
          <w:sz w:val="21"/>
        </w:rPr>
      </w:pPr>
      <w:r>
        <w:rPr>
          <w:rFonts w:ascii="Times New Roman" w:eastAsia="Times New Roman"/>
          <w:spacing w:val="-1"/>
          <w:position w:val="10"/>
          <w:sz w:val="14"/>
        </w:rPr>
        <w:t>23</w:t>
      </w:r>
      <w:r>
        <w:rPr>
          <w:rFonts w:ascii="楷体" w:eastAsia="楷体" w:hint="eastAsia"/>
          <w:b/>
          <w:spacing w:val="-9"/>
          <w:sz w:val="21"/>
        </w:rPr>
        <w:t>限制民事行为能力人：</w:t>
      </w:r>
      <w:r>
        <w:rPr>
          <w:rFonts w:ascii="楷体" w:eastAsia="楷体" w:hint="eastAsia"/>
          <w:spacing w:val="-8"/>
          <w:sz w:val="21"/>
        </w:rPr>
        <w:t>一种是指十周岁以上的未成年人，另一种是指不能完全辨认自己行为的精神病人</w:t>
      </w:r>
      <w:r>
        <w:rPr>
          <w:rFonts w:ascii="楷体" w:eastAsia="楷体" w:hint="eastAsia"/>
          <w:spacing w:val="-180"/>
          <w:sz w:val="21"/>
        </w:rPr>
        <w:t>。</w:t>
      </w:r>
      <w:r>
        <w:rPr>
          <w:rFonts w:ascii="楷体" w:eastAsia="楷体" w:hint="eastAsia"/>
          <w:sz w:val="21"/>
        </w:rPr>
        <w:t>（根</w:t>
      </w:r>
    </w:p>
    <w:p>
      <w:pPr>
        <w:pStyle w:val="BodyText"/>
        <w:spacing w:line="273" w:lineRule="exact"/>
        <w:rPr>
          <w:rFonts w:ascii="楷体" w:eastAsia="楷体" w:hint="eastAsia"/>
        </w:rPr>
      </w:pPr>
      <w:r>
        <w:rPr>
          <w:rFonts w:ascii="楷体" w:eastAsia="楷体" w:hint="eastAsia"/>
        </w:rPr>
        <w:t>据《中华人民共和国民法通则》第十二条及第十三条规定）</w:t>
      </w:r>
    </w:p>
    <w:p>
      <w:pPr>
        <w:spacing w:after="0" w:line="273" w:lineRule="exact"/>
        <w:rPr>
          <w:rFonts w:ascii="楷体" w:eastAsia="楷体" w:hint="eastAsia"/>
        </w:rPr>
        <w:sectPr>
          <w:footerReference w:type="default" r:id="rId11"/>
          <w:pgSz w:w="11910" w:h="16160"/>
          <w:pgMar w:footer="631" w:header="0" w:top="1360" w:bottom="820" w:left="960" w:right="660"/>
          <w:pgNumType w:start="6"/>
        </w:sectPr>
      </w:pPr>
    </w:p>
    <w:p>
      <w:pPr>
        <w:pStyle w:val="BodyText"/>
        <w:spacing w:before="7"/>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spacing w:before="1"/>
      </w:pPr>
      <w:bookmarkStart w:name="_bookmark15" w:id="16"/>
      <w:bookmarkEnd w:id="16"/>
      <w:r>
        <w:rPr>
          <w:b w:val="0"/>
        </w:rPr>
      </w:r>
      <w:r>
        <w:rPr/>
        <w:t>第十二条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line="273" w:lineRule="auto" w:before="36"/>
        <w:ind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61" w:lineRule="auto" w:before="14"/>
        <w:ind w:right="220" w:firstLine="420"/>
      </w:pPr>
      <w:r>
        <w:rPr/>
        <w:t>人寿保险的被保险人或者受益人向我们请求给付保险金的诉讼时效期间为五年，自其知道或者应当知道保险事故发生之日起计算。</w:t>
      </w:r>
    </w:p>
    <w:p>
      <w:pPr>
        <w:pStyle w:val="BodyText"/>
        <w:spacing w:before="9"/>
        <w:ind w:left="0"/>
        <w:rPr>
          <w:sz w:val="23"/>
        </w:rPr>
      </w:pPr>
    </w:p>
    <w:p>
      <w:pPr>
        <w:pStyle w:val="Heading2"/>
        <w:tabs>
          <w:tab w:pos="1197" w:val="left" w:leader="none"/>
        </w:tabs>
      </w:pPr>
      <w:bookmarkStart w:name="_bookmark17" w:id="18"/>
      <w:bookmarkEnd w:id="18"/>
      <w:r>
        <w:rPr>
          <w:b w:val="0"/>
        </w:rPr>
      </w:r>
      <w:r>
        <w:rPr/>
        <w:t>第十四条</w:t>
        <w:tab/>
        <w:t>保险金申请</w:t>
      </w:r>
    </w:p>
    <w:p>
      <w:pPr>
        <w:pStyle w:val="BodyText"/>
        <w:spacing w:before="36"/>
        <w:ind w:left="538"/>
      </w:pPr>
      <w:r>
        <w:rPr/>
        <w:t>一、重大疾病保险金、特定疾病保险金的申请</w:t>
      </w:r>
    </w:p>
    <w:p>
      <w:pPr>
        <w:pStyle w:val="BodyText"/>
        <w:spacing w:line="273" w:lineRule="auto" w:before="36"/>
        <w:ind w:right="109" w:firstLine="420"/>
      </w:pPr>
      <w:r>
        <w:rPr>
          <w:spacing w:val="-8"/>
        </w:rPr>
        <w:t>在申请重大疾病保险金、特定疾病保险金时，由相应保险金的受益人作为申请人填写保险金给付申请书， </w:t>
      </w:r>
      <w:r>
        <w:rPr>
          <w:spacing w:val="-5"/>
        </w:rPr>
        <w:t>并提供下列证明和资料：</w:t>
      </w:r>
    </w:p>
    <w:p>
      <w:pPr>
        <w:pStyle w:val="ListParagraph"/>
        <w:numPr>
          <w:ilvl w:val="0"/>
          <w:numId w:val="7"/>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7"/>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right="219" w:firstLine="420"/>
      </w:pPr>
      <w:r>
        <w:rPr/>
        <w:t>在申请身故保险金时，由身故保险金的受益人作为申请人填写保险金给付申请书，并提供下列证明和资料：</w:t>
      </w:r>
    </w:p>
    <w:p>
      <w:pPr>
        <w:pStyle w:val="ListParagraph"/>
        <w:numPr>
          <w:ilvl w:val="0"/>
          <w:numId w:val="8"/>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8"/>
        </w:numPr>
        <w:tabs>
          <w:tab w:pos="803" w:val="left" w:leader="none"/>
        </w:tabs>
        <w:spacing w:line="240" w:lineRule="auto" w:before="20" w:after="0"/>
        <w:ind w:left="802" w:right="0" w:hanging="264"/>
        <w:jc w:val="left"/>
        <w:rPr>
          <w:sz w:val="21"/>
        </w:rPr>
      </w:pPr>
      <w:r>
        <w:rPr>
          <w:spacing w:val="-3"/>
          <w:sz w:val="21"/>
        </w:rPr>
        <w:t>受益人的有效身份证件；</w:t>
      </w:r>
    </w:p>
    <w:p>
      <w:pPr>
        <w:pStyle w:val="ListParagraph"/>
        <w:numPr>
          <w:ilvl w:val="0"/>
          <w:numId w:val="8"/>
        </w:numPr>
        <w:tabs>
          <w:tab w:pos="803" w:val="left" w:leader="none"/>
        </w:tabs>
        <w:spacing w:line="240" w:lineRule="auto" w:before="20" w:after="0"/>
        <w:ind w:left="802" w:right="0" w:hanging="264"/>
        <w:jc w:val="left"/>
        <w:rPr>
          <w:sz w:val="21"/>
        </w:rPr>
      </w:pPr>
      <w:r>
        <w:rPr>
          <w:spacing w:val="-3"/>
          <w:sz w:val="21"/>
        </w:rPr>
        <w:t>国务院卫生行政部门规定的医疗机构、公安机关或其他相关机构出具的被保险人的死亡证明；</w:t>
      </w:r>
    </w:p>
    <w:p>
      <w:pPr>
        <w:pStyle w:val="ListParagraph"/>
        <w:numPr>
          <w:ilvl w:val="0"/>
          <w:numId w:val="8"/>
        </w:numPr>
        <w:tabs>
          <w:tab w:pos="803" w:val="left" w:leader="none"/>
        </w:tabs>
        <w:spacing w:line="240" w:lineRule="auto" w:before="20" w:after="0"/>
        <w:ind w:left="802" w:right="0" w:hanging="264"/>
        <w:jc w:val="left"/>
        <w:rPr>
          <w:sz w:val="21"/>
        </w:rPr>
      </w:pPr>
      <w:r>
        <w:rPr>
          <w:spacing w:val="-3"/>
          <w:sz w:val="21"/>
        </w:rPr>
        <w:t>所能提供的与确认保险事故的性质、原因等有关的其他证明和资料。</w:t>
      </w:r>
    </w:p>
    <w:p>
      <w:pPr>
        <w:pStyle w:val="BodyText"/>
        <w:spacing w:before="5"/>
        <w:ind w:left="0"/>
        <w:rPr>
          <w:sz w:val="25"/>
        </w:rPr>
      </w:pPr>
    </w:p>
    <w:p>
      <w:pPr>
        <w:pStyle w:val="BodyText"/>
        <w:spacing w:line="273" w:lineRule="auto"/>
        <w:ind w:right="2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before="21"/>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w:t>
      </w:r>
    </w:p>
    <w:p>
      <w:pPr>
        <w:pStyle w:val="BodyText"/>
        <w:ind w:left="0"/>
        <w:rPr>
          <w:sz w:val="20"/>
        </w:rPr>
      </w:pPr>
    </w:p>
    <w:p>
      <w:pPr>
        <w:pStyle w:val="BodyText"/>
        <w:spacing w:before="4"/>
        <w:ind w:left="0"/>
        <w:rPr>
          <w:sz w:val="10"/>
        </w:rPr>
      </w:pPr>
      <w:r>
        <w:rPr/>
        <w:pict>
          <v:line style="position:absolute;mso-position-horizontal-relative:page;mso-position-vertical-relative:paragraph;z-index:1144;mso-wrap-distance-left:0;mso-wrap-distance-right:0" from="53.880001pt,8.986320pt" to="197.930001pt,8.986320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24</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3" w:lineRule="exact"/>
        <w:rPr>
          <w:rFonts w:ascii="楷体" w:eastAsia="楷体" w:hint="eastAsia"/>
        </w:rPr>
      </w:pPr>
      <w:r>
        <w:rPr>
          <w:rFonts w:ascii="楷体" w:eastAsia="楷体" w:hint="eastAsia"/>
        </w:rPr>
        <w:t>证件。</w:t>
      </w:r>
    </w:p>
    <w:p>
      <w:pPr>
        <w:spacing w:after="0" w:line="273" w:lineRule="exact"/>
        <w:rPr>
          <w:rFonts w:ascii="楷体" w:eastAsia="楷体" w:hint="eastAsia"/>
        </w:rPr>
        <w:sectPr>
          <w:pgSz w:w="11910" w:h="16160"/>
          <w:pgMar w:header="0" w:footer="631" w:top="1360" w:bottom="880" w:left="960" w:right="700"/>
        </w:sectPr>
      </w:pPr>
    </w:p>
    <w:p>
      <w:pPr>
        <w:pStyle w:val="BodyText"/>
        <w:spacing w:before="7"/>
      </w:pPr>
      <w:r>
        <w:rPr/>
        <w:t>金义务。</w:t>
      </w:r>
    </w:p>
    <w:p>
      <w:pPr>
        <w:pStyle w:val="BodyText"/>
        <w:spacing w:before="37"/>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15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7"/>
        <w:ind w:left="0"/>
        <w:rPr>
          <w:sz w:val="25"/>
        </w:rPr>
      </w:pPr>
    </w:p>
    <w:p>
      <w:pPr>
        <w:pStyle w:val="Heading2"/>
        <w:tabs>
          <w:tab w:pos="1197" w:val="left" w:leader="none"/>
        </w:tabs>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spacing w:before="8"/>
        <w:ind w:left="0"/>
        <w:rPr>
          <w:sz w:val="26"/>
        </w:rPr>
      </w:pPr>
    </w:p>
    <w:p>
      <w:pPr>
        <w:pStyle w:val="Heading2"/>
        <w:tabs>
          <w:tab w:pos="1197" w:val="left" w:leader="none"/>
        </w:tabs>
        <w:spacing w:before="1"/>
      </w:pPr>
      <w:bookmarkStart w:name="_bookmark20" w:id="21"/>
      <w:bookmarkEnd w:id="21"/>
      <w:r>
        <w:rPr>
          <w:b w:val="0"/>
        </w:rPr>
      </w:r>
      <w:r>
        <w:rPr/>
        <w:t>第十七条</w:t>
        <w:tab/>
        <w:t>失踪处理</w:t>
      </w:r>
    </w:p>
    <w:p>
      <w:pPr>
        <w:pStyle w:val="BodyText"/>
        <w:spacing w:line="273" w:lineRule="auto" w:before="37"/>
        <w:ind w:right="158"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0"/>
      </w:pPr>
      <w:r>
        <w:rPr/>
        <w:t>日内，向我们退还已领取的身故保险金。退还保险金后，本合同的效力由您和我们协商处理。</w:t>
      </w:r>
    </w:p>
    <w:p>
      <w:pPr>
        <w:pStyle w:val="BodyText"/>
        <w:spacing w:before="6"/>
        <w:ind w:left="0"/>
        <w:rPr>
          <w:sz w:val="24"/>
        </w:rPr>
      </w:pPr>
    </w:p>
    <w:p>
      <w:pPr>
        <w:pStyle w:val="Heading1"/>
        <w:tabs>
          <w:tab w:pos="1418" w:val="left" w:leader="none"/>
        </w:tabs>
        <w:ind w:right="40"/>
        <w:jc w:val="center"/>
      </w:pPr>
      <w:bookmarkStart w:name="_bookmark21" w:id="22"/>
      <w:bookmarkEnd w:id="22"/>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2" w:id="23"/>
      <w:bookmarkEnd w:id="23"/>
      <w:r>
        <w:rPr>
          <w:b w:val="0"/>
        </w:rPr>
      </w:r>
      <w:r>
        <w:rPr/>
        <w:t>第十八条</w:t>
        <w:tab/>
        <w:t>保单贷款</w:t>
      </w:r>
    </w:p>
    <w:p>
      <w:pPr>
        <w:pStyle w:val="BodyText"/>
        <w:spacing w:line="261" w:lineRule="auto" w:before="37"/>
        <w:ind w:right="100" w:firstLine="420"/>
        <w:jc w:val="both"/>
      </w:pPr>
      <w:r>
        <w:rPr>
          <w:spacing w:val="-3"/>
        </w:rPr>
        <w:t>在本合同犹豫期之后，如果本合同具有现金价值，经被保险人书面同意，您可以向我们申请保单贷款。保单贷款的最高金额不超过本合同当时所具有的</w:t>
      </w:r>
      <w:r>
        <w:rPr>
          <w:b/>
        </w:rPr>
        <w:t>现金价值净额</w:t>
      </w:r>
      <w:r>
        <w:rPr>
          <w:rFonts w:ascii="Times New Roman" w:eastAsia="Times New Roman"/>
          <w:b/>
          <w:vertAlign w:val="superscript"/>
        </w:rPr>
        <w:t>25</w:t>
      </w:r>
      <w:r>
        <w:rPr>
          <w:rFonts w:ascii="Times New Roman" w:eastAsia="Times New Roman"/>
          <w:b/>
          <w:vertAlign w:val="baseline"/>
        </w:rPr>
      </w:r>
      <w:r>
        <w:rPr>
          <w:spacing w:val="-21"/>
          <w:vertAlign w:val="baseline"/>
        </w:rPr>
        <w:t>的 </w:t>
      </w:r>
      <w:r>
        <w:rPr>
          <w:rFonts w:ascii="Times New Roman" w:eastAsia="Times New Roman"/>
          <w:vertAlign w:val="baseline"/>
        </w:rPr>
        <w:t>90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6"/>
          <w:vertAlign w:val="baseline"/>
        </w:rPr>
        <w:t>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2"/>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18"/>
        <w:ind w:right="159" w:firstLine="420"/>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7"/>
        <w:ind w:right="160"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，且本合同的现金价值净额大于零，未偿</w:t>
      </w:r>
    </w:p>
    <w:p>
      <w:pPr>
        <w:pStyle w:val="BodyText"/>
        <w:spacing w:line="256" w:lineRule="auto"/>
        <w:ind w:right="11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line="273" w:lineRule="auto" w:before="34"/>
        <w:ind w:right="160" w:firstLine="420"/>
      </w:pPr>
      <w:r>
        <w:rPr/>
        <w:t>您可以在保单贷款期满时，或保单贷款期满前偿还全部或部分的贷款及累积利息，还款将首先用于偿还累积利息，然后用于偿还贷款本金。</w:t>
      </w:r>
    </w:p>
    <w:p>
      <w:pPr>
        <w:pStyle w:val="BodyText"/>
        <w:spacing w:line="273" w:lineRule="auto" w:before="7"/>
        <w:ind w:right="160" w:firstLine="420"/>
      </w:pPr>
      <w:r>
        <w:rPr/>
        <w:t>当本合同的现金价值净额小于或等于零时，本合同的效力中止。但因我们给付第一次重大疾病保险金导致现金价值降为零的情况除外。</w:t>
      </w:r>
    </w:p>
    <w:p>
      <w:pPr>
        <w:pStyle w:val="BodyText"/>
        <w:spacing w:before="5"/>
        <w:ind w:left="0"/>
        <w:rPr>
          <w:sz w:val="24"/>
        </w:rPr>
      </w:pPr>
    </w:p>
    <w:p>
      <w:pPr>
        <w:pStyle w:val="Heading2"/>
        <w:tabs>
          <w:tab w:pos="1197" w:val="left" w:leader="none"/>
        </w:tabs>
      </w:pPr>
      <w:bookmarkStart w:name="_bookmark23" w:id="24"/>
      <w:bookmarkEnd w:id="24"/>
      <w:r>
        <w:rPr>
          <w:b w:val="0"/>
        </w:rPr>
      </w:r>
      <w:r>
        <w:rPr/>
        <w:t>第十九条</w:t>
        <w:tab/>
        <w:t>年金转换权</w:t>
      </w:r>
    </w:p>
    <w:p>
      <w:pPr>
        <w:pStyle w:val="BodyText"/>
        <w:spacing w:line="273" w:lineRule="auto" w:before="37"/>
        <w:ind w:left="538" w:right="188"/>
      </w:pPr>
      <w:r>
        <w:rPr/>
        <w:t>您或者受益人与我们协商同意后，有权按以下方式申请订立我们当时提供的保险金转换年金保险合同： 方式一：受益人在申请本合同的保险金时，可将保险金全部或部分转换成年金。</w:t>
      </w:r>
    </w:p>
    <w:p>
      <w:pPr>
        <w:pStyle w:val="BodyText"/>
        <w:spacing w:before="7"/>
        <w:ind w:left="0"/>
        <w:rPr>
          <w:sz w:val="27"/>
        </w:rPr>
      </w:pPr>
      <w:r>
        <w:rPr/>
        <w:pict>
          <v:line style="position:absolute;mso-position-horizontal-relative:page;mso-position-vertical-relative:paragraph;z-index:1168;mso-wrap-distance-left:0;mso-wrap-distance-right:0" from="53.880001pt,20.218046pt" to="197.930001pt,20.218046pt" stroked="true" strokeweight=".48004pt" strokecolor="#000000">
            <v:stroke dashstyle="solid"/>
            <w10:wrap type="topAndBottom"/>
          </v:line>
        </w:pict>
      </w:r>
    </w:p>
    <w:p>
      <w:pPr>
        <w:pStyle w:val="BodyText"/>
        <w:spacing w:before="56"/>
        <w:rPr>
          <w:rFonts w:ascii="楷体" w:eastAsia="楷体" w:hint="eastAsia"/>
        </w:rPr>
      </w:pPr>
      <w:r>
        <w:rPr>
          <w:rFonts w:ascii="Times New Roman" w:eastAsia="Times New Roman"/>
          <w:position w:val="10"/>
          <w:sz w:val="14"/>
        </w:rPr>
        <w:t>25</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before="36"/>
        <w:rPr>
          <w:rFonts w:ascii="楷体" w:eastAsia="楷体" w:hint="eastAsia"/>
        </w:rPr>
      </w:pPr>
      <w:r>
        <w:rPr>
          <w:rFonts w:ascii="楷体" w:eastAsia="楷体" w:hint="eastAsia"/>
        </w:rPr>
        <w:t>额。</w:t>
      </w:r>
    </w:p>
    <w:p>
      <w:pPr>
        <w:pStyle w:val="BodyText"/>
        <w:spacing w:line="273" w:lineRule="exact" w:before="15"/>
        <w:rPr>
          <w:rFonts w:ascii="楷体" w:eastAsia="楷体" w:hint="eastAsia"/>
        </w:rPr>
      </w:pPr>
      <w:r>
        <w:rPr>
          <w:rFonts w:ascii="Times New Roman" w:eastAsia="Times New Roman"/>
          <w:position w:val="10"/>
          <w:sz w:val="14"/>
        </w:rPr>
        <w:t>26</w:t>
      </w:r>
      <w:r>
        <w:rPr>
          <w:rFonts w:ascii="楷体" w:eastAsia="楷体" w:hint="eastAsia"/>
          <w:b/>
        </w:rPr>
        <w:t>累积利息：</w:t>
      </w:r>
      <w:r>
        <w:rPr>
          <w:rFonts w:ascii="楷体" w:eastAsia="楷体" w:hint="eastAsia"/>
        </w:rPr>
        <w:t>指根据我们确定的保单贷款利率计算的金额。如果本合同有欠交的保险费或保单贷款，我们将</w:t>
      </w:r>
    </w:p>
    <w:p>
      <w:pPr>
        <w:pStyle w:val="BodyText"/>
        <w:spacing w:line="273" w:lineRule="exact"/>
        <w:rPr>
          <w:rFonts w:ascii="楷体" w:eastAsia="楷体" w:hint="eastAsia"/>
        </w:rPr>
      </w:pPr>
      <w:r>
        <w:rPr>
          <w:rFonts w:ascii="楷体" w:eastAsia="楷体" w:hint="eastAsia"/>
        </w:rPr>
        <w:t>每半年复利计息一次。</w:t>
      </w:r>
    </w:p>
    <w:p>
      <w:pPr>
        <w:spacing w:after="0" w:line="273" w:lineRule="exact"/>
        <w:rPr>
          <w:rFonts w:ascii="楷体" w:eastAsia="楷体" w:hint="eastAsia"/>
        </w:rPr>
        <w:sectPr>
          <w:pgSz w:w="11910" w:h="16160"/>
          <w:pgMar w:header="0" w:footer="631" w:top="1360" w:bottom="880" w:left="960" w:right="760"/>
        </w:sectPr>
      </w:pPr>
    </w:p>
    <w:p>
      <w:pPr>
        <w:pStyle w:val="BodyText"/>
        <w:spacing w:line="256" w:lineRule="auto" w:before="27"/>
        <w:ind w:right="115" w:firstLine="420"/>
      </w:pPr>
      <w:r>
        <w:rPr>
          <w:spacing w:val="-9"/>
        </w:rPr>
        <w:t>方式二：本合同生效第 </w:t>
      </w:r>
      <w:r>
        <w:rPr>
          <w:rFonts w:ascii="Times New Roman" w:eastAsia="Times New Roman"/>
        </w:rPr>
        <w:t>20 </w:t>
      </w:r>
      <w:r>
        <w:rPr>
          <w:spacing w:val="-7"/>
        </w:rPr>
        <w:t>个保险单周年日之后，如果您申请解除本合同，或依据我们届时的相关政策进行</w:t>
      </w:r>
      <w:r>
        <w:rPr>
          <w:b/>
          <w:spacing w:val="-7"/>
        </w:rPr>
        <w:t>减保</w:t>
      </w:r>
      <w:r>
        <w:rPr>
          <w:rFonts w:ascii="Times New Roman" w:eastAsia="Times New Roman"/>
          <w:b/>
          <w:spacing w:val="-7"/>
          <w:vertAlign w:val="superscript"/>
        </w:rPr>
        <w:t>27</w:t>
      </w:r>
      <w:r>
        <w:rPr>
          <w:rFonts w:ascii="Times New Roman" w:eastAsia="Times New Roman"/>
          <w:b/>
          <w:spacing w:val="-7"/>
          <w:vertAlign w:val="baseline"/>
        </w:rPr>
      </w:r>
      <w:r>
        <w:rPr>
          <w:spacing w:val="-5"/>
          <w:vertAlign w:val="baseline"/>
        </w:rPr>
        <w:t>，您可将我们所退还的现金价值全部或部分转换成年金。</w:t>
      </w:r>
    </w:p>
    <w:p>
      <w:pPr>
        <w:pStyle w:val="BodyText"/>
        <w:spacing w:before="4"/>
        <w:ind w:left="538"/>
      </w:pPr>
      <w:r>
        <w:rPr/>
        <w:t>申请转换的保险金、现金价值总额不得低于转换当时我们规定的最低限额。</w:t>
      </w:r>
    </w:p>
    <w:p>
      <w:pPr>
        <w:pStyle w:val="BodyText"/>
        <w:spacing w:before="8"/>
        <w:ind w:left="0"/>
        <w:rPr>
          <w:sz w:val="26"/>
        </w:rPr>
      </w:pPr>
    </w:p>
    <w:p>
      <w:pPr>
        <w:pStyle w:val="Heading2"/>
        <w:tabs>
          <w:tab w:pos="1197" w:val="left" w:leader="none"/>
        </w:tabs>
      </w:pPr>
      <w:bookmarkStart w:name="_bookmark24" w:id="25"/>
      <w:bookmarkEnd w:id="25"/>
      <w:r>
        <w:rPr>
          <w:b w:val="0"/>
        </w:rPr>
      </w:r>
      <w:r>
        <w:rPr/>
        <w:t>第二十条</w:t>
        <w:tab/>
        <w:t>合同内容的变更权</w:t>
      </w:r>
    </w:p>
    <w:p>
      <w:pPr>
        <w:pStyle w:val="BodyText"/>
        <w:spacing w:line="273" w:lineRule="auto" w:before="36"/>
        <w:ind w:right="120" w:firstLine="420"/>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pPr>
      <w:bookmarkStart w:name="_bookmark25" w:id="26"/>
      <w:bookmarkEnd w:id="26"/>
      <w:r>
        <w:rPr>
          <w:b w:val="0"/>
        </w:rPr>
      </w:r>
      <w:r>
        <w:rPr/>
        <w:t>第二十一条合同效力的中止与恢复</w:t>
      </w:r>
    </w:p>
    <w:p>
      <w:pPr>
        <w:spacing w:before="37"/>
        <w:ind w:left="538" w:right="0" w:firstLine="0"/>
        <w:jc w:val="left"/>
        <w:rPr>
          <w:b/>
          <w:sz w:val="21"/>
        </w:rPr>
      </w:pPr>
      <w:r>
        <w:rPr>
          <w:b/>
          <w:sz w:val="21"/>
        </w:rPr>
        <w:t>在本合同效力中止期间，我们不承担保险责任。</w:t>
      </w:r>
    </w:p>
    <w:p>
      <w:pPr>
        <w:spacing w:line="256" w:lineRule="auto" w:before="37"/>
        <w:ind w:left="117" w:right="115"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关如实告知义务的具体内容及相应责任，参见本合同第二十四条</w:t>
      </w:r>
      <w:r>
        <w:rPr>
          <w:spacing w:val="-108"/>
          <w:sz w:val="21"/>
        </w:rPr>
        <w:t>）。</w:t>
      </w:r>
    </w:p>
    <w:p>
      <w:pPr>
        <w:pStyle w:val="BodyText"/>
        <w:spacing w:line="273" w:lineRule="auto" w:before="23"/>
        <w:ind w:right="120" w:firstLine="420"/>
      </w:pPr>
      <w:r>
        <w:rPr/>
        <w:t>因欠交保险费导致合同效力中止的，经我们与您协商并达成协议，在您补交保险费及累积利息之日起， 合同效力恢复。</w:t>
      </w:r>
    </w:p>
    <w:p>
      <w:pPr>
        <w:pStyle w:val="BodyText"/>
        <w:spacing w:line="273" w:lineRule="auto" w:before="7"/>
        <w:ind w:right="12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ind w:left="0"/>
        <w:rPr>
          <w:sz w:val="25"/>
        </w:rPr>
      </w:pPr>
    </w:p>
    <w:p>
      <w:pPr>
        <w:pStyle w:val="Heading2"/>
      </w:pPr>
      <w:r>
        <w:rPr/>
        <w:t>第二十二条 犹豫期</w:t>
      </w:r>
    </w:p>
    <w:p>
      <w:pPr>
        <w:pStyle w:val="BodyText"/>
        <w:spacing w:before="37"/>
        <w:ind w:left="538"/>
      </w:pPr>
      <w:r>
        <w:rPr/>
        <w:t>您在收到本合同并书面签收之日起可享有 </w:t>
      </w:r>
      <w:r>
        <w:rPr>
          <w:rFonts w:ascii="Times New Roman" w:eastAsia="Times New Roman"/>
        </w:rPr>
        <w:t>10 </w:t>
      </w:r>
      <w:r>
        <w:rPr/>
        <w:t>日的犹豫期，在犹豫期内要求解除本合同的，在我们收齐相</w:t>
      </w:r>
    </w:p>
    <w:p>
      <w:pPr>
        <w:pStyle w:val="BodyText"/>
        <w:spacing w:line="256" w:lineRule="auto" w:before="21"/>
        <w:ind w:right="112"/>
      </w:pPr>
      <w:r>
        <w:rPr>
          <w:spacing w:val="-6"/>
        </w:rPr>
        <w:t>关文件和资料的次日零时，本合同即被解除，</w:t>
      </w:r>
      <w:r>
        <w:rPr>
          <w:b/>
        </w:rPr>
        <w:t>我们自始不承担保险责任</w:t>
      </w:r>
      <w:r>
        <w:rPr>
          <w:spacing w:val="-10"/>
        </w:rPr>
        <w:t>。我们在扣除 </w:t>
      </w:r>
      <w:r>
        <w:rPr>
          <w:rFonts w:ascii="Times New Roman" w:eastAsia="Times New Roman"/>
        </w:rPr>
        <w:t>10 </w:t>
      </w:r>
      <w:r>
        <w:rPr>
          <w:spacing w:val="-6"/>
        </w:rPr>
        <w:t>元工本费后，无息退</w:t>
      </w:r>
      <w:r>
        <w:rPr>
          <w:spacing w:val="-4"/>
        </w:rPr>
        <w:t>还已交保险费。</w:t>
      </w:r>
    </w:p>
    <w:p>
      <w:pPr>
        <w:pStyle w:val="BodyText"/>
        <w:spacing w:before="7"/>
        <w:ind w:left="0"/>
        <w:rPr>
          <w:sz w:val="25"/>
        </w:rPr>
      </w:pPr>
    </w:p>
    <w:p>
      <w:pPr>
        <w:pStyle w:val="Heading2"/>
      </w:pPr>
      <w:r>
        <w:rPr/>
        <w:t>第二十三条 您解除合同的手续及风险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8"/>
        <w:ind w:left="538"/>
      </w:pPr>
      <w:r>
        <w:rPr/>
        <w:t>二、您的有效身份证件。</w:t>
      </w:r>
    </w:p>
    <w:p>
      <w:pPr>
        <w:pStyle w:val="BodyText"/>
        <w:spacing w:line="256" w:lineRule="auto" w:before="37"/>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8" w:id="27"/>
      <w:bookmarkEnd w:id="27"/>
      <w:r>
        <w:rPr>
          <w:b w:val="0"/>
        </w:rPr>
      </w:r>
      <w:r>
        <w:rPr/>
        <w:t>第六部分</w:t>
        <w:tab/>
      </w:r>
      <w:r>
        <w:rPr>
          <w:w w:val="95"/>
        </w:rPr>
        <w:t>您必须了解的其他事项</w:t>
      </w:r>
    </w:p>
    <w:p>
      <w:pPr>
        <w:pStyle w:val="BodyText"/>
        <w:spacing w:before="11"/>
        <w:ind w:left="0"/>
        <w:rPr>
          <w:b/>
          <w:sz w:val="25"/>
        </w:rPr>
      </w:pPr>
    </w:p>
    <w:p>
      <w:pPr>
        <w:pStyle w:val="Heading2"/>
        <w:tabs>
          <w:tab w:pos="1394" w:val="left" w:leader="none"/>
        </w:tabs>
      </w:pPr>
      <w:bookmarkStart w:name="_bookmark29" w:id="28"/>
      <w:bookmarkEnd w:id="28"/>
      <w:r>
        <w:rPr>
          <w:b w:val="0"/>
        </w:rPr>
      </w:r>
      <w:r>
        <w:rPr/>
        <w:t>第二十四条</w:t>
        <w:tab/>
        <w:t>明确说明与如实告知</w:t>
      </w:r>
    </w:p>
    <w:p>
      <w:pPr>
        <w:pStyle w:val="BodyText"/>
        <w:spacing w:before="44"/>
        <w:ind w:left="538"/>
      </w:pPr>
      <w:r>
        <w:rPr/>
        <w:t>订立本合同时，我们应向您说明本合同的内容。</w:t>
      </w:r>
    </w:p>
    <w:p>
      <w:pPr>
        <w:pStyle w:val="BodyText"/>
        <w:spacing w:line="261" w:lineRule="auto" w:before="25"/>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38"/>
      </w:pPr>
      <w:r>
        <w:rPr/>
        <w:t>我们就您和被保险人的有关情况提出询问，您应当如实告知。</w:t>
      </w:r>
    </w:p>
    <w:p>
      <w:pPr>
        <w:spacing w:line="261" w:lineRule="auto" w:before="25"/>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pStyle w:val="BodyText"/>
        <w:ind w:left="0"/>
        <w:rPr>
          <w:b/>
          <w:sz w:val="20"/>
        </w:rPr>
      </w:pPr>
    </w:p>
    <w:p>
      <w:pPr>
        <w:pStyle w:val="BodyText"/>
        <w:spacing w:before="4"/>
        <w:ind w:left="0"/>
        <w:rPr>
          <w:b/>
          <w:sz w:val="10"/>
        </w:rPr>
      </w:pPr>
      <w:r>
        <w:rPr/>
        <w:pict>
          <v:line style="position:absolute;mso-position-horizontal-relative:page;mso-position-vertical-relative:paragraph;z-index:1192;mso-wrap-distance-left:0;mso-wrap-distance-right:0" from="53.880001pt,8.976545pt" to="197.930001pt,8.976545pt" stroked="true" strokeweight=".48004pt" strokecolor="#000000">
            <v:stroke dashstyle="solid"/>
            <w10:wrap type="topAndBottom"/>
          </v:line>
        </w:pict>
      </w:r>
    </w:p>
    <w:p>
      <w:pPr>
        <w:pStyle w:val="BodyText"/>
        <w:spacing w:before="32"/>
        <w:rPr>
          <w:rFonts w:ascii="楷体" w:eastAsia="楷体" w:hint="eastAsia"/>
        </w:rPr>
      </w:pPr>
      <w:r>
        <w:rPr>
          <w:rFonts w:ascii="Times New Roman" w:eastAsia="Times New Roman"/>
          <w:position w:val="10"/>
          <w:sz w:val="14"/>
        </w:rPr>
        <w:t>27</w:t>
      </w:r>
      <w:r>
        <w:rPr>
          <w:rFonts w:ascii="楷体" w:eastAsia="楷体" w:hint="eastAsia"/>
          <w:b/>
        </w:rPr>
        <w:t>减保：</w:t>
      </w:r>
      <w:r>
        <w:rPr>
          <w:rFonts w:ascii="楷体" w:eastAsia="楷体" w:hint="eastAsia"/>
        </w:rPr>
        <w:t>是指将本合同的基本保险金额减少，我们将退还减少部分对应的现金价值。</w:t>
      </w:r>
    </w:p>
    <w:p>
      <w:pPr>
        <w:spacing w:after="0"/>
        <w:rPr>
          <w:rFonts w:ascii="楷体" w:eastAsia="楷体" w:hint="eastAsia"/>
        </w:rPr>
        <w:sectPr>
          <w:pgSz w:w="11910" w:h="16160"/>
          <w:pgMar w:header="0" w:footer="631" w:top="1340" w:bottom="880" w:left="960" w:right="800"/>
        </w:sectPr>
      </w:pPr>
    </w:p>
    <w:p>
      <w:pPr>
        <w:spacing w:line="261" w:lineRule="auto" w:before="14"/>
        <w:ind w:left="117" w:right="117" w:firstLine="422"/>
        <w:jc w:val="both"/>
        <w:rPr>
          <w:b/>
          <w:sz w:val="21"/>
        </w:rPr>
      </w:pPr>
      <w:r>
        <w:rPr>
          <w:b/>
          <w:sz w:val="21"/>
        </w:rPr>
        <w:t>如果您故意不履行如实告知义务，对于本合同解除前发生的保险事故，我们不承担给付保险金的责任， 并不退还保险费。</w:t>
      </w:r>
    </w:p>
    <w:p>
      <w:pPr>
        <w:spacing w:line="261" w:lineRule="auto" w:before="5"/>
        <w:ind w:left="117" w:right="118" w:firstLine="422"/>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19" w:firstLine="410"/>
        <w:jc w:val="both"/>
      </w:pPr>
      <w:r>
        <w:rPr/>
        <w:t>我们在合同订立时已经知道您未如实告知的情况的，我们不得解除合同；发生保险事故的，我们承担给付保险金的责任。</w:t>
      </w:r>
    </w:p>
    <w:p>
      <w:pPr>
        <w:pStyle w:val="BodyText"/>
        <w:spacing w:before="7"/>
        <w:ind w:left="0"/>
        <w:rPr>
          <w:sz w:val="24"/>
        </w:rPr>
      </w:pPr>
    </w:p>
    <w:p>
      <w:pPr>
        <w:pStyle w:val="Heading2"/>
        <w:tabs>
          <w:tab w:pos="1394" w:val="left" w:leader="none"/>
        </w:tabs>
      </w:pPr>
      <w:bookmarkStart w:name="_bookmark30" w:id="29"/>
      <w:bookmarkEnd w:id="29"/>
      <w:r>
        <w:rPr>
          <w:b w:val="0"/>
        </w:rPr>
      </w:r>
      <w:r>
        <w:rPr/>
        <w:t>第二十五条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5"/>
        <w:ind w:left="0"/>
        <w:rPr>
          <w:sz w:val="25"/>
        </w:rPr>
      </w:pPr>
    </w:p>
    <w:p>
      <w:pPr>
        <w:pStyle w:val="Heading2"/>
        <w:tabs>
          <w:tab w:pos="1394" w:val="left" w:leader="none"/>
        </w:tabs>
        <w:spacing w:before="1"/>
      </w:pPr>
      <w:bookmarkStart w:name="_bookmark31" w:id="30"/>
      <w:bookmarkEnd w:id="30"/>
      <w:r>
        <w:rPr>
          <w:b w:val="0"/>
        </w:rPr>
      </w:r>
      <w:r>
        <w:rPr/>
        <w:t>第二十六条</w:t>
        <w:tab/>
        <w:t>吸烟与非吸烟的特</w:t>
      </w:r>
      <w:r>
        <w:rPr>
          <w:spacing w:val="-3"/>
        </w:rPr>
        <w:t>别</w:t>
      </w:r>
      <w:r>
        <w:rPr/>
        <w:t>告知</w:t>
      </w:r>
    </w:p>
    <w:p>
      <w:pPr>
        <w:spacing w:line="264" w:lineRule="auto" w:before="38"/>
        <w:ind w:left="117" w:right="116" w:firstLine="420"/>
        <w:jc w:val="both"/>
        <w:rPr>
          <w:b/>
          <w:sz w:val="21"/>
        </w:rPr>
      </w:pPr>
      <w:r>
        <w:rPr>
          <w:spacing w:val="-5"/>
          <w:sz w:val="21"/>
        </w:rPr>
        <w:t>在您申请投保时，如果被保险人的年龄已满 </w:t>
      </w:r>
      <w:r>
        <w:rPr>
          <w:rFonts w:ascii="Times New Roman" w:hAnsi="Times New Roman" w:eastAsia="Times New Roman"/>
          <w:sz w:val="21"/>
        </w:rPr>
        <w:t>16 </w:t>
      </w:r>
      <w:r>
        <w:rPr>
          <w:spacing w:val="-3"/>
          <w:sz w:val="21"/>
        </w:rPr>
        <w:t>周岁，对于投保单上提出的有关被保险人吸烟或</w:t>
      </w:r>
      <w:r>
        <w:rPr>
          <w:b/>
          <w:sz w:val="21"/>
        </w:rPr>
        <w:t>非吸烟</w:t>
      </w:r>
      <w:r>
        <w:rPr>
          <w:rFonts w:ascii="Times New Roman" w:hAnsi="Times New Roman" w:eastAsia="Times New Roman"/>
          <w:b/>
          <w:sz w:val="21"/>
          <w:vertAlign w:val="superscript"/>
        </w:rPr>
        <w:t>28</w:t>
      </w:r>
      <w:r>
        <w:rPr>
          <w:rFonts w:ascii="Times New Roman" w:hAnsi="Times New Roman" w:eastAsia="Times New Roman"/>
          <w:b/>
          <w:sz w:val="21"/>
          <w:vertAlign w:val="superscript"/>
        </w:rPr>
        <w:t> </w:t>
      </w:r>
      <w:r>
        <w:rPr>
          <w:rFonts w:ascii="Times New Roman" w:hAnsi="Times New Roman" w:eastAsia="Times New Roman"/>
          <w:b/>
          <w:sz w:val="21"/>
          <w:vertAlign w:val="baseline"/>
        </w:rPr>
      </w:r>
      <w:r>
        <w:rPr>
          <w:spacing w:val="-3"/>
          <w:sz w:val="21"/>
          <w:vertAlign w:val="baseline"/>
        </w:rPr>
        <w:t>的问题，您或被保险人应当如实书面告知，</w:t>
      </w:r>
      <w:r>
        <w:rPr>
          <w:b/>
          <w:sz w:val="21"/>
          <w:vertAlign w:val="baseline"/>
        </w:rPr>
        <w:t>如果您或被保险人故意不履行或因过失未履行本项告知义务，我</w:t>
      </w:r>
      <w:r>
        <w:rPr>
          <w:b/>
          <w:spacing w:val="-3"/>
          <w:sz w:val="21"/>
          <w:vertAlign w:val="baseline"/>
        </w:rPr>
        <w:t>们将按照本合同“明确说明与如实告知”的相关规定处理。</w:t>
      </w:r>
    </w:p>
    <w:p>
      <w:pPr>
        <w:pStyle w:val="BodyText"/>
        <w:spacing w:before="1"/>
        <w:ind w:left="0"/>
        <w:rPr>
          <w:b/>
          <w:sz w:val="25"/>
        </w:rPr>
      </w:pPr>
    </w:p>
    <w:p>
      <w:pPr>
        <w:pStyle w:val="Heading2"/>
        <w:tabs>
          <w:tab w:pos="1394" w:val="left" w:leader="none"/>
        </w:tabs>
      </w:pPr>
      <w:bookmarkStart w:name="_bookmark32" w:id="31"/>
      <w:bookmarkEnd w:id="31"/>
      <w:r>
        <w:rPr>
          <w:b w:val="0"/>
        </w:rPr>
      </w:r>
      <w:r>
        <w:rPr/>
        <w:t>第二十七条</w:t>
        <w:tab/>
        <w:t>年龄错误</w:t>
      </w:r>
    </w:p>
    <w:p>
      <w:pPr>
        <w:pStyle w:val="BodyText"/>
        <w:spacing w:line="273" w:lineRule="auto" w:before="37"/>
        <w:ind w:right="120" w:firstLine="420"/>
        <w:jc w:val="both"/>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7"/>
        <w:ind w:left="117" w:right="120" w:firstLine="420"/>
        <w:jc w:val="both"/>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3" w:id="32"/>
      <w:bookmarkEnd w:id="32"/>
      <w:r>
        <w:rPr>
          <w:b w:val="0"/>
        </w:rPr>
      </w:r>
      <w:r>
        <w:rPr/>
        <w:t>第二十八条</w:t>
        <w:tab/>
        <w:t>性别错误</w:t>
      </w:r>
    </w:p>
    <w:p>
      <w:pPr>
        <w:pStyle w:val="BodyText"/>
        <w:spacing w:line="273" w:lineRule="auto" w:before="37"/>
        <w:ind w:right="120" w:firstLine="420"/>
        <w:jc w:val="both"/>
      </w:pPr>
      <w:r>
        <w:rPr/>
        <w:t>您在申请投保时，应将与有效身份证件相符的被保险人的性别在投保单上填明，如果发生错误按照下列方式办理：</w:t>
      </w:r>
    </w:p>
    <w:p>
      <w:pPr>
        <w:spacing w:line="273" w:lineRule="auto" w:before="7"/>
        <w:ind w:left="117" w:right="120" w:firstLine="420"/>
        <w:jc w:val="both"/>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二、您申报的被保险人性别不真实，致使您实付保险费多于应付保险费的，我们会将多收的保险费退还给您。</w:t>
      </w:r>
    </w:p>
    <w:p>
      <w:pPr>
        <w:pStyle w:val="BodyText"/>
        <w:spacing w:before="6"/>
        <w:ind w:left="0"/>
        <w:rPr>
          <w:sz w:val="24"/>
        </w:rPr>
      </w:pPr>
    </w:p>
    <w:p>
      <w:pPr>
        <w:pStyle w:val="Heading2"/>
        <w:tabs>
          <w:tab w:pos="1394" w:val="left" w:leader="none"/>
        </w:tabs>
      </w:pPr>
      <w:bookmarkStart w:name="_bookmark34" w:id="33"/>
      <w:bookmarkEnd w:id="33"/>
      <w:r>
        <w:rPr>
          <w:b w:val="0"/>
        </w:rPr>
      </w:r>
      <w:r>
        <w:rPr/>
        <w:t>第二十九条</w:t>
        <w:tab/>
        <w:t>未还款项</w:t>
      </w:r>
    </w:p>
    <w:p>
      <w:pPr>
        <w:pStyle w:val="BodyText"/>
        <w:spacing w:line="273" w:lineRule="auto" w:before="37"/>
        <w:ind w:right="14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pStyle w:val="BodyText"/>
        <w:spacing w:before="5"/>
        <w:ind w:left="0"/>
        <w:rPr>
          <w:sz w:val="24"/>
        </w:rPr>
      </w:pPr>
    </w:p>
    <w:p>
      <w:pPr>
        <w:pStyle w:val="Heading2"/>
        <w:tabs>
          <w:tab w:pos="1394" w:val="left" w:leader="none"/>
        </w:tabs>
      </w:pPr>
      <w:bookmarkStart w:name="_bookmark35" w:id="34"/>
      <w:bookmarkEnd w:id="34"/>
      <w:r>
        <w:rPr>
          <w:b w:val="0"/>
        </w:rPr>
      </w:r>
      <w:r>
        <w:rPr/>
        <w:t>第三十条</w:t>
        <w:tab/>
        <w:t>保险合同的终止</w:t>
      </w:r>
    </w:p>
    <w:p>
      <w:pPr>
        <w:pStyle w:val="BodyText"/>
        <w:spacing w:before="36"/>
        <w:ind w:left="538"/>
      </w:pPr>
      <w:r>
        <w:rPr/>
        <w:t>除本合同另有约定外，本合同在发生下列情况之一时自动终止：</w:t>
      </w:r>
    </w:p>
    <w:p>
      <w:pPr>
        <w:pStyle w:val="BodyText"/>
        <w:spacing w:before="7"/>
        <w:ind w:left="0"/>
        <w:rPr>
          <w:sz w:val="9"/>
        </w:rPr>
      </w:pPr>
      <w:r>
        <w:rPr/>
        <w:pict>
          <v:line style="position:absolute;mso-position-horizontal-relative:page;mso-position-vertical-relative:paragraph;z-index:1216;mso-wrap-distance-left:0;mso-wrap-distance-right:0" from="53.880001pt,8.463482pt" to="197.930001pt,8.463482pt" stroked="true" strokeweight=".47998pt" strokecolor="#000000">
            <v:stroke dashstyle="solid"/>
            <w10:wrap type="topAndBottom"/>
          </v:line>
        </w:pict>
      </w:r>
    </w:p>
    <w:p>
      <w:pPr>
        <w:pStyle w:val="BodyText"/>
        <w:spacing w:line="223" w:lineRule="auto" w:before="55"/>
        <w:ind w:right="53"/>
        <w:rPr>
          <w:rFonts w:ascii="楷体" w:eastAsia="楷体" w:hint="eastAsia"/>
        </w:rPr>
      </w:pPr>
      <w:r>
        <w:rPr>
          <w:rFonts w:ascii="Times New Roman" w:eastAsia="Times New Roman"/>
          <w:position w:val="10"/>
          <w:sz w:val="14"/>
        </w:rPr>
        <w:t>28</w:t>
      </w:r>
      <w:r>
        <w:rPr>
          <w:rFonts w:ascii="楷体" w:eastAsia="楷体" w:hint="eastAsia"/>
          <w:b/>
        </w:rPr>
        <w:t>非吸烟：</w:t>
      </w:r>
      <w:r>
        <w:rPr>
          <w:rFonts w:ascii="楷体" w:eastAsia="楷体" w:hint="eastAsia"/>
        </w:rPr>
        <w:t>指在填写人身保险投保单之日的前 </w:t>
      </w:r>
      <w:r>
        <w:rPr>
          <w:rFonts w:ascii="Times New Roman" w:eastAsia="Times New Roman"/>
        </w:rPr>
        <w:t>12 </w:t>
      </w:r>
      <w:r>
        <w:rPr>
          <w:rFonts w:ascii="楷体" w:eastAsia="楷体" w:hint="eastAsia"/>
        </w:rPr>
        <w:t>个月内未曾有吸食任何烟草及其制品（包括香烟、卷烟、雪茄、烟斗、咀嚼烟草等）的行为。</w:t>
      </w:r>
    </w:p>
    <w:p>
      <w:pPr>
        <w:spacing w:after="0" w:line="223" w:lineRule="auto"/>
        <w:rPr>
          <w:rFonts w:ascii="楷体" w:eastAsia="楷体" w:hint="eastAsia"/>
        </w:rPr>
        <w:sectPr>
          <w:pgSz w:w="11910" w:h="16160"/>
          <w:pgMar w:header="0" w:footer="631" w:top="1360" w:bottom="880" w:left="960" w:right="800"/>
        </w:sectPr>
      </w:pPr>
    </w:p>
    <w:p>
      <w:pPr>
        <w:pStyle w:val="BodyText"/>
        <w:spacing w:line="273" w:lineRule="auto" w:before="7"/>
        <w:ind w:left="738" w:right="4529"/>
      </w:pPr>
      <w:r>
        <w:rPr/>
        <w:t>一、我们已按本合同的约定给付第三次重大疾病保险金； 二、我们已按本合同的约定给付身故保险金；</w:t>
      </w:r>
    </w:p>
    <w:p>
      <w:pPr>
        <w:pStyle w:val="BodyText"/>
        <w:spacing w:before="7"/>
        <w:ind w:left="738"/>
      </w:pPr>
      <w:r>
        <w:rPr/>
        <w:t>三、本合同内约定的其他终止情况。</w:t>
      </w:r>
    </w:p>
    <w:p>
      <w:pPr>
        <w:pStyle w:val="BodyText"/>
        <w:spacing w:before="8"/>
        <w:ind w:left="0"/>
        <w:rPr>
          <w:sz w:val="26"/>
        </w:rPr>
      </w:pPr>
    </w:p>
    <w:p>
      <w:pPr>
        <w:pStyle w:val="Heading2"/>
        <w:tabs>
          <w:tab w:pos="1594" w:val="left" w:leader="none"/>
        </w:tabs>
        <w:ind w:left="317"/>
      </w:pPr>
      <w:bookmarkStart w:name="_bookmark36" w:id="35"/>
      <w:bookmarkEnd w:id="35"/>
      <w:r>
        <w:rPr>
          <w:b w:val="0"/>
        </w:rPr>
      </w:r>
      <w:r>
        <w:rPr/>
        <w:t>第三十一条</w:t>
        <w:tab/>
        <w:t>联系方式的变更</w:t>
      </w:r>
    </w:p>
    <w:p>
      <w:pPr>
        <w:pStyle w:val="BodyText"/>
        <w:spacing w:line="273" w:lineRule="auto" w:before="36"/>
        <w:ind w:left="317" w:right="328" w:firstLine="420"/>
      </w:pPr>
      <w:r>
        <w:rPr/>
        <w:t>为了保障您的权益，如果您的联系方式（如联系地址、联系电话、电子邮箱等）发生变化，请及时通知我们。否则，我们将按已知的最后联系方式与您联系。</w:t>
      </w:r>
    </w:p>
    <w:p>
      <w:pPr>
        <w:pStyle w:val="BodyText"/>
        <w:spacing w:before="6"/>
        <w:ind w:left="0"/>
        <w:rPr>
          <w:sz w:val="23"/>
        </w:rPr>
      </w:pPr>
    </w:p>
    <w:p>
      <w:pPr>
        <w:pStyle w:val="Heading2"/>
        <w:tabs>
          <w:tab w:pos="1594" w:val="left" w:leader="none"/>
        </w:tabs>
        <w:ind w:left="317"/>
      </w:pPr>
      <w:bookmarkStart w:name="_bookmark37" w:id="36"/>
      <w:bookmarkEnd w:id="36"/>
      <w:r>
        <w:rPr>
          <w:b w:val="0"/>
        </w:rPr>
      </w:r>
      <w:r>
        <w:rPr/>
        <w:t>第三十二条</w:t>
        <w:tab/>
        <w:t>争议处理</w:t>
      </w:r>
    </w:p>
    <w:p>
      <w:pPr>
        <w:pStyle w:val="BodyText"/>
        <w:spacing w:before="44"/>
        <w:ind w:left="738"/>
      </w:pPr>
      <w:r>
        <w:rPr/>
        <w:t>在合同履行过程中，双方发生争议时，可以从下列两种方式中选择一种争议处理方式：</w:t>
      </w:r>
    </w:p>
    <w:p>
      <w:pPr>
        <w:pStyle w:val="BodyText"/>
        <w:spacing w:line="261" w:lineRule="auto" w:before="25"/>
        <w:ind w:left="738" w:right="53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6"/>
        <w:ind w:left="738"/>
      </w:pPr>
      <w:r>
        <w:rPr/>
        <w:t>如果双方选择仲裁方式，应当达成仲裁协议并明确约定仲裁事项、仲裁机构。</w:t>
      </w:r>
    </w:p>
    <w:p>
      <w:pPr>
        <w:pStyle w:val="BodyText"/>
        <w:spacing w:before="3"/>
        <w:ind w:left="0"/>
        <w:rPr>
          <w:sz w:val="24"/>
        </w:rPr>
      </w:pPr>
    </w:p>
    <w:p>
      <w:pPr>
        <w:pStyle w:val="Heading2"/>
        <w:ind w:left="317"/>
      </w:pPr>
      <w:bookmarkStart w:name="_bookmark38" w:id="37"/>
      <w:bookmarkEnd w:id="37"/>
      <w:r>
        <w:rPr>
          <w:b w:val="0"/>
        </w:rPr>
      </w:r>
      <w:r>
        <w:rPr/>
        <w:t>第三十三条 特定疾病的定义</w:t>
      </w:r>
    </w:p>
    <w:p>
      <w:pPr>
        <w:pStyle w:val="BodyText"/>
        <w:spacing w:line="256" w:lineRule="auto" w:before="37"/>
        <w:ind w:left="317" w:right="301" w:firstLine="420"/>
      </w:pPr>
      <w:r>
        <w:rPr/>
        <w:t>本合同所保障的特定疾病，是指被保险人经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9</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本合同所保障的特定疾病共 </w:t>
      </w:r>
      <w:r>
        <w:rPr>
          <w:rFonts w:ascii="Times New Roman" w:eastAsia="Times New Roman"/>
        </w:rPr>
        <w:t>14 </w:t>
      </w:r>
      <w:r>
        <w:rPr/>
        <w:t>种。</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29"/>
      </w:tblGrid>
      <w:tr>
        <w:trPr>
          <w:trHeight w:val="1210" w:hRule="atLeast"/>
        </w:trPr>
        <w:tc>
          <w:tcPr>
            <w:tcW w:w="421" w:type="dxa"/>
          </w:tcPr>
          <w:p>
            <w:pPr>
              <w:pStyle w:val="TableParagraph"/>
              <w:spacing w:line="234" w:lineRule="exact"/>
              <w:ind w:left="0"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29" w:type="dxa"/>
          </w:tcPr>
          <w:p>
            <w:pPr>
              <w:pStyle w:val="TableParagraph"/>
              <w:spacing w:line="220" w:lineRule="exact"/>
              <w:rPr>
                <w:sz w:val="21"/>
              </w:rPr>
            </w:pPr>
            <w:r>
              <w:rPr>
                <w:sz w:val="21"/>
              </w:rPr>
              <w:t>指被保险人被确诊为糖尿病，并且出现以下任意一项并发症：</w:t>
            </w:r>
          </w:p>
          <w:p>
            <w:pPr>
              <w:pStyle w:val="TableParagraph"/>
              <w:spacing w:before="37"/>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z w:val="21"/>
              </w:rPr>
              <w:t> </w:t>
            </w:r>
            <w:r>
              <w:rPr>
                <w:spacing w:val="-16"/>
                <w:w w:val="100"/>
                <w:sz w:val="21"/>
              </w:rPr>
              <w:t>或肾小球滤过率</w:t>
            </w:r>
            <w:r>
              <w:rPr>
                <w:spacing w:val="-2"/>
                <w:w w:val="100"/>
                <w:sz w:val="21"/>
              </w:rPr>
              <w:t>（</w:t>
            </w:r>
            <w:r>
              <w:rPr>
                <w:rFonts w:ascii="Times New Roman" w:hAnsi="Times New Roman" w:eastAsia="Times New Roman"/>
                <w:spacing w:val="0"/>
                <w:w w:val="100"/>
                <w:sz w:val="21"/>
              </w:rPr>
              <w:t>G</w:t>
            </w:r>
            <w:r>
              <w:rPr>
                <w:rFonts w:ascii="Times New Roman" w:hAnsi="Times New Roman" w:eastAsia="Times New Roman"/>
                <w:spacing w:val="-5"/>
                <w:w w:val="100"/>
                <w:sz w:val="21"/>
              </w:rPr>
              <w:t>F</w:t>
            </w:r>
            <w:r>
              <w:rPr>
                <w:rFonts w:ascii="Times New Roman" w:hAnsi="Times New Roman" w:eastAsia="Times New Roman"/>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2488" w:hRule="atLeast"/>
        </w:trPr>
        <w:tc>
          <w:tcPr>
            <w:tcW w:w="421" w:type="dxa"/>
          </w:tcPr>
          <w:p>
            <w:pPr>
              <w:pStyle w:val="TableParagraph"/>
              <w:spacing w:before="30"/>
              <w:ind w:left="0"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29" w:type="dxa"/>
          </w:tcPr>
          <w:p>
            <w:pPr>
              <w:pStyle w:val="TableParagraph"/>
              <w:spacing w:line="258" w:lineRule="exact"/>
              <w:rPr>
                <w:sz w:val="21"/>
              </w:rPr>
            </w:pPr>
            <w:r>
              <w:rPr>
                <w:sz w:val="21"/>
              </w:rPr>
              <w:t>指被保险人经组织病理学检查被明确诊断为下列恶性病变，并且接受了相</w:t>
            </w:r>
          </w:p>
          <w:p>
            <w:pPr>
              <w:pStyle w:val="TableParagraph"/>
              <w:spacing w:before="37"/>
              <w:rPr>
                <w:sz w:val="21"/>
              </w:rPr>
            </w:pPr>
            <w:r>
              <w:rPr>
                <w:sz w:val="21"/>
              </w:rPr>
              <w:t>应的治疗。</w:t>
            </w:r>
          </w:p>
          <w:p>
            <w:pPr>
              <w:pStyle w:val="TableParagraph"/>
              <w:spacing w:before="36"/>
              <w:rPr>
                <w:sz w:val="21"/>
              </w:rPr>
            </w:pPr>
            <w:r>
              <w:rPr>
                <w:sz w:val="21"/>
              </w:rPr>
              <w:t>（</w:t>
            </w:r>
            <w:r>
              <w:rPr>
                <w:rFonts w:ascii="Times New Roman" w:eastAsia="Times New Roman"/>
                <w:sz w:val="21"/>
              </w:rPr>
              <w:t>1</w:t>
            </w:r>
            <w:r>
              <w:rPr>
                <w:sz w:val="21"/>
              </w:rPr>
              <w:t>）原位癌；</w:t>
            </w:r>
          </w:p>
          <w:p>
            <w:pPr>
              <w:pStyle w:val="TableParagraph"/>
              <w:spacing w:before="20"/>
              <w:rPr>
                <w:sz w:val="21"/>
              </w:rPr>
            </w:pPr>
            <w:r>
              <w:rPr>
                <w:sz w:val="21"/>
              </w:rPr>
              <w:t>（</w:t>
            </w:r>
            <w:r>
              <w:rPr>
                <w:rFonts w:ascii="Times New Roman" w:eastAsia="Times New Roman"/>
                <w:sz w:val="21"/>
              </w:rPr>
              <w:t>2</w:t>
            </w:r>
            <w:r>
              <w:rPr>
                <w:sz w:val="21"/>
              </w:rPr>
              <w:t>）</w:t>
            </w:r>
            <w:r>
              <w:rPr>
                <w:spacing w:val="-14"/>
                <w:sz w:val="21"/>
              </w:rPr>
              <w:t>相当于 </w:t>
            </w:r>
            <w:r>
              <w:rPr>
                <w:rFonts w:ascii="Times New Roman" w:eastAsia="Times New Roman"/>
                <w:sz w:val="21"/>
              </w:rPr>
              <w:t>Binet </w:t>
            </w:r>
            <w:r>
              <w:rPr>
                <w:spacing w:val="-12"/>
                <w:sz w:val="21"/>
              </w:rPr>
              <w:t>分期方案 </w:t>
            </w:r>
            <w:r>
              <w:rPr>
                <w:rFonts w:ascii="Times New Roman" w:eastAsia="Times New Roman"/>
                <w:sz w:val="21"/>
              </w:rPr>
              <w:t>A </w:t>
            </w:r>
            <w:r>
              <w:rPr>
                <w:spacing w:val="-3"/>
                <w:sz w:val="21"/>
              </w:rPr>
              <w:t>期程度的慢性淋巴细胞白血病；</w:t>
            </w:r>
          </w:p>
          <w:p>
            <w:pPr>
              <w:pStyle w:val="TableParagraph"/>
              <w:spacing w:before="2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0"/>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20"/>
              <w:rPr>
                <w:b/>
                <w:sz w:val="21"/>
              </w:rPr>
            </w:pPr>
            <w:r>
              <w:rPr>
                <w:b/>
                <w:sz w:val="21"/>
              </w:rPr>
              <w:t>任何在诊断时已经超越以上阶段的癌症不在本项责任的保障范围内。</w:t>
            </w:r>
          </w:p>
        </w:tc>
      </w:tr>
      <w:tr>
        <w:trPr>
          <w:trHeight w:val="936" w:hRule="atLeast"/>
        </w:trPr>
        <w:tc>
          <w:tcPr>
            <w:tcW w:w="421" w:type="dxa"/>
          </w:tcPr>
          <w:p>
            <w:pPr>
              <w:pStyle w:val="TableParagraph"/>
              <w:spacing w:before="38"/>
              <w:ind w:left="0" w:right="60"/>
              <w:jc w:val="right"/>
              <w:rPr>
                <w:rFonts w:ascii="Times New Roman"/>
                <w:sz w:val="21"/>
              </w:rPr>
            </w:pPr>
            <w:r>
              <w:rPr>
                <w:rFonts w:ascii="Times New Roman"/>
                <w:sz w:val="21"/>
              </w:rPr>
              <w:t>3.</w:t>
            </w:r>
          </w:p>
        </w:tc>
        <w:tc>
          <w:tcPr>
            <w:tcW w:w="2755" w:type="dxa"/>
          </w:tcPr>
          <w:p>
            <w:pPr>
              <w:pStyle w:val="TableParagraph"/>
              <w:spacing w:line="273" w:lineRule="auto"/>
              <w:ind w:left="62" w:right="141"/>
              <w:rPr>
                <w:sz w:val="21"/>
              </w:rPr>
            </w:pPr>
            <w:r>
              <w:rPr>
                <w:sz w:val="21"/>
              </w:rPr>
              <w:t>冠状动脉介入手术（非开胸手术）</w:t>
            </w:r>
          </w:p>
        </w:tc>
        <w:tc>
          <w:tcPr>
            <w:tcW w:w="7129" w:type="dxa"/>
          </w:tcPr>
          <w:p>
            <w:pPr>
              <w:pStyle w:val="TableParagraph"/>
              <w:spacing w:line="266" w:lineRule="exact"/>
              <w:rPr>
                <w:sz w:val="21"/>
              </w:rPr>
            </w:pPr>
            <w:r>
              <w:rPr>
                <w:sz w:val="21"/>
              </w:rPr>
              <w:t>冠状动脉介入手术是指为了治疗明显的冠状动脉狭窄性疾病，首次实际实</w:t>
            </w:r>
          </w:p>
          <w:p>
            <w:pPr>
              <w:pStyle w:val="TableParagraph"/>
              <w:spacing w:line="310" w:lineRule="atLeast" w:before="2"/>
              <w:ind w:right="202"/>
              <w:rPr>
                <w:sz w:val="21"/>
              </w:rPr>
            </w:pPr>
            <w:r>
              <w:rPr>
                <w:sz w:val="21"/>
              </w:rPr>
              <w:t>施了冠状动脉球囊扩张成形术、冠状动脉支架植入术或激光冠状动脉成形术。</w:t>
            </w:r>
          </w:p>
        </w:tc>
      </w:tr>
      <w:tr>
        <w:trPr>
          <w:trHeight w:val="1842" w:hRule="atLeast"/>
        </w:trPr>
        <w:tc>
          <w:tcPr>
            <w:tcW w:w="421" w:type="dxa"/>
          </w:tcPr>
          <w:p>
            <w:pPr>
              <w:pStyle w:val="TableParagraph"/>
              <w:spacing w:before="38"/>
              <w:ind w:left="0" w:right="60"/>
              <w:jc w:val="right"/>
              <w:rPr>
                <w:rFonts w:ascii="Times New Roman"/>
                <w:sz w:val="21"/>
              </w:rPr>
            </w:pPr>
            <w:r>
              <w:rPr>
                <w:rFonts w:ascii="Times New Roman"/>
                <w:sz w:val="21"/>
              </w:rPr>
              <w:t>4.</w:t>
            </w:r>
          </w:p>
        </w:tc>
        <w:tc>
          <w:tcPr>
            <w:tcW w:w="2755" w:type="dxa"/>
          </w:tcPr>
          <w:p>
            <w:pPr>
              <w:pStyle w:val="TableParagraph"/>
              <w:spacing w:line="266" w:lineRule="exact"/>
              <w:ind w:left="62"/>
              <w:rPr>
                <w:sz w:val="21"/>
              </w:rPr>
            </w:pPr>
            <w:r>
              <w:rPr>
                <w:sz w:val="21"/>
              </w:rPr>
              <w:t>轻微脑中风</w:t>
            </w:r>
          </w:p>
        </w:tc>
        <w:tc>
          <w:tcPr>
            <w:tcW w:w="7129" w:type="dxa"/>
          </w:tcPr>
          <w:p>
            <w:pPr>
              <w:pStyle w:val="TableParagraph"/>
              <w:spacing w:line="261" w:lineRule="auto"/>
              <w:ind w:right="198"/>
              <w:jc w:val="both"/>
              <w:rPr>
                <w:sz w:val="21"/>
              </w:rPr>
            </w:pPr>
            <w:r>
              <w:rPr>
                <w:sz w:val="21"/>
              </w:rPr>
              <w:t>指被保险人实际发生了脑血管的突发病变出现神经系统功能障碍表现，头</w:t>
            </w:r>
            <w:r>
              <w:rPr>
                <w:spacing w:val="-5"/>
                <w:w w:val="100"/>
                <w:sz w:val="21"/>
              </w:rPr>
              <w:t>颅断层扫描</w:t>
            </w:r>
            <w:r>
              <w:rPr>
                <w:spacing w:val="-1"/>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9"/>
                <w:w w:val="100"/>
                <w:sz w:val="21"/>
              </w:rPr>
              <w:t>、核磁共振</w:t>
            </w:r>
            <w:r>
              <w:rPr>
                <w:w w:val="100"/>
                <w:sz w:val="21"/>
              </w:rPr>
              <w:t>（</w:t>
            </w:r>
            <w:r>
              <w:rPr>
                <w:rFonts w:ascii="Times New Roman" w:hAnsi="Times New Roman" w:eastAsia="Times New Roman"/>
                <w:w w:val="100"/>
                <w:sz w:val="21"/>
              </w:rPr>
              <w:t>MR</w:t>
            </w:r>
            <w:r>
              <w:rPr>
                <w:rFonts w:ascii="Times New Roman" w:hAnsi="Times New Roman" w:eastAsia="Times New Roman"/>
                <w:spacing w:val="-3"/>
                <w:w w:val="100"/>
                <w:sz w:val="21"/>
              </w:rPr>
              <w:t>I</w:t>
            </w:r>
            <w:r>
              <w:rPr>
                <w:spacing w:val="-17"/>
                <w:w w:val="100"/>
                <w:sz w:val="21"/>
              </w:rPr>
              <w:t>）</w:t>
            </w:r>
            <w:r>
              <w:rPr>
                <w:spacing w:val="-5"/>
                <w:w w:val="100"/>
                <w:sz w:val="21"/>
              </w:rPr>
              <w:t>等影像学检查证实存在对应病灶，确</w:t>
            </w:r>
            <w:r>
              <w:rPr>
                <w:spacing w:val="-5"/>
                <w:sz w:val="21"/>
              </w:rPr>
              <w:t>诊为脑出血、脑栓塞或脑梗塞，在确诊 </w:t>
            </w:r>
            <w:r>
              <w:rPr>
                <w:rFonts w:ascii="Times New Roman" w:hAnsi="Times New Roman" w:eastAsia="Times New Roman"/>
                <w:sz w:val="21"/>
              </w:rPr>
              <w:t>180 </w:t>
            </w:r>
            <w:r>
              <w:rPr>
                <w:spacing w:val="-3"/>
                <w:sz w:val="21"/>
              </w:rPr>
              <w:t>天后遗留神经系统功能障碍。</w:t>
            </w:r>
            <w:r>
              <w:rPr>
                <w:spacing w:val="5"/>
                <w:sz w:val="21"/>
              </w:rPr>
              <w:t>后遗的神经系统功能障碍程度未达到重大疾病</w:t>
            </w:r>
            <w:r>
              <w:rPr>
                <w:rFonts w:ascii="Times New Roman" w:hAnsi="Times New Roman" w:eastAsia="Times New Roman"/>
                <w:spacing w:val="5"/>
                <w:sz w:val="21"/>
              </w:rPr>
              <w:t>“</w:t>
            </w:r>
            <w:r>
              <w:rPr>
                <w:spacing w:val="5"/>
                <w:sz w:val="21"/>
              </w:rPr>
              <w:t>脑中风后遗症</w:t>
            </w:r>
            <w:r>
              <w:rPr>
                <w:rFonts w:ascii="Times New Roman" w:hAnsi="Times New Roman" w:eastAsia="Times New Roman"/>
                <w:spacing w:val="7"/>
                <w:sz w:val="21"/>
              </w:rPr>
              <w:t>”</w:t>
            </w:r>
            <w:r>
              <w:rPr>
                <w:spacing w:val="2"/>
                <w:sz w:val="21"/>
              </w:rPr>
              <w:t>的给付标</w:t>
            </w:r>
            <w:r>
              <w:rPr>
                <w:spacing w:val="-3"/>
                <w:sz w:val="21"/>
              </w:rPr>
              <w:t>准，但仍遗留下列一种或一种以上障碍：</w:t>
            </w:r>
          </w:p>
          <w:p>
            <w:pPr>
              <w:pStyle w:val="TableParagraph"/>
              <w:spacing w:line="271" w:lineRule="exact" w:before="27"/>
              <w:jc w:val="both"/>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tc>
      </w:tr>
    </w:tbl>
    <w:p>
      <w:pPr>
        <w:pStyle w:val="BodyText"/>
        <w:ind w:left="0"/>
        <w:rPr>
          <w:sz w:val="20"/>
        </w:rPr>
      </w:pPr>
    </w:p>
    <w:p>
      <w:pPr>
        <w:pStyle w:val="BodyText"/>
        <w:spacing w:before="1"/>
        <w:ind w:left="0"/>
        <w:rPr>
          <w:sz w:val="20"/>
        </w:rPr>
      </w:pPr>
      <w:r>
        <w:rPr/>
        <w:pict>
          <v:line style="position:absolute;mso-position-horizontal-relative:page;mso-position-vertical-relative:paragraph;z-index:1240;mso-wrap-distance-left:0;mso-wrap-distance-right:0" from="53.880001pt,15.354233pt" to="197.930001pt,15.354233pt" stroked="true" strokeweight=".47998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29</w:t>
      </w:r>
      <w:r>
        <w:rPr>
          <w:rFonts w:ascii="楷体" w:eastAsia="楷体" w:hint="eastAsia"/>
          <w:b/>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spacing w:val="-1"/>
          <w:w w:val="100"/>
        </w:rPr>
        <w:t>（</w:t>
      </w:r>
      <w:r>
        <w:rPr>
          <w:rFonts w:ascii="Times New Roman" w:eastAsia="Times New Roman"/>
          <w:spacing w:val="-2"/>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6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2"/>
        <w:gridCol w:w="7232"/>
      </w:tblGrid>
      <w:tr>
        <w:trPr>
          <w:trHeight w:val="612" w:hRule="atLeast"/>
        </w:trPr>
        <w:tc>
          <w:tcPr>
            <w:tcW w:w="474" w:type="dxa"/>
          </w:tcPr>
          <w:p>
            <w:pPr>
              <w:pStyle w:val="TableParagraph"/>
              <w:ind w:left="0"/>
              <w:rPr>
                <w:rFonts w:ascii="Times New Roman"/>
                <w:sz w:val="20"/>
              </w:rPr>
            </w:pPr>
          </w:p>
        </w:tc>
        <w:tc>
          <w:tcPr>
            <w:tcW w:w="2702" w:type="dxa"/>
          </w:tcPr>
          <w:p>
            <w:pPr>
              <w:pStyle w:val="TableParagraph"/>
              <w:ind w:left="0"/>
              <w:rPr>
                <w:rFonts w:ascii="Times New Roman"/>
                <w:sz w:val="20"/>
              </w:rPr>
            </w:pPr>
          </w:p>
        </w:tc>
        <w:tc>
          <w:tcPr>
            <w:tcW w:w="7232" w:type="dxa"/>
          </w:tcPr>
          <w:p>
            <w:pPr>
              <w:pStyle w:val="TableParagraph"/>
              <w:spacing w:line="270" w:lineRule="exact"/>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中的</w:t>
            </w:r>
          </w:p>
          <w:p>
            <w:pPr>
              <w:pStyle w:val="TableParagraph"/>
              <w:spacing w:before="21"/>
              <w:rPr>
                <w:sz w:val="21"/>
              </w:rPr>
            </w:pPr>
            <w:r>
              <w:rPr>
                <w:sz w:val="21"/>
              </w:rPr>
              <w:t>两项或两项以上。</w:t>
            </w:r>
          </w:p>
        </w:tc>
      </w:tr>
      <w:tr>
        <w:trPr>
          <w:trHeight w:val="624" w:hRule="atLeast"/>
        </w:trPr>
        <w:tc>
          <w:tcPr>
            <w:tcW w:w="474" w:type="dxa"/>
          </w:tcPr>
          <w:p>
            <w:pPr>
              <w:pStyle w:val="TableParagraph"/>
              <w:spacing w:before="38"/>
              <w:ind w:left="200"/>
              <w:rPr>
                <w:rFonts w:ascii="Times New Roman"/>
                <w:sz w:val="21"/>
              </w:rPr>
            </w:pPr>
            <w:r>
              <w:rPr>
                <w:rFonts w:ascii="Times New Roman"/>
                <w:sz w:val="21"/>
              </w:rPr>
              <w:t>5.</w:t>
            </w:r>
          </w:p>
        </w:tc>
        <w:tc>
          <w:tcPr>
            <w:tcW w:w="2702" w:type="dxa"/>
          </w:tcPr>
          <w:p>
            <w:pPr>
              <w:pStyle w:val="TableParagraph"/>
              <w:spacing w:line="266" w:lineRule="exact"/>
              <w:ind w:left="9"/>
              <w:rPr>
                <w:sz w:val="21"/>
              </w:rPr>
            </w:pPr>
            <w:r>
              <w:rPr>
                <w:sz w:val="21"/>
              </w:rPr>
              <w:t>心脏瓣膜介入手术（非开胸</w:t>
            </w:r>
          </w:p>
          <w:p>
            <w:pPr>
              <w:pStyle w:val="TableParagraph"/>
              <w:spacing w:before="37"/>
              <w:ind w:left="9"/>
              <w:rPr>
                <w:sz w:val="21"/>
              </w:rPr>
            </w:pPr>
            <w:r>
              <w:rPr>
                <w:sz w:val="21"/>
              </w:rPr>
              <w:t>手术）</w:t>
            </w:r>
          </w:p>
        </w:tc>
        <w:tc>
          <w:tcPr>
            <w:tcW w:w="7232" w:type="dxa"/>
          </w:tcPr>
          <w:p>
            <w:pPr>
              <w:pStyle w:val="TableParagraph"/>
              <w:spacing w:line="266" w:lineRule="exact"/>
              <w:rPr>
                <w:sz w:val="21"/>
              </w:rPr>
            </w:pPr>
            <w:r>
              <w:rPr>
                <w:sz w:val="21"/>
              </w:rPr>
              <w:t>为了治疗心脏瓣膜疾病，被保险人实际接受了非开胸的经胸壁打孔内镜手</w:t>
            </w:r>
          </w:p>
          <w:p>
            <w:pPr>
              <w:pStyle w:val="TableParagraph"/>
              <w:spacing w:before="37"/>
              <w:rPr>
                <w:sz w:val="21"/>
              </w:rPr>
            </w:pPr>
            <w:r>
              <w:rPr>
                <w:sz w:val="21"/>
              </w:rPr>
              <w:t>术或经皮经导管介入手术进行的心脏瓣膜置换或修复手术。</w:t>
            </w:r>
          </w:p>
        </w:tc>
      </w:tr>
      <w:tr>
        <w:trPr>
          <w:trHeight w:val="1567" w:hRule="atLeast"/>
        </w:trPr>
        <w:tc>
          <w:tcPr>
            <w:tcW w:w="474" w:type="dxa"/>
          </w:tcPr>
          <w:p>
            <w:pPr>
              <w:pStyle w:val="TableParagraph"/>
              <w:spacing w:before="38"/>
              <w:ind w:left="200"/>
              <w:rPr>
                <w:rFonts w:ascii="Times New Roman"/>
                <w:sz w:val="21"/>
              </w:rPr>
            </w:pPr>
            <w:r>
              <w:rPr>
                <w:rFonts w:ascii="Times New Roman"/>
                <w:sz w:val="21"/>
              </w:rPr>
              <w:t>6.</w:t>
            </w:r>
          </w:p>
        </w:tc>
        <w:tc>
          <w:tcPr>
            <w:tcW w:w="2702" w:type="dxa"/>
          </w:tcPr>
          <w:p>
            <w:pPr>
              <w:pStyle w:val="TableParagraph"/>
              <w:spacing w:line="273" w:lineRule="auto"/>
              <w:ind w:left="9" w:right="141"/>
              <w:rPr>
                <w:sz w:val="21"/>
              </w:rPr>
            </w:pPr>
            <w:r>
              <w:rPr>
                <w:sz w:val="21"/>
              </w:rPr>
              <w:t>脑垂体瘤、脑囊肿、脑动脉瘤、脑血管瘤</w:t>
            </w:r>
          </w:p>
        </w:tc>
        <w:tc>
          <w:tcPr>
            <w:tcW w:w="7232" w:type="dxa"/>
          </w:tcPr>
          <w:p>
            <w:pPr>
              <w:pStyle w:val="TableParagraph"/>
              <w:spacing w:line="256" w:lineRule="auto"/>
              <w:ind w:right="301"/>
              <w:rPr>
                <w:sz w:val="21"/>
              </w:rPr>
            </w:pPr>
            <w:r>
              <w:rPr>
                <w:spacing w:val="-5"/>
                <w:w w:val="100"/>
                <w:sz w:val="21"/>
              </w:rPr>
              <w:t>指被保险人经头颅断层扫描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0"/>
                <w:w w:val="100"/>
                <w:sz w:val="21"/>
              </w:rPr>
              <w:t>、核磁共振</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20"/>
                <w:w w:val="100"/>
                <w:sz w:val="21"/>
              </w:rPr>
              <w:t>）</w:t>
            </w:r>
            <w:r>
              <w:rPr>
                <w:spacing w:val="-3"/>
                <w:w w:val="100"/>
                <w:sz w:val="21"/>
              </w:rPr>
              <w:t>或其他影像学检查被</w:t>
            </w:r>
            <w:r>
              <w:rPr>
                <w:spacing w:val="-3"/>
                <w:sz w:val="21"/>
              </w:rPr>
              <w:t>确诊为下列病变，并实际接受了手术或放射治疗。</w:t>
            </w:r>
          </w:p>
          <w:p>
            <w:pPr>
              <w:pStyle w:val="TableParagraph"/>
              <w:spacing w:before="31"/>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1"/>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74" w:type="dxa"/>
          </w:tcPr>
          <w:p>
            <w:pPr>
              <w:pStyle w:val="TableParagraph"/>
              <w:spacing w:before="30"/>
              <w:ind w:left="200"/>
              <w:rPr>
                <w:rFonts w:ascii="Times New Roman"/>
                <w:sz w:val="21"/>
              </w:rPr>
            </w:pPr>
            <w:r>
              <w:rPr>
                <w:rFonts w:ascii="Times New Roman"/>
                <w:sz w:val="21"/>
              </w:rPr>
              <w:t>7.</w:t>
            </w:r>
          </w:p>
        </w:tc>
        <w:tc>
          <w:tcPr>
            <w:tcW w:w="2702" w:type="dxa"/>
          </w:tcPr>
          <w:p>
            <w:pPr>
              <w:pStyle w:val="TableParagraph"/>
              <w:spacing w:line="258" w:lineRule="exact"/>
              <w:ind w:left="9"/>
              <w:rPr>
                <w:sz w:val="21"/>
              </w:rPr>
            </w:pPr>
            <w:r>
              <w:rPr>
                <w:sz w:val="21"/>
              </w:rPr>
              <w:t>重症头部外伤</w:t>
            </w:r>
          </w:p>
        </w:tc>
        <w:tc>
          <w:tcPr>
            <w:tcW w:w="7232" w:type="dxa"/>
          </w:tcPr>
          <w:p>
            <w:pPr>
              <w:pStyle w:val="TableParagraph"/>
              <w:spacing w:line="274" w:lineRule="exact"/>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56" w:lineRule="auto" w:before="21"/>
              <w:ind w:right="301"/>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3"/>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6"/>
                <w:sz w:val="21"/>
              </w:rPr>
              <w:t>像学检查证实。头部外伤导致神经系统功能障碍，未达到重大疾病</w:t>
            </w:r>
            <w:r>
              <w:rPr>
                <w:rFonts w:ascii="Times New Roman" w:hAnsi="Times New Roman" w:eastAsia="Times New Roman"/>
                <w:sz w:val="21"/>
              </w:rPr>
              <w:t>“</w:t>
            </w:r>
            <w:r>
              <w:rPr>
                <w:spacing w:val="-2"/>
                <w:sz w:val="21"/>
              </w:rPr>
              <w:t>严重脑损伤</w:t>
            </w:r>
            <w:r>
              <w:rPr>
                <w:rFonts w:ascii="Times New Roman" w:hAnsi="Times New Roman" w:eastAsia="Times New Roman"/>
                <w:spacing w:val="-3"/>
                <w:sz w:val="21"/>
              </w:rPr>
              <w:t>”</w:t>
            </w:r>
            <w:r>
              <w:rPr>
                <w:spacing w:val="-3"/>
                <w:sz w:val="21"/>
              </w:rPr>
              <w:t>的给付标准，但是符合以下条件之一：</w:t>
            </w:r>
          </w:p>
          <w:p>
            <w:pPr>
              <w:pStyle w:val="TableParagraph"/>
              <w:spacing w:before="4"/>
              <w:rPr>
                <w:sz w:val="21"/>
              </w:rPr>
            </w:pPr>
            <w:r>
              <w:rPr>
                <w:sz w:val="21"/>
              </w:rPr>
              <w:t>（</w:t>
            </w:r>
            <w:r>
              <w:rPr>
                <w:rFonts w:ascii="Times New Roman" w:eastAsia="Times New Roman"/>
                <w:sz w:val="21"/>
              </w:rPr>
              <w:t>1</w:t>
            </w:r>
            <w:r>
              <w:rPr>
                <w:sz w:val="21"/>
              </w:rPr>
              <w:t>）被保险人接受了全麻下颅骨切开颅内血肿清除术（颅骨钻孔术除外）</w:t>
            </w:r>
          </w:p>
          <w:p>
            <w:pPr>
              <w:pStyle w:val="TableParagraph"/>
              <w:spacing w:line="256" w:lineRule="auto" w:before="20"/>
              <w:ind w:right="301"/>
              <w:jc w:val="both"/>
              <w:rPr>
                <w:sz w:val="21"/>
              </w:rPr>
            </w:pPr>
            <w:r>
              <w:rPr>
                <w:sz w:val="21"/>
              </w:rPr>
              <w:t>（</w:t>
            </w:r>
            <w:r>
              <w:rPr>
                <w:rFonts w:ascii="Times New Roman" w:eastAsia="Times New Roman"/>
                <w:sz w:val="21"/>
              </w:rPr>
              <w:t>2</w:t>
            </w:r>
            <w:r>
              <w:rPr>
                <w:sz w:val="21"/>
              </w:rPr>
              <w:t>）</w:t>
            </w:r>
            <w:r>
              <w:rPr>
                <w:spacing w:val="-10"/>
                <w:sz w:val="21"/>
              </w:rPr>
              <w:t>在外伤 </w:t>
            </w:r>
            <w:r>
              <w:rPr>
                <w:rFonts w:ascii="Times New Roman" w:eastAsia="Times New Roman"/>
                <w:sz w:val="21"/>
              </w:rPr>
              <w:t>180 </w:t>
            </w:r>
            <w:r>
              <w:rPr>
                <w:spacing w:val="-5"/>
                <w:sz w:val="21"/>
              </w:rPr>
              <w:t>天后仍然遗留一肢或一肢以上肢体肌力 </w:t>
            </w:r>
            <w:r>
              <w:rPr>
                <w:rFonts w:ascii="Times New Roman" w:eastAsia="Times New Roman"/>
                <w:sz w:val="21"/>
              </w:rPr>
              <w:t>II </w:t>
            </w:r>
            <w:r>
              <w:rPr>
                <w:spacing w:val="-11"/>
                <w:sz w:val="21"/>
              </w:rPr>
              <w:t>级或 </w:t>
            </w:r>
            <w:r>
              <w:rPr>
                <w:rFonts w:ascii="Times New Roman" w:eastAsia="Times New Roman"/>
                <w:sz w:val="21"/>
              </w:rPr>
              <w:t>II </w:t>
            </w:r>
            <w:r>
              <w:rPr>
                <w:sz w:val="21"/>
              </w:rPr>
              <w:t>级以下</w:t>
            </w:r>
            <w:r>
              <w:rPr>
                <w:spacing w:val="-3"/>
                <w:sz w:val="21"/>
              </w:rPr>
              <w:t>的运动功能障碍。</w:t>
            </w:r>
          </w:p>
        </w:tc>
      </w:tr>
      <w:tr>
        <w:trPr>
          <w:trHeight w:val="631" w:hRule="atLeast"/>
        </w:trPr>
        <w:tc>
          <w:tcPr>
            <w:tcW w:w="474" w:type="dxa"/>
          </w:tcPr>
          <w:p>
            <w:pPr>
              <w:pStyle w:val="TableParagraph"/>
              <w:spacing w:before="38"/>
              <w:ind w:left="200"/>
              <w:rPr>
                <w:rFonts w:ascii="Times New Roman"/>
                <w:sz w:val="21"/>
              </w:rPr>
            </w:pPr>
            <w:r>
              <w:rPr>
                <w:rFonts w:ascii="Times New Roman"/>
                <w:sz w:val="21"/>
              </w:rPr>
              <w:t>8.</w:t>
            </w:r>
          </w:p>
        </w:tc>
        <w:tc>
          <w:tcPr>
            <w:tcW w:w="2702" w:type="dxa"/>
          </w:tcPr>
          <w:p>
            <w:pPr>
              <w:pStyle w:val="TableParagraph"/>
              <w:spacing w:line="266" w:lineRule="exact"/>
              <w:ind w:left="9"/>
              <w:rPr>
                <w:sz w:val="21"/>
              </w:rPr>
            </w:pPr>
            <w:r>
              <w:rPr>
                <w:sz w:val="21"/>
              </w:rPr>
              <w:t>特定面积Ⅲ度烧伤</w:t>
            </w:r>
          </w:p>
        </w:tc>
        <w:tc>
          <w:tcPr>
            <w:tcW w:w="7232" w:type="dxa"/>
          </w:tcPr>
          <w:p>
            <w:pPr>
              <w:pStyle w:val="TableParagraph"/>
              <w:spacing w:line="256" w:lineRule="auto"/>
              <w:ind w:right="291"/>
              <w:rPr>
                <w:sz w:val="21"/>
              </w:rPr>
            </w:pPr>
            <w:r>
              <w:rPr>
                <w:spacing w:val="-5"/>
                <w:sz w:val="21"/>
              </w:rPr>
              <w:t>指烧伤程度为Ⅲ度，且Ⅲ度烧伤面积为全身体表面积的 </w:t>
            </w:r>
            <w:r>
              <w:rPr>
                <w:rFonts w:ascii="Times New Roman" w:hAnsi="Times New Roman" w:eastAsia="Times New Roman"/>
                <w:sz w:val="21"/>
              </w:rPr>
              <w:t>10</w:t>
            </w:r>
            <w:r>
              <w:rPr>
                <w:spacing w:val="-15"/>
                <w:sz w:val="21"/>
              </w:rPr>
              <w:t>％或 </w:t>
            </w:r>
            <w:r>
              <w:rPr>
                <w:rFonts w:ascii="Times New Roman" w:hAnsi="Times New Roman" w:eastAsia="Times New Roman"/>
                <w:sz w:val="21"/>
              </w:rPr>
              <w:t>10%</w:t>
            </w:r>
            <w:r>
              <w:rPr>
                <w:spacing w:val="-2"/>
                <w:sz w:val="21"/>
              </w:rPr>
              <w:t>以上， </w:t>
            </w:r>
            <w:r>
              <w:rPr>
                <w:spacing w:val="-8"/>
                <w:sz w:val="21"/>
              </w:rPr>
              <w:t>但尚未达到 </w:t>
            </w:r>
            <w:r>
              <w:rPr>
                <w:rFonts w:ascii="Times New Roman" w:hAnsi="Times New Roman" w:eastAsia="Times New Roman"/>
                <w:sz w:val="21"/>
              </w:rPr>
              <w:t>20%</w:t>
            </w:r>
            <w:r>
              <w:rPr>
                <w:spacing w:val="-3"/>
                <w:sz w:val="21"/>
              </w:rPr>
              <w:t>。体表面积根据《中国新九分法》计算。</w:t>
            </w:r>
          </w:p>
        </w:tc>
      </w:tr>
      <w:tr>
        <w:trPr>
          <w:trHeight w:val="598" w:hRule="atLeast"/>
        </w:trPr>
        <w:tc>
          <w:tcPr>
            <w:tcW w:w="474" w:type="dxa"/>
          </w:tcPr>
          <w:p>
            <w:pPr>
              <w:pStyle w:val="TableParagraph"/>
              <w:spacing w:before="30"/>
              <w:ind w:left="200"/>
              <w:rPr>
                <w:rFonts w:ascii="Times New Roman"/>
                <w:sz w:val="21"/>
              </w:rPr>
            </w:pPr>
            <w:r>
              <w:rPr>
                <w:rFonts w:ascii="Times New Roman"/>
                <w:sz w:val="21"/>
              </w:rPr>
              <w:t>9.</w:t>
            </w:r>
          </w:p>
        </w:tc>
        <w:tc>
          <w:tcPr>
            <w:tcW w:w="2702" w:type="dxa"/>
          </w:tcPr>
          <w:p>
            <w:pPr>
              <w:pStyle w:val="TableParagraph"/>
              <w:spacing w:line="258" w:lineRule="exact"/>
              <w:ind w:left="9"/>
              <w:rPr>
                <w:sz w:val="21"/>
              </w:rPr>
            </w:pPr>
            <w:r>
              <w:rPr>
                <w:sz w:val="21"/>
              </w:rPr>
              <w:t>主动脉介入手术</w:t>
            </w:r>
          </w:p>
        </w:tc>
        <w:tc>
          <w:tcPr>
            <w:tcW w:w="7232" w:type="dxa"/>
          </w:tcPr>
          <w:p>
            <w:pPr>
              <w:pStyle w:val="TableParagraph"/>
              <w:spacing w:line="258" w:lineRule="exact"/>
              <w:rPr>
                <w:sz w:val="21"/>
              </w:rPr>
            </w:pPr>
            <w:r>
              <w:rPr>
                <w:sz w:val="21"/>
              </w:rPr>
              <w:t>指为治疗主动脉疾病实际实施了经皮经导管进行的动脉内手术。主动脉指</w:t>
            </w:r>
          </w:p>
          <w:p>
            <w:pPr>
              <w:pStyle w:val="TableParagraph"/>
              <w:spacing w:before="37"/>
              <w:rPr>
                <w:b/>
                <w:sz w:val="21"/>
              </w:rPr>
            </w:pPr>
            <w:r>
              <w:rPr>
                <w:sz w:val="21"/>
              </w:rPr>
              <w:t>胸主动脉和腹主动脉，但</w:t>
            </w:r>
            <w:r>
              <w:rPr>
                <w:b/>
                <w:sz w:val="21"/>
              </w:rPr>
              <w:t>不包括胸主动脉和腹主动脉的分支血管。</w:t>
            </w:r>
          </w:p>
        </w:tc>
      </w:tr>
      <w:tr>
        <w:trPr>
          <w:trHeight w:val="2201" w:hRule="atLeast"/>
        </w:trPr>
        <w:tc>
          <w:tcPr>
            <w:tcW w:w="474" w:type="dxa"/>
          </w:tcPr>
          <w:p>
            <w:pPr>
              <w:pStyle w:val="TableParagraph"/>
              <w:spacing w:before="55"/>
              <w:ind w:left="200"/>
              <w:rPr>
                <w:rFonts w:ascii="Times New Roman"/>
                <w:sz w:val="21"/>
              </w:rPr>
            </w:pPr>
            <w:r>
              <w:rPr>
                <w:rFonts w:ascii="Times New Roman"/>
                <w:sz w:val="21"/>
              </w:rPr>
              <w:t>10.</w:t>
            </w:r>
          </w:p>
        </w:tc>
        <w:tc>
          <w:tcPr>
            <w:tcW w:w="2702" w:type="dxa"/>
          </w:tcPr>
          <w:p>
            <w:pPr>
              <w:pStyle w:val="TableParagraph"/>
              <w:spacing w:before="8"/>
              <w:ind w:left="9"/>
              <w:rPr>
                <w:sz w:val="21"/>
              </w:rPr>
            </w:pPr>
            <w:r>
              <w:rPr>
                <w:sz w:val="21"/>
              </w:rPr>
              <w:t>视力严重受损</w:t>
            </w:r>
          </w:p>
        </w:tc>
        <w:tc>
          <w:tcPr>
            <w:tcW w:w="7232" w:type="dxa"/>
          </w:tcPr>
          <w:p>
            <w:pPr>
              <w:pStyle w:val="TableParagraph"/>
              <w:spacing w:line="256" w:lineRule="auto" w:before="8"/>
              <w:ind w:right="226"/>
              <w:rPr>
                <w:sz w:val="21"/>
              </w:rPr>
            </w:pPr>
            <w:r>
              <w:rPr>
                <w:sz w:val="21"/>
              </w:rPr>
              <w:t>是指因疾病或意外伤害导致双眼视力</w:t>
            </w:r>
            <w:r>
              <w:rPr>
                <w:b/>
                <w:sz w:val="21"/>
              </w:rPr>
              <w:t>永久不可逆</w:t>
            </w:r>
            <w:r>
              <w:rPr>
                <w:rFonts w:ascii="Times New Roman" w:hAnsi="Times New Roman" w:eastAsia="Times New Roman"/>
                <w:b/>
                <w:sz w:val="21"/>
                <w:vertAlign w:val="superscript"/>
              </w:rPr>
              <w:t>31</w:t>
            </w:r>
            <w:r>
              <w:rPr>
                <w:rFonts w:ascii="Times New Roman" w:hAnsi="Times New Roman" w:eastAsia="Times New Roman"/>
                <w:b/>
                <w:sz w:val="21"/>
                <w:vertAlign w:val="baseline"/>
              </w:rPr>
            </w:r>
            <w:r>
              <w:rPr>
                <w:sz w:val="21"/>
                <w:vertAlign w:val="baseline"/>
              </w:rPr>
              <w:t>性丧失，未达到本合同所指重大疾病</w:t>
            </w:r>
            <w:r>
              <w:rPr>
                <w:rFonts w:ascii="Times New Roman" w:hAnsi="Times New Roman" w:eastAsia="Times New Roman"/>
                <w:sz w:val="21"/>
                <w:vertAlign w:val="baseline"/>
              </w:rPr>
              <w:t>“</w:t>
            </w:r>
            <w:r>
              <w:rPr>
                <w:sz w:val="21"/>
                <w:vertAlign w:val="baseline"/>
              </w:rPr>
              <w:t>双目失明</w:t>
            </w:r>
            <w:r>
              <w:rPr>
                <w:rFonts w:ascii="Times New Roman" w:hAnsi="Times New Roman" w:eastAsia="Times New Roman"/>
                <w:sz w:val="21"/>
                <w:vertAlign w:val="baseline"/>
              </w:rPr>
              <w:t>”</w:t>
            </w:r>
            <w:r>
              <w:rPr>
                <w:sz w:val="21"/>
                <w:vertAlign w:val="baseline"/>
              </w:rPr>
              <w:t>的给付标准，但须满足下列全部条件：</w:t>
            </w:r>
          </w:p>
          <w:p>
            <w:pPr>
              <w:pStyle w:val="TableParagraph"/>
              <w:spacing w:line="256" w:lineRule="auto" w:before="4"/>
              <w:ind w:right="301"/>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right="309"/>
              <w:rPr>
                <w:b/>
                <w:sz w:val="21"/>
              </w:rPr>
            </w:pPr>
            <w:r>
              <w:rPr>
                <w:b/>
                <w:sz w:val="21"/>
              </w:rPr>
              <w:t>被保险人申请理赔时年龄必须在三周岁以上，并且提供理赔当时的视力丧失诊断及检查证据。</w:t>
            </w:r>
          </w:p>
        </w:tc>
      </w:tr>
      <w:tr>
        <w:trPr>
          <w:trHeight w:val="1247" w:hRule="atLeast"/>
        </w:trPr>
        <w:tc>
          <w:tcPr>
            <w:tcW w:w="474" w:type="dxa"/>
          </w:tcPr>
          <w:p>
            <w:pPr>
              <w:pStyle w:val="TableParagraph"/>
              <w:spacing w:before="38"/>
              <w:ind w:left="200"/>
              <w:rPr>
                <w:rFonts w:ascii="Times New Roman"/>
                <w:sz w:val="21"/>
              </w:rPr>
            </w:pPr>
            <w:r>
              <w:rPr>
                <w:rFonts w:ascii="Times New Roman"/>
                <w:sz w:val="21"/>
              </w:rPr>
              <w:t>11.</w:t>
            </w:r>
          </w:p>
        </w:tc>
        <w:tc>
          <w:tcPr>
            <w:tcW w:w="2702" w:type="dxa"/>
          </w:tcPr>
          <w:p>
            <w:pPr>
              <w:pStyle w:val="TableParagraph"/>
              <w:spacing w:line="266" w:lineRule="exact"/>
              <w:ind w:left="9"/>
              <w:rPr>
                <w:sz w:val="21"/>
              </w:rPr>
            </w:pPr>
            <w:r>
              <w:rPr>
                <w:sz w:val="21"/>
              </w:rPr>
              <w:t>听力严重受损</w:t>
            </w:r>
          </w:p>
        </w:tc>
        <w:tc>
          <w:tcPr>
            <w:tcW w:w="7232" w:type="dxa"/>
          </w:tcPr>
          <w:p>
            <w:pPr>
              <w:pStyle w:val="TableParagraph"/>
              <w:spacing w:line="282" w:lineRule="exact"/>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64" w:lineRule="auto" w:before="21"/>
              <w:ind w:right="198"/>
              <w:rPr>
                <w:b/>
                <w:sz w:val="21"/>
              </w:rPr>
            </w:pP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分贝，且经纯音听力测试、声导抗检测或听觉诱发电位检测等证实。</w:t>
            </w:r>
            <w:r>
              <w:rPr>
                <w:b/>
                <w:spacing w:val="-7"/>
                <w:sz w:val="21"/>
              </w:rPr>
              <w:t>被保险人申请理赔时年龄必须在三周岁以上，并且提供理赔当时的听力丧失诊断及检查证据。</w:t>
            </w:r>
          </w:p>
        </w:tc>
      </w:tr>
      <w:tr>
        <w:trPr>
          <w:trHeight w:val="623" w:hRule="atLeast"/>
        </w:trPr>
        <w:tc>
          <w:tcPr>
            <w:tcW w:w="474" w:type="dxa"/>
          </w:tcPr>
          <w:p>
            <w:pPr>
              <w:pStyle w:val="TableParagraph"/>
              <w:spacing w:before="38"/>
              <w:ind w:left="200"/>
              <w:rPr>
                <w:rFonts w:ascii="Times New Roman"/>
                <w:sz w:val="21"/>
              </w:rPr>
            </w:pPr>
            <w:r>
              <w:rPr>
                <w:rFonts w:ascii="Times New Roman"/>
                <w:sz w:val="21"/>
              </w:rPr>
              <w:t>12.</w:t>
            </w:r>
          </w:p>
        </w:tc>
        <w:tc>
          <w:tcPr>
            <w:tcW w:w="2702" w:type="dxa"/>
          </w:tcPr>
          <w:p>
            <w:pPr>
              <w:pStyle w:val="TableParagraph"/>
              <w:spacing w:line="266" w:lineRule="exact"/>
              <w:ind w:left="9"/>
              <w:rPr>
                <w:sz w:val="21"/>
              </w:rPr>
            </w:pPr>
            <w:r>
              <w:rPr>
                <w:sz w:val="21"/>
              </w:rPr>
              <w:t>单肢缺失</w:t>
            </w:r>
          </w:p>
        </w:tc>
        <w:tc>
          <w:tcPr>
            <w:tcW w:w="7232" w:type="dxa"/>
          </w:tcPr>
          <w:p>
            <w:pPr>
              <w:pStyle w:val="TableParagraph"/>
              <w:spacing w:line="266" w:lineRule="exact"/>
              <w:rPr>
                <w:b/>
                <w:sz w:val="21"/>
              </w:rPr>
            </w:pPr>
            <w:r>
              <w:rPr>
                <w:sz w:val="21"/>
              </w:rPr>
              <w:t>因疾病或意外导致单肢已断离并且不可接回，</w:t>
            </w:r>
            <w:r>
              <w:rPr>
                <w:b/>
                <w:sz w:val="21"/>
              </w:rPr>
              <w:t>但断肢必须是在膝部或肘部</w:t>
            </w:r>
          </w:p>
          <w:p>
            <w:pPr>
              <w:pStyle w:val="TableParagraph"/>
              <w:spacing w:before="37"/>
              <w:rPr>
                <w:b/>
                <w:sz w:val="21"/>
              </w:rPr>
            </w:pPr>
            <w:r>
              <w:rPr>
                <w:b/>
                <w:sz w:val="21"/>
              </w:rPr>
              <w:t>以上。</w:t>
            </w:r>
          </w:p>
        </w:tc>
      </w:tr>
      <w:tr>
        <w:trPr>
          <w:trHeight w:val="1568" w:hRule="atLeast"/>
        </w:trPr>
        <w:tc>
          <w:tcPr>
            <w:tcW w:w="474" w:type="dxa"/>
          </w:tcPr>
          <w:p>
            <w:pPr>
              <w:pStyle w:val="TableParagraph"/>
              <w:spacing w:before="38"/>
              <w:ind w:left="200"/>
              <w:rPr>
                <w:rFonts w:ascii="Times New Roman"/>
                <w:sz w:val="21"/>
              </w:rPr>
            </w:pPr>
            <w:r>
              <w:rPr>
                <w:rFonts w:ascii="Times New Roman"/>
                <w:sz w:val="21"/>
              </w:rPr>
              <w:t>13.</w:t>
            </w:r>
          </w:p>
        </w:tc>
        <w:tc>
          <w:tcPr>
            <w:tcW w:w="2702" w:type="dxa"/>
          </w:tcPr>
          <w:p>
            <w:pPr>
              <w:pStyle w:val="TableParagraph"/>
              <w:spacing w:line="266" w:lineRule="exact"/>
              <w:ind w:left="9"/>
              <w:rPr>
                <w:sz w:val="21"/>
              </w:rPr>
            </w:pPr>
            <w:r>
              <w:rPr>
                <w:sz w:val="21"/>
              </w:rPr>
              <w:t>心脏起搏器或除颤器植入</w:t>
            </w:r>
          </w:p>
        </w:tc>
        <w:tc>
          <w:tcPr>
            <w:tcW w:w="7232" w:type="dxa"/>
          </w:tcPr>
          <w:p>
            <w:pPr>
              <w:pStyle w:val="TableParagraph"/>
              <w:spacing w:line="273" w:lineRule="auto"/>
              <w:ind w:right="305"/>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jc w:val="both"/>
              <w:rPr>
                <w:b/>
                <w:sz w:val="21"/>
              </w:rPr>
            </w:pPr>
            <w:r>
              <w:rPr>
                <w:b/>
                <w:sz w:val="21"/>
              </w:rPr>
              <w:t>若被保险人因同一原因导致其同时满足本合同重大疾病严重 </w:t>
            </w:r>
            <w:r>
              <w:rPr>
                <w:rFonts w:ascii="Times New Roman" w:eastAsia="Times New Roman"/>
                <w:b/>
                <w:sz w:val="21"/>
              </w:rPr>
              <w:t>1 </w:t>
            </w:r>
            <w:r>
              <w:rPr>
                <w:b/>
                <w:sz w:val="21"/>
              </w:rPr>
              <w:t>型糖尿病和</w:t>
            </w:r>
          </w:p>
          <w:p>
            <w:pPr>
              <w:pStyle w:val="TableParagraph"/>
              <w:spacing w:before="20"/>
              <w:jc w:val="both"/>
              <w:rPr>
                <w:b/>
                <w:sz w:val="21"/>
              </w:rPr>
            </w:pPr>
            <w:r>
              <w:rPr>
                <w:b/>
                <w:sz w:val="21"/>
              </w:rPr>
              <w:t>心脏起搏器或除颤器植入手术的，仅按重大疾病严重 </w:t>
            </w:r>
            <w:r>
              <w:rPr>
                <w:rFonts w:ascii="Times New Roman" w:eastAsia="Times New Roman"/>
                <w:b/>
                <w:sz w:val="21"/>
              </w:rPr>
              <w:t>1 </w:t>
            </w:r>
            <w:r>
              <w:rPr>
                <w:b/>
                <w:sz w:val="21"/>
              </w:rPr>
              <w:t>型糖尿病一项给付</w:t>
            </w:r>
          </w:p>
        </w:tc>
      </w:tr>
      <w:tr>
        <w:trPr>
          <w:trHeight w:val="570" w:hRule="atLeast"/>
        </w:trPr>
        <w:tc>
          <w:tcPr>
            <w:tcW w:w="474" w:type="dxa"/>
          </w:tcPr>
          <w:p>
            <w:pPr>
              <w:pStyle w:val="TableParagraph"/>
              <w:spacing w:before="30"/>
              <w:ind w:left="200"/>
              <w:rPr>
                <w:rFonts w:ascii="Times New Roman"/>
                <w:sz w:val="21"/>
              </w:rPr>
            </w:pPr>
            <w:r>
              <w:rPr>
                <w:rFonts w:ascii="Times New Roman"/>
                <w:sz w:val="21"/>
              </w:rPr>
              <w:t>14.</w:t>
            </w:r>
          </w:p>
        </w:tc>
        <w:tc>
          <w:tcPr>
            <w:tcW w:w="2702" w:type="dxa"/>
          </w:tcPr>
          <w:p>
            <w:pPr>
              <w:pStyle w:val="TableParagraph"/>
              <w:spacing w:line="258" w:lineRule="exact"/>
              <w:ind w:left="9"/>
              <w:rPr>
                <w:sz w:val="21"/>
              </w:rPr>
            </w:pPr>
            <w:r>
              <w:rPr>
                <w:sz w:val="21"/>
              </w:rPr>
              <w:t>轻度颅脑手术</w:t>
            </w:r>
          </w:p>
        </w:tc>
        <w:tc>
          <w:tcPr>
            <w:tcW w:w="7232" w:type="dxa"/>
          </w:tcPr>
          <w:p>
            <w:pPr>
              <w:pStyle w:val="TableParagraph"/>
              <w:spacing w:line="258" w:lineRule="exact"/>
              <w:rPr>
                <w:b/>
                <w:sz w:val="21"/>
              </w:rPr>
            </w:pPr>
            <w:r>
              <w:rPr>
                <w:sz w:val="21"/>
              </w:rPr>
              <w:t>被保险人确已实施全麻下的颅骨钻孔手术或经鼻蝶窦入颅手术。</w:t>
            </w:r>
            <w:r>
              <w:rPr>
                <w:b/>
                <w:sz w:val="21"/>
              </w:rPr>
              <w:t>因外伤而</w:t>
            </w:r>
          </w:p>
          <w:p>
            <w:pPr>
              <w:pStyle w:val="TableParagraph"/>
              <w:spacing w:line="255" w:lineRule="exact" w:before="37"/>
              <w:rPr>
                <w:b/>
                <w:sz w:val="21"/>
              </w:rPr>
            </w:pPr>
            <w:r>
              <w:rPr>
                <w:b/>
                <w:sz w:val="21"/>
              </w:rPr>
              <w:t>实施的脑外科手术不在保障范围内。</w:t>
            </w:r>
          </w:p>
        </w:tc>
      </w:tr>
    </w:tbl>
    <w:p>
      <w:pPr>
        <w:pStyle w:val="BodyText"/>
        <w:ind w:left="0"/>
        <w:rPr>
          <w:rFonts w:ascii="楷体"/>
          <w:sz w:val="20"/>
        </w:rPr>
      </w:pPr>
    </w:p>
    <w:p>
      <w:pPr>
        <w:pStyle w:val="BodyText"/>
        <w:spacing w:before="6"/>
        <w:ind w:left="0"/>
        <w:rPr>
          <w:rFonts w:ascii="楷体"/>
          <w:sz w:val="13"/>
        </w:rPr>
      </w:pPr>
      <w:r>
        <w:rPr/>
        <w:pict>
          <v:line style="position:absolute;mso-position-horizontal-relative:page;mso-position-vertical-relative:paragraph;z-index:1264;mso-wrap-distance-left:0;mso-wrap-distance-right:0" from="53.880001pt,11.022924pt" to="197.930001pt,11.022924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30</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3" w:lineRule="auto" w:before="19"/>
        <w:ind w:left="317" w:right="392"/>
        <w:rPr>
          <w:rFonts w:ascii="楷体" w:eastAsia="楷体" w:hint="eastAsia"/>
        </w:rPr>
      </w:pPr>
      <w:r>
        <w:rPr>
          <w:rFonts w:ascii="Times New Roman" w:eastAsia="Times New Roman"/>
          <w:position w:val="10"/>
          <w:sz w:val="14"/>
        </w:rPr>
        <w:t>31</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380" w:bottom="880" w:left="760" w:right="520"/>
        </w:sectPr>
      </w:pPr>
    </w:p>
    <w:p>
      <w:pPr>
        <w:tabs>
          <w:tab w:pos="1594" w:val="left" w:leader="none"/>
        </w:tabs>
        <w:spacing w:line="273" w:lineRule="auto" w:before="7"/>
        <w:ind w:left="738" w:right="5945" w:hanging="421"/>
        <w:jc w:val="left"/>
        <w:rPr>
          <w:sz w:val="21"/>
        </w:rPr>
      </w:pPr>
      <w:bookmarkStart w:name="_bookmark39" w:id="38"/>
      <w:bookmarkEnd w:id="38"/>
      <w:r>
        <w:rPr/>
      </w:r>
      <w:r>
        <w:rPr>
          <w:b/>
          <w:sz w:val="21"/>
        </w:rPr>
        <w:t>第三十四条</w:t>
        <w:tab/>
        <w:t>重大疾病的种类、</w:t>
      </w:r>
      <w:r>
        <w:rPr>
          <w:b/>
          <w:spacing w:val="-3"/>
          <w:sz w:val="21"/>
        </w:rPr>
        <w:t>定</w:t>
      </w:r>
      <w:r>
        <w:rPr>
          <w:b/>
          <w:sz w:val="21"/>
        </w:rPr>
        <w:t>义</w:t>
      </w:r>
      <w:r>
        <w:rPr>
          <w:b/>
          <w:spacing w:val="-3"/>
          <w:sz w:val="21"/>
        </w:rPr>
        <w:t>及</w:t>
      </w:r>
      <w:r>
        <w:rPr>
          <w:b/>
          <w:sz w:val="21"/>
        </w:rPr>
        <w:t>所属组别 </w:t>
      </w:r>
      <w:r>
        <w:rPr>
          <w:sz w:val="21"/>
        </w:rPr>
        <w:t>一、</w:t>
      </w:r>
      <w:r>
        <w:rPr>
          <w:spacing w:val="-3"/>
          <w:sz w:val="21"/>
        </w:rPr>
        <w:t>重</w:t>
      </w:r>
      <w:r>
        <w:rPr>
          <w:sz w:val="21"/>
        </w:rPr>
        <w:t>大</w:t>
      </w:r>
      <w:r>
        <w:rPr>
          <w:spacing w:val="-3"/>
          <w:sz w:val="21"/>
        </w:rPr>
        <w:t>疾</w:t>
      </w:r>
      <w:r>
        <w:rPr>
          <w:sz w:val="21"/>
        </w:rPr>
        <w:t>病</w:t>
      </w:r>
      <w:r>
        <w:rPr>
          <w:spacing w:val="-3"/>
          <w:sz w:val="21"/>
        </w:rPr>
        <w:t>的</w:t>
      </w:r>
      <w:r>
        <w:rPr>
          <w:sz w:val="21"/>
        </w:rPr>
        <w:t>种</w:t>
      </w:r>
      <w:r>
        <w:rPr>
          <w:spacing w:val="-3"/>
          <w:sz w:val="21"/>
        </w:rPr>
        <w:t>类</w:t>
      </w:r>
      <w:r>
        <w:rPr>
          <w:sz w:val="21"/>
        </w:rPr>
        <w:t>、</w:t>
      </w:r>
      <w:r>
        <w:rPr>
          <w:spacing w:val="-3"/>
          <w:sz w:val="21"/>
        </w:rPr>
        <w:t>定</w:t>
      </w:r>
      <w:r>
        <w:rPr>
          <w:sz w:val="21"/>
        </w:rPr>
        <w:t>义</w:t>
      </w:r>
    </w:p>
    <w:p>
      <w:pPr>
        <w:pStyle w:val="BodyText"/>
        <w:spacing w:line="273" w:lineRule="auto" w:before="7"/>
        <w:ind w:left="317" w:right="480" w:firstLine="420"/>
      </w:pPr>
      <w:r>
        <w:rPr/>
        <w:t>本合同所保障的重大疾病，是指被保险人经专科医生明确诊断初次发生下列疾病或初次达到下列疾病状态或在医院初次接受下列手术。</w:t>
      </w:r>
    </w:p>
    <w:p>
      <w:pPr>
        <w:pStyle w:val="BodyText"/>
        <w:spacing w:line="256" w:lineRule="auto" w:before="7"/>
        <w:ind w:left="317" w:right="472" w:firstLine="420"/>
      </w:pPr>
      <w:r>
        <w:rPr>
          <w:spacing w:val="-7"/>
        </w:rPr>
        <w:t>本合同所保障的重大疾病共 </w:t>
      </w:r>
      <w:r>
        <w:rPr>
          <w:rFonts w:ascii="Times New Roman" w:eastAsia="Times New Roman"/>
        </w:rPr>
        <w:t>66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4"/>
        </w:rPr>
        <w:t>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864"/>
        <w:gridCol w:w="7197"/>
      </w:tblGrid>
      <w:tr>
        <w:trPr>
          <w:trHeight w:val="3706" w:hRule="atLeast"/>
        </w:trPr>
        <w:tc>
          <w:tcPr>
            <w:tcW w:w="410" w:type="dxa"/>
          </w:tcPr>
          <w:p>
            <w:pPr>
              <w:pStyle w:val="TableParagraph"/>
              <w:spacing w:line="234" w:lineRule="exact"/>
              <w:ind w:left="0" w:right="49"/>
              <w:jc w:val="right"/>
              <w:rPr>
                <w:rFonts w:ascii="Times New Roman"/>
                <w:sz w:val="21"/>
              </w:rPr>
            </w:pPr>
            <w:r>
              <w:rPr>
                <w:rFonts w:ascii="Times New Roman"/>
                <w:sz w:val="21"/>
              </w:rPr>
              <w:t>1.</w:t>
            </w:r>
          </w:p>
        </w:tc>
        <w:tc>
          <w:tcPr>
            <w:tcW w:w="2864" w:type="dxa"/>
          </w:tcPr>
          <w:p>
            <w:pPr>
              <w:pStyle w:val="TableParagraph"/>
              <w:spacing w:line="220" w:lineRule="exact"/>
              <w:ind w:left="52"/>
              <w:rPr>
                <w:sz w:val="21"/>
              </w:rPr>
            </w:pPr>
            <w:r>
              <w:rPr>
                <w:sz w:val="21"/>
              </w:rPr>
              <w:t>恶性肿瘤</w:t>
            </w:r>
          </w:p>
        </w:tc>
        <w:tc>
          <w:tcPr>
            <w:tcW w:w="7197" w:type="dxa"/>
          </w:tcPr>
          <w:p>
            <w:pPr>
              <w:pStyle w:val="TableParagraph"/>
              <w:spacing w:line="220" w:lineRule="exact"/>
              <w:ind w:left="183"/>
              <w:rPr>
                <w:sz w:val="21"/>
              </w:rPr>
            </w:pPr>
            <w:r>
              <w:rPr>
                <w:sz w:val="21"/>
              </w:rPr>
              <w:t>指恶性细胞不受控制的进行性增长和扩散，浸润和破坏周围正常组织，可</w:t>
            </w:r>
          </w:p>
          <w:p>
            <w:pPr>
              <w:pStyle w:val="TableParagraph"/>
              <w:spacing w:line="273" w:lineRule="auto" w:before="37"/>
              <w:ind w:left="183" w:right="204"/>
              <w:jc w:val="both"/>
              <w:rPr>
                <w:sz w:val="21"/>
              </w:rPr>
            </w:pPr>
            <w:r>
              <w:rPr>
                <w:sz w:val="21"/>
              </w:rPr>
              <w:t>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83"/>
              <w:jc w:val="both"/>
              <w:rPr>
                <w:b/>
                <w:sz w:val="21"/>
              </w:rPr>
            </w:pPr>
            <w:r>
              <w:rPr>
                <w:b/>
                <w:sz w:val="21"/>
              </w:rPr>
              <w:t>下列疾病不在保障范围内：</w:t>
            </w:r>
          </w:p>
          <w:p>
            <w:pPr>
              <w:pStyle w:val="TableParagraph"/>
              <w:spacing w:before="37"/>
              <w:ind w:left="183"/>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183"/>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183"/>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183"/>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183" w:right="201"/>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w:t>
            </w:r>
            <w:r>
              <w:rPr>
                <w:b/>
                <w:spacing w:val="-1"/>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1"/>
              <w:ind w:left="183"/>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10" w:type="dxa"/>
          </w:tcPr>
          <w:p>
            <w:pPr>
              <w:pStyle w:val="TableParagraph"/>
              <w:spacing w:before="30"/>
              <w:ind w:left="0" w:right="49"/>
              <w:jc w:val="right"/>
              <w:rPr>
                <w:rFonts w:ascii="Times New Roman"/>
                <w:sz w:val="21"/>
              </w:rPr>
            </w:pPr>
            <w:r>
              <w:rPr>
                <w:rFonts w:ascii="Times New Roman"/>
                <w:sz w:val="21"/>
              </w:rPr>
              <w:t>2.</w:t>
            </w:r>
          </w:p>
        </w:tc>
        <w:tc>
          <w:tcPr>
            <w:tcW w:w="2864" w:type="dxa"/>
          </w:tcPr>
          <w:p>
            <w:pPr>
              <w:pStyle w:val="TableParagraph"/>
              <w:spacing w:line="258" w:lineRule="exact"/>
              <w:ind w:left="52"/>
              <w:rPr>
                <w:sz w:val="21"/>
              </w:rPr>
            </w:pPr>
            <w:r>
              <w:rPr>
                <w:sz w:val="21"/>
              </w:rPr>
              <w:t>急性心肌梗塞</w:t>
            </w:r>
          </w:p>
        </w:tc>
        <w:tc>
          <w:tcPr>
            <w:tcW w:w="7197" w:type="dxa"/>
          </w:tcPr>
          <w:p>
            <w:pPr>
              <w:pStyle w:val="TableParagraph"/>
              <w:spacing w:line="258" w:lineRule="exact"/>
              <w:ind w:left="183"/>
              <w:rPr>
                <w:sz w:val="21"/>
              </w:rPr>
            </w:pPr>
            <w:r>
              <w:rPr>
                <w:sz w:val="21"/>
              </w:rPr>
              <w:t>指因冠状动脉阻塞导致的相应区域供血不足造成部分心肌坏死。须满足下</w:t>
            </w:r>
          </w:p>
          <w:p>
            <w:pPr>
              <w:pStyle w:val="TableParagraph"/>
              <w:spacing w:before="37"/>
              <w:ind w:left="183"/>
              <w:rPr>
                <w:sz w:val="21"/>
              </w:rPr>
            </w:pPr>
            <w:r>
              <w:rPr>
                <w:sz w:val="21"/>
              </w:rPr>
              <w:t>列至少三项条件：</w:t>
            </w:r>
          </w:p>
          <w:p>
            <w:pPr>
              <w:pStyle w:val="TableParagraph"/>
              <w:spacing w:before="37"/>
              <w:ind w:left="183"/>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83"/>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183" w:right="153"/>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18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83"/>
              <w:rPr>
                <w:sz w:val="21"/>
              </w:rPr>
            </w:pPr>
            <w:r>
              <w:rPr>
                <w:rFonts w:ascii="Times New Roman" w:eastAsia="Times New Roman"/>
                <w:sz w:val="21"/>
              </w:rPr>
              <w:t>50%</w:t>
            </w:r>
            <w:r>
              <w:rPr>
                <w:sz w:val="21"/>
              </w:rPr>
              <w:t>。</w:t>
            </w:r>
          </w:p>
        </w:tc>
      </w:tr>
      <w:tr>
        <w:trPr>
          <w:trHeight w:val="2176" w:hRule="atLeast"/>
        </w:trPr>
        <w:tc>
          <w:tcPr>
            <w:tcW w:w="410" w:type="dxa"/>
          </w:tcPr>
          <w:p>
            <w:pPr>
              <w:pStyle w:val="TableParagraph"/>
              <w:spacing w:before="30"/>
              <w:ind w:left="0" w:right="49"/>
              <w:jc w:val="right"/>
              <w:rPr>
                <w:rFonts w:ascii="Times New Roman"/>
                <w:sz w:val="21"/>
              </w:rPr>
            </w:pPr>
            <w:r>
              <w:rPr>
                <w:rFonts w:ascii="Times New Roman"/>
                <w:sz w:val="21"/>
              </w:rPr>
              <w:t>3.</w:t>
            </w:r>
          </w:p>
        </w:tc>
        <w:tc>
          <w:tcPr>
            <w:tcW w:w="2864" w:type="dxa"/>
          </w:tcPr>
          <w:p>
            <w:pPr>
              <w:pStyle w:val="TableParagraph"/>
              <w:spacing w:line="258" w:lineRule="exact"/>
              <w:ind w:left="52"/>
              <w:rPr>
                <w:sz w:val="21"/>
              </w:rPr>
            </w:pPr>
            <w:r>
              <w:rPr>
                <w:sz w:val="21"/>
              </w:rPr>
              <w:t>脑中风后遗症</w:t>
            </w:r>
          </w:p>
        </w:tc>
        <w:tc>
          <w:tcPr>
            <w:tcW w:w="7197" w:type="dxa"/>
          </w:tcPr>
          <w:p>
            <w:pPr>
              <w:pStyle w:val="TableParagraph"/>
              <w:spacing w:line="258" w:lineRule="exact"/>
              <w:ind w:left="183"/>
              <w:rPr>
                <w:sz w:val="21"/>
              </w:rPr>
            </w:pPr>
            <w:r>
              <w:rPr>
                <w:sz w:val="21"/>
              </w:rPr>
              <w:t>指因脑血管的突发病变引起脑血管出血、栓塞或梗塞，并导致神经系统永</w:t>
            </w:r>
          </w:p>
          <w:p>
            <w:pPr>
              <w:pStyle w:val="TableParagraph"/>
              <w:spacing w:line="256" w:lineRule="auto" w:before="37"/>
              <w:ind w:left="183" w:right="196"/>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2"/>
              <w:ind w:left="183"/>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32</w:t>
            </w:r>
            <w:r>
              <w:rPr>
                <w:rFonts w:ascii="Times New Roman" w:eastAsia="Times New Roman"/>
                <w:b/>
                <w:sz w:val="21"/>
                <w:vertAlign w:val="baseline"/>
              </w:rPr>
            </w:r>
            <w:r>
              <w:rPr>
                <w:sz w:val="21"/>
                <w:vertAlign w:val="baseline"/>
              </w:rPr>
              <w:t>；</w:t>
            </w:r>
          </w:p>
          <w:p>
            <w:pPr>
              <w:pStyle w:val="TableParagraph"/>
              <w:spacing w:before="21"/>
              <w:ind w:left="183"/>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33</w:t>
            </w:r>
            <w:r>
              <w:rPr>
                <w:rFonts w:ascii="Times New Roman" w:eastAsia="Times New Roman"/>
                <w:b/>
                <w:sz w:val="21"/>
                <w:vertAlign w:val="baseline"/>
              </w:rPr>
            </w:r>
            <w:r>
              <w:rPr>
                <w:sz w:val="21"/>
                <w:vertAlign w:val="baseline"/>
              </w:rPr>
              <w:t>；</w:t>
            </w:r>
          </w:p>
          <w:p>
            <w:pPr>
              <w:pStyle w:val="TableParagraph"/>
              <w:spacing w:line="256" w:lineRule="auto" w:before="21"/>
              <w:ind w:left="183" w:right="15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14" w:hRule="atLeast"/>
        </w:trPr>
        <w:tc>
          <w:tcPr>
            <w:tcW w:w="410" w:type="dxa"/>
          </w:tcPr>
          <w:p>
            <w:pPr>
              <w:pStyle w:val="TableParagraph"/>
              <w:spacing w:before="38"/>
              <w:ind w:left="0" w:right="49"/>
              <w:jc w:val="right"/>
              <w:rPr>
                <w:rFonts w:ascii="Times New Roman"/>
                <w:sz w:val="21"/>
              </w:rPr>
            </w:pPr>
            <w:r>
              <w:rPr>
                <w:rFonts w:ascii="Times New Roman"/>
                <w:sz w:val="21"/>
              </w:rPr>
              <w:t>4.</w:t>
            </w:r>
          </w:p>
        </w:tc>
        <w:tc>
          <w:tcPr>
            <w:tcW w:w="2864" w:type="dxa"/>
          </w:tcPr>
          <w:p>
            <w:pPr>
              <w:pStyle w:val="TableParagraph"/>
              <w:spacing w:line="273" w:lineRule="auto"/>
              <w:ind w:left="52" w:right="179"/>
              <w:rPr>
                <w:sz w:val="21"/>
              </w:rPr>
            </w:pPr>
            <w:r>
              <w:rPr>
                <w:sz w:val="21"/>
              </w:rPr>
              <w:t>重大器官移植术或造血干细胞移植术</w:t>
            </w:r>
          </w:p>
        </w:tc>
        <w:tc>
          <w:tcPr>
            <w:tcW w:w="7197" w:type="dxa"/>
          </w:tcPr>
          <w:p>
            <w:pPr>
              <w:pStyle w:val="TableParagraph"/>
              <w:spacing w:line="273" w:lineRule="auto"/>
              <w:ind w:left="183" w:right="204"/>
              <w:rPr>
                <w:sz w:val="21"/>
              </w:rPr>
            </w:pPr>
            <w:r>
              <w:rPr>
                <w:sz w:val="21"/>
              </w:rPr>
              <w:t>重大器官移植术，指因相应器官功能衰竭，已经实施了肾脏、肝脏、心脏或肺脏的异体移植手术。</w:t>
            </w:r>
          </w:p>
          <w:p>
            <w:pPr>
              <w:pStyle w:val="TableParagraph"/>
              <w:spacing w:line="312" w:lineRule="exact" w:before="12"/>
              <w:ind w:left="183" w:right="204"/>
              <w:rPr>
                <w:sz w:val="21"/>
              </w:rPr>
            </w:pPr>
            <w:r>
              <w:rPr>
                <w:sz w:val="21"/>
              </w:rPr>
              <w:t>造血干细胞移植术，指因造血功能损害或造血系统恶性肿瘤，已经实施了</w:t>
            </w:r>
            <w:r>
              <w:rPr>
                <w:spacing w:val="-3"/>
                <w:sz w:val="21"/>
              </w:rPr>
              <w:t>造血干细胞（</w:t>
            </w:r>
            <w:r>
              <w:rPr>
                <w:spacing w:val="-4"/>
                <w:sz w:val="21"/>
              </w:rPr>
              <w:t>包括骨髓造血干细胞、外周血造血干细胞和脐血造血干细胞</w:t>
            </w:r>
            <w:r>
              <w:rPr>
                <w:spacing w:val="-3"/>
                <w:sz w:val="21"/>
              </w:rPr>
              <w:t>的异体移植手术。</w:t>
            </w:r>
          </w:p>
        </w:tc>
      </w:tr>
    </w:tbl>
    <w:p>
      <w:pPr>
        <w:pStyle w:val="BodyText"/>
        <w:ind w:left="0"/>
        <w:rPr>
          <w:sz w:val="18"/>
        </w:rPr>
      </w:pPr>
      <w:r>
        <w:rPr/>
        <w:pict>
          <v:line style="position:absolute;mso-position-horizontal-relative:page;mso-position-vertical-relative:paragraph;z-index:1288;mso-wrap-distance-left:0;mso-wrap-distance-right:0" from="53.880001pt,14.005491pt" to="197.930001pt,14.005491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32</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33</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47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360" w:bottom="8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13"/>
        <w:gridCol w:w="7244"/>
      </w:tblGrid>
      <w:tr>
        <w:trPr>
          <w:trHeight w:val="1202" w:hRule="atLeast"/>
        </w:trPr>
        <w:tc>
          <w:tcPr>
            <w:tcW w:w="463" w:type="dxa"/>
          </w:tcPr>
          <w:p>
            <w:pPr>
              <w:pStyle w:val="TableParagraph"/>
              <w:spacing w:line="234" w:lineRule="exact"/>
              <w:ind w:left="200"/>
              <w:rPr>
                <w:rFonts w:ascii="Times New Roman"/>
                <w:sz w:val="21"/>
              </w:rPr>
            </w:pPr>
            <w:r>
              <w:rPr>
                <w:rFonts w:ascii="Times New Roman"/>
                <w:sz w:val="21"/>
              </w:rPr>
              <w:t>5.</w:t>
            </w:r>
          </w:p>
        </w:tc>
        <w:tc>
          <w:tcPr>
            <w:tcW w:w="2813" w:type="dxa"/>
          </w:tcPr>
          <w:p>
            <w:pPr>
              <w:pStyle w:val="TableParagraph"/>
              <w:spacing w:line="220" w:lineRule="exact"/>
              <w:ind w:left="-1"/>
              <w:rPr>
                <w:sz w:val="21"/>
              </w:rPr>
            </w:pPr>
            <w:r>
              <w:rPr>
                <w:sz w:val="21"/>
              </w:rPr>
              <w:t>冠状动脉搭桥术（或称冠状动</w:t>
            </w:r>
          </w:p>
          <w:p>
            <w:pPr>
              <w:pStyle w:val="TableParagraph"/>
              <w:spacing w:before="37"/>
              <w:ind w:left="-1"/>
              <w:rPr>
                <w:sz w:val="21"/>
              </w:rPr>
            </w:pPr>
            <w:r>
              <w:rPr>
                <w:sz w:val="21"/>
              </w:rPr>
              <w:t>脉旁路移植术）</w:t>
            </w:r>
          </w:p>
        </w:tc>
        <w:tc>
          <w:tcPr>
            <w:tcW w:w="7244" w:type="dxa"/>
          </w:tcPr>
          <w:p>
            <w:pPr>
              <w:pStyle w:val="TableParagraph"/>
              <w:spacing w:line="220" w:lineRule="exact"/>
              <w:ind w:left="181"/>
              <w:rPr>
                <w:sz w:val="21"/>
              </w:rPr>
            </w:pPr>
            <w:r>
              <w:rPr>
                <w:sz w:val="21"/>
              </w:rPr>
              <w:t>指为治疗严重的冠心病，实际实施了开胸进行的冠状动脉血管旁路移植的</w:t>
            </w:r>
          </w:p>
          <w:p>
            <w:pPr>
              <w:pStyle w:val="TableParagraph"/>
              <w:spacing w:before="37"/>
              <w:ind w:left="181"/>
              <w:rPr>
                <w:sz w:val="21"/>
              </w:rPr>
            </w:pPr>
            <w:r>
              <w:rPr>
                <w:sz w:val="21"/>
              </w:rPr>
              <w:t>手术。</w:t>
            </w:r>
          </w:p>
          <w:p>
            <w:pPr>
              <w:pStyle w:val="TableParagraph"/>
              <w:spacing w:line="310" w:lineRule="atLeast" w:before="1"/>
              <w:ind w:left="181" w:right="253"/>
              <w:rPr>
                <w:b/>
                <w:sz w:val="21"/>
              </w:rPr>
            </w:pPr>
            <w:r>
              <w:rPr>
                <w:b/>
                <w:sz w:val="21"/>
              </w:rPr>
              <w:t>冠状动脉支架植入术、心导管球囊扩张术、激光射频技术及其他非开胸的介入手术、腔镜手术不在保障范围内。</w:t>
            </w:r>
          </w:p>
        </w:tc>
      </w:tr>
      <w:tr>
        <w:trPr>
          <w:trHeight w:val="631" w:hRule="atLeast"/>
        </w:trPr>
        <w:tc>
          <w:tcPr>
            <w:tcW w:w="463" w:type="dxa"/>
          </w:tcPr>
          <w:p>
            <w:pPr>
              <w:pStyle w:val="TableParagraph"/>
              <w:spacing w:before="38"/>
              <w:ind w:left="200"/>
              <w:rPr>
                <w:rFonts w:ascii="Times New Roman"/>
                <w:sz w:val="21"/>
              </w:rPr>
            </w:pPr>
            <w:r>
              <w:rPr>
                <w:rFonts w:ascii="Times New Roman"/>
                <w:sz w:val="21"/>
              </w:rPr>
              <w:t>6.</w:t>
            </w:r>
          </w:p>
        </w:tc>
        <w:tc>
          <w:tcPr>
            <w:tcW w:w="2813" w:type="dxa"/>
          </w:tcPr>
          <w:p>
            <w:pPr>
              <w:pStyle w:val="TableParagraph"/>
              <w:spacing w:line="273" w:lineRule="auto"/>
              <w:ind w:left="-1" w:right="178"/>
              <w:rPr>
                <w:sz w:val="21"/>
              </w:rPr>
            </w:pPr>
            <w:r>
              <w:rPr>
                <w:spacing w:val="-21"/>
                <w:sz w:val="21"/>
              </w:rPr>
              <w:t>终末期肾病</w:t>
            </w:r>
            <w:r>
              <w:rPr>
                <w:spacing w:val="-3"/>
                <w:sz w:val="21"/>
              </w:rPr>
              <w:t>（或称慢性肾功能衰竭尿毒症期</w:t>
            </w:r>
            <w:r>
              <w:rPr>
                <w:sz w:val="21"/>
              </w:rPr>
              <w:t>）</w:t>
            </w:r>
          </w:p>
        </w:tc>
        <w:tc>
          <w:tcPr>
            <w:tcW w:w="7244" w:type="dxa"/>
          </w:tcPr>
          <w:p>
            <w:pPr>
              <w:pStyle w:val="TableParagraph"/>
              <w:spacing w:line="266" w:lineRule="exact"/>
              <w:ind w:left="181"/>
              <w:rPr>
                <w:sz w:val="21"/>
              </w:rPr>
            </w:pPr>
            <w:r>
              <w:rPr>
                <w:sz w:val="21"/>
              </w:rPr>
              <w:t>指双肾功能慢性不可逆性衰竭，达到尿毒症期，经诊断后已经进行了至少</w:t>
            </w:r>
          </w:p>
          <w:p>
            <w:pPr>
              <w:pStyle w:val="TableParagraph"/>
              <w:spacing w:before="37"/>
              <w:ind w:left="181"/>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63" w:type="dxa"/>
          </w:tcPr>
          <w:p>
            <w:pPr>
              <w:pStyle w:val="TableParagraph"/>
              <w:spacing w:before="30"/>
              <w:ind w:left="200"/>
              <w:rPr>
                <w:rFonts w:ascii="Times New Roman"/>
                <w:sz w:val="21"/>
              </w:rPr>
            </w:pPr>
            <w:r>
              <w:rPr>
                <w:rFonts w:ascii="Times New Roman"/>
                <w:sz w:val="21"/>
              </w:rPr>
              <w:t>7.</w:t>
            </w:r>
          </w:p>
        </w:tc>
        <w:tc>
          <w:tcPr>
            <w:tcW w:w="2813" w:type="dxa"/>
          </w:tcPr>
          <w:p>
            <w:pPr>
              <w:pStyle w:val="TableParagraph"/>
              <w:spacing w:line="258" w:lineRule="exact"/>
              <w:ind w:left="-1"/>
              <w:rPr>
                <w:sz w:val="21"/>
              </w:rPr>
            </w:pPr>
            <w:r>
              <w:rPr>
                <w:sz w:val="21"/>
              </w:rPr>
              <w:t>多个肢体缺失</w:t>
            </w:r>
          </w:p>
        </w:tc>
        <w:tc>
          <w:tcPr>
            <w:tcW w:w="7244" w:type="dxa"/>
          </w:tcPr>
          <w:p>
            <w:pPr>
              <w:pStyle w:val="TableParagraph"/>
              <w:spacing w:line="258" w:lineRule="exact"/>
              <w:ind w:left="181"/>
              <w:rPr>
                <w:sz w:val="21"/>
              </w:rPr>
            </w:pPr>
            <w:r>
              <w:rPr>
                <w:sz w:val="21"/>
              </w:rPr>
              <w:t>指因疾病或意外伤害导致两个或两个以上肢体自腕关节或踝关节近端（靠</w:t>
            </w:r>
          </w:p>
          <w:p>
            <w:pPr>
              <w:pStyle w:val="TableParagraph"/>
              <w:spacing w:before="37"/>
              <w:ind w:left="181"/>
              <w:rPr>
                <w:sz w:val="21"/>
              </w:rPr>
            </w:pPr>
            <w:r>
              <w:rPr>
                <w:sz w:val="21"/>
              </w:rPr>
              <w:t>近躯干端）以上完全性断离。</w:t>
            </w:r>
          </w:p>
        </w:tc>
      </w:tr>
      <w:tr>
        <w:trPr>
          <w:trHeight w:val="1880" w:hRule="atLeast"/>
        </w:trPr>
        <w:tc>
          <w:tcPr>
            <w:tcW w:w="463" w:type="dxa"/>
          </w:tcPr>
          <w:p>
            <w:pPr>
              <w:pStyle w:val="TableParagraph"/>
              <w:spacing w:before="38"/>
              <w:ind w:left="200"/>
              <w:rPr>
                <w:rFonts w:ascii="Times New Roman"/>
                <w:sz w:val="21"/>
              </w:rPr>
            </w:pPr>
            <w:r>
              <w:rPr>
                <w:rFonts w:ascii="Times New Roman"/>
                <w:sz w:val="21"/>
              </w:rPr>
              <w:t>8.</w:t>
            </w:r>
          </w:p>
        </w:tc>
        <w:tc>
          <w:tcPr>
            <w:tcW w:w="2813" w:type="dxa"/>
          </w:tcPr>
          <w:p>
            <w:pPr>
              <w:pStyle w:val="TableParagraph"/>
              <w:spacing w:line="266" w:lineRule="exact"/>
              <w:ind w:left="-1"/>
              <w:rPr>
                <w:sz w:val="21"/>
              </w:rPr>
            </w:pPr>
            <w:r>
              <w:rPr>
                <w:sz w:val="21"/>
              </w:rPr>
              <w:t>急性或亚急性重症肝炎</w:t>
            </w:r>
          </w:p>
        </w:tc>
        <w:tc>
          <w:tcPr>
            <w:tcW w:w="7244" w:type="dxa"/>
          </w:tcPr>
          <w:p>
            <w:pPr>
              <w:pStyle w:val="TableParagraph"/>
              <w:spacing w:line="273" w:lineRule="auto"/>
              <w:ind w:left="181" w:right="253"/>
              <w:rPr>
                <w:sz w:val="21"/>
              </w:rPr>
            </w:pPr>
            <w:r>
              <w:rPr>
                <w:sz w:val="21"/>
              </w:rPr>
              <w:t>指因肝炎病毒感染引起肝脏组织弥漫性坏死，导致急性肝功能衰竭，且经血清学或病毒学检查证实，并须满足下列全部条件：</w:t>
            </w:r>
          </w:p>
          <w:p>
            <w:pPr>
              <w:pStyle w:val="TableParagraph"/>
              <w:spacing w:before="16"/>
              <w:ind w:left="181"/>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81"/>
              <w:rPr>
                <w:sz w:val="21"/>
              </w:rPr>
            </w:pPr>
            <w:r>
              <w:rPr>
                <w:sz w:val="21"/>
              </w:rPr>
              <w:t>（</w:t>
            </w:r>
            <w:r>
              <w:rPr>
                <w:rFonts w:ascii="Times New Roman" w:eastAsia="Times New Roman"/>
                <w:sz w:val="21"/>
              </w:rPr>
              <w:t>2</w:t>
            </w:r>
            <w:r>
              <w:rPr>
                <w:sz w:val="21"/>
              </w:rPr>
              <w:t>）肝性脑病；</w:t>
            </w:r>
          </w:p>
          <w:p>
            <w:pPr>
              <w:pStyle w:val="TableParagraph"/>
              <w:spacing w:before="21"/>
              <w:ind w:left="18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8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3" w:type="dxa"/>
          </w:tcPr>
          <w:p>
            <w:pPr>
              <w:pStyle w:val="TableParagraph"/>
              <w:spacing w:before="30"/>
              <w:ind w:left="200"/>
              <w:rPr>
                <w:rFonts w:ascii="Times New Roman"/>
                <w:sz w:val="21"/>
              </w:rPr>
            </w:pPr>
            <w:r>
              <w:rPr>
                <w:rFonts w:ascii="Times New Roman"/>
                <w:sz w:val="21"/>
              </w:rPr>
              <w:t>9.</w:t>
            </w:r>
          </w:p>
        </w:tc>
        <w:tc>
          <w:tcPr>
            <w:tcW w:w="2813" w:type="dxa"/>
          </w:tcPr>
          <w:p>
            <w:pPr>
              <w:pStyle w:val="TableParagraph"/>
              <w:spacing w:line="258" w:lineRule="exact"/>
              <w:ind w:left="-1"/>
              <w:rPr>
                <w:sz w:val="21"/>
              </w:rPr>
            </w:pPr>
            <w:r>
              <w:rPr>
                <w:sz w:val="21"/>
              </w:rPr>
              <w:t>良性脑肿瘤</w:t>
            </w:r>
          </w:p>
        </w:tc>
        <w:tc>
          <w:tcPr>
            <w:tcW w:w="7244" w:type="dxa"/>
          </w:tcPr>
          <w:p>
            <w:pPr>
              <w:pStyle w:val="TableParagraph"/>
              <w:spacing w:line="258" w:lineRule="exact"/>
              <w:ind w:left="181"/>
              <w:rPr>
                <w:sz w:val="21"/>
              </w:rPr>
            </w:pPr>
            <w:r>
              <w:rPr>
                <w:sz w:val="21"/>
              </w:rPr>
              <w:t>指脑的良性肿瘤，已经引起颅内压增高，临床表现为视神经乳头水肿、精</w:t>
            </w:r>
          </w:p>
          <w:p>
            <w:pPr>
              <w:pStyle w:val="TableParagraph"/>
              <w:spacing w:line="256" w:lineRule="auto" w:before="37"/>
              <w:ind w:left="181" w:right="197"/>
              <w:rPr>
                <w:sz w:val="21"/>
              </w:rPr>
            </w:pPr>
            <w:r>
              <w:rPr>
                <w:spacing w:val="-3"/>
                <w:w w:val="100"/>
                <w:sz w:val="21"/>
              </w:rPr>
              <w:t>神症状、癫痫及运动感觉障碍等，并危及生命。须由头颅断层扫描（</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8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8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81"/>
              <w:rPr>
                <w:b/>
                <w:sz w:val="21"/>
              </w:rPr>
            </w:pPr>
            <w:r>
              <w:rPr>
                <w:b/>
                <w:sz w:val="21"/>
              </w:rPr>
              <w:t>脑垂体瘤、脑囊肿、脑血管性疾病不在保障范围内。</w:t>
            </w:r>
          </w:p>
        </w:tc>
      </w:tr>
      <w:tr>
        <w:trPr>
          <w:trHeight w:val="1872" w:hRule="atLeast"/>
        </w:trPr>
        <w:tc>
          <w:tcPr>
            <w:tcW w:w="463" w:type="dxa"/>
          </w:tcPr>
          <w:p>
            <w:pPr>
              <w:pStyle w:val="TableParagraph"/>
              <w:spacing w:before="38"/>
              <w:ind w:left="200" w:right="-15"/>
              <w:rPr>
                <w:rFonts w:ascii="Times New Roman"/>
                <w:sz w:val="21"/>
              </w:rPr>
            </w:pPr>
            <w:r>
              <w:rPr>
                <w:rFonts w:ascii="Times New Roman"/>
                <w:sz w:val="21"/>
              </w:rPr>
              <w:t>10.</w:t>
            </w:r>
          </w:p>
        </w:tc>
        <w:tc>
          <w:tcPr>
            <w:tcW w:w="2813" w:type="dxa"/>
          </w:tcPr>
          <w:p>
            <w:pPr>
              <w:pStyle w:val="TableParagraph"/>
              <w:spacing w:line="266" w:lineRule="exact"/>
              <w:ind w:left="-1"/>
              <w:rPr>
                <w:sz w:val="21"/>
              </w:rPr>
            </w:pPr>
            <w:r>
              <w:rPr>
                <w:sz w:val="21"/>
              </w:rPr>
              <w:t>慢性肝功能衰竭失代偿期</w:t>
            </w:r>
          </w:p>
        </w:tc>
        <w:tc>
          <w:tcPr>
            <w:tcW w:w="7244" w:type="dxa"/>
          </w:tcPr>
          <w:p>
            <w:pPr>
              <w:pStyle w:val="TableParagraph"/>
              <w:spacing w:line="266" w:lineRule="exact"/>
              <w:ind w:left="181"/>
              <w:rPr>
                <w:sz w:val="21"/>
              </w:rPr>
            </w:pPr>
            <w:r>
              <w:rPr>
                <w:sz w:val="21"/>
              </w:rPr>
              <w:t>指因慢性肝脏疾病导致肝功能衰竭。须满足下列全部条件：</w:t>
            </w:r>
          </w:p>
          <w:p>
            <w:pPr>
              <w:pStyle w:val="TableParagraph"/>
              <w:spacing w:before="37"/>
              <w:ind w:left="181"/>
              <w:rPr>
                <w:sz w:val="21"/>
              </w:rPr>
            </w:pPr>
            <w:r>
              <w:rPr>
                <w:sz w:val="21"/>
              </w:rPr>
              <w:t>（</w:t>
            </w:r>
            <w:r>
              <w:rPr>
                <w:rFonts w:ascii="Times New Roman" w:eastAsia="Times New Roman"/>
                <w:sz w:val="21"/>
              </w:rPr>
              <w:t>1</w:t>
            </w:r>
            <w:r>
              <w:rPr>
                <w:sz w:val="21"/>
              </w:rPr>
              <w:t>）持续性黄疸；</w:t>
            </w:r>
          </w:p>
          <w:p>
            <w:pPr>
              <w:pStyle w:val="TableParagraph"/>
              <w:spacing w:before="21"/>
              <w:ind w:left="181"/>
              <w:rPr>
                <w:sz w:val="21"/>
              </w:rPr>
            </w:pPr>
            <w:r>
              <w:rPr>
                <w:sz w:val="21"/>
              </w:rPr>
              <w:t>（</w:t>
            </w:r>
            <w:r>
              <w:rPr>
                <w:rFonts w:ascii="Times New Roman" w:eastAsia="Times New Roman"/>
                <w:sz w:val="21"/>
              </w:rPr>
              <w:t>2</w:t>
            </w:r>
            <w:r>
              <w:rPr>
                <w:sz w:val="21"/>
              </w:rPr>
              <w:t>）腹水；</w:t>
            </w:r>
          </w:p>
          <w:p>
            <w:pPr>
              <w:pStyle w:val="TableParagraph"/>
              <w:spacing w:before="20"/>
              <w:ind w:left="181"/>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181" w:right="1911"/>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1" w:hRule="atLeast"/>
        </w:trPr>
        <w:tc>
          <w:tcPr>
            <w:tcW w:w="463" w:type="dxa"/>
          </w:tcPr>
          <w:p>
            <w:pPr>
              <w:pStyle w:val="TableParagraph"/>
              <w:spacing w:before="38"/>
              <w:ind w:left="200"/>
              <w:rPr>
                <w:rFonts w:ascii="Times New Roman"/>
                <w:sz w:val="21"/>
              </w:rPr>
            </w:pPr>
            <w:r>
              <w:rPr>
                <w:rFonts w:ascii="Times New Roman"/>
                <w:sz w:val="21"/>
              </w:rPr>
              <w:t>11.</w:t>
            </w:r>
          </w:p>
        </w:tc>
        <w:tc>
          <w:tcPr>
            <w:tcW w:w="2813" w:type="dxa"/>
          </w:tcPr>
          <w:p>
            <w:pPr>
              <w:pStyle w:val="TableParagraph"/>
              <w:spacing w:line="266" w:lineRule="exact"/>
              <w:ind w:left="-1"/>
              <w:rPr>
                <w:sz w:val="21"/>
              </w:rPr>
            </w:pPr>
            <w:r>
              <w:rPr>
                <w:sz w:val="21"/>
              </w:rPr>
              <w:t>脑炎后遗症或脑膜炎后遗症</w:t>
            </w:r>
          </w:p>
        </w:tc>
        <w:tc>
          <w:tcPr>
            <w:tcW w:w="7244" w:type="dxa"/>
          </w:tcPr>
          <w:p>
            <w:pPr>
              <w:pStyle w:val="TableParagraph"/>
              <w:spacing w:line="273" w:lineRule="auto"/>
              <w:ind w:left="181" w:right="253"/>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18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8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81" w:right="202"/>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8" w:hRule="atLeast"/>
        </w:trPr>
        <w:tc>
          <w:tcPr>
            <w:tcW w:w="463" w:type="dxa"/>
          </w:tcPr>
          <w:p>
            <w:pPr>
              <w:pStyle w:val="TableParagraph"/>
              <w:spacing w:before="38"/>
              <w:ind w:left="200" w:right="-15"/>
              <w:rPr>
                <w:rFonts w:ascii="Times New Roman"/>
                <w:sz w:val="21"/>
              </w:rPr>
            </w:pPr>
            <w:r>
              <w:rPr>
                <w:rFonts w:ascii="Times New Roman"/>
                <w:sz w:val="21"/>
              </w:rPr>
              <w:t>12.</w:t>
            </w:r>
          </w:p>
        </w:tc>
        <w:tc>
          <w:tcPr>
            <w:tcW w:w="2813" w:type="dxa"/>
          </w:tcPr>
          <w:p>
            <w:pPr>
              <w:pStyle w:val="TableParagraph"/>
              <w:spacing w:line="266" w:lineRule="exact"/>
              <w:ind w:left="-1"/>
              <w:rPr>
                <w:sz w:val="21"/>
              </w:rPr>
            </w:pPr>
            <w:r>
              <w:rPr>
                <w:sz w:val="21"/>
              </w:rPr>
              <w:t>深度昏迷</w:t>
            </w:r>
          </w:p>
        </w:tc>
        <w:tc>
          <w:tcPr>
            <w:tcW w:w="7244" w:type="dxa"/>
          </w:tcPr>
          <w:p>
            <w:pPr>
              <w:pStyle w:val="TableParagraph"/>
              <w:spacing w:line="264" w:lineRule="auto"/>
              <w:ind w:left="181" w:right="249"/>
              <w:jc w:val="both"/>
              <w:rPr>
                <w:sz w:val="21"/>
              </w:rPr>
            </w:pPr>
            <w:r>
              <w:rPr>
                <w:sz w:val="21"/>
              </w:rPr>
              <w:t>指因疾病或意外伤害导致意识丧失，对外界刺激和体内需求均无反应，昏</w:t>
            </w:r>
            <w:r>
              <w:rPr>
                <w:spacing w:val="-3"/>
                <w:sz w:val="21"/>
              </w:rPr>
              <w:t>迷程度按照格拉斯哥昏迷分级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9"/>
                <w:sz w:val="21"/>
              </w:rPr>
              <w:t>分或 </w:t>
            </w:r>
            <w:r>
              <w:rPr>
                <w:rFonts w:ascii="Times New Roman" w:eastAsia="Times New Roman"/>
                <w:sz w:val="21"/>
              </w:rPr>
              <w:t>5 </w:t>
            </w:r>
            <w:r>
              <w:rPr>
                <w:spacing w:val="-3"/>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73" w:lineRule="exact" w:before="9"/>
              <w:ind w:left="181"/>
              <w:jc w:val="both"/>
              <w:rPr>
                <w:b/>
                <w:sz w:val="21"/>
              </w:rPr>
            </w:pPr>
            <w:r>
              <w:rPr>
                <w:b/>
                <w:sz w:val="21"/>
              </w:rPr>
              <w:t>因酗酒或药物滥用导致的深度昏迷不在保障范围内。</w:t>
            </w:r>
          </w:p>
        </w:tc>
      </w:tr>
      <w:tr>
        <w:trPr>
          <w:trHeight w:val="936" w:hRule="atLeast"/>
        </w:trPr>
        <w:tc>
          <w:tcPr>
            <w:tcW w:w="463" w:type="dxa"/>
          </w:tcPr>
          <w:p>
            <w:pPr>
              <w:pStyle w:val="TableParagraph"/>
              <w:spacing w:before="38"/>
              <w:ind w:left="200" w:right="-15"/>
              <w:rPr>
                <w:rFonts w:ascii="Times New Roman"/>
                <w:sz w:val="21"/>
              </w:rPr>
            </w:pPr>
            <w:r>
              <w:rPr>
                <w:rFonts w:ascii="Times New Roman"/>
                <w:sz w:val="21"/>
              </w:rPr>
              <w:t>13.</w:t>
            </w:r>
          </w:p>
        </w:tc>
        <w:tc>
          <w:tcPr>
            <w:tcW w:w="2813" w:type="dxa"/>
          </w:tcPr>
          <w:p>
            <w:pPr>
              <w:pStyle w:val="TableParagraph"/>
              <w:spacing w:line="266" w:lineRule="exact"/>
              <w:ind w:left="-1"/>
              <w:rPr>
                <w:sz w:val="21"/>
              </w:rPr>
            </w:pPr>
            <w:r>
              <w:rPr>
                <w:sz w:val="21"/>
              </w:rPr>
              <w:t>双耳失聪</w:t>
            </w:r>
          </w:p>
        </w:tc>
        <w:tc>
          <w:tcPr>
            <w:tcW w:w="7244" w:type="dxa"/>
          </w:tcPr>
          <w:p>
            <w:pPr>
              <w:pStyle w:val="TableParagraph"/>
              <w:spacing w:line="282" w:lineRule="exact"/>
              <w:ind w:left="181"/>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181" w:right="353"/>
              <w:rPr>
                <w:sz w:val="21"/>
              </w:rPr>
            </w:pPr>
            <w:r>
              <w:rPr>
                <w:spacing w:val="-13"/>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分贝，且经纯音听力测试</w:t>
            </w:r>
            <w:r>
              <w:rPr>
                <w:spacing w:val="-3"/>
                <w:sz w:val="21"/>
              </w:rPr>
              <w:t>声导抗检测或听觉诱发电位检测等证实。</w:t>
            </w:r>
          </w:p>
        </w:tc>
      </w:tr>
      <w:tr>
        <w:trPr>
          <w:trHeight w:val="1218" w:hRule="atLeast"/>
        </w:trPr>
        <w:tc>
          <w:tcPr>
            <w:tcW w:w="463" w:type="dxa"/>
          </w:tcPr>
          <w:p>
            <w:pPr>
              <w:pStyle w:val="TableParagraph"/>
              <w:spacing w:before="38"/>
              <w:ind w:left="200" w:right="-15"/>
              <w:rPr>
                <w:rFonts w:ascii="Times New Roman"/>
                <w:sz w:val="21"/>
              </w:rPr>
            </w:pPr>
            <w:r>
              <w:rPr>
                <w:rFonts w:ascii="Times New Roman"/>
                <w:sz w:val="21"/>
              </w:rPr>
              <w:t>14.</w:t>
            </w:r>
          </w:p>
        </w:tc>
        <w:tc>
          <w:tcPr>
            <w:tcW w:w="2813" w:type="dxa"/>
          </w:tcPr>
          <w:p>
            <w:pPr>
              <w:pStyle w:val="TableParagraph"/>
              <w:spacing w:line="266" w:lineRule="exact"/>
              <w:ind w:left="-1"/>
              <w:rPr>
                <w:sz w:val="21"/>
              </w:rPr>
            </w:pPr>
            <w:r>
              <w:rPr>
                <w:sz w:val="21"/>
              </w:rPr>
              <w:t>双目失明</w:t>
            </w:r>
          </w:p>
        </w:tc>
        <w:tc>
          <w:tcPr>
            <w:tcW w:w="7244" w:type="dxa"/>
          </w:tcPr>
          <w:p>
            <w:pPr>
              <w:pStyle w:val="TableParagraph"/>
              <w:spacing w:line="273" w:lineRule="auto"/>
              <w:ind w:left="181" w:right="248"/>
              <w:rPr>
                <w:sz w:val="21"/>
              </w:rPr>
            </w:pPr>
            <w:r>
              <w:rPr>
                <w:sz w:val="21"/>
              </w:rPr>
              <w:t>指因疾病或意外伤害导致双眼视力永久不可逆性丧失，双眼中较好眼须满足下列至少一项条件：</w:t>
            </w:r>
          </w:p>
          <w:p>
            <w:pPr>
              <w:pStyle w:val="TableParagraph"/>
              <w:spacing w:before="16"/>
              <w:ind w:left="181"/>
              <w:rPr>
                <w:sz w:val="21"/>
              </w:rPr>
            </w:pPr>
            <w:r>
              <w:rPr>
                <w:sz w:val="21"/>
              </w:rPr>
              <w:t>（</w:t>
            </w:r>
            <w:r>
              <w:rPr>
                <w:rFonts w:ascii="Times New Roman" w:eastAsia="Times New Roman"/>
                <w:sz w:val="21"/>
              </w:rPr>
              <w:t>1</w:t>
            </w:r>
            <w:r>
              <w:rPr>
                <w:sz w:val="21"/>
              </w:rPr>
              <w:t>）眼球缺失或摘除；</w:t>
            </w:r>
          </w:p>
          <w:p>
            <w:pPr>
              <w:pStyle w:val="TableParagraph"/>
              <w:spacing w:line="271" w:lineRule="exact" w:before="20"/>
              <w:ind w:left="18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（采用国际标准视力表，如果使用其他视力表应进</w:t>
            </w:r>
          </w:p>
        </w:tc>
      </w:tr>
    </w:tbl>
    <w:p>
      <w:pPr>
        <w:spacing w:after="0" w:line="271" w:lineRule="exact"/>
        <w:rPr>
          <w:sz w:val="21"/>
        </w:rPr>
        <w:sectPr>
          <w:pgSz w:w="11910" w:h="16160"/>
          <w:pgMar w:header="0" w:footer="631" w:top="1420" w:bottom="820" w:left="760" w:right="400"/>
        </w:sectPr>
      </w:pPr>
    </w:p>
    <w:p>
      <w:pPr>
        <w:pStyle w:val="BodyText"/>
        <w:spacing w:before="7"/>
        <w:ind w:left="3375"/>
      </w:pPr>
      <w:r>
        <w:rPr>
          <w:spacing w:val="-1"/>
          <w:w w:val="100"/>
        </w:rPr>
        <w:t>行换算</w:t>
      </w:r>
      <w:r>
        <w:rPr>
          <w:spacing w:val="-106"/>
          <w:w w:val="100"/>
        </w:rPr>
        <w:t>）</w:t>
      </w:r>
      <w:r>
        <w:rPr>
          <w:w w:val="100"/>
        </w:rPr>
        <w:t>；</w:t>
      </w:r>
    </w:p>
    <w:p>
      <w:pPr>
        <w:pStyle w:val="BodyText"/>
        <w:spacing w:before="37"/>
        <w:ind w:left="3375"/>
      </w:pPr>
      <w:r>
        <w:rPr/>
        <w:t>（</w:t>
      </w:r>
      <w:r>
        <w:rPr>
          <w:rFonts w:ascii="Times New Roman" w:eastAsia="Times New Roman"/>
        </w:rPr>
        <w:t>3</w:t>
      </w:r>
      <w:r>
        <w:rPr/>
        <w:t>）视野半径小于 </w:t>
      </w:r>
      <w:r>
        <w:rPr>
          <w:rFonts w:ascii="Times New Roman" w:eastAsia="Times New Roman"/>
        </w:rPr>
        <w:t>5 </w:t>
      </w:r>
      <w:r>
        <w:rPr/>
        <w:t>度。</w:t>
      </w:r>
    </w:p>
    <w:p>
      <w:pPr>
        <w:pStyle w:val="BodyText"/>
        <w:tabs>
          <w:tab w:pos="3375" w:val="left" w:leader="none"/>
        </w:tabs>
        <w:spacing w:line="256" w:lineRule="auto" w:before="21"/>
        <w:ind w:left="3375" w:right="114" w:hanging="3258"/>
        <w:jc w:val="both"/>
      </w:pPr>
      <w:r>
        <w:rPr>
          <w:rFonts w:ascii="Times New Roman" w:eastAsia="Times New Roman"/>
        </w:rPr>
        <w:t>15.</w:t>
      </w:r>
      <w:r>
        <w:rPr/>
        <w:t>瘫痪</w:t>
        <w:tab/>
        <w:t>指因疾病或意外伤害导致两肢或两肢以上肢体机能永久完全丧失。肢体机 能永</w:t>
      </w:r>
      <w:r>
        <w:rPr>
          <w:spacing w:val="-3"/>
        </w:rPr>
        <w:t>久</w:t>
      </w:r>
      <w:r>
        <w:rPr/>
        <w:t>完</w:t>
      </w:r>
      <w:r>
        <w:rPr>
          <w:spacing w:val="-3"/>
        </w:rPr>
        <w:t>全</w:t>
      </w:r>
      <w:r>
        <w:rPr/>
        <w:t>丧</w:t>
      </w:r>
      <w:r>
        <w:rPr>
          <w:spacing w:val="-3"/>
        </w:rPr>
        <w:t>失</w:t>
      </w:r>
      <w:r>
        <w:rPr/>
        <w:t>，</w:t>
      </w:r>
      <w:r>
        <w:rPr>
          <w:spacing w:val="-3"/>
        </w:rPr>
        <w:t>指</w:t>
      </w:r>
      <w:r>
        <w:rPr/>
        <w:t>疾</w:t>
      </w:r>
      <w:r>
        <w:rPr>
          <w:spacing w:val="-3"/>
        </w:rPr>
        <w:t>病</w:t>
      </w:r>
      <w:r>
        <w:rPr/>
        <w:t>确诊</w:t>
      </w:r>
      <w:r>
        <w:rPr>
          <w:spacing w:val="-22"/>
        </w:rPr>
        <w:t> </w:t>
      </w:r>
      <w:r>
        <w:rPr>
          <w:rFonts w:ascii="Times New Roman" w:eastAsia="Times New Roman"/>
        </w:rPr>
        <w:t>180</w:t>
      </w:r>
      <w:r>
        <w:rPr>
          <w:rFonts w:ascii="Times New Roman" w:eastAsia="Times New Roman"/>
          <w:spacing w:val="26"/>
        </w:rPr>
        <w:t> </w:t>
      </w:r>
      <w:r>
        <w:rPr/>
        <w:t>天</w:t>
      </w:r>
      <w:r>
        <w:rPr>
          <w:spacing w:val="-3"/>
        </w:rPr>
        <w:t>后</w:t>
      </w:r>
      <w:r>
        <w:rPr/>
        <w:t>或</w:t>
      </w:r>
      <w:r>
        <w:rPr>
          <w:spacing w:val="-3"/>
        </w:rPr>
        <w:t>意</w:t>
      </w:r>
      <w:r>
        <w:rPr/>
        <w:t>外</w:t>
      </w:r>
      <w:r>
        <w:rPr>
          <w:spacing w:val="-3"/>
        </w:rPr>
        <w:t>伤害</w:t>
      </w:r>
      <w:r>
        <w:rPr/>
        <w:t>发生</w:t>
      </w:r>
      <w:r>
        <w:rPr>
          <w:spacing w:val="-22"/>
        </w:rPr>
        <w:t> </w:t>
      </w:r>
      <w:r>
        <w:rPr>
          <w:rFonts w:ascii="Times New Roman" w:eastAsia="Times New Roman"/>
        </w:rPr>
        <w:t>180</w:t>
      </w:r>
      <w:r>
        <w:rPr>
          <w:rFonts w:ascii="Times New Roman" w:eastAsia="Times New Roman"/>
          <w:spacing w:val="26"/>
        </w:rPr>
        <w:t> </w:t>
      </w:r>
      <w:r>
        <w:rPr/>
        <w:t>天</w:t>
      </w:r>
      <w:r>
        <w:rPr>
          <w:spacing w:val="-3"/>
        </w:rPr>
        <w:t>后</w:t>
      </w:r>
      <w:r>
        <w:rPr/>
        <w:t>，</w:t>
      </w:r>
      <w:r>
        <w:rPr>
          <w:spacing w:val="-3"/>
        </w:rPr>
        <w:t>每</w:t>
      </w:r>
      <w:r>
        <w:rPr/>
        <w:t>肢三大关</w:t>
      </w:r>
      <w:r>
        <w:rPr>
          <w:spacing w:val="-3"/>
        </w:rPr>
        <w:t>节</w:t>
      </w:r>
      <w:r>
        <w:rPr/>
        <w:t>中</w:t>
      </w:r>
      <w:r>
        <w:rPr>
          <w:spacing w:val="-3"/>
        </w:rPr>
        <w:t>的</w:t>
      </w:r>
      <w:r>
        <w:rPr/>
        <w:t>两</w:t>
      </w:r>
      <w:r>
        <w:rPr>
          <w:spacing w:val="-3"/>
        </w:rPr>
        <w:t>大</w:t>
      </w:r>
      <w:r>
        <w:rPr/>
        <w:t>关</w:t>
      </w:r>
      <w:r>
        <w:rPr>
          <w:spacing w:val="-3"/>
        </w:rPr>
        <w:t>节</w:t>
      </w:r>
      <w:r>
        <w:rPr/>
        <w:t>仍</w:t>
      </w:r>
      <w:r>
        <w:rPr>
          <w:spacing w:val="-3"/>
        </w:rPr>
        <w:t>然</w:t>
      </w:r>
      <w:r>
        <w:rPr/>
        <w:t>完全</w:t>
      </w:r>
      <w:r>
        <w:rPr>
          <w:spacing w:val="-3"/>
        </w:rPr>
        <w:t>僵</w:t>
      </w:r>
      <w:r>
        <w:rPr/>
        <w:t>硬</w:t>
      </w:r>
      <w:r>
        <w:rPr>
          <w:spacing w:val="-3"/>
        </w:rPr>
        <w:t>，</w:t>
      </w:r>
      <w:r>
        <w:rPr/>
        <w:t>或</w:t>
      </w:r>
      <w:r>
        <w:rPr>
          <w:spacing w:val="-3"/>
        </w:rPr>
        <w:t>不</w:t>
      </w:r>
      <w:r>
        <w:rPr/>
        <w:t>能</w:t>
      </w:r>
      <w:r>
        <w:rPr>
          <w:spacing w:val="-3"/>
        </w:rPr>
        <w:t>随</w:t>
      </w:r>
      <w:r>
        <w:rPr/>
        <w:t>意</w:t>
      </w:r>
      <w:r>
        <w:rPr>
          <w:spacing w:val="-3"/>
        </w:rPr>
        <w:t>识</w:t>
      </w:r>
      <w:r>
        <w:rPr/>
        <w:t>活动。</w:t>
      </w:r>
    </w:p>
    <w:p>
      <w:pPr>
        <w:pStyle w:val="BodyText"/>
        <w:tabs>
          <w:tab w:pos="3375" w:val="left" w:leader="none"/>
        </w:tabs>
        <w:spacing w:before="22"/>
      </w:pPr>
      <w:r>
        <w:rPr>
          <w:rFonts w:ascii="Times New Roman" w:eastAsia="Times New Roman"/>
        </w:rPr>
        <w:t>16.</w:t>
      </w:r>
      <w:r>
        <w:rPr/>
        <w:t>心脏</w:t>
      </w:r>
      <w:r>
        <w:rPr>
          <w:spacing w:val="-3"/>
        </w:rPr>
        <w:t>瓣</w:t>
      </w:r>
      <w:r>
        <w:rPr/>
        <w:t>膜</w:t>
      </w:r>
      <w:r>
        <w:rPr>
          <w:spacing w:val="-3"/>
        </w:rPr>
        <w:t>手</w:t>
      </w:r>
      <w:r>
        <w:rPr/>
        <w:t>术</w:t>
        <w:tab/>
        <w:t>指为治疗心脏瓣膜疾病，实际实施了开胸进行的心脏瓣膜置换或修复的手</w:t>
      </w:r>
    </w:p>
    <w:p>
      <w:pPr>
        <w:pStyle w:val="BodyText"/>
        <w:spacing w:before="21"/>
        <w:ind w:left="3375"/>
      </w:pPr>
      <w:r>
        <w:rPr/>
        <w:t>术。</w:t>
      </w:r>
    </w:p>
    <w:p>
      <w:pPr>
        <w:pStyle w:val="BodyText"/>
        <w:tabs>
          <w:tab w:pos="3375" w:val="left" w:leader="none"/>
        </w:tabs>
        <w:spacing w:before="37"/>
      </w:pPr>
      <w:r>
        <w:rPr>
          <w:rFonts w:ascii="Times New Roman" w:eastAsia="Times New Roman"/>
        </w:rPr>
        <w:t>17.</w:t>
      </w:r>
      <w:r>
        <w:rPr/>
        <w:t>严重</w:t>
      </w:r>
      <w:r>
        <w:rPr>
          <w:spacing w:val="-3"/>
        </w:rPr>
        <w:t>阿</w:t>
      </w:r>
      <w:r>
        <w:rPr/>
        <w:t>尔</w:t>
      </w:r>
      <w:r>
        <w:rPr>
          <w:spacing w:val="-3"/>
        </w:rPr>
        <w:t>茨</w:t>
      </w:r>
      <w:r>
        <w:rPr/>
        <w:t>海</w:t>
      </w:r>
      <w:r>
        <w:rPr>
          <w:spacing w:val="-3"/>
        </w:rPr>
        <w:t>默</w:t>
      </w:r>
      <w:r>
        <w:rPr/>
        <w:t>病</w:t>
        <w:tab/>
        <w:t>指因大脑进行性、不可逆性改变导致智能严重衰退或丧失，临床表现为明</w:t>
      </w:r>
    </w:p>
    <w:p>
      <w:pPr>
        <w:pStyle w:val="BodyText"/>
        <w:spacing w:line="261" w:lineRule="auto" w:before="21"/>
        <w:ind w:left="3375" w:right="116"/>
        <w:jc w:val="both"/>
      </w:pPr>
      <w:r>
        <w:rPr/>
        <w:t>显的认知能力障碍、行为异常和社交能力减退，其日常生活必须持续受到</w:t>
      </w:r>
      <w:r>
        <w:rPr>
          <w:spacing w:val="-5"/>
          <w:w w:val="100"/>
        </w:rPr>
        <w:t>他人监护。须由头颅断层扫描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6"/>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
          <w:w w:val="100"/>
        </w:rPr>
        <w:t>）</w:t>
      </w:r>
      <w:r>
        <w:rPr>
          <w:spacing w:val="-3"/>
          <w:w w:val="100"/>
        </w:rPr>
        <w:t>或正电子发射</w:t>
      </w:r>
      <w:r>
        <w:rPr>
          <w:spacing w:val="-8"/>
        </w:rPr>
        <w:t>断层扫描</w:t>
      </w:r>
      <w:r>
        <w:rPr>
          <w:spacing w:val="-5"/>
        </w:rPr>
        <w:t>（</w:t>
      </w:r>
      <w:r>
        <w:rPr>
          <w:rFonts w:ascii="Times New Roman" w:eastAsia="Times New Roman"/>
          <w:spacing w:val="-5"/>
        </w:rPr>
        <w:t>PET</w:t>
      </w:r>
      <w:r>
        <w:rPr>
          <w:spacing w:val="-5"/>
        </w:rPr>
        <w:t>）</w:t>
      </w:r>
      <w:r>
        <w:rPr>
          <w:spacing w:val="-7"/>
        </w:rPr>
        <w:t>等影像学检查证实，且自主生活能力完全丧失，无法独立</w:t>
      </w:r>
      <w:r>
        <w:rPr>
          <w:spacing w:val="-5"/>
        </w:rPr>
        <w:t>完成六项基本日常生活活动中的三项或三项以上。</w:t>
      </w:r>
    </w:p>
    <w:p>
      <w:pPr>
        <w:pStyle w:val="Heading2"/>
        <w:spacing w:before="18"/>
        <w:ind w:left="3375"/>
      </w:pPr>
      <w:r>
        <w:rPr/>
        <w:t>神经官能症和精神疾病不在保障范围内。</w:t>
      </w:r>
    </w:p>
    <w:p>
      <w:pPr>
        <w:pStyle w:val="BodyText"/>
        <w:tabs>
          <w:tab w:pos="3375" w:val="left" w:leader="none"/>
        </w:tabs>
        <w:spacing w:before="36"/>
      </w:pPr>
      <w:r>
        <w:rPr>
          <w:rFonts w:ascii="Times New Roman" w:eastAsia="Times New Roman"/>
        </w:rPr>
        <w:t>18.</w:t>
      </w:r>
      <w:r>
        <w:rPr/>
        <w:t>严重</w:t>
      </w:r>
      <w:r>
        <w:rPr>
          <w:spacing w:val="-3"/>
        </w:rPr>
        <w:t>脑</w:t>
      </w:r>
      <w:r>
        <w:rPr/>
        <w:t>损伤</w:t>
        <w:tab/>
        <w:t>指因头部遭受机械性外力，引起脑重要部位损伤，导致神经系统永久性的</w:t>
      </w:r>
    </w:p>
    <w:p>
      <w:pPr>
        <w:pStyle w:val="BodyText"/>
        <w:spacing w:line="256" w:lineRule="auto" w:before="21"/>
        <w:ind w:left="3375" w:right="116"/>
        <w:jc w:val="both"/>
      </w:pPr>
      <w:r>
        <w:rPr>
          <w:spacing w:val="-5"/>
          <w:w w:val="100"/>
        </w:rPr>
        <w:t>功能障碍。须由头颅断层扫描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6"/>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
          <w:w w:val="100"/>
        </w:rPr>
        <w:t>）</w:t>
      </w:r>
      <w:r>
        <w:rPr>
          <w:spacing w:val="-3"/>
          <w:w w:val="100"/>
        </w:rPr>
        <w:t>或正电子发射</w:t>
      </w:r>
      <w:r>
        <w:rPr>
          <w:spacing w:val="-8"/>
        </w:rPr>
        <w:t>断层扫描</w:t>
      </w:r>
      <w:r>
        <w:rPr>
          <w:spacing w:val="-5"/>
        </w:rPr>
        <w:t>（</w:t>
      </w:r>
      <w:r>
        <w:rPr>
          <w:rFonts w:ascii="Times New Roman" w:eastAsia="Times New Roman"/>
          <w:spacing w:val="-5"/>
        </w:rPr>
        <w:t>PET</w:t>
      </w:r>
      <w:r>
        <w:rPr>
          <w:spacing w:val="-5"/>
        </w:rPr>
        <w:t>）</w:t>
      </w:r>
      <w:r>
        <w:rPr>
          <w:spacing w:val="-7"/>
        </w:rPr>
        <w:t>等影像学检查证实。神经系统永久性的功能障碍，指脑损</w:t>
      </w:r>
      <w:r>
        <w:rPr>
          <w:spacing w:val="-24"/>
        </w:rPr>
        <w:t>伤 </w:t>
      </w:r>
      <w:r>
        <w:rPr>
          <w:rFonts w:ascii="Times New Roman" w:eastAsia="Times New Roman"/>
        </w:rPr>
        <w:t>180 </w:t>
      </w:r>
      <w:r>
        <w:rPr>
          <w:spacing w:val="-3"/>
        </w:rPr>
        <w:t>天后，仍遗留下列一种或一种以上障碍：</w:t>
      </w:r>
    </w:p>
    <w:p>
      <w:pPr>
        <w:pStyle w:val="BodyText"/>
        <w:spacing w:before="5"/>
        <w:ind w:left="3375"/>
      </w:pPr>
      <w:r>
        <w:rPr/>
        <w:t>（</w:t>
      </w:r>
      <w:r>
        <w:rPr>
          <w:rFonts w:ascii="Times New Roman" w:eastAsia="Times New Roman"/>
        </w:rPr>
        <w:t>1</w:t>
      </w:r>
      <w:r>
        <w:rPr/>
        <w:t>）一肢或一肢以上肢体机能完全丧失；</w:t>
      </w:r>
    </w:p>
    <w:p>
      <w:pPr>
        <w:pStyle w:val="BodyText"/>
        <w:spacing w:before="21"/>
        <w:ind w:left="3375"/>
      </w:pPr>
      <w:r>
        <w:rPr/>
        <w:t>（</w:t>
      </w:r>
      <w:r>
        <w:rPr>
          <w:rFonts w:ascii="Times New Roman" w:eastAsia="Times New Roman"/>
        </w:rPr>
        <w:t>2</w:t>
      </w:r>
      <w:r>
        <w:rPr/>
        <w:t>）语言能力或咀嚼吞咽能力完全丧失；</w:t>
      </w:r>
    </w:p>
    <w:p>
      <w:pPr>
        <w:pStyle w:val="BodyText"/>
        <w:spacing w:line="256" w:lineRule="auto" w:before="21"/>
        <w:ind w:left="3375" w:right="72"/>
      </w:pPr>
      <w:r>
        <w:rPr/>
        <w:t>（</w:t>
      </w:r>
      <w:r>
        <w:rPr>
          <w:rFonts w:ascii="Times New Roman" w:eastAsia="Times New Roman"/>
        </w:rPr>
        <w:t>3</w:t>
      </w:r>
      <w:r>
        <w:rPr/>
        <w:t>）自主生活能力完全丧失，无法独立完成六项基本日常生活活动中的三项或三项以上。</w:t>
      </w:r>
    </w:p>
    <w:p>
      <w:pPr>
        <w:pStyle w:val="BodyText"/>
        <w:tabs>
          <w:tab w:pos="3375" w:val="left" w:leader="none"/>
        </w:tabs>
        <w:spacing w:before="22"/>
      </w:pPr>
      <w:r>
        <w:rPr>
          <w:rFonts w:ascii="Times New Roman" w:eastAsia="Times New Roman"/>
        </w:rPr>
        <w:t>19.</w:t>
      </w:r>
      <w:r>
        <w:rPr/>
        <w:t>严重</w:t>
      </w:r>
      <w:r>
        <w:rPr>
          <w:spacing w:val="-3"/>
        </w:rPr>
        <w:t>帕</w:t>
      </w:r>
      <w:r>
        <w:rPr/>
        <w:t>金</w:t>
      </w:r>
      <w:r>
        <w:rPr>
          <w:spacing w:val="-3"/>
        </w:rPr>
        <w:t>森</w:t>
      </w:r>
      <w:r>
        <w:rPr/>
        <w:t>病</w:t>
        <w:tab/>
        <w:t>是一种中枢神经系统的退行性疾病，临床表现为震颤麻痹、共济失调等。</w:t>
      </w:r>
    </w:p>
    <w:p>
      <w:pPr>
        <w:pStyle w:val="BodyText"/>
        <w:spacing w:before="21"/>
        <w:ind w:left="3375"/>
      </w:pPr>
      <w:r>
        <w:rPr/>
        <w:t>须满足下列全部条件：</w:t>
      </w:r>
    </w:p>
    <w:p>
      <w:pPr>
        <w:pStyle w:val="BodyText"/>
        <w:spacing w:before="37"/>
        <w:ind w:left="3375"/>
      </w:pPr>
      <w:r>
        <w:rPr/>
        <w:t>（</w:t>
      </w:r>
      <w:r>
        <w:rPr>
          <w:rFonts w:ascii="Times New Roman" w:eastAsia="Times New Roman"/>
        </w:rPr>
        <w:t>1</w:t>
      </w:r>
      <w:r>
        <w:rPr/>
        <w:t>）药物治疗无法控制病情；</w:t>
      </w:r>
    </w:p>
    <w:p>
      <w:pPr>
        <w:pStyle w:val="BodyText"/>
        <w:spacing w:line="256" w:lineRule="auto" w:before="20"/>
        <w:ind w:left="3375" w:right="72"/>
      </w:pPr>
      <w:r>
        <w:rPr/>
        <w:t>（</w:t>
      </w:r>
      <w:r>
        <w:rPr>
          <w:rFonts w:ascii="Times New Roman" w:eastAsia="Times New Roman"/>
        </w:rPr>
        <w:t>2</w:t>
      </w:r>
      <w:r>
        <w:rPr/>
        <w:t>）自主生活能力完全丧失，无法独立完成六项基本日常生活活动中的三项或三项以上。</w:t>
      </w:r>
    </w:p>
    <w:p>
      <w:pPr>
        <w:spacing w:before="22"/>
        <w:ind w:left="3375" w:right="0" w:firstLine="0"/>
        <w:jc w:val="both"/>
        <w:rPr>
          <w:b/>
          <w:sz w:val="21"/>
        </w:rPr>
      </w:pPr>
      <w:r>
        <w:rPr>
          <w:b/>
          <w:sz w:val="21"/>
        </w:rPr>
        <w:t>继发性帕金森综合征不在保障范围内。</w:t>
      </w:r>
    </w:p>
    <w:p>
      <w:pPr>
        <w:pStyle w:val="BodyText"/>
        <w:tabs>
          <w:tab w:pos="3375" w:val="left" w:leader="none"/>
        </w:tabs>
        <w:spacing w:before="37"/>
      </w:pPr>
      <w:r>
        <w:rPr>
          <w:rFonts w:ascii="Times New Roman" w:hAnsi="Times New Roman" w:eastAsia="Times New Roman"/>
        </w:rPr>
        <w:t>20.</w:t>
      </w:r>
      <w:r>
        <w:rPr/>
        <w:t>严重</w:t>
      </w:r>
      <w:r>
        <w:rPr>
          <w:spacing w:val="-3"/>
        </w:rPr>
        <w:t>Ⅲ</w:t>
      </w:r>
      <w:r>
        <w:rPr/>
        <w:t>度</w:t>
      </w:r>
      <w:r>
        <w:rPr>
          <w:spacing w:val="-3"/>
        </w:rPr>
        <w:t>烧</w:t>
      </w:r>
      <w:r>
        <w:rPr/>
        <w:t>伤</w:t>
        <w:tab/>
        <w:t>指烧</w:t>
      </w:r>
      <w:r>
        <w:rPr>
          <w:spacing w:val="-3"/>
        </w:rPr>
        <w:t>伤</w:t>
      </w:r>
      <w:r>
        <w:rPr/>
        <w:t>程</w:t>
      </w:r>
      <w:r>
        <w:rPr>
          <w:spacing w:val="-3"/>
        </w:rPr>
        <w:t>度</w:t>
      </w:r>
      <w:r>
        <w:rPr/>
        <w:t>为</w:t>
      </w:r>
      <w:r>
        <w:rPr>
          <w:spacing w:val="-3"/>
        </w:rPr>
        <w:t>Ⅲ</w:t>
      </w:r>
      <w:r>
        <w:rPr/>
        <w:t>度</w:t>
      </w:r>
      <w:r>
        <w:rPr>
          <w:spacing w:val="-20"/>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39"/>
        </w:rPr>
        <w:t> </w:t>
      </w:r>
      <w:r>
        <w:rPr>
          <w:rFonts w:ascii="Times New Roman" w:hAnsi="Times New Roman" w:eastAsia="Times New Roman"/>
        </w:rPr>
        <w:t>20</w:t>
      </w:r>
      <w:r>
        <w:rPr/>
        <w:t>％或</w:t>
      </w:r>
      <w:r>
        <w:rPr>
          <w:spacing w:val="-39"/>
        </w:rPr>
        <w:t> </w:t>
      </w:r>
      <w:r>
        <w:rPr>
          <w:rFonts w:ascii="Times New Roman" w:hAnsi="Times New Roman" w:eastAsia="Times New Roman"/>
        </w:rPr>
        <w:t>20</w:t>
      </w:r>
      <w:r>
        <w:rPr/>
        <w:t>％以</w:t>
      </w:r>
    </w:p>
    <w:p>
      <w:pPr>
        <w:pStyle w:val="BodyText"/>
        <w:spacing w:before="21"/>
        <w:ind w:left="3375"/>
        <w:jc w:val="both"/>
      </w:pPr>
      <w:r>
        <w:rPr/>
        <w:t>上。体表面积根据《中国新九分法》计算。</w:t>
      </w:r>
    </w:p>
    <w:p>
      <w:pPr>
        <w:pStyle w:val="BodyText"/>
        <w:tabs>
          <w:tab w:pos="3375" w:val="left" w:leader="none"/>
        </w:tabs>
        <w:spacing w:before="3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t>指不明原因的肺动脉压力持续性增高，进行性发展而导致的慢性疾病，已</w:t>
      </w:r>
    </w:p>
    <w:p>
      <w:pPr>
        <w:pStyle w:val="BodyText"/>
        <w:spacing w:line="273" w:lineRule="auto" w:before="21"/>
        <w:ind w:left="3375" w:right="122"/>
      </w:pPr>
      <w:r>
        <w:rPr/>
        <w:t>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tabs>
          <w:tab w:pos="3375" w:val="left" w:leader="none"/>
        </w:tabs>
        <w:spacing w:line="279" w:lineRule="exact"/>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是一组中枢神经系统运动神经元的进行性变性疾病，包括进行性脊肌萎缩</w:t>
      </w:r>
    </w:p>
    <w:p>
      <w:pPr>
        <w:pStyle w:val="BodyText"/>
        <w:spacing w:line="273" w:lineRule="auto" w:before="21"/>
        <w:ind w:left="3375" w:right="116"/>
        <w:jc w:val="both"/>
      </w:pPr>
      <w:r>
        <w:rPr/>
        <w:t>症、进行性延髓麻痹症、原发性侧索硬化症、肌萎缩性侧索硬化症。须满足自主生活能力完全丧失，无法独立完成六项基本日常生活活动中的三项或三项以上的条件。</w:t>
      </w:r>
    </w:p>
    <w:p>
      <w:pPr>
        <w:pStyle w:val="BodyText"/>
        <w:tabs>
          <w:tab w:pos="3375" w:val="left" w:leader="none"/>
        </w:tabs>
        <w:spacing w:before="7"/>
      </w:pPr>
      <w:r>
        <w:rPr>
          <w:rFonts w:ascii="Times New Roman" w:eastAsia="Times New Roman"/>
        </w:rPr>
        <w:t>23.</w:t>
      </w:r>
      <w:r>
        <w:rPr/>
        <w:t>语言</w:t>
      </w:r>
      <w:r>
        <w:rPr>
          <w:spacing w:val="-3"/>
        </w:rPr>
        <w:t>能</w:t>
      </w:r>
      <w:r>
        <w:rPr/>
        <w:t>力</w:t>
      </w:r>
      <w:r>
        <w:rPr>
          <w:spacing w:val="-3"/>
        </w:rPr>
        <w:t>丧</w:t>
      </w:r>
      <w:r>
        <w:rPr/>
        <w:t>失</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108"/>
        </w:rPr>
        <w:t>，</w:t>
      </w:r>
      <w:r>
        <w:rPr/>
        <w:t>经</w:t>
      </w:r>
      <w:r>
        <w:rPr>
          <w:spacing w:val="-3"/>
        </w:rPr>
        <w:t>过积</w:t>
      </w:r>
      <w:r>
        <w:rPr/>
        <w:t>极治</w:t>
      </w:r>
      <w:r>
        <w:rPr>
          <w:spacing w:val="-3"/>
        </w:rPr>
        <w:t>疗至</w:t>
      </w:r>
      <w:r>
        <w:rPr/>
        <w:t>少</w:t>
      </w:r>
      <w:r>
        <w:rPr>
          <w:spacing w:val="-42"/>
        </w:rPr>
        <w:t> </w:t>
      </w:r>
      <w:r>
        <w:rPr>
          <w:rFonts w:ascii="Times New Roman" w:eastAsia="Times New Roman"/>
        </w:rPr>
        <w:t>12</w:t>
      </w:r>
      <w:r>
        <w:rPr>
          <w:rFonts w:ascii="Times New Roman" w:eastAsia="Times New Roman"/>
          <w:spacing w:val="10"/>
        </w:rPr>
        <w:t> </w:t>
      </w:r>
      <w:r>
        <w:rPr>
          <w:spacing w:val="-3"/>
        </w:rPr>
        <w:t>个</w:t>
      </w:r>
      <w:r>
        <w:rPr>
          <w:spacing w:val="-106"/>
        </w:rPr>
        <w:t>月</w:t>
      </w:r>
      <w:r>
        <w:rPr>
          <w:spacing w:val="-3"/>
        </w:rPr>
        <w:t>（</w:t>
      </w:r>
      <w:r>
        <w:rPr/>
        <w:t>声</w:t>
      </w:r>
    </w:p>
    <w:p>
      <w:pPr>
        <w:spacing w:line="273" w:lineRule="auto" w:before="21"/>
        <w:ind w:left="3375" w:right="1148" w:firstLine="0"/>
        <w:jc w:val="left"/>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BodyText"/>
        <w:tabs>
          <w:tab w:pos="3375" w:val="left" w:leader="none"/>
        </w:tabs>
        <w:spacing w:before="8"/>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指因骨髓造血功能慢性持续性衰竭导致的贫血、中性粒细胞减少及血小板</w:t>
      </w:r>
    </w:p>
    <w:p>
      <w:pPr>
        <w:pStyle w:val="BodyText"/>
        <w:spacing w:before="21"/>
        <w:ind w:left="3375"/>
        <w:jc w:val="both"/>
      </w:pPr>
      <w:r>
        <w:rPr/>
        <w:t>减少。须满足下列全部条件：</w:t>
      </w:r>
    </w:p>
    <w:p>
      <w:pPr>
        <w:pStyle w:val="BodyText"/>
        <w:spacing w:before="36"/>
        <w:ind w:left="3375"/>
        <w:jc w:val="both"/>
      </w:pPr>
      <w:r>
        <w:rPr/>
        <w:t>（</w:t>
      </w:r>
      <w:r>
        <w:rPr>
          <w:rFonts w:ascii="Times New Roman" w:eastAsia="Times New Roman"/>
        </w:rPr>
        <w:t>1</w:t>
      </w:r>
      <w:r>
        <w:rPr/>
        <w:t>）骨髓穿刺检查或骨髓活检结果支持诊断；</w:t>
      </w:r>
    </w:p>
    <w:p>
      <w:pPr>
        <w:pStyle w:val="BodyText"/>
        <w:spacing w:before="20"/>
        <w:ind w:left="3375"/>
        <w:jc w:val="both"/>
      </w:pPr>
      <w:r>
        <w:rPr/>
        <w:t>（</w:t>
      </w:r>
      <w:r>
        <w:rPr>
          <w:rFonts w:ascii="Times New Roman" w:eastAsia="Times New Roman"/>
        </w:rPr>
        <w:t>2</w:t>
      </w:r>
      <w:r>
        <w:rPr/>
        <w:t>）外周血象须具备以下三项条件：</w:t>
      </w:r>
    </w:p>
    <w:p>
      <w:pPr>
        <w:pStyle w:val="BodyText"/>
        <w:spacing w:before="20"/>
        <w:ind w:left="3882" w:right="3219"/>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jc w:val="center"/>
        <w:sectPr>
          <w:pgSz w:w="11910" w:h="16160"/>
          <w:pgMar w:header="0" w:footer="631" w:top="1360" w:bottom="820" w:left="960" w:right="640"/>
        </w:sectPr>
      </w:pPr>
    </w:p>
    <w:p>
      <w:pPr>
        <w:pStyle w:val="BodyText"/>
        <w:spacing w:before="27"/>
        <w:ind w:left="3901"/>
      </w:pPr>
      <w:r>
        <w:rPr/>
        <w:t>② 网织红细胞＜</w:t>
      </w:r>
      <w:r>
        <w:rPr>
          <w:rFonts w:ascii="Times New Roman" w:hAnsi="Times New Roman" w:eastAsia="Times New Roman"/>
        </w:rPr>
        <w:t>1%</w:t>
      </w:r>
      <w:r>
        <w:rPr/>
        <w:t>；</w:t>
      </w:r>
    </w:p>
    <w:p>
      <w:pPr>
        <w:pStyle w:val="BodyText"/>
        <w:spacing w:before="21"/>
        <w:ind w:left="3408" w:right="3220"/>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375" w:val="left" w:leader="none"/>
        </w:tabs>
        <w:spacing w:before="21"/>
      </w:pPr>
      <w:r>
        <w:rPr>
          <w:rFonts w:ascii="Times New Roman" w:eastAsia="Times New Roman"/>
        </w:rPr>
        <w:t>25.</w:t>
      </w:r>
      <w:r>
        <w:rPr/>
        <w:t>主动</w:t>
      </w:r>
      <w:r>
        <w:rPr>
          <w:spacing w:val="-3"/>
        </w:rPr>
        <w:t>脉</w:t>
      </w:r>
      <w:r>
        <w:rPr/>
        <w:t>手术</w:t>
        <w:tab/>
        <w:t>指为治疗主动脉疾病，实际实施了开胸或开腹进行的切除、置换、修补病</w:t>
      </w:r>
    </w:p>
    <w:p>
      <w:pPr>
        <w:spacing w:line="273" w:lineRule="auto" w:before="21"/>
        <w:ind w:left="3375" w:right="114" w:firstLine="0"/>
        <w:jc w:val="left"/>
        <w:rPr>
          <w:b/>
          <w:sz w:val="21"/>
        </w:rPr>
      </w:pPr>
      <w:r>
        <w:rPr>
          <w:sz w:val="21"/>
        </w:rPr>
        <w:t>损主动脉血管的手术。主动脉指胸主动脉和腹主动脉，</w:t>
      </w:r>
      <w:r>
        <w:rPr>
          <w:b/>
          <w:sz w:val="21"/>
        </w:rPr>
        <w:t>不包括胸主动脉和腹主动脉的分支血管。动脉内血管成形术不在保障范围内。</w:t>
      </w:r>
    </w:p>
    <w:p>
      <w:pPr>
        <w:pStyle w:val="BodyText"/>
        <w:tabs>
          <w:tab w:pos="3375" w:val="left" w:leader="none"/>
        </w:tabs>
        <w:spacing w:before="7"/>
      </w:pPr>
      <w:r>
        <w:rPr>
          <w:rFonts w:ascii="Times New Roman" w:eastAsia="Times New Roman"/>
        </w:rPr>
        <w:t>26.</w:t>
      </w:r>
      <w:r>
        <w:rPr/>
        <w:t>严重</w:t>
      </w:r>
      <w:r>
        <w:rPr>
          <w:spacing w:val="-3"/>
        </w:rPr>
        <w:t>多</w:t>
      </w:r>
      <w:r>
        <w:rPr/>
        <w:t>发</w:t>
      </w:r>
      <w:r>
        <w:rPr>
          <w:spacing w:val="-3"/>
        </w:rPr>
        <w:t>性</w:t>
      </w:r>
      <w:r>
        <w:rPr/>
        <w:t>硬化</w:t>
        <w:tab/>
        <w:t>多发性硬化为中枢神经系统白质多灶性脱髓鞘病变，病变有时累及灰质。</w:t>
      </w:r>
    </w:p>
    <w:p>
      <w:pPr>
        <w:pStyle w:val="BodyText"/>
        <w:spacing w:line="261" w:lineRule="auto" w:before="20"/>
        <w:ind w:left="3375" w:right="114"/>
        <w:jc w:val="both"/>
      </w:pPr>
      <w:r>
        <w:rPr>
          <w:spacing w:val="-6"/>
        </w:rPr>
        <w:t>多发性硬化须由核磁共振</w:t>
      </w:r>
      <w:r>
        <w:rPr>
          <w:spacing w:val="-8"/>
        </w:rPr>
        <w:t>（</w:t>
      </w:r>
      <w:r>
        <w:rPr>
          <w:rFonts w:ascii="Times New Roman" w:eastAsia="Times New Roman"/>
          <w:spacing w:val="-8"/>
        </w:rPr>
        <w:t>MRI</w:t>
      </w:r>
      <w:r>
        <w:rPr>
          <w:spacing w:val="-8"/>
        </w:rPr>
        <w:t>）</w:t>
      </w:r>
      <w:r>
        <w:rPr>
          <w:spacing w:val="-7"/>
        </w:rPr>
        <w:t>等影像学检查证实，经三级医院神经科专科医生明确诊断，并且已经造成永久不可逆的神经系统功能损害。永久不</w:t>
      </w:r>
      <w:r>
        <w:rPr>
          <w:spacing w:val="-5"/>
        </w:rPr>
        <w:t>可逆神经系统功能损害指被保险人持续 </w:t>
      </w:r>
      <w:r>
        <w:rPr>
          <w:rFonts w:ascii="Times New Roman" w:eastAsia="Times New Roman"/>
        </w:rPr>
        <w:t>180 </w:t>
      </w:r>
      <w:r>
        <w:rPr>
          <w:spacing w:val="-3"/>
        </w:rPr>
        <w:t>天无法独立完成下列基本日常生活活动：</w:t>
      </w:r>
    </w:p>
    <w:p>
      <w:pPr>
        <w:pStyle w:val="BodyText"/>
        <w:spacing w:before="17"/>
        <w:ind w:left="3377"/>
      </w:pPr>
      <w:r>
        <w:rPr/>
        <w:t>（</w:t>
      </w:r>
      <w:r>
        <w:rPr>
          <w:rFonts w:ascii="Times New Roman" w:eastAsia="Times New Roman"/>
        </w:rPr>
        <w:t>1</w:t>
      </w:r>
      <w:r>
        <w:rPr/>
        <w:t>）移动：自己从一个房间移动到另一个房间；或者</w:t>
      </w:r>
    </w:p>
    <w:p>
      <w:pPr>
        <w:pStyle w:val="BodyText"/>
        <w:spacing w:before="20"/>
        <w:ind w:left="3377"/>
      </w:pPr>
      <w:r>
        <w:rPr/>
        <w:t>（</w:t>
      </w:r>
      <w:r>
        <w:rPr>
          <w:rFonts w:ascii="Times New Roman" w:eastAsia="Times New Roman"/>
        </w:rPr>
        <w:t>2</w:t>
      </w:r>
      <w:r>
        <w:rPr/>
        <w:t>）进食：自己从已准备好的碗或碟中取食物放入口中。</w:t>
      </w:r>
    </w:p>
    <w:p>
      <w:pPr>
        <w:pStyle w:val="BodyText"/>
        <w:tabs>
          <w:tab w:pos="3375" w:val="left" w:leader="none"/>
        </w:tabs>
        <w:spacing w:before="21"/>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4"/>
        </w:rPr>
        <w:t> </w:t>
      </w:r>
      <w:r>
        <w:rPr>
          <w:rFonts w:ascii="Times New Roman" w:eastAsia="Times New Roman"/>
        </w:rPr>
        <w:t>HIV</w:t>
      </w:r>
      <w:r>
        <w:rPr>
          <w:rFonts w:ascii="Times New Roman" w:eastAsia="Times New Roman"/>
          <w:spacing w:val="2"/>
        </w:rPr>
        <w:t> </w:t>
      </w:r>
      <w:r>
        <w:rPr>
          <w:spacing w:val="-3"/>
        </w:rPr>
        <w:t>感</w:t>
      </w:r>
      <w:r>
        <w:rPr/>
        <w:t>染</w:t>
        <w:tab/>
        <w:t>被保险人在其常规职业工作过程中遭遇外伤，或者职业需要处理血液或者</w:t>
      </w:r>
    </w:p>
    <w:p>
      <w:pPr>
        <w:pStyle w:val="BodyText"/>
        <w:spacing w:line="256" w:lineRule="auto" w:before="21"/>
        <w:ind w:left="3375" w:right="2771"/>
      </w:pPr>
      <w:r>
        <w:rPr>
          <w:spacing w:val="-3"/>
          <w:w w:val="100"/>
        </w:rPr>
        <w:t>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after="35"/>
        <w:ind w:left="3375" w:right="71"/>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71"/>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631" w:top="1340" w:bottom="900" w:left="960" w:right="6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2"/>
        </w:rPr>
      </w:pPr>
    </w:p>
    <w:p>
      <w:pPr>
        <w:pStyle w:val="BodyText"/>
        <w:spacing w:line="256" w:lineRule="auto"/>
        <w:ind w:left="379" w:hanging="263"/>
      </w:pPr>
      <w:r>
        <w:rPr>
          <w:rFonts w:ascii="Times New Roman" w:eastAsia="Times New Roman"/>
        </w:rPr>
        <w:t>28.</w:t>
      </w:r>
      <w:r>
        <w:rPr/>
        <w:t>特发性慢性肾上腺皮质功能减退</w:t>
      </w:r>
    </w:p>
    <w:p>
      <w:pPr>
        <w:pStyle w:val="BodyText"/>
        <w:spacing w:line="256" w:lineRule="auto"/>
        <w:ind w:right="45"/>
      </w:pPr>
      <w:r>
        <w:rPr/>
        <w:br w:type="column"/>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56" w:lineRule="auto" w:before="21"/>
        <w:ind w:right="135"/>
      </w:pPr>
      <w:r>
        <w:rPr/>
        <w:t>我们承担本项疾病责任不受本合同第八条</w:t>
      </w:r>
      <w:r>
        <w:rPr>
          <w:rFonts w:ascii="Times New Roman" w:hAnsi="Times New Roman" w:eastAsia="Times New Roman"/>
        </w:rPr>
        <w:t>“</w:t>
      </w:r>
      <w:r>
        <w:rPr/>
        <w:t>责任免除</w:t>
      </w:r>
      <w:r>
        <w:rPr>
          <w:rFonts w:ascii="Times New Roman" w:hAnsi="Times New Roman" w:eastAsia="Times New Roman"/>
        </w:rPr>
        <w:t>”</w:t>
      </w:r>
      <w:r>
        <w:rPr/>
        <w:t>中</w:t>
      </w:r>
      <w:r>
        <w:rPr>
          <w:rFonts w:ascii="Times New Roman" w:hAnsi="Times New Roman" w:eastAsia="Times New Roman"/>
        </w:rPr>
        <w:t>“</w:t>
      </w:r>
      <w:r>
        <w:rPr/>
        <w:t>被保险人感染艾滋病病毒或患艾滋病</w:t>
      </w:r>
      <w:r>
        <w:rPr>
          <w:rFonts w:ascii="Times New Roman" w:hAnsi="Times New Roman" w:eastAsia="Times New Roman"/>
        </w:rPr>
        <w:t>”</w:t>
      </w:r>
      <w:r>
        <w:rPr/>
        <w:t>的限制。</w:t>
      </w:r>
    </w:p>
    <w:p>
      <w:pPr>
        <w:pStyle w:val="BodyText"/>
        <w:spacing w:line="273" w:lineRule="auto" w:before="5"/>
        <w:ind w:right="117"/>
      </w:pPr>
      <w:r>
        <w:rPr/>
        <w:t>指自身免疫性肾上腺炎（既往称：特发性肾上腺皮质萎缩）导致肾上腺萎缩和慢性肾上腺皮质功能减退。必须满足所有以下条件：</w:t>
      </w:r>
    </w:p>
    <w:p>
      <w:pPr>
        <w:pStyle w:val="BodyText"/>
        <w:spacing w:before="8"/>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right="169" w:firstLine="525"/>
        <w:jc w:val="both"/>
      </w:pPr>
      <w:r>
        <w:rPr>
          <w:spacing w:val="-1"/>
        </w:rPr>
        <w:t>② 血浆和尿游离皮质醇及尿</w:t>
      </w:r>
      <w:r>
        <w:rPr>
          <w:rFonts w:ascii="Times New Roman" w:hAnsi="Times New Roman" w:eastAsia="Times New Roman"/>
        </w:rPr>
        <w:t>17 </w:t>
      </w:r>
      <w:r>
        <w:rPr>
          <w:spacing w:val="-18"/>
        </w:rPr>
        <w:t>羟皮质类固醇、</w:t>
      </w:r>
      <w:r>
        <w:rPr>
          <w:rFonts w:ascii="Times New Roman" w:hAnsi="Times New Roman" w:eastAsia="Times New Roman"/>
        </w:rPr>
        <w:t>17 </w:t>
      </w:r>
      <w:r>
        <w:rPr>
          <w:spacing w:val="-3"/>
        </w:rPr>
        <w:t>酮皮质类固醇测定</w:t>
      </w:r>
      <w:r>
        <w:rPr>
          <w:spacing w:val="-6"/>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22"/>
        <w:ind w:right="116" w:firstLine="525"/>
        <w:jc w:val="both"/>
      </w:pPr>
      <w:r>
        <w:rPr>
          <w:spacing w:val="-4"/>
        </w:rPr>
        <w:t>③ 促肾上腺皮质激素</w:t>
      </w:r>
      <w:r>
        <w:rPr>
          <w:spacing w:val="-7"/>
        </w:rPr>
        <w:t>（</w:t>
      </w:r>
      <w:r>
        <w:rPr>
          <w:rFonts w:ascii="Times New Roman" w:hAnsi="Times New Roman" w:eastAsia="Times New Roman"/>
          <w:spacing w:val="-7"/>
        </w:rPr>
        <w:t>ACTH</w:t>
      </w:r>
      <w:r>
        <w:rPr>
          <w:spacing w:val="-7"/>
        </w:rPr>
        <w:t>）</w:t>
      </w:r>
      <w:r>
        <w:rPr>
          <w:spacing w:val="-3"/>
        </w:rPr>
        <w:t>刺激试验显示为原发性肾上腺皮质功能减退症。</w:t>
      </w:r>
    </w:p>
    <w:p>
      <w:pPr>
        <w:pStyle w:val="BodyText"/>
        <w:spacing w:before="22"/>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19"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spacing w:after="0" w:line="256" w:lineRule="auto"/>
        <w:jc w:val="left"/>
        <w:rPr>
          <w:sz w:val="21"/>
        </w:rPr>
        <w:sectPr>
          <w:type w:val="continuous"/>
          <w:pgSz w:w="11910" w:h="16160"/>
          <w:pgMar w:top="560" w:bottom="280" w:left="960" w:right="640"/>
          <w:cols w:num="2" w:equalWidth="0">
            <w:col w:w="3010" w:space="248"/>
            <w:col w:w="7052"/>
          </w:cols>
        </w:sectPr>
      </w:pPr>
    </w:p>
    <w:p>
      <w:pPr>
        <w:pStyle w:val="BodyText"/>
        <w:tabs>
          <w:tab w:pos="3375" w:val="left" w:leader="none"/>
        </w:tabs>
        <w:spacing w:before="22"/>
      </w:pPr>
      <w:r>
        <w:rPr>
          <w:rFonts w:ascii="Times New Roman" w:eastAsia="Times New Roman"/>
        </w:rPr>
        <w:t>29.</w:t>
      </w:r>
      <w:r>
        <w:rPr/>
        <w:t>严重</w:t>
      </w:r>
      <w:r>
        <w:rPr>
          <w:spacing w:val="-3"/>
        </w:rPr>
        <w:t>冠</w:t>
      </w:r>
      <w:r>
        <w:rPr/>
        <w:t>心病</w:t>
        <w:tab/>
        <w:t>指根</w:t>
      </w:r>
      <w:r>
        <w:rPr>
          <w:spacing w:val="-3"/>
        </w:rPr>
        <w:t>据</w:t>
      </w:r>
      <w:r>
        <w:rPr/>
        <w:t>冠</w:t>
      </w:r>
      <w:r>
        <w:rPr>
          <w:spacing w:val="-3"/>
        </w:rPr>
        <w:t>状</w:t>
      </w:r>
      <w:r>
        <w:rPr/>
        <w:t>动</w:t>
      </w:r>
      <w:r>
        <w:rPr>
          <w:spacing w:val="-3"/>
        </w:rPr>
        <w:t>脉</w:t>
      </w:r>
      <w:r>
        <w:rPr/>
        <w:t>造</w:t>
      </w:r>
      <w:r>
        <w:rPr>
          <w:spacing w:val="-3"/>
        </w:rPr>
        <w:t>影</w:t>
      </w:r>
      <w:r>
        <w:rPr/>
        <w:t>检</w:t>
      </w:r>
      <w:r>
        <w:rPr>
          <w:spacing w:val="-3"/>
        </w:rPr>
        <w:t>查</w:t>
      </w:r>
      <w:r>
        <w:rPr/>
        <w:t>结果</w:t>
      </w:r>
      <w:r>
        <w:rPr>
          <w:spacing w:val="-3"/>
        </w:rPr>
        <w:t>确</w:t>
      </w:r>
      <w:r>
        <w:rPr/>
        <w:t>诊</w:t>
      </w:r>
      <w:r>
        <w:rPr>
          <w:spacing w:val="-3"/>
        </w:rPr>
        <w:t>的</w:t>
      </w:r>
      <w:r>
        <w:rPr/>
        <w:t>三</w:t>
      </w:r>
      <w:r>
        <w:rPr>
          <w:spacing w:val="-3"/>
        </w:rPr>
        <w:t>支</w:t>
      </w:r>
      <w:r>
        <w:rPr/>
        <w:t>主</w:t>
      </w:r>
      <w:r>
        <w:rPr>
          <w:spacing w:val="-3"/>
        </w:rPr>
        <w:t>要</w:t>
      </w:r>
      <w:r>
        <w:rPr/>
        <w:t>血</w:t>
      </w:r>
      <w:r>
        <w:rPr>
          <w:spacing w:val="-3"/>
        </w:rPr>
        <w:t>管</w:t>
      </w:r>
      <w:r>
        <w:rPr/>
        <w:t>（左</w:t>
      </w:r>
      <w:r>
        <w:rPr>
          <w:spacing w:val="-3"/>
        </w:rPr>
        <w:t>冠</w:t>
      </w:r>
      <w:r>
        <w:rPr/>
        <w:t>状</w:t>
      </w:r>
      <w:r>
        <w:rPr>
          <w:spacing w:val="-3"/>
        </w:rPr>
        <w:t>动</w:t>
      </w:r>
      <w:r>
        <w:rPr/>
        <w:t>脉</w:t>
      </w:r>
      <w:r>
        <w:rPr>
          <w:spacing w:val="-3"/>
        </w:rPr>
        <w:t>主</w:t>
      </w:r>
      <w:r>
        <w:rPr/>
        <w:t>干</w:t>
      </w:r>
      <w:r>
        <w:rPr>
          <w:spacing w:val="-3"/>
        </w:rPr>
        <w:t>和</w:t>
      </w:r>
      <w:r>
        <w:rPr/>
        <w:t>右</w:t>
      </w:r>
    </w:p>
    <w:p>
      <w:pPr>
        <w:spacing w:line="264" w:lineRule="auto" w:before="21"/>
        <w:ind w:left="3375" w:right="116" w:firstLine="0"/>
        <w:jc w:val="left"/>
        <w:rPr>
          <w:b/>
          <w:sz w:val="21"/>
        </w:rPr>
      </w:pPr>
      <w:r>
        <w:rPr>
          <w:spacing w:val="-3"/>
          <w:sz w:val="21"/>
        </w:rPr>
        <w:t>冠状动脉，或前降支、左旋支和右冠状动脉）严重狭窄性病变</w:t>
      </w:r>
      <w:r>
        <w:rPr>
          <w:sz w:val="21"/>
        </w:rPr>
        <w:t>（</w:t>
      </w:r>
      <w:r>
        <w:rPr>
          <w:spacing w:val="-3"/>
          <w:sz w:val="21"/>
        </w:rPr>
        <w:t>至少一支</w:t>
      </w:r>
      <w:r>
        <w:rPr>
          <w:spacing w:val="-8"/>
          <w:sz w:val="21"/>
        </w:rPr>
        <w:t>血管管腔直径减少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z w:val="21"/>
        </w:rPr>
        <w:t>以上</w:t>
      </w:r>
      <w:r>
        <w:rPr>
          <w:spacing w:val="-108"/>
          <w:sz w:val="21"/>
        </w:rPr>
        <w:t>）</w:t>
      </w:r>
      <w:r>
        <w:rPr>
          <w:spacing w:val="-56"/>
          <w:sz w:val="21"/>
        </w:rPr>
        <w:t>。</w:t>
      </w:r>
      <w:r>
        <w:rPr>
          <w:b/>
          <w:sz w:val="21"/>
        </w:rPr>
        <w:t>前降</w:t>
      </w:r>
      <w:r>
        <w:rPr>
          <w:b/>
          <w:spacing w:val="-3"/>
          <w:sz w:val="21"/>
        </w:rPr>
        <w:t>支、左旋支及右冠状动脉的分支血管的狭窄不作为本保障的衡量指标。</w:t>
      </w:r>
    </w:p>
    <w:p>
      <w:pPr>
        <w:spacing w:after="0" w:line="264" w:lineRule="auto"/>
        <w:jc w:val="left"/>
        <w:rPr>
          <w:sz w:val="21"/>
        </w:rPr>
        <w:sectPr>
          <w:type w:val="continuous"/>
          <w:pgSz w:w="11910" w:h="16160"/>
          <w:pgMar w:top="560" w:bottom="280" w:left="960" w:right="640"/>
        </w:sectPr>
      </w:pPr>
    </w:p>
    <w:p>
      <w:pPr>
        <w:pStyle w:val="BodyText"/>
        <w:tabs>
          <w:tab w:pos="3375" w:val="left" w:leader="none"/>
        </w:tabs>
        <w:spacing w:before="27"/>
      </w:pPr>
      <w:r>
        <w:rPr>
          <w:rFonts w:ascii="Times New Roman" w:eastAsia="Times New Roman"/>
        </w:rPr>
        <w:t>30.</w:t>
      </w:r>
      <w:r>
        <w:rPr/>
        <w:t>脊髓</w:t>
      </w:r>
      <w:r>
        <w:rPr>
          <w:spacing w:val="-3"/>
        </w:rPr>
        <w:t>灰</w:t>
      </w:r>
      <w:r>
        <w:rPr/>
        <w:t>质炎</w:t>
        <w:tab/>
        <w:t>指由于脊髓灰质炎病毒感染所致的瘫痪性疾病，临床表现为运动功能损害</w:t>
      </w:r>
    </w:p>
    <w:p>
      <w:pPr>
        <w:spacing w:line="266" w:lineRule="auto" w:before="21"/>
        <w:ind w:left="3375" w:right="196" w:firstLine="0"/>
        <w:jc w:val="both"/>
        <w:rPr>
          <w:sz w:val="21"/>
        </w:rPr>
      </w:pPr>
      <w:r>
        <w:rPr>
          <w:sz w:val="21"/>
        </w:rPr>
        <w:t>或呼吸无力。脊髓灰质炎必须明确诊断。</w:t>
      </w:r>
      <w:r>
        <w:rPr>
          <w:b/>
          <w:sz w:val="21"/>
        </w:rPr>
        <w:t>本合同仅对脊髓灰质炎造成的神经系统功能损害导致被保险人一肢或一肢以上肢体机能永久完全丧失的情</w:t>
      </w:r>
      <w:r>
        <w:rPr>
          <w:b/>
          <w:spacing w:val="-2"/>
          <w:sz w:val="21"/>
        </w:rPr>
        <w:t>况予以理赔。</w:t>
      </w:r>
      <w:r>
        <w:rPr>
          <w:spacing w:val="-4"/>
          <w:sz w:val="21"/>
        </w:rPr>
        <w:t>肢体机能永久完全丧失，指疾病确诊</w:t>
      </w:r>
      <w:r>
        <w:rPr>
          <w:rFonts w:ascii="Times New Roman" w:eastAsia="Times New Roman"/>
          <w:sz w:val="21"/>
        </w:rPr>
        <w:t>180</w:t>
      </w:r>
      <w:r>
        <w:rPr>
          <w:spacing w:val="-4"/>
          <w:sz w:val="21"/>
        </w:rPr>
        <w:t>天后，每肢三大关节</w:t>
      </w:r>
      <w:r>
        <w:rPr>
          <w:spacing w:val="-3"/>
          <w:sz w:val="21"/>
        </w:rPr>
        <w:t>中的两大关节仍然完全僵硬，或不能随意识活动。</w:t>
      </w:r>
    </w:p>
    <w:p>
      <w:pPr>
        <w:pStyle w:val="BodyText"/>
        <w:tabs>
          <w:tab w:pos="3375" w:val="left" w:leader="none"/>
        </w:tabs>
        <w:spacing w:before="14"/>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指一种神经与肌肉接头部位传递障碍的自身免疫性疾病，临床特征是局部</w:t>
      </w:r>
    </w:p>
    <w:p>
      <w:pPr>
        <w:pStyle w:val="BodyText"/>
        <w:spacing w:line="273" w:lineRule="auto" w:before="21"/>
        <w:ind w:left="3375" w:right="202"/>
        <w:jc w:val="both"/>
      </w:pPr>
      <w:r>
        <w:rPr/>
        <w:t>或全身横纹肌于活动时易于疲劳无力，颅神经眼外肌最易累及，也可涉及呼吸肌、下肢近端肌群乃至全身肌肉。其诊断必须同时满足下列全部条件</w:t>
      </w:r>
    </w:p>
    <w:p>
      <w:pPr>
        <w:pStyle w:val="BodyText"/>
        <w:spacing w:line="264" w:lineRule="auto" w:before="7"/>
        <w:ind w:left="3375" w:right="195"/>
        <w:jc w:val="both"/>
      </w:pPr>
      <w:r>
        <w:rPr>
          <w:spacing w:val="-20"/>
        </w:rPr>
        <w:t>（</w:t>
      </w:r>
      <w:r>
        <w:rPr>
          <w:rFonts w:ascii="Times New Roman" w:eastAsia="Times New Roman"/>
          <w:spacing w:val="-20"/>
        </w:rPr>
        <w:t>1</w:t>
      </w:r>
      <w:r>
        <w:rPr>
          <w:spacing w:val="-20"/>
        </w:rPr>
        <w:t>）</w:t>
      </w:r>
      <w:r>
        <w:rPr>
          <w:spacing w:val="-15"/>
        </w:rPr>
        <w:t>经药物、胸腺手术治疗一年以上无法控制病情，丧失正常工作能力</w:t>
      </w:r>
      <w:r>
        <w:rPr>
          <w:spacing w:val="-3"/>
        </w:rPr>
        <w:t>（</w:t>
      </w:r>
      <w:r>
        <w:rPr/>
        <w:t>为维持生命必要的日常生活活动，全需他人扶助，系指食物摄取、大小便始</w:t>
      </w:r>
      <w:r>
        <w:rPr>
          <w:spacing w:val="-17"/>
        </w:rPr>
        <w:t>末、穿脱衣服、起居、步行、入浴等，皆不能自己为之，需要他人帮助。</w:t>
      </w:r>
      <w:r>
        <w:rPr/>
        <w:t>）</w:t>
      </w:r>
    </w:p>
    <w:p>
      <w:pPr>
        <w:pStyle w:val="BodyText"/>
        <w:spacing w:line="259" w:lineRule="auto" w:before="15"/>
        <w:ind w:left="3375" w:right="196"/>
        <w:jc w:val="both"/>
      </w:pPr>
      <w:r>
        <w:rPr>
          <w:spacing w:val="-3"/>
        </w:rPr>
        <w:t>（</w:t>
      </w:r>
      <w:r>
        <w:rPr>
          <w:rFonts w:ascii="Times New Roman" w:eastAsia="Times New Roman"/>
          <w:spacing w:val="-3"/>
        </w:rPr>
        <w:t>2</w:t>
      </w:r>
      <w:r>
        <w:rPr>
          <w:spacing w:val="-3"/>
        </w:rPr>
        <w:t>）</w:t>
      </w:r>
      <w:r>
        <w:rPr>
          <w:spacing w:val="-5"/>
        </w:rPr>
        <w:t>出现因延髓肌受累引起的构音困难、进食呛咳；或由于肌无力累及延</w:t>
      </w:r>
      <w:r>
        <w:rPr>
          <w:spacing w:val="-4"/>
        </w:rPr>
        <w:t>髓肌、呼吸肌而致机体呼吸功能不正常的危急状态即肌无力危象；</w:t>
      </w:r>
    </w:p>
    <w:p>
      <w:pPr>
        <w:pStyle w:val="BodyText"/>
        <w:spacing w:line="256" w:lineRule="auto" w:before="19"/>
        <w:ind w:left="3375" w:right="196"/>
        <w:jc w:val="both"/>
      </w:pPr>
      <w:r>
        <w:rPr>
          <w:spacing w:val="-3"/>
        </w:rPr>
        <w:t>（</w:t>
      </w:r>
      <w:r>
        <w:rPr>
          <w:rFonts w:ascii="Times New Roman" w:eastAsia="Times New Roman"/>
          <w:spacing w:val="-3"/>
        </w:rPr>
        <w:t>3</w:t>
      </w:r>
      <w:r>
        <w:rPr>
          <w:spacing w:val="-3"/>
        </w:rPr>
        <w:t>）</w:t>
      </w:r>
      <w:r>
        <w:rPr>
          <w:spacing w:val="-5"/>
        </w:rPr>
        <w:t>症状缓解、复发及恶化交替出现，临床接受新斯的明等抗胆碱酯酶药</w:t>
      </w:r>
      <w:r>
        <w:rPr>
          <w:spacing w:val="-4"/>
        </w:rPr>
        <w:t>物治疗的病史。</w:t>
      </w:r>
    </w:p>
    <w:p>
      <w:pPr>
        <w:pStyle w:val="BodyText"/>
        <w:tabs>
          <w:tab w:pos="3375" w:val="left" w:leader="none"/>
        </w:tabs>
        <w:spacing w:before="22"/>
      </w:pPr>
      <w:r>
        <w:rPr>
          <w:rFonts w:ascii="Times New Roman" w:eastAsia="Times New Roman"/>
        </w:rPr>
        <w:t>32.</w:t>
      </w:r>
      <w:r>
        <w:rPr/>
        <w:t>严重</w:t>
      </w:r>
      <w:r>
        <w:rPr>
          <w:spacing w:val="-3"/>
        </w:rPr>
        <w:t>原</w:t>
      </w:r>
      <w:r>
        <w:rPr/>
        <w:t>发</w:t>
      </w:r>
      <w:r>
        <w:rPr>
          <w:spacing w:val="-3"/>
        </w:rPr>
        <w:t>性</w:t>
      </w:r>
      <w:r>
        <w:rPr/>
        <w:t>心</w:t>
      </w:r>
      <w:r>
        <w:rPr>
          <w:spacing w:val="-3"/>
        </w:rPr>
        <w:t>肌</w:t>
      </w:r>
      <w:r>
        <w:rPr/>
        <w:t>病</w:t>
        <w:tab/>
        <w:t>指因原发性心肌病导致心室功能损害造成永久不可逆性的心功能衰竭，心</w:t>
      </w:r>
    </w:p>
    <w:p>
      <w:pPr>
        <w:pStyle w:val="BodyText"/>
        <w:spacing w:line="256" w:lineRule="auto" w:before="21"/>
        <w:ind w:left="3375" w:right="197"/>
        <w:jc w:val="both"/>
      </w:pPr>
      <w:r>
        <w:rPr/>
        <w:t>功能衰竭程度达到美国纽约心脏病学会心功能状态分级</w:t>
      </w:r>
      <w:r>
        <w:rPr>
          <w:rFonts w:ascii="Times New Roman" w:eastAsia="Times New Roman"/>
        </w:rPr>
        <w:t>IV</w:t>
      </w:r>
      <w:r>
        <w:rPr/>
        <w:t>级。必须由心脏专科医生确诊，并有包括超声心动图在内的相关检查证实。</w:t>
      </w:r>
    </w:p>
    <w:p>
      <w:pPr>
        <w:spacing w:before="22"/>
        <w:ind w:left="3375" w:right="0" w:firstLine="0"/>
        <w:jc w:val="left"/>
        <w:rPr>
          <w:b/>
          <w:sz w:val="21"/>
        </w:rPr>
      </w:pPr>
      <w:r>
        <w:rPr>
          <w:b/>
          <w:sz w:val="21"/>
        </w:rPr>
        <w:t>因酗酒、药物以及其他疾病所引发的继发性心肌病不在保险责任范围内。</w:t>
      </w:r>
    </w:p>
    <w:p>
      <w:pPr>
        <w:pStyle w:val="BodyText"/>
        <w:tabs>
          <w:tab w:pos="3375" w:val="left" w:leader="none"/>
        </w:tabs>
        <w:spacing w:before="37"/>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2"/>
        </w:rPr>
        <w:t> </w:t>
      </w:r>
      <w:r>
        <w:rPr>
          <w:spacing w:val="-3"/>
        </w:rPr>
        <w:t>病</w:t>
      </w:r>
      <w:r>
        <w:rPr/>
        <w:t>）</w:t>
        <w:tab/>
        <w:t>克罗恩病是一种慢性肉芽肿性肠炎，具有特征性的克罗恩病病理组织学变</w:t>
      </w:r>
    </w:p>
    <w:p>
      <w:pPr>
        <w:pStyle w:val="BodyText"/>
        <w:spacing w:line="273" w:lineRule="auto" w:before="21"/>
        <w:ind w:left="3375" w:right="202"/>
        <w:jc w:val="both"/>
      </w:pPr>
      <w:r>
        <w:rPr/>
        <w:t>化。诊断必须由病理检查结果证实。被保险人所患的克罗恩病必须已经造成瘘管形成并伴有肠梗阻或肠穿孔。</w:t>
      </w:r>
    </w:p>
    <w:p>
      <w:pPr>
        <w:pStyle w:val="BodyText"/>
        <w:tabs>
          <w:tab w:pos="3375" w:val="left" w:leader="none"/>
        </w:tabs>
        <w:spacing w:before="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t>本合同所保障的溃疡性结肠炎是指伴有致命性电解质紊乱的急性暴发性溃</w:t>
      </w:r>
    </w:p>
    <w:p>
      <w:pPr>
        <w:pStyle w:val="BodyText"/>
        <w:spacing w:line="273" w:lineRule="auto" w:before="21"/>
        <w:ind w:left="3375" w:right="202"/>
        <w:jc w:val="both"/>
      </w:pPr>
      <w:r>
        <w:rPr/>
        <w:t>疡性结肠炎，病变累及全结肠，表现为严重的血便和系统性症状体征。溃疡性结肠炎必须根据组织病理学特点诊断，并且被保险人已经接受了结肠切除或回肠造瘘术。</w:t>
      </w:r>
    </w:p>
    <w:p>
      <w:pPr>
        <w:pStyle w:val="BodyText"/>
        <w:tabs>
          <w:tab w:pos="3375" w:val="left" w:leader="none"/>
        </w:tabs>
        <w:spacing w:before="7"/>
      </w:pPr>
      <w:r>
        <w:rPr>
          <w:rFonts w:ascii="Times New Roman" w:eastAsia="Times New Roman"/>
        </w:rPr>
        <w:t>35.</w:t>
      </w:r>
      <w:r>
        <w:rPr/>
        <w:t>植物</w:t>
      </w:r>
      <w:r>
        <w:rPr>
          <w:spacing w:val="-3"/>
        </w:rPr>
        <w:t>人</w:t>
      </w:r>
      <w:r>
        <w:rPr/>
        <w:t>状态</w:t>
        <w:tab/>
      </w:r>
      <w:r>
        <w:rPr>
          <w:spacing w:val="-1"/>
        </w:rPr>
        <w:t>植物</w:t>
      </w:r>
      <w:r>
        <w:rPr/>
        <w:t>人状态是指由于严</w:t>
      </w:r>
      <w:r>
        <w:rPr>
          <w:spacing w:val="-3"/>
        </w:rPr>
        <w:t>重</w:t>
      </w:r>
      <w:r>
        <w:rPr/>
        <w:t>颅脑外伤造成大脑和</w:t>
      </w:r>
      <w:r>
        <w:rPr>
          <w:rFonts w:ascii="Times New Roman" w:eastAsia="Times New Roman"/>
        </w:rPr>
        <w:t>/</w:t>
      </w:r>
      <w:r>
        <w:rPr/>
        <w:t>或脑干严重损害导致完全永</w:t>
      </w:r>
    </w:p>
    <w:p>
      <w:pPr>
        <w:pStyle w:val="BodyText"/>
        <w:spacing w:line="266" w:lineRule="auto" w:before="20"/>
        <w:ind w:left="3375" w:right="198"/>
        <w:jc w:val="both"/>
      </w:pPr>
      <w:r>
        <w:rPr/>
        <w:t>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rPr>
        <w:t>12</w:t>
      </w:r>
      <w:r>
        <w:rPr/>
        <w:t>个月以上。诊断必须明确并且具有严重颅脑外伤和脑损害的证据。</w:t>
      </w:r>
    </w:p>
    <w:p>
      <w:pPr>
        <w:pStyle w:val="BodyText"/>
        <w:tabs>
          <w:tab w:pos="3375" w:val="left" w:leader="none"/>
        </w:tabs>
        <w:spacing w:before="13"/>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指由于胰岛素分泌绝对不足引起的慢性血糖升高，且已经持续性地依赖外</w:t>
      </w:r>
    </w:p>
    <w:p>
      <w:pPr>
        <w:pStyle w:val="BodyText"/>
        <w:spacing w:line="266" w:lineRule="auto" w:before="21"/>
        <w:ind w:left="3375" w:right="57"/>
      </w:pPr>
      <w:r>
        <w:rPr/>
        <w:t>源性胰岛素维持</w:t>
      </w:r>
      <w:r>
        <w:rPr>
          <w:rFonts w:ascii="Times New Roman" w:eastAsia="Times New Roman"/>
        </w:rPr>
        <w:t>180</w:t>
      </w:r>
      <w:r>
        <w:rPr/>
        <w:t>天以上。须经血胰岛素测定、血</w:t>
      </w:r>
      <w:r>
        <w:rPr>
          <w:rFonts w:ascii="Times New Roman" w:eastAsia="Times New Roman"/>
        </w:rPr>
        <w:t>C</w:t>
      </w:r>
      <w:r>
        <w:rPr/>
        <w:t>肽测定或尿</w:t>
      </w:r>
      <w:r>
        <w:rPr>
          <w:rFonts w:ascii="Times New Roman" w:eastAsia="Times New Roman"/>
        </w:rPr>
        <w:t>C</w:t>
      </w:r>
      <w:r>
        <w:rPr/>
        <w:t>肽测定， 结果异常，并由内分泌科专科医生明确诊断。并须在本合同有效期内，且已经接受下列治疗：因严重心律失常已经植入了心脏起搏器，或因坏疽需切除至少一个脚趾。</w:t>
      </w:r>
    </w:p>
    <w:p>
      <w:pPr>
        <w:spacing w:after="0" w:line="266" w:lineRule="auto"/>
        <w:sectPr>
          <w:pgSz w:w="11910" w:h="16160"/>
          <w:pgMar w:header="0" w:footer="631" w:top="1340" w:bottom="900" w:left="960" w:right="560"/>
        </w:sectPr>
      </w:pPr>
    </w:p>
    <w:p>
      <w:pPr>
        <w:pStyle w:val="BodyText"/>
        <w:spacing w:before="14"/>
      </w:pPr>
      <w:r>
        <w:rPr>
          <w:rFonts w:ascii="Times New Roman" w:eastAsia="Times New Roman"/>
        </w:rPr>
        <w:t>37.</w:t>
      </w:r>
      <w:r>
        <w:rPr/>
        <w:t>系统性红斑狼疮 －（并发）</w:t>
      </w:r>
    </w:p>
    <w:p>
      <w:pPr>
        <w:pStyle w:val="BodyText"/>
        <w:spacing w:before="21"/>
        <w:ind w:left="379"/>
      </w:pPr>
      <w:r>
        <w:rPr>
          <w:rFonts w:ascii="Times New Roman" w:eastAsia="Times New Roman"/>
        </w:rPr>
        <w:t>III </w:t>
      </w:r>
      <w:r>
        <w:rPr/>
        <w:t>型或以上狼疮性肾炎</w:t>
      </w:r>
    </w:p>
    <w:p>
      <w:pPr>
        <w:pStyle w:val="BodyText"/>
        <w:spacing w:line="273" w:lineRule="auto" w:before="14"/>
        <w:ind w:right="283"/>
        <w:jc w:val="both"/>
      </w:pPr>
      <w:r>
        <w:rPr/>
        <w:br w:type="column"/>
      </w:r>
      <w:r>
        <w:rPr/>
        <w:t>系统性红斑狼疮是由多种因素引起，累及多系统的自身免疫性疾病。其特点是生成自身抗体对抗多种自身抗原。多见于育龄妇女。</w:t>
      </w:r>
    </w:p>
    <w:p>
      <w:pPr>
        <w:pStyle w:val="BodyText"/>
        <w:spacing w:before="7"/>
      </w:pPr>
      <w:r>
        <w:rPr/>
        <w:t>本合同所指的系统性红斑狼疮仅限于累及肾脏（经肾脏活检确认的，符合</w:t>
      </w:r>
    </w:p>
    <w:p>
      <w:pPr>
        <w:spacing w:line="264" w:lineRule="auto" w:before="36"/>
        <w:ind w:left="117" w:right="196" w:firstLine="0"/>
        <w:jc w:val="both"/>
        <w:rPr>
          <w:b/>
          <w:sz w:val="21"/>
        </w:rPr>
      </w:pPr>
      <w:r>
        <w:rPr>
          <w:rFonts w:ascii="Times New Roman" w:eastAsia="Times New Roman"/>
          <w:sz w:val="21"/>
        </w:rPr>
        <w:t>WHO </w:t>
      </w:r>
      <w:r>
        <w:rPr>
          <w:spacing w:val="-10"/>
          <w:sz w:val="21"/>
        </w:rPr>
        <w:t>诊断标准定义 </w:t>
      </w:r>
      <w:r>
        <w:rPr>
          <w:rFonts w:ascii="Times New Roman" w:eastAsia="Times New Roman"/>
          <w:sz w:val="21"/>
        </w:rPr>
        <w:t>III </w:t>
      </w:r>
      <w:r>
        <w:rPr>
          <w:spacing w:val="-16"/>
          <w:sz w:val="21"/>
        </w:rPr>
        <w:t>型或 </w:t>
      </w:r>
      <w:r>
        <w:rPr>
          <w:rFonts w:ascii="Times New Roman" w:eastAsia="Times New Roman"/>
          <w:sz w:val="21"/>
        </w:rPr>
        <w:t>III </w:t>
      </w:r>
      <w:r>
        <w:rPr>
          <w:spacing w:val="-3"/>
          <w:sz w:val="21"/>
        </w:rPr>
        <w:t>型以上狼疮性肾炎</w:t>
      </w:r>
      <w:r>
        <w:rPr>
          <w:spacing w:val="-25"/>
          <w:sz w:val="21"/>
        </w:rPr>
        <w:t>）</w:t>
      </w:r>
      <w:r>
        <w:rPr>
          <w:spacing w:val="-6"/>
          <w:sz w:val="21"/>
        </w:rPr>
        <w:t>的系统性红斑狼疮。</w:t>
      </w:r>
      <w:r>
        <w:rPr>
          <w:b/>
          <w:sz w:val="21"/>
        </w:rPr>
        <w:t>其他类型的红斑性狼疮，如盘状狼疮、仅累及血液及关节的狼疮不在保障范围內。</w:t>
      </w:r>
    </w:p>
    <w:p>
      <w:pPr>
        <w:pStyle w:val="BodyText"/>
        <w:spacing w:before="15"/>
        <w:jc w:val="both"/>
      </w:pPr>
      <w:r>
        <w:rPr/>
        <w:pict>
          <v:shape style="position:absolute;margin-left:323.110016pt;margin-top:17.213655pt;width:99.25pt;height:16.2pt;mso-position-horizontal-relative:page;mso-position-vertical-relative:paragraph;z-index:-33760" type="#_x0000_t202" filled="false" stroked="true" strokeweight=".47998pt" strokecolor="#000000">
            <v:textbox inset="0,0,0,0">
              <w:txbxContent>
                <w:p>
                  <w:pPr>
                    <w:pStyle w:val="BodyText"/>
                    <w:spacing w:line="262" w:lineRule="exact"/>
                    <w:ind w:left="103"/>
                  </w:pPr>
                  <w:r>
                    <w:rPr/>
                    <w:t>微小病变型</w:t>
                  </w:r>
                </w:p>
              </w:txbxContent>
            </v:textbox>
            <v:stroke dashstyle="solid"/>
            <w10:wrap type="none"/>
          </v:shape>
        </w:pict>
      </w:r>
      <w:r>
        <w:rPr/>
        <w:t>世界卫生组织（</w:t>
      </w:r>
      <w:r>
        <w:rPr>
          <w:rFonts w:ascii="Times New Roman" w:eastAsia="Times New Roman"/>
        </w:rPr>
        <w:t>WHO</w:t>
      </w:r>
      <w:r>
        <w:rPr/>
        <w:t>）狼疮性肾炎分型：</w:t>
      </w:r>
    </w:p>
    <w:p>
      <w:pPr>
        <w:spacing w:after="0"/>
        <w:jc w:val="both"/>
        <w:sectPr>
          <w:type w:val="continuous"/>
          <w:pgSz w:w="11910" w:h="16160"/>
          <w:pgMar w:top="560" w:bottom="280" w:left="960" w:right="560"/>
          <w:cols w:num="2" w:equalWidth="0">
            <w:col w:w="3013" w:space="245"/>
            <w:col w:w="7132"/>
          </w:cols>
        </w:sectPr>
      </w:pPr>
    </w:p>
    <w:p>
      <w:pPr>
        <w:pStyle w:val="BodyText"/>
        <w:spacing w:before="6"/>
        <w:ind w:left="0"/>
        <w:rPr>
          <w:sz w:val="2"/>
        </w:rPr>
      </w:pPr>
    </w:p>
    <w:p>
      <w:pPr>
        <w:spacing w:line="240" w:lineRule="auto"/>
        <w:ind w:left="3375" w:right="0" w:firstLine="0"/>
        <w:rPr>
          <w:sz w:val="20"/>
        </w:rPr>
      </w:pPr>
      <w:r>
        <w:rPr>
          <w:rFonts w:ascii="Times New Roman"/>
          <w:spacing w:val="-49"/>
          <w:sz w:val="20"/>
        </w:rPr>
        <w:t> </w:t>
      </w:r>
      <w:r>
        <w:rPr>
          <w:spacing w:val="-49"/>
          <w:sz w:val="20"/>
        </w:rPr>
        <w:pict>
          <v:shape style="width:106.1pt;height:16.2pt;mso-position-horizontal-relative:char;mso-position-vertical-relative:line" type="#_x0000_t202" filled="false" stroked="true" strokeweight=".48001pt" strokecolor="#000000">
            <w10:anchorlock/>
            <v:textbox inset="0,0,0,0">
              <w:txbxContent>
                <w:p>
                  <w:pPr>
                    <w:pStyle w:val="BodyText"/>
                    <w:spacing w:line="278" w:lineRule="exact"/>
                    <w:ind w:left="103"/>
                  </w:pPr>
                  <w:r>
                    <w:rPr>
                      <w:rFonts w:ascii="Times New Roman" w:eastAsia="Times New Roman"/>
                    </w:rPr>
                    <w:t>I </w:t>
                  </w:r>
                  <w:r>
                    <w:rPr/>
                    <w:t>型</w:t>
                  </w:r>
                </w:p>
              </w:txbxContent>
            </v:textbox>
            <v:stroke dashstyle="solid"/>
          </v:shape>
        </w:pict>
      </w:r>
      <w:r>
        <w:rPr>
          <w:spacing w:val="-49"/>
          <w:sz w:val="20"/>
        </w:rPr>
      </w:r>
    </w:p>
    <w:p>
      <w:pPr>
        <w:spacing w:after="0" w:line="240" w:lineRule="auto"/>
        <w:rPr>
          <w:sz w:val="20"/>
        </w:rPr>
        <w:sectPr>
          <w:type w:val="continuous"/>
          <w:pgSz w:w="11910" w:h="16160"/>
          <w:pgMar w:top="560" w:bottom="280" w:left="960" w:right="560"/>
        </w:sectPr>
      </w:pPr>
    </w:p>
    <w:tbl>
      <w:tblPr>
        <w:tblW w:w="0" w:type="auto"/>
        <w:jc w:val="left"/>
        <w:tblInd w:w="3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2" w:hRule="atLeast"/>
        </w:trPr>
        <w:tc>
          <w:tcPr>
            <w:tcW w:w="2122" w:type="dxa"/>
          </w:tcPr>
          <w:p>
            <w:pPr>
              <w:pStyle w:val="TableParagraph"/>
              <w:spacing w:line="280" w:lineRule="exact"/>
              <w:ind w:left="107"/>
              <w:rPr>
                <w:sz w:val="21"/>
              </w:rPr>
            </w:pPr>
            <w:r>
              <w:rPr>
                <w:rFonts w:ascii="Times New Roman" w:eastAsia="Times New Roman"/>
                <w:sz w:val="21"/>
              </w:rPr>
              <w:t>II </w:t>
            </w:r>
            <w:r>
              <w:rPr>
                <w:sz w:val="21"/>
              </w:rPr>
              <w:t>型</w:t>
            </w:r>
          </w:p>
        </w:tc>
        <w:tc>
          <w:tcPr>
            <w:tcW w:w="1985" w:type="dxa"/>
          </w:tcPr>
          <w:p>
            <w:pPr>
              <w:pStyle w:val="TableParagraph"/>
              <w:spacing w:line="265" w:lineRule="exact"/>
              <w:ind w:left="107"/>
              <w:rPr>
                <w:sz w:val="21"/>
              </w:rPr>
            </w:pPr>
            <w:r>
              <w:rPr>
                <w:sz w:val="21"/>
              </w:rPr>
              <w:t>系膜病变型</w:t>
            </w:r>
          </w:p>
        </w:tc>
      </w:tr>
      <w:tr>
        <w:trPr>
          <w:trHeight w:val="313" w:hRule="atLeast"/>
        </w:trPr>
        <w:tc>
          <w:tcPr>
            <w:tcW w:w="2122" w:type="dxa"/>
          </w:tcPr>
          <w:p>
            <w:pPr>
              <w:pStyle w:val="TableParagraph"/>
              <w:spacing w:line="280" w:lineRule="exact"/>
              <w:ind w:left="107"/>
              <w:rPr>
                <w:sz w:val="21"/>
              </w:rPr>
            </w:pPr>
            <w:r>
              <w:rPr>
                <w:rFonts w:ascii="Times New Roman" w:eastAsia="Times New Roman"/>
                <w:sz w:val="21"/>
              </w:rPr>
              <w:t>III </w:t>
            </w:r>
            <w:r>
              <w:rPr>
                <w:sz w:val="21"/>
              </w:rPr>
              <w:t>型</w:t>
            </w:r>
          </w:p>
        </w:tc>
        <w:tc>
          <w:tcPr>
            <w:tcW w:w="1985" w:type="dxa"/>
          </w:tcPr>
          <w:p>
            <w:pPr>
              <w:pStyle w:val="TableParagraph"/>
              <w:spacing w:line="265" w:lineRule="exact"/>
              <w:ind w:left="107"/>
              <w:rPr>
                <w:sz w:val="21"/>
              </w:rPr>
            </w:pPr>
            <w:r>
              <w:rPr>
                <w:sz w:val="21"/>
              </w:rPr>
              <w:t>局灶及节段增生型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IV </w:t>
            </w:r>
            <w:r>
              <w:rPr>
                <w:sz w:val="21"/>
              </w:rPr>
              <w:t>型</w:t>
            </w:r>
          </w:p>
        </w:tc>
        <w:tc>
          <w:tcPr>
            <w:tcW w:w="1985" w:type="dxa"/>
          </w:tcPr>
          <w:p>
            <w:pPr>
              <w:pStyle w:val="TableParagraph"/>
              <w:spacing w:line="262" w:lineRule="exact"/>
              <w:ind w:left="107"/>
              <w:rPr>
                <w:sz w:val="21"/>
              </w:rPr>
            </w:pPr>
            <w:r>
              <w:rPr>
                <w:sz w:val="21"/>
              </w:rPr>
              <w:t>弥漫增生型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V </w:t>
            </w:r>
            <w:r>
              <w:rPr>
                <w:sz w:val="21"/>
              </w:rPr>
              <w:t>型</w:t>
            </w:r>
          </w:p>
        </w:tc>
        <w:tc>
          <w:tcPr>
            <w:tcW w:w="1985" w:type="dxa"/>
          </w:tcPr>
          <w:p>
            <w:pPr>
              <w:pStyle w:val="TableParagraph"/>
              <w:spacing w:line="262" w:lineRule="exact"/>
              <w:ind w:left="107"/>
              <w:rPr>
                <w:sz w:val="21"/>
              </w:rPr>
            </w:pPr>
            <w:r>
              <w:rPr>
                <w:sz w:val="21"/>
              </w:rPr>
              <w:t>膜型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VI </w:t>
            </w:r>
            <w:r>
              <w:rPr>
                <w:sz w:val="21"/>
              </w:rPr>
              <w:t>型</w:t>
            </w:r>
          </w:p>
        </w:tc>
        <w:tc>
          <w:tcPr>
            <w:tcW w:w="1985" w:type="dxa"/>
          </w:tcPr>
          <w:p>
            <w:pPr>
              <w:pStyle w:val="TableParagraph"/>
              <w:spacing w:line="262" w:lineRule="exact"/>
              <w:ind w:left="107"/>
              <w:rPr>
                <w:sz w:val="21"/>
              </w:rPr>
            </w:pPr>
            <w:r>
              <w:rPr>
                <w:sz w:val="21"/>
              </w:rPr>
              <w:t>肾小球硬化型</w:t>
            </w:r>
          </w:p>
        </w:tc>
      </w:tr>
    </w:tbl>
    <w:p>
      <w:pPr>
        <w:spacing w:after="0" w:line="262" w:lineRule="exact"/>
        <w:rPr>
          <w:sz w:val="21"/>
        </w:rPr>
        <w:sectPr>
          <w:pgSz w:w="11910" w:h="16160"/>
          <w:pgMar w:header="0" w:footer="631" w:top="1380" w:bottom="900" w:left="960" w:right="640"/>
        </w:sectPr>
      </w:pPr>
    </w:p>
    <w:p>
      <w:pPr>
        <w:pStyle w:val="BodyText"/>
        <w:spacing w:line="256" w:lineRule="auto"/>
        <w:ind w:left="379" w:hanging="263"/>
      </w:pPr>
      <w:r>
        <w:rPr>
          <w:rFonts w:ascii="Times New Roman" w:eastAsia="Times New Roman"/>
        </w:rPr>
        <w:t>38.</w:t>
      </w:r>
      <w:r>
        <w:rPr/>
        <w:t>非阿尔茨海默病所致严重痴呆</w:t>
      </w:r>
    </w:p>
    <w:p>
      <w:pPr>
        <w:pStyle w:val="BodyText"/>
        <w:spacing w:line="273" w:lineRule="auto"/>
        <w:ind w:right="203"/>
        <w:rPr>
          <w:b/>
        </w:rPr>
      </w:pPr>
      <w:r>
        <w:rPr/>
        <w:br w:type="column"/>
      </w: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 </w:t>
      </w:r>
      <w:r>
        <w:rPr>
          <w:b/>
          <w:spacing w:val="-3"/>
        </w:rPr>
        <w:t>神经官能症</w:t>
      </w:r>
      <w:r>
        <w:rPr>
          <w:rFonts w:ascii="Times New Roman" w:eastAsia="Times New Roman"/>
          <w:b/>
          <w:spacing w:val="-3"/>
        </w:rPr>
        <w:t>,</w:t>
      </w:r>
      <w:r>
        <w:rPr>
          <w:b/>
          <w:spacing w:val="-3"/>
        </w:rPr>
        <w:t>精神疾病及酒精中毒所致脑损害不在保障范围内。</w:t>
      </w:r>
    </w:p>
    <w:p>
      <w:pPr>
        <w:spacing w:after="0" w:line="273" w:lineRule="auto"/>
        <w:sectPr>
          <w:type w:val="continuous"/>
          <w:pgSz w:w="11910" w:h="16160"/>
          <w:pgMar w:top="560" w:bottom="280" w:left="960" w:right="640"/>
          <w:cols w:num="2" w:equalWidth="0">
            <w:col w:w="3010" w:space="248"/>
            <w:col w:w="7052"/>
          </w:cols>
        </w:sectPr>
      </w:pPr>
    </w:p>
    <w:p>
      <w:pPr>
        <w:pStyle w:val="BodyText"/>
        <w:tabs>
          <w:tab w:pos="3375" w:val="left" w:leader="none"/>
        </w:tabs>
        <w:spacing w:before="2"/>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t>，</w:t>
      </w:r>
      <w:r>
        <w:rPr>
          <w:spacing w:val="-3"/>
        </w:rPr>
        <w:t>表</w:t>
      </w:r>
      <w:r>
        <w:rPr/>
        <w:t>现</w:t>
      </w:r>
      <w:r>
        <w:rPr>
          <w:spacing w:val="-3"/>
        </w:rPr>
        <w:t>为</w:t>
      </w:r>
      <w:r>
        <w:rPr/>
        <w:t>关</w:t>
      </w:r>
      <w:r>
        <w:rPr>
          <w:spacing w:val="-3"/>
        </w:rPr>
        <w:t>节</w:t>
      </w:r>
      <w:r>
        <w:rPr/>
        <w:t>严重</w:t>
      </w:r>
      <w:r>
        <w:rPr>
          <w:spacing w:val="-3"/>
        </w:rPr>
        <w:t>变</w:t>
      </w:r>
      <w:r>
        <w:rPr/>
        <w:t>形</w:t>
      </w:r>
      <w:r>
        <w:rPr>
          <w:spacing w:val="-3"/>
        </w:rPr>
        <w:t>，</w:t>
      </w:r>
      <w:r>
        <w:rPr/>
        <w:t>侵</w:t>
      </w:r>
      <w:r>
        <w:rPr>
          <w:spacing w:val="-3"/>
        </w:rPr>
        <w:t>犯</w:t>
      </w:r>
      <w:r>
        <w:rPr/>
        <w:t>至</w:t>
      </w:r>
      <w:r>
        <w:rPr>
          <w:spacing w:val="-3"/>
        </w:rPr>
        <w:t>少</w:t>
      </w:r>
      <w:r>
        <w:rPr/>
        <w:t>三</w:t>
      </w:r>
    </w:p>
    <w:p>
      <w:pPr>
        <w:pStyle w:val="BodyText"/>
        <w:spacing w:line="266" w:lineRule="auto" w:before="21"/>
        <w:ind w:left="3375" w:right="116"/>
      </w:pPr>
      <w:r>
        <w:rPr>
          <w:spacing w:val="-2"/>
        </w:rPr>
        <w:t>个主要关节</w:t>
      </w:r>
      <w:r>
        <w:rPr/>
        <w:t>（</w:t>
      </w:r>
      <w:r>
        <w:rPr>
          <w:spacing w:val="-3"/>
        </w:rPr>
        <w:t>腕关节、肘关节、肩关节、踝关节、膝关节、髋关节</w:t>
      </w:r>
      <w:r>
        <w:rPr/>
        <w:t>）</w:t>
      </w:r>
      <w:r>
        <w:rPr>
          <w:spacing w:val="-2"/>
        </w:rPr>
        <w:t>或关</w:t>
      </w:r>
      <w:r>
        <w:rPr>
          <w:spacing w:val="-4"/>
        </w:rPr>
        <w:t>节组</w:t>
      </w:r>
      <w:r>
        <w:rPr/>
        <w:t>（</w:t>
      </w:r>
      <w:r>
        <w:rPr>
          <w:spacing w:val="-4"/>
        </w:rPr>
        <w:t>如手的多个指间、掌指关节，足的多个足趾、跖趾关节等</w:t>
      </w:r>
      <w:r>
        <w:rPr>
          <w:spacing w:val="-106"/>
        </w:rPr>
        <w:t>）</w:t>
      </w:r>
      <w:r>
        <w:rPr>
          <w:spacing w:val="-3"/>
        </w:rPr>
        <w:t>。类风湿</w:t>
      </w:r>
      <w:r>
        <w:rPr>
          <w:spacing w:val="-5"/>
        </w:rPr>
        <w:t>性关节炎须明确诊断，并已达到类风湿性关节炎功能活动分级</w:t>
      </w:r>
      <w:r>
        <w:rPr>
          <w:spacing w:val="-3"/>
        </w:rPr>
        <w:t>（注</w:t>
      </w:r>
      <w:r>
        <w:rPr>
          <w:spacing w:val="-4"/>
        </w:rPr>
        <w:t>）</w:t>
      </w:r>
      <w:r>
        <w:rPr>
          <w:rFonts w:ascii="Times New Roman" w:eastAsia="Times New Roman"/>
          <w:spacing w:val="-4"/>
        </w:rPr>
        <w:t>IV </w:t>
      </w:r>
      <w:r>
        <w:rPr/>
        <w:t>级</w:t>
      </w:r>
      <w:r>
        <w:rPr>
          <w:spacing w:val="-3"/>
        </w:rPr>
        <w:t>的永久不可逆性关节功能障碍，且须满足下列全部条件：</w:t>
      </w:r>
    </w:p>
    <w:p>
      <w:pPr>
        <w:pStyle w:val="BodyText"/>
        <w:spacing w:before="13"/>
        <w:ind w:left="3375"/>
      </w:pPr>
      <w:r>
        <w:rPr/>
        <w:t>（</w:t>
      </w:r>
      <w:r>
        <w:rPr>
          <w:rFonts w:ascii="Times New Roman" w:eastAsia="Times New Roman"/>
        </w:rPr>
        <w:t>1</w:t>
      </w:r>
      <w:r>
        <w:rPr/>
        <w:t>）晨僵；</w:t>
      </w:r>
    </w:p>
    <w:p>
      <w:pPr>
        <w:pStyle w:val="BodyText"/>
        <w:spacing w:before="20"/>
        <w:ind w:left="3375"/>
      </w:pPr>
      <w:r>
        <w:rPr/>
        <w:t>（</w:t>
      </w:r>
      <w:r>
        <w:rPr>
          <w:rFonts w:ascii="Times New Roman" w:eastAsia="Times New Roman"/>
        </w:rPr>
        <w:t>2</w:t>
      </w:r>
      <w:r>
        <w:rPr/>
        <w:t>）对称性关节炎；</w:t>
      </w:r>
    </w:p>
    <w:p>
      <w:pPr>
        <w:pStyle w:val="BodyText"/>
        <w:spacing w:before="20"/>
        <w:ind w:left="3375"/>
      </w:pPr>
      <w:r>
        <w:rPr/>
        <w:t>（</w:t>
      </w:r>
      <w:r>
        <w:rPr>
          <w:rFonts w:ascii="Times New Roman" w:eastAsia="Times New Roman"/>
        </w:rPr>
        <w:t>3</w:t>
      </w:r>
      <w:r>
        <w:rPr/>
        <w:t>）类风湿性皮下结节；</w:t>
      </w:r>
    </w:p>
    <w:p>
      <w:pPr>
        <w:pStyle w:val="BodyText"/>
        <w:spacing w:before="20"/>
        <w:ind w:left="3375"/>
      </w:pPr>
      <w:r>
        <w:rPr/>
        <w:t>（</w:t>
      </w:r>
      <w:r>
        <w:rPr>
          <w:rFonts w:ascii="Times New Roman" w:eastAsia="Times New Roman"/>
        </w:rPr>
        <w:t>4</w:t>
      </w:r>
      <w:r>
        <w:rPr/>
        <w:t>）类风湿因子滴度升高；</w:t>
      </w:r>
    </w:p>
    <w:p>
      <w:pPr>
        <w:pStyle w:val="BodyText"/>
        <w:spacing w:line="256" w:lineRule="auto" w:before="20"/>
        <w:ind w:left="3375" w:right="1626"/>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3375"/>
      </w:pPr>
      <w:r>
        <w:rPr/>
        <w:t>Ⅰ级：关节功能完整，一般活动无障碍。</w:t>
      </w:r>
    </w:p>
    <w:p>
      <w:pPr>
        <w:pStyle w:val="BodyText"/>
        <w:spacing w:before="37"/>
        <w:ind w:left="3375"/>
      </w:pPr>
      <w:r>
        <w:rPr/>
        <w:t>Ⅱ级：有关节不适或障碍，但尚能完成一半活动。</w:t>
      </w:r>
    </w:p>
    <w:p>
      <w:pPr>
        <w:pStyle w:val="BodyText"/>
        <w:spacing w:before="37"/>
        <w:ind w:left="3375"/>
      </w:pPr>
      <w:r>
        <w:rPr/>
        <w:t>Ⅲ级：功能活动明显受限，但大部分生活可自理。</w:t>
      </w:r>
    </w:p>
    <w:p>
      <w:pPr>
        <w:pStyle w:val="BodyText"/>
        <w:spacing w:before="37"/>
        <w:ind w:left="3375"/>
      </w:pPr>
      <w:r>
        <w:rPr/>
        <w:t>Ⅳ级：生活不能自理或卧床。</w:t>
      </w:r>
    </w:p>
    <w:p>
      <w:pPr>
        <w:pStyle w:val="BodyText"/>
        <w:tabs>
          <w:tab w:pos="3375" w:val="left" w:leader="none"/>
        </w:tabs>
        <w:spacing w:before="37"/>
      </w:pPr>
      <w:r>
        <w:rPr>
          <w:rFonts w:ascii="Times New Roman" w:eastAsia="Times New Roman"/>
        </w:rPr>
        <w:t>40.</w:t>
      </w:r>
      <w:r>
        <w:rPr/>
        <w:t>特定</w:t>
      </w:r>
      <w:r>
        <w:rPr>
          <w:spacing w:val="-3"/>
        </w:rPr>
        <w:t>年</w:t>
      </w:r>
      <w:r>
        <w:rPr/>
        <w:t>龄</w:t>
      </w:r>
      <w:r>
        <w:rPr>
          <w:spacing w:val="-3"/>
        </w:rPr>
        <w:t>严</w:t>
      </w:r>
      <w:r>
        <w:rPr/>
        <w:t>重</w:t>
      </w:r>
      <w:r>
        <w:rPr>
          <w:spacing w:val="-3"/>
        </w:rPr>
        <w:t>哮</w:t>
      </w:r>
      <w:r>
        <w:rPr/>
        <w:t>喘</w:t>
        <w:tab/>
        <w:t>指一种反复发作的严重支气管阻塞性疾病，经我们认可的专科医生确诊，</w:t>
      </w:r>
    </w:p>
    <w:p>
      <w:pPr>
        <w:pStyle w:val="BodyText"/>
        <w:spacing w:before="21"/>
        <w:ind w:left="3375"/>
      </w:pPr>
      <w:r>
        <w:rPr/>
        <w:t>且必须同时符合下列标准：</w:t>
      </w:r>
    </w:p>
    <w:p>
      <w:pPr>
        <w:pStyle w:val="BodyText"/>
        <w:spacing w:before="37"/>
        <w:ind w:left="3375"/>
      </w:pPr>
      <w:r>
        <w:rPr/>
        <w:t>（</w:t>
      </w:r>
      <w:r>
        <w:rPr>
          <w:rFonts w:ascii="Times New Roman" w:eastAsia="Times New Roman"/>
        </w:rPr>
        <w:t>1</w:t>
      </w:r>
      <w:r>
        <w:rPr/>
        <w:t>）过去两年中曾因哮喘持续状态住院治疗，并提供完整住院记录；</w:t>
      </w:r>
    </w:p>
    <w:p>
      <w:pPr>
        <w:pStyle w:val="BodyText"/>
        <w:spacing w:before="21"/>
        <w:ind w:left="3375"/>
      </w:pPr>
      <w:r>
        <w:rPr/>
        <w:t>（</w:t>
      </w:r>
      <w:r>
        <w:rPr>
          <w:rFonts w:ascii="Times New Roman" w:eastAsia="Times New Roman"/>
        </w:rPr>
        <w:t>2</w:t>
      </w:r>
      <w:r>
        <w:rPr/>
        <w:t>）因慢性过度换气导致胸廓畸形；</w:t>
      </w:r>
    </w:p>
    <w:p>
      <w:pPr>
        <w:pStyle w:val="BodyText"/>
        <w:spacing w:before="21"/>
        <w:ind w:left="3375"/>
      </w:pPr>
      <w:r>
        <w:rPr/>
        <w:t>（</w:t>
      </w:r>
      <w:r>
        <w:rPr>
          <w:rFonts w:ascii="Times New Roman" w:eastAsia="Times New Roman"/>
        </w:rPr>
        <w:t>3</w:t>
      </w:r>
      <w:r>
        <w:rPr/>
        <w:t>）在家中需要医生处方的氧气治疗法；</w:t>
      </w:r>
    </w:p>
    <w:p>
      <w:pPr>
        <w:spacing w:line="256" w:lineRule="auto" w:before="21"/>
        <w:ind w:left="3375" w:right="1569" w:firstLine="0"/>
        <w:jc w:val="left"/>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p>
      <w:pPr>
        <w:pStyle w:val="BodyText"/>
        <w:tabs>
          <w:tab w:pos="3375" w:val="left" w:leader="none"/>
        </w:tabs>
        <w:spacing w:before="23"/>
      </w:pPr>
      <w:r>
        <w:rPr>
          <w:rFonts w:ascii="Times New Roman" w:eastAsia="Times New Roman"/>
        </w:rPr>
        <w:t>41.</w:t>
      </w:r>
      <w:r>
        <w:rPr/>
        <w:t>肾髓</w:t>
      </w:r>
      <w:r>
        <w:rPr>
          <w:spacing w:val="-3"/>
        </w:rPr>
        <w:t>质</w:t>
      </w:r>
      <w:r>
        <w:rPr/>
        <w:t>囊</w:t>
      </w:r>
      <w:r>
        <w:rPr>
          <w:spacing w:val="-3"/>
        </w:rPr>
        <w:t>性</w:t>
      </w:r>
      <w:r>
        <w:rPr/>
        <w:t>病</w:t>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w:t>
      </w:r>
    </w:p>
    <w:p>
      <w:pPr>
        <w:pStyle w:val="BodyText"/>
        <w:spacing w:before="21"/>
        <w:ind w:left="3375"/>
      </w:pPr>
      <w:r>
        <w:rPr/>
        <w:t>（</w:t>
      </w:r>
      <w:r>
        <w:rPr>
          <w:rFonts w:ascii="Times New Roman" w:eastAsia="Times New Roman"/>
        </w:rPr>
        <w:t>1</w:t>
      </w:r>
      <w:r>
        <w:rPr/>
        <w:t>）肾髓质有囊肿、肾小管萎缩及间质纤维化等病理改变；</w:t>
      </w:r>
    </w:p>
    <w:p>
      <w:pPr>
        <w:pStyle w:val="BodyText"/>
        <w:spacing w:before="21"/>
        <w:ind w:left="3375"/>
      </w:pPr>
      <w:r>
        <w:rPr/>
        <w:t>（</w:t>
      </w:r>
      <w:r>
        <w:rPr>
          <w:rFonts w:ascii="Times New Roman" w:eastAsia="Times New Roman"/>
        </w:rPr>
        <w:t>2</w:t>
      </w:r>
      <w:r>
        <w:rPr/>
        <w:t>）肾功能衰竭；</w:t>
      </w:r>
    </w:p>
    <w:p>
      <w:pPr>
        <w:pStyle w:val="BodyText"/>
        <w:spacing w:before="21"/>
        <w:ind w:left="3375"/>
      </w:pPr>
      <w:r>
        <w:rPr/>
        <w:t>（</w:t>
      </w:r>
      <w:r>
        <w:rPr>
          <w:rFonts w:ascii="Times New Roman" w:eastAsia="Times New Roman"/>
        </w:rPr>
        <w:t>3</w:t>
      </w:r>
      <w:r>
        <w:rPr/>
        <w:t>）诊断须由肾组织活检确定。</w:t>
      </w:r>
    </w:p>
    <w:p>
      <w:pPr>
        <w:pStyle w:val="BodyText"/>
        <w:spacing w:line="256" w:lineRule="auto" w:before="21"/>
        <w:ind w:left="3375" w:right="116"/>
      </w:pPr>
      <w:r>
        <w:rPr/>
        <w:t>我们承担本项疾病责任不受本合同第八条</w:t>
      </w:r>
      <w:r>
        <w:rPr>
          <w:rFonts w:ascii="Times New Roman" w:hAnsi="Times New Roman" w:eastAsia="Times New Roman"/>
        </w:rPr>
        <w:t>“</w:t>
      </w:r>
      <w:r>
        <w:rPr/>
        <w:t>责任免除</w:t>
      </w:r>
      <w:r>
        <w:rPr>
          <w:rFonts w:ascii="Times New Roman" w:hAnsi="Times New Roman" w:eastAsia="Times New Roman"/>
        </w:rPr>
        <w:t>”</w:t>
      </w:r>
      <w:r>
        <w:rPr/>
        <w:t>中</w:t>
      </w:r>
      <w:r>
        <w:rPr>
          <w:rFonts w:ascii="Times New Roman" w:hAnsi="Times New Roman" w:eastAsia="Times New Roman"/>
        </w:rPr>
        <w:t>“</w:t>
      </w:r>
      <w:r>
        <w:rPr/>
        <w:t>遗传性疾病，先天性畸形、变形或染色体异常</w:t>
      </w:r>
      <w:r>
        <w:rPr>
          <w:rFonts w:ascii="Times New Roman" w:hAnsi="Times New Roman" w:eastAsia="Times New Roman"/>
        </w:rPr>
        <w:t>”</w:t>
      </w:r>
      <w:r>
        <w:rPr/>
        <w:t>的限制。</w:t>
      </w:r>
    </w:p>
    <w:p>
      <w:pPr>
        <w:pStyle w:val="BodyText"/>
        <w:tabs>
          <w:tab w:pos="3375" w:val="left" w:leader="none"/>
        </w:tabs>
        <w:spacing w:before="5"/>
      </w:pPr>
      <w:r>
        <w:rPr>
          <w:rFonts w:ascii="Times New Roman" w:eastAsia="Times New Roman"/>
        </w:rPr>
        <w:t>42.</w:t>
      </w:r>
      <w:r>
        <w:rPr/>
        <w:t>重症</w:t>
      </w:r>
      <w:r>
        <w:rPr>
          <w:spacing w:val="-3"/>
        </w:rPr>
        <w:t>急</w:t>
      </w:r>
      <w:r>
        <w:rPr/>
        <w:t>性</w:t>
      </w:r>
      <w:r>
        <w:rPr>
          <w:spacing w:val="-3"/>
        </w:rPr>
        <w:t>坏</w:t>
      </w:r>
      <w:r>
        <w:rPr/>
        <w:t>死</w:t>
      </w:r>
      <w:r>
        <w:rPr>
          <w:spacing w:val="-3"/>
        </w:rPr>
        <w:t>性</w:t>
      </w:r>
      <w:r>
        <w:rPr/>
        <w:t>筋</w:t>
      </w:r>
      <w:r>
        <w:rPr>
          <w:spacing w:val="-3"/>
        </w:rPr>
        <w:t>膜</w:t>
      </w:r>
      <w:r>
        <w:rPr/>
        <w:t>炎</w:t>
        <w:tab/>
        <w:t>是一种由细菌侵入皮下组织和筋膜引起的急性坏死性软组织感染，可伴有</w:t>
      </w:r>
    </w:p>
    <w:p>
      <w:pPr>
        <w:pStyle w:val="BodyText"/>
        <w:spacing w:line="273" w:lineRule="auto" w:before="21"/>
        <w:ind w:left="3375" w:right="116"/>
      </w:pPr>
      <w:r>
        <w:rPr/>
        <w:t>毒血症、败血症、中毒性休克、弥漫性血管内凝血及多器官衰竭。必须满足以下所有条件：</w:t>
      </w:r>
    </w:p>
    <w:p>
      <w:pPr>
        <w:pStyle w:val="BodyText"/>
        <w:spacing w:before="7"/>
        <w:ind w:left="3375"/>
      </w:pPr>
      <w:r>
        <w:rPr/>
        <w:t>（</w:t>
      </w:r>
      <w:r>
        <w:rPr>
          <w:rFonts w:ascii="Times New Roman" w:eastAsia="Times New Roman"/>
        </w:rPr>
        <w:t>1</w:t>
      </w:r>
      <w:r>
        <w:rPr/>
        <w:t>）细菌培养和临床表现符合坏死性筋膜炎诊断标准；</w:t>
      </w:r>
    </w:p>
    <w:p>
      <w:pPr>
        <w:pStyle w:val="BodyText"/>
        <w:spacing w:before="20"/>
        <w:ind w:left="3375"/>
      </w:pPr>
      <w:r>
        <w:rPr/>
        <w:t>（</w:t>
      </w:r>
      <w:r>
        <w:rPr>
          <w:rFonts w:ascii="Times New Roman" w:eastAsia="Times New Roman"/>
        </w:rPr>
        <w:t>2</w:t>
      </w:r>
      <w:r>
        <w:rPr/>
        <w:t>）病情迅速恶化，有脓毒血症表现；</w:t>
      </w:r>
    </w:p>
    <w:p>
      <w:pPr>
        <w:spacing w:after="0"/>
        <w:sectPr>
          <w:type w:val="continuous"/>
          <w:pgSz w:w="11910" w:h="16160"/>
          <w:pgMar w:top="560" w:bottom="280" w:left="960" w:right="640"/>
        </w:sectPr>
      </w:pPr>
    </w:p>
    <w:p>
      <w:pPr>
        <w:pStyle w:val="BodyText"/>
        <w:spacing w:before="27"/>
        <w:ind w:left="3375"/>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BodyText"/>
        <w:tabs>
          <w:tab w:pos="3375" w:val="left" w:leader="none"/>
        </w:tabs>
        <w:spacing w:before="21"/>
      </w:pPr>
      <w:r>
        <w:rPr>
          <w:rFonts w:ascii="Times New Roman" w:eastAsia="Times New Roman"/>
        </w:rPr>
        <w:t>43.</w:t>
      </w:r>
      <w:r>
        <w:rPr/>
        <w:t>严重</w:t>
      </w:r>
      <w:r>
        <w:rPr>
          <w:spacing w:val="-3"/>
        </w:rPr>
        <w:t>慢</w:t>
      </w:r>
      <w:r>
        <w:rPr/>
        <w:t>性</w:t>
      </w:r>
      <w:r>
        <w:rPr>
          <w:spacing w:val="-3"/>
        </w:rPr>
        <w:t>呼</w:t>
      </w:r>
      <w:r>
        <w:rPr/>
        <w:t>吸</w:t>
      </w:r>
      <w:r>
        <w:rPr>
          <w:spacing w:val="-3"/>
        </w:rPr>
        <w:t>功</w:t>
      </w:r>
      <w:r>
        <w:rPr/>
        <w:t>能</w:t>
      </w:r>
      <w:r>
        <w:rPr>
          <w:spacing w:val="-3"/>
        </w:rPr>
        <w:t>衰</w:t>
      </w:r>
      <w:r>
        <w:rPr/>
        <w:t>竭</w:t>
        <w:tab/>
        <w:t>慢性肺部疾病导致永久不可逆性的慢性呼吸功能衰竭，必须由呼吸专科医</w:t>
      </w:r>
    </w:p>
    <w:p>
      <w:pPr>
        <w:pStyle w:val="BodyText"/>
        <w:spacing w:before="21"/>
        <w:ind w:left="3375"/>
        <w:jc w:val="both"/>
      </w:pPr>
      <w:r>
        <w:rPr/>
        <w:t>师确认并符合下列所有条件：</w:t>
      </w:r>
    </w:p>
    <w:p>
      <w:pPr>
        <w:pStyle w:val="BodyText"/>
        <w:spacing w:before="37"/>
        <w:ind w:left="3375"/>
        <w:jc w:val="both"/>
      </w:pPr>
      <w:r>
        <w:rPr/>
        <w:t>（</w:t>
      </w: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1"/>
        <w:ind w:left="3375"/>
        <w:jc w:val="both"/>
      </w:pPr>
      <w:r>
        <w:rPr/>
        <w:t>（</w:t>
      </w:r>
      <w:r>
        <w:rPr>
          <w:rFonts w:ascii="Times New Roman" w:eastAsia="Times New Roman"/>
        </w:rPr>
        <w:t>2</w:t>
      </w:r>
      <w:r>
        <w:rPr/>
        <w:t>）病人缺氧必须广泛而持续地进行输氧治疗；</w:t>
      </w:r>
    </w:p>
    <w:p>
      <w:pPr>
        <w:pStyle w:val="BodyText"/>
        <w:spacing w:before="21"/>
        <w:ind w:left="3375"/>
        <w:jc w:val="both"/>
      </w:pPr>
      <w:r>
        <w:rPr/>
        <w:t>（</w:t>
      </w:r>
      <w:r>
        <w:rPr>
          <w:rFonts w:ascii="Times New Roman" w:eastAsia="Times New Roman"/>
        </w:rPr>
        <w:t>3</w:t>
      </w:r>
      <w:r>
        <w:rPr/>
        <w:t>）动脉血气分析氧分压低于</w:t>
      </w:r>
      <w:r>
        <w:rPr>
          <w:rFonts w:ascii="Times New Roman" w:eastAsia="Times New Roman"/>
        </w:rPr>
        <w:t>55mmHg</w:t>
      </w:r>
      <w:r>
        <w:rPr/>
        <w:t>。</w:t>
      </w:r>
    </w:p>
    <w:p>
      <w:pPr>
        <w:pStyle w:val="BodyText"/>
        <w:spacing w:before="21"/>
        <w:ind w:left="3375"/>
        <w:jc w:val="both"/>
      </w:pPr>
      <w:r>
        <w:rPr/>
        <w:t>理赔时必须提供以上三项相应的证明文件或检查报告。</w:t>
      </w:r>
    </w:p>
    <w:p>
      <w:pPr>
        <w:pStyle w:val="BodyText"/>
        <w:tabs>
          <w:tab w:pos="3375" w:val="left" w:leader="none"/>
        </w:tabs>
        <w:spacing w:line="256" w:lineRule="auto" w:before="37"/>
        <w:ind w:left="3375" w:right="122" w:hanging="3258"/>
      </w:pPr>
      <w:r>
        <w:rPr>
          <w:rFonts w:ascii="Times New Roman" w:eastAsia="Times New Roman"/>
        </w:rPr>
        <w:t>44.</w:t>
      </w:r>
      <w:r>
        <w:rPr/>
        <w:t>胰腺</w:t>
      </w:r>
      <w:r>
        <w:rPr>
          <w:spacing w:val="-3"/>
        </w:rPr>
        <w:t>移</w:t>
      </w:r>
      <w:r>
        <w:rPr/>
        <w:t>植</w:t>
        <w:tab/>
        <w:t>指因胰腺功能衰竭，已经实施了在全身麻醉下进行的胰腺的异体器官移植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spacing w:before="22"/>
        <w:ind w:left="3375" w:right="0" w:firstLine="0"/>
        <w:jc w:val="left"/>
        <w:rPr>
          <w:b/>
          <w:sz w:val="21"/>
        </w:rPr>
      </w:pPr>
      <w:r>
        <w:rPr>
          <w:b/>
          <w:sz w:val="21"/>
        </w:rPr>
        <w:t>单纯胰岛移植、部分胰腺组织或细胞的移植不在保障范围内。</w:t>
      </w:r>
    </w:p>
    <w:p>
      <w:pPr>
        <w:pStyle w:val="BodyText"/>
        <w:tabs>
          <w:tab w:pos="3375" w:val="left" w:leader="none"/>
        </w:tabs>
        <w:spacing w:before="36"/>
      </w:pPr>
      <w:r>
        <w:rPr>
          <w:rFonts w:ascii="Times New Roman" w:eastAsia="Times New Roman"/>
        </w:rPr>
        <w:t>45.</w:t>
      </w:r>
      <w:r>
        <w:rPr/>
        <w:t>埃博</w:t>
      </w:r>
      <w:r>
        <w:rPr>
          <w:spacing w:val="-3"/>
        </w:rPr>
        <w:t>拉</w:t>
      </w:r>
      <w:r>
        <w:rPr/>
        <w:t>病</w:t>
      </w:r>
      <w:r>
        <w:rPr>
          <w:spacing w:val="-3"/>
        </w:rPr>
        <w:t>毒</w:t>
      </w:r>
      <w:r>
        <w:rPr/>
        <w:t>感染</w:t>
        <w:tab/>
        <w:t>指受埃博拉病毒感染导致出血性发热。埃博拉病必须经国家机关认可的有</w:t>
      </w:r>
    </w:p>
    <w:p>
      <w:pPr>
        <w:pStyle w:val="BodyText"/>
        <w:spacing w:line="273" w:lineRule="auto" w:before="20"/>
        <w:ind w:left="3375" w:right="122"/>
      </w:pPr>
      <w:r>
        <w:rPr/>
        <w:t>合法资质的传染病专家确诊，并且埃博拉病毒的存在必须经过实验室检查证实。该病必须从症状开始后</w:t>
      </w:r>
      <w:r>
        <w:rPr>
          <w:rFonts w:ascii="Times New Roman" w:eastAsia="Times New Roman"/>
        </w:rPr>
        <w:t>30</w:t>
      </w:r>
      <w:r>
        <w:rPr/>
        <w:t>天后持续出现并发症。</w:t>
      </w:r>
    </w:p>
    <w:p>
      <w:pPr>
        <w:pStyle w:val="BodyText"/>
        <w:tabs>
          <w:tab w:pos="3375" w:val="left" w:leader="none"/>
        </w:tabs>
        <w:spacing w:line="279" w:lineRule="exact"/>
      </w:pPr>
      <w:r>
        <w:rPr>
          <w:rFonts w:ascii="Times New Roman" w:eastAsia="Times New Roman"/>
        </w:rPr>
        <w:t>46.</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w:t>
      </w:r>
      <w:r>
        <w:rPr>
          <w:spacing w:val="-3"/>
        </w:rPr>
        <w:t>除</w:t>
      </w:r>
      <w:r>
        <w:rPr/>
        <w:t>术</w:t>
      </w:r>
      <w:r>
        <w:rPr>
          <w:spacing w:val="-3"/>
        </w:rPr>
        <w:t>、</w:t>
      </w:r>
      <w:r>
        <w:rPr/>
        <w:t>病</w:t>
      </w:r>
    </w:p>
    <w:p>
      <w:pPr>
        <w:pStyle w:val="BodyText"/>
        <w:spacing w:before="22"/>
        <w:ind w:left="3375"/>
        <w:jc w:val="both"/>
      </w:pPr>
      <w:r>
        <w:rPr/>
        <w:t>灶切除术或胰腺部分切除术。</w:t>
      </w:r>
    </w:p>
    <w:p>
      <w:pPr>
        <w:spacing w:before="37"/>
        <w:ind w:left="3375" w:right="0" w:firstLine="0"/>
        <w:jc w:val="both"/>
        <w:rPr>
          <w:sz w:val="21"/>
        </w:rPr>
      </w:pPr>
      <w:r>
        <w:rPr>
          <w:b/>
          <w:sz w:val="21"/>
        </w:rPr>
        <w:t>为治疗因酒精中毒引起的急性坏死性胰腺炎的开腹手术不在保障范围内</w:t>
      </w:r>
      <w:r>
        <w:rPr>
          <w:sz w:val="21"/>
        </w:rPr>
        <w:t>。</w:t>
      </w:r>
    </w:p>
    <w:p>
      <w:pPr>
        <w:pStyle w:val="BodyText"/>
        <w:tabs>
          <w:tab w:pos="3375" w:val="left" w:leader="none"/>
        </w:tabs>
        <w:spacing w:before="37"/>
      </w:pPr>
      <w:r>
        <w:rPr>
          <w:rFonts w:ascii="Times New Roman" w:eastAsia="Times New Roman"/>
        </w:rPr>
        <w:t>47.</w:t>
      </w:r>
      <w:r>
        <w:rPr/>
        <w:t>系统</w:t>
      </w:r>
      <w:r>
        <w:rPr>
          <w:spacing w:val="-3"/>
        </w:rPr>
        <w:t>性</w:t>
      </w:r>
      <w:r>
        <w:rPr/>
        <w:t>硬</w:t>
      </w:r>
      <w:r>
        <w:rPr>
          <w:spacing w:val="-3"/>
        </w:rPr>
        <w:t>皮</w:t>
      </w:r>
      <w:r>
        <w:rPr/>
        <w:t>病</w:t>
        <w:tab/>
        <w:t>指一种以局限性或弥漫性皮肤增厚和皮肤、血管、内脏器官异常纤维化为</w:t>
      </w:r>
    </w:p>
    <w:p>
      <w:pPr>
        <w:pStyle w:val="BodyText"/>
        <w:spacing w:line="273" w:lineRule="auto" w:before="21"/>
        <w:ind w:left="3375" w:right="122"/>
      </w:pPr>
      <w:r>
        <w:rPr/>
        <w:t>特征的结缔组织病。本病须经专科医师明确诊断，并须满足下列至少一项条件：</w:t>
      </w:r>
    </w:p>
    <w:p>
      <w:pPr>
        <w:pStyle w:val="BodyText"/>
        <w:spacing w:before="7"/>
        <w:ind w:left="3375"/>
        <w:jc w:val="both"/>
      </w:pPr>
      <w:r>
        <w:rPr/>
        <w:t>（</w:t>
      </w:r>
      <w:r>
        <w:rPr>
          <w:rFonts w:ascii="Times New Roman" w:eastAsia="Times New Roman"/>
        </w:rPr>
        <w:t>1</w:t>
      </w:r>
      <w:r>
        <w:rPr/>
        <w:t>）肺脏：肺部病变进而发展为肺间质纤维化和肺动脉高压；</w:t>
      </w:r>
    </w:p>
    <w:p>
      <w:pPr>
        <w:pStyle w:val="BodyText"/>
        <w:spacing w:before="21"/>
        <w:ind w:left="3375"/>
        <w:jc w:val="both"/>
      </w:pPr>
      <w:r>
        <w:rPr/>
        <w:t>（</w:t>
      </w:r>
      <w:r>
        <w:rPr>
          <w:rFonts w:ascii="Times New Roman" w:eastAsia="Times New Roman"/>
        </w:rPr>
        <w:t>2</w:t>
      </w:r>
      <w:r>
        <w:rPr/>
        <w:t>）心脏：心功能受损达到美国纽约心脏病学会心功能状态分级</w:t>
      </w:r>
      <w:r>
        <w:rPr>
          <w:rFonts w:ascii="Times New Roman" w:eastAsia="Times New Roman"/>
        </w:rPr>
        <w:t>IV</w:t>
      </w:r>
      <w:r>
        <w:rPr/>
        <w:t>级；</w:t>
      </w:r>
    </w:p>
    <w:p>
      <w:pPr>
        <w:pStyle w:val="BodyText"/>
        <w:spacing w:before="21"/>
        <w:ind w:left="3375"/>
        <w:jc w:val="both"/>
      </w:pPr>
      <w:r>
        <w:rPr/>
        <w:t>（</w:t>
      </w:r>
      <w:r>
        <w:rPr>
          <w:rFonts w:ascii="Times New Roman" w:eastAsia="Times New Roman"/>
        </w:rPr>
        <w:t>3</w:t>
      </w:r>
      <w:r>
        <w:rPr/>
        <w:t>）肾脏：肾脏受损导致双肾功能慢性不可逆衰竭，达到尿毒症期。</w:t>
      </w:r>
    </w:p>
    <w:p>
      <w:pPr>
        <w:pStyle w:val="BodyText"/>
        <w:tabs>
          <w:tab w:pos="3375" w:val="left" w:leader="none"/>
        </w:tabs>
        <w:spacing w:before="21"/>
      </w:pPr>
      <w:r>
        <w:rPr>
          <w:rFonts w:ascii="Times New Roman" w:eastAsia="Times New Roman"/>
        </w:rPr>
        <w:t>48.</w:t>
      </w:r>
      <w:r>
        <w:rPr/>
        <w:t>原发</w:t>
      </w:r>
      <w:r>
        <w:rPr>
          <w:spacing w:val="-3"/>
        </w:rPr>
        <w:t>性</w:t>
      </w:r>
      <w:r>
        <w:rPr/>
        <w:t>硬</w:t>
      </w:r>
      <w:r>
        <w:rPr>
          <w:spacing w:val="-3"/>
        </w:rPr>
        <w:t>化</w:t>
      </w:r>
      <w:r>
        <w:rPr/>
        <w:t>性</w:t>
      </w:r>
      <w:r>
        <w:rPr>
          <w:spacing w:val="-3"/>
        </w:rPr>
        <w:t>胆</w:t>
      </w:r>
      <w:r>
        <w:rPr/>
        <w:t>管炎</w:t>
        <w:tab/>
        <w:t>指一种胆汁淤积综合征，其特征是肝内、肝外胆道因纤维化性炎症逐渐狭</w:t>
      </w:r>
    </w:p>
    <w:p>
      <w:pPr>
        <w:pStyle w:val="BodyText"/>
        <w:spacing w:line="273" w:lineRule="auto" w:before="22"/>
        <w:ind w:left="3375" w:right="119"/>
      </w:pPr>
      <w:r>
        <w:rPr/>
        <w:t>窄，并最终导致完全阻塞而发展为肝硬化。本病须经内镜逆行胰胆管造影等影像学检查证实，并须满足下列全部条件：</w:t>
      </w:r>
    </w:p>
    <w:p>
      <w:pPr>
        <w:pStyle w:val="BodyText"/>
        <w:spacing w:before="8"/>
        <w:ind w:left="3375"/>
        <w:jc w:val="both"/>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1"/>
        <w:ind w:left="3375"/>
        <w:jc w:val="both"/>
      </w:pPr>
      <w:r>
        <w:rPr/>
        <w:t>（</w:t>
      </w:r>
      <w:r>
        <w:rPr>
          <w:rFonts w:ascii="Times New Roman" w:eastAsia="Times New Roman"/>
        </w:rPr>
        <w:t>2</w:t>
      </w:r>
      <w:r>
        <w:rPr/>
        <w:t>）持续性黄疸病史；</w:t>
      </w:r>
    </w:p>
    <w:p>
      <w:pPr>
        <w:pStyle w:val="BodyText"/>
        <w:spacing w:before="21"/>
        <w:ind w:left="3375"/>
        <w:jc w:val="both"/>
      </w:pPr>
      <w:r>
        <w:rPr/>
        <w:t>（</w:t>
      </w:r>
      <w:r>
        <w:rPr>
          <w:rFonts w:ascii="Times New Roman" w:eastAsia="Times New Roman"/>
        </w:rPr>
        <w:t>3</w:t>
      </w:r>
      <w:r>
        <w:rPr/>
        <w:t>）出现胆汁性肝硬化或门脉高压。</w:t>
      </w:r>
    </w:p>
    <w:p>
      <w:pPr>
        <w:spacing w:before="21"/>
        <w:ind w:left="3375" w:right="0" w:firstLine="0"/>
        <w:jc w:val="both"/>
        <w:rPr>
          <w:b/>
          <w:sz w:val="21"/>
        </w:rPr>
      </w:pPr>
      <w:r>
        <w:rPr>
          <w:b/>
          <w:sz w:val="21"/>
        </w:rPr>
        <w:t>因肿瘤或胆管损伤等继发性的硬化性胆管炎不在保障范围内。</w:t>
      </w:r>
    </w:p>
    <w:p>
      <w:pPr>
        <w:pStyle w:val="BodyText"/>
        <w:tabs>
          <w:tab w:pos="3375" w:val="left" w:leader="none"/>
        </w:tabs>
        <w:spacing w:before="37"/>
      </w:pPr>
      <w:r>
        <w:rPr>
          <w:rFonts w:ascii="Times New Roman" w:eastAsia="Times New Roman"/>
        </w:rPr>
        <w:t>49.</w:t>
      </w:r>
      <w:r>
        <w:rPr/>
        <w:t>经输</w:t>
      </w:r>
      <w:r>
        <w:rPr>
          <w:spacing w:val="-3"/>
        </w:rPr>
        <w:t>血</w:t>
      </w:r>
      <w:r>
        <w:rPr/>
        <w:t>导</w:t>
      </w:r>
      <w:r>
        <w:rPr>
          <w:spacing w:val="-3"/>
        </w:rPr>
        <w:t>致</w:t>
      </w:r>
      <w:r>
        <w:rPr/>
        <w:t>的</w:t>
      </w:r>
      <w:r>
        <w:rPr>
          <w:spacing w:val="-54"/>
        </w:rPr>
        <w:t> </w:t>
      </w:r>
      <w:r>
        <w:rPr>
          <w:rFonts w:ascii="Times New Roman" w:eastAsia="Times New Roman"/>
        </w:rPr>
        <w:t>HIV</w:t>
      </w:r>
      <w:r>
        <w:rPr>
          <w:rFonts w:ascii="Times New Roman" w:eastAsia="Times New Roman"/>
          <w:spacing w:val="1"/>
        </w:rPr>
        <w:t> </w:t>
      </w:r>
      <w:r>
        <w:rPr>
          <w:spacing w:val="-3"/>
        </w:rPr>
        <w:t>感</w:t>
      </w:r>
      <w:r>
        <w:rPr/>
        <w:t>染</w:t>
        <w:tab/>
      </w:r>
      <w:r>
        <w:rPr>
          <w:spacing w:val="-1"/>
        </w:rPr>
        <w:t>指被</w:t>
      </w:r>
      <w:r>
        <w:rPr>
          <w:spacing w:val="-3"/>
        </w:rPr>
        <w:t>保</w:t>
      </w:r>
      <w:r>
        <w:rPr>
          <w:spacing w:val="-1"/>
        </w:rPr>
        <w:t>险</w:t>
      </w:r>
      <w:r>
        <w:rPr>
          <w:spacing w:val="-3"/>
        </w:rPr>
        <w:t>人</w:t>
      </w:r>
      <w:r>
        <w:rPr>
          <w:spacing w:val="-1"/>
        </w:rPr>
        <w:t>感</w:t>
      </w:r>
      <w:r>
        <w:rPr>
          <w:spacing w:val="-3"/>
        </w:rPr>
        <w:t>染</w:t>
      </w:r>
      <w:r>
        <w:rPr>
          <w:spacing w:val="-1"/>
        </w:rPr>
        <w:t>上</w:t>
      </w:r>
      <w:r>
        <w:rPr>
          <w:spacing w:val="-3"/>
        </w:rPr>
        <w:t>人</w:t>
      </w:r>
      <w:r>
        <w:rPr>
          <w:spacing w:val="-1"/>
        </w:rPr>
        <w:t>类</w:t>
      </w:r>
      <w:r>
        <w:rPr>
          <w:spacing w:val="-3"/>
        </w:rPr>
        <w:t>免</w:t>
      </w:r>
      <w:r>
        <w:rPr/>
        <w:t>疫缺</w:t>
      </w:r>
      <w:r>
        <w:rPr>
          <w:spacing w:val="-3"/>
        </w:rPr>
        <w:t>陷</w:t>
      </w:r>
      <w:r>
        <w:rPr/>
        <w:t>病</w:t>
      </w:r>
      <w:r>
        <w:rPr>
          <w:spacing w:val="-3"/>
        </w:rPr>
        <w:t>毒</w:t>
      </w:r>
      <w:r>
        <w:rPr/>
        <w:t>（</w:t>
      </w:r>
      <w:r>
        <w:rPr>
          <w:rFonts w:ascii="Times New Roman" w:eastAsia="Times New Roman"/>
        </w:rPr>
        <w:t>HIV</w:t>
      </w:r>
      <w:r>
        <w:rPr/>
        <w:t>）</w:t>
      </w:r>
      <w:r>
        <w:rPr>
          <w:spacing w:val="-3"/>
        </w:rPr>
        <w:t>并且</w:t>
      </w:r>
      <w:r>
        <w:rPr/>
        <w:t>满足</w:t>
      </w:r>
      <w:r>
        <w:rPr>
          <w:spacing w:val="-3"/>
        </w:rPr>
        <w:t>下</w:t>
      </w:r>
      <w:r>
        <w:rPr/>
        <w:t>列</w:t>
      </w:r>
      <w:r>
        <w:rPr>
          <w:spacing w:val="-3"/>
        </w:rPr>
        <w:t>全</w:t>
      </w:r>
      <w:r>
        <w:rPr/>
        <w:t>部</w:t>
      </w:r>
      <w:r>
        <w:rPr>
          <w:spacing w:val="-3"/>
        </w:rPr>
        <w:t>条</w:t>
      </w:r>
      <w:r>
        <w:rPr/>
        <w:t>件：</w:t>
      </w:r>
    </w:p>
    <w:p>
      <w:pPr>
        <w:pStyle w:val="BodyText"/>
        <w:spacing w:before="21"/>
        <w:ind w:left="3375"/>
        <w:jc w:val="both"/>
      </w:pPr>
      <w:r>
        <w:rPr/>
        <w:t>（</w:t>
      </w:r>
      <w:r>
        <w:rPr>
          <w:rFonts w:ascii="Times New Roman" w:eastAsia="Times New Roman"/>
        </w:rPr>
        <w:t>1</w:t>
      </w:r>
      <w:r>
        <w:rPr/>
        <w:t>）被保险人等待期后因输血而感染</w:t>
      </w:r>
      <w:r>
        <w:rPr>
          <w:rFonts w:ascii="Times New Roman" w:eastAsia="Times New Roman"/>
        </w:rPr>
        <w:t>HIV</w:t>
      </w:r>
      <w:r>
        <w:rPr/>
        <w:t>；</w:t>
      </w:r>
    </w:p>
    <w:p>
      <w:pPr>
        <w:pStyle w:val="BodyText"/>
        <w:spacing w:line="256" w:lineRule="auto" w:before="21"/>
        <w:ind w:left="3375" w:right="71"/>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3375"/>
      </w:pPr>
      <w:r>
        <w:rPr/>
        <w:t>（</w:t>
      </w:r>
      <w:r>
        <w:rPr>
          <w:rFonts w:ascii="Times New Roman" w:eastAsia="Times New Roman"/>
        </w:rPr>
        <w:t>3</w:t>
      </w:r>
      <w:r>
        <w:rPr/>
        <w:t>）受感染的被保险人不是血友病患者。</w:t>
      </w:r>
    </w:p>
    <w:p>
      <w:pPr>
        <w:spacing w:line="264" w:lineRule="auto" w:before="21"/>
        <w:ind w:left="3375" w:right="114" w:firstLine="0"/>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BodyText"/>
        <w:spacing w:line="256" w:lineRule="auto" w:before="16"/>
        <w:ind w:left="3375" w:right="116"/>
      </w:pPr>
      <w:r>
        <w:rPr/>
        <w:t>我们承担本项疾病责任不受本合同第八条</w:t>
      </w:r>
      <w:r>
        <w:rPr>
          <w:rFonts w:ascii="Times New Roman" w:hAnsi="Times New Roman" w:eastAsia="Times New Roman"/>
        </w:rPr>
        <w:t>“</w:t>
      </w:r>
      <w:r>
        <w:rPr/>
        <w:t>责任免除</w:t>
      </w:r>
      <w:r>
        <w:rPr>
          <w:rFonts w:ascii="Times New Roman" w:hAnsi="Times New Roman" w:eastAsia="Times New Roman"/>
        </w:rPr>
        <w:t>”</w:t>
      </w:r>
      <w:r>
        <w:rPr/>
        <w:t>中</w:t>
      </w:r>
      <w:r>
        <w:rPr>
          <w:rFonts w:ascii="Times New Roman" w:hAnsi="Times New Roman" w:eastAsia="Times New Roman"/>
        </w:rPr>
        <w:t>“</w:t>
      </w:r>
      <w:r>
        <w:rPr/>
        <w:t>被保险人感染艾滋病病毒或患艾滋病</w:t>
      </w:r>
      <w:r>
        <w:rPr>
          <w:rFonts w:ascii="Times New Roman" w:hAnsi="Times New Roman" w:eastAsia="Times New Roman"/>
        </w:rPr>
        <w:t>”</w:t>
      </w:r>
      <w:r>
        <w:rPr/>
        <w:t>的限制。</w:t>
      </w:r>
    </w:p>
    <w:p>
      <w:pPr>
        <w:pStyle w:val="BodyText"/>
        <w:tabs>
          <w:tab w:pos="3375" w:val="left" w:leader="none"/>
        </w:tabs>
        <w:spacing w:line="266" w:lineRule="auto" w:before="5"/>
        <w:ind w:left="3375" w:right="122" w:hanging="3258"/>
        <w:rPr>
          <w:b/>
        </w:rPr>
      </w:pPr>
      <w:r>
        <w:rPr>
          <w:rFonts w:ascii="Times New Roman" w:eastAsia="Times New Roman"/>
        </w:rPr>
        <w:t>50.</w:t>
      </w:r>
      <w:r>
        <w:rPr/>
        <w:t>疯牛病</w:t>
        <w:tab/>
        <w:t>一种由动物传染而来的中枢神经系统变性性疾病，大脑呈海绵状改变伴神 经元缺失和胶质化。临床表现为进行性痴呆、不随意运动及抽搐、行动困难等</w:t>
      </w:r>
      <w:r>
        <w:rPr>
          <w:spacing w:val="-3"/>
        </w:rPr>
        <w:t>等</w:t>
      </w:r>
      <w:r>
        <w:rPr/>
        <w:t>。</w:t>
      </w:r>
      <w:r>
        <w:rPr>
          <w:spacing w:val="-3"/>
        </w:rPr>
        <w:t>疯</w:t>
      </w:r>
      <w:r>
        <w:rPr/>
        <w:t>牛</w:t>
      </w:r>
      <w:r>
        <w:rPr>
          <w:spacing w:val="-3"/>
        </w:rPr>
        <w:t>病</w:t>
      </w:r>
      <w:r>
        <w:rPr/>
        <w:t>必</w:t>
      </w:r>
      <w:r>
        <w:rPr>
          <w:spacing w:val="-3"/>
        </w:rPr>
        <w:t>须</w:t>
      </w:r>
      <w:r>
        <w:rPr/>
        <w:t>由</w:t>
      </w:r>
      <w:r>
        <w:rPr>
          <w:spacing w:val="-3"/>
        </w:rPr>
        <w:t>权</w:t>
      </w:r>
      <w:r>
        <w:rPr/>
        <w:t>威医</w:t>
      </w:r>
      <w:r>
        <w:rPr>
          <w:spacing w:val="-3"/>
        </w:rPr>
        <w:t>疗</w:t>
      </w:r>
      <w:r>
        <w:rPr/>
        <w:t>机</w:t>
      </w:r>
      <w:r>
        <w:rPr>
          <w:spacing w:val="-3"/>
        </w:rPr>
        <w:t>构</w:t>
      </w:r>
      <w:r>
        <w:rPr/>
        <w:t>根</w:t>
      </w:r>
      <w:r>
        <w:rPr>
          <w:spacing w:val="-3"/>
        </w:rPr>
        <w:t>据</w:t>
      </w:r>
      <w:r>
        <w:rPr/>
        <w:t>致</w:t>
      </w:r>
      <w:r>
        <w:rPr>
          <w:spacing w:val="-3"/>
        </w:rPr>
        <w:t>病</w:t>
      </w:r>
      <w:r>
        <w:rPr/>
        <w:t>蛋</w:t>
      </w:r>
      <w:r>
        <w:rPr>
          <w:spacing w:val="-3"/>
        </w:rPr>
        <w:t>白</w:t>
      </w:r>
      <w:r>
        <w:rPr/>
        <w:t>的发</w:t>
      </w:r>
      <w:r>
        <w:rPr>
          <w:spacing w:val="-3"/>
        </w:rPr>
        <w:t>现</w:t>
      </w:r>
      <w:r>
        <w:rPr/>
        <w:t>而</w:t>
      </w:r>
      <w:r>
        <w:rPr>
          <w:spacing w:val="-3"/>
        </w:rPr>
        <w:t>明</w:t>
      </w:r>
      <w:r>
        <w:rPr/>
        <w:t>确</w:t>
      </w:r>
      <w:r>
        <w:rPr>
          <w:spacing w:val="-3"/>
        </w:rPr>
        <w:t>诊</w:t>
      </w:r>
      <w:r>
        <w:rPr/>
        <w:t>断。  </w:t>
      </w:r>
      <w:r>
        <w:rPr>
          <w:b/>
        </w:rPr>
        <w:t>疑似诊断不作为理</w:t>
      </w:r>
      <w:r>
        <w:rPr>
          <w:b/>
          <w:spacing w:val="-3"/>
        </w:rPr>
        <w:t>赔</w:t>
      </w:r>
      <w:r>
        <w:rPr>
          <w:b/>
        </w:rPr>
        <w:t>依</w:t>
      </w:r>
      <w:r>
        <w:rPr>
          <w:b/>
          <w:spacing w:val="-3"/>
        </w:rPr>
        <w:t>据</w:t>
      </w:r>
      <w:r>
        <w:rPr>
          <w:b/>
        </w:rPr>
        <w:t>。</w:t>
      </w:r>
    </w:p>
    <w:p>
      <w:pPr>
        <w:pStyle w:val="BodyText"/>
        <w:tabs>
          <w:tab w:pos="3375" w:val="left" w:leader="none"/>
        </w:tabs>
        <w:spacing w:before="14"/>
      </w:pPr>
      <w:r>
        <w:rPr>
          <w:rFonts w:ascii="Times New Roman" w:eastAsia="Times New Roman"/>
        </w:rPr>
        <w:t>51.</w:t>
      </w:r>
      <w:r>
        <w:rPr/>
        <w:t>慢性</w:t>
      </w:r>
      <w:r>
        <w:rPr>
          <w:spacing w:val="-3"/>
        </w:rPr>
        <w:t>复</w:t>
      </w:r>
      <w:r>
        <w:rPr/>
        <w:t>发</w:t>
      </w:r>
      <w:r>
        <w:rPr>
          <w:spacing w:val="-3"/>
        </w:rPr>
        <w:t>性</w:t>
      </w:r>
      <w:r>
        <w:rPr/>
        <w:t>胰</w:t>
      </w:r>
      <w:r>
        <w:rPr>
          <w:spacing w:val="-3"/>
        </w:rPr>
        <w:t>腺</w:t>
      </w:r>
      <w:r>
        <w:rPr/>
        <w:t>炎</w:t>
        <w:tab/>
        <w:t>指有腹痛等典型症状的胰腺炎反复发作，导致胰腺进行性破坏，并导致胰</w:t>
      </w:r>
    </w:p>
    <w:p>
      <w:pPr>
        <w:spacing w:after="0"/>
        <w:sectPr>
          <w:pgSz w:w="11910" w:h="16160"/>
          <w:pgMar w:header="0" w:footer="631" w:top="1340" w:bottom="900" w:left="960" w:right="640"/>
        </w:sectPr>
      </w:pPr>
    </w:p>
    <w:p>
      <w:pPr>
        <w:pStyle w:val="BodyText"/>
        <w:spacing w:line="256" w:lineRule="auto" w:before="27"/>
        <w:ind w:left="3375" w:right="117"/>
        <w:jc w:val="both"/>
      </w:pPr>
      <w:r>
        <w:rPr/>
        <w:t>腺功能紊乱而导致严重糖尿病以及营养不良、恶液质。断层扫描（</w:t>
      </w:r>
      <w:r>
        <w:rPr>
          <w:rFonts w:ascii="Times New Roman" w:eastAsia="Times New Roman"/>
        </w:rPr>
        <w:t>CT</w:t>
      </w:r>
      <w:r>
        <w:rPr/>
        <w:t>）证实胰腺存在广泛钙化，且必须接受酶替代以及胰岛素替代治疗</w:t>
      </w:r>
      <w:r>
        <w:rPr>
          <w:rFonts w:ascii="Times New Roman" w:eastAsia="Times New Roman"/>
        </w:rPr>
        <w:t>6</w:t>
      </w:r>
      <w:r>
        <w:rPr/>
        <w:t>个月以上。诊断必须由消化科专科医生确诊。</w:t>
      </w:r>
    </w:p>
    <w:p>
      <w:pPr>
        <w:spacing w:before="22"/>
        <w:ind w:left="3375" w:right="0" w:firstLine="0"/>
        <w:jc w:val="left"/>
        <w:rPr>
          <w:b/>
          <w:sz w:val="21"/>
        </w:rPr>
      </w:pPr>
      <w:r>
        <w:rPr>
          <w:b/>
          <w:sz w:val="21"/>
        </w:rPr>
        <w:t>酒精导致的慢性复发性胰腺炎不在保障范围内。</w:t>
      </w:r>
    </w:p>
    <w:p>
      <w:pPr>
        <w:pStyle w:val="BodyText"/>
        <w:tabs>
          <w:tab w:pos="3375" w:val="left" w:leader="none"/>
        </w:tabs>
        <w:spacing w:before="37"/>
      </w:pPr>
      <w:r>
        <w:rPr>
          <w:rFonts w:ascii="Times New Roman" w:eastAsia="Times New Roman"/>
        </w:rPr>
        <w:t>52.</w:t>
      </w:r>
      <w:r>
        <w:rPr/>
        <w:t>丝虫</w:t>
      </w:r>
      <w:r>
        <w:rPr>
          <w:spacing w:val="-3"/>
        </w:rPr>
        <w:t>病</w:t>
      </w:r>
      <w:r>
        <w:rPr/>
        <w:t>所</w:t>
      </w:r>
      <w:r>
        <w:rPr>
          <w:spacing w:val="-3"/>
        </w:rPr>
        <w:t>致</w:t>
      </w:r>
      <w:r>
        <w:rPr/>
        <w:t>象</w:t>
      </w:r>
      <w:r>
        <w:rPr>
          <w:spacing w:val="-3"/>
        </w:rPr>
        <w:t>皮</w:t>
      </w:r>
      <w:r>
        <w:rPr/>
        <w:t>肿</w:t>
        <w:tab/>
        <w:t>指因丝虫感染导致淋巴阻塞性出现严重淋巴水肿，达到国际淋巴学会淋巴</w:t>
      </w:r>
    </w:p>
    <w:p>
      <w:pPr>
        <w:pStyle w:val="BodyText"/>
        <w:spacing w:line="256" w:lineRule="auto" w:before="21"/>
        <w:ind w:left="3375" w:right="134"/>
      </w:pPr>
      <w:r>
        <w:rPr>
          <w:spacing w:val="-9"/>
        </w:rPr>
        <w:t>水肿分期第 </w:t>
      </w:r>
      <w:r>
        <w:rPr>
          <w:rFonts w:ascii="Times New Roman" w:eastAsia="Times New Roman"/>
        </w:rPr>
        <w:t>III </w:t>
      </w:r>
      <w:r>
        <w:rPr>
          <w:spacing w:val="-7"/>
        </w:rPr>
        <w:t>期，临床表现为肢体象皮肿，患肢较健肢增粗 </w:t>
      </w:r>
      <w:r>
        <w:rPr>
          <w:rFonts w:ascii="Times New Roman" w:eastAsia="Times New Roman"/>
        </w:rPr>
        <w:t>30%</w:t>
      </w:r>
      <w:r>
        <w:rPr>
          <w:spacing w:val="-5"/>
        </w:rPr>
        <w:t>以上，日</w:t>
      </w:r>
      <w:r>
        <w:rPr>
          <w:spacing w:val="-3"/>
        </w:rPr>
        <w:t>常生活不能自理。</w:t>
      </w:r>
    </w:p>
    <w:p>
      <w:pPr>
        <w:pStyle w:val="BodyText"/>
        <w:tabs>
          <w:tab w:pos="3375" w:val="left" w:leader="none"/>
        </w:tabs>
        <w:spacing w:before="22"/>
      </w:pPr>
      <w:r>
        <w:rPr>
          <w:rFonts w:ascii="Times New Roman" w:eastAsia="Times New Roman"/>
        </w:rPr>
        <w:t>53.</w:t>
      </w:r>
      <w:r>
        <w:rPr/>
        <w:t>肺源</w:t>
      </w:r>
      <w:r>
        <w:rPr>
          <w:spacing w:val="-3"/>
        </w:rPr>
        <w:t>性</w:t>
      </w:r>
      <w:r>
        <w:rPr/>
        <w:t>心</w:t>
      </w:r>
      <w:r>
        <w:rPr>
          <w:spacing w:val="-3"/>
        </w:rPr>
        <w:t>脏</w:t>
      </w:r>
      <w:r>
        <w:rPr/>
        <w:t>病</w:t>
        <w:tab/>
        <w:t>指由于各种胸肺及支气管病变而继发的肺动脉高压，最后导致以右室肥大</w:t>
      </w:r>
    </w:p>
    <w:p>
      <w:pPr>
        <w:pStyle w:val="BodyText"/>
        <w:spacing w:before="21"/>
        <w:ind w:left="3375"/>
      </w:pPr>
      <w:r>
        <w:rPr/>
        <w:t>为特征的心脏病。须经呼吸专科医生确诊，且必须同时满足如下诊断标准</w:t>
      </w:r>
    </w:p>
    <w:p>
      <w:pPr>
        <w:pStyle w:val="BodyText"/>
        <w:spacing w:before="37"/>
        <w:ind w:left="3375"/>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1"/>
        <w:ind w:left="3375"/>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spacing w:before="21"/>
        <w:ind w:left="3375"/>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1"/>
        <w:ind w:left="3375"/>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before="20"/>
        <w:ind w:left="3375"/>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before="20"/>
        <w:ind w:left="3375"/>
      </w:pPr>
      <w:r>
        <w:rPr/>
        <w:t>（</w:t>
      </w:r>
      <w:r>
        <w:rPr>
          <w:rFonts w:ascii="Times New Roman" w:eastAsia="Times New Roman"/>
        </w:rPr>
        <w:t>6</w:t>
      </w:r>
      <w:r>
        <w:rPr/>
        <w:t>）右心室过度肥大、扩张，出现右心衰竭和呼吸困难。</w:t>
      </w:r>
    </w:p>
    <w:p>
      <w:pPr>
        <w:pStyle w:val="BodyText"/>
        <w:tabs>
          <w:tab w:pos="3375" w:val="left" w:leader="none"/>
        </w:tabs>
        <w:spacing w:line="256" w:lineRule="auto" w:before="20"/>
        <w:ind w:left="3375" w:right="140" w:hanging="3258"/>
      </w:pPr>
      <w:r>
        <w:rPr>
          <w:rFonts w:ascii="Times New Roman" w:eastAsia="Times New Roman"/>
        </w:rPr>
        <w:t>54.</w:t>
      </w:r>
      <w:r>
        <w:rPr/>
        <w:t>严重</w:t>
      </w:r>
      <w:r>
        <w:rPr>
          <w:spacing w:val="-3"/>
        </w:rPr>
        <w:t>肌</w:t>
      </w:r>
      <w:r>
        <w:rPr/>
        <w:t>营</w:t>
      </w:r>
      <w:r>
        <w:rPr>
          <w:spacing w:val="-3"/>
        </w:rPr>
        <w:t>养</w:t>
      </w:r>
      <w:r>
        <w:rPr/>
        <w:t>不</w:t>
      </w:r>
      <w:r>
        <w:rPr>
          <w:spacing w:val="-3"/>
        </w:rPr>
        <w:t>良</w:t>
      </w:r>
      <w:r>
        <w:rPr/>
        <w:t>症</w:t>
        <w:tab/>
        <w:t>指一组原发于肌肉的遗传性疾病，临床表现为与神经系统无关的肌肉无力 和肌</w:t>
      </w:r>
      <w:r>
        <w:rPr>
          <w:spacing w:val="-3"/>
        </w:rPr>
        <w:t>肉</w:t>
      </w:r>
      <w:r>
        <w:rPr/>
        <w:t>萎</w:t>
      </w:r>
      <w:r>
        <w:rPr>
          <w:spacing w:val="-3"/>
        </w:rPr>
        <w:t>缩</w:t>
      </w:r>
      <w:r>
        <w:rPr/>
        <w:t>。</w:t>
      </w:r>
      <w:r>
        <w:rPr>
          <w:spacing w:val="-3"/>
        </w:rPr>
        <w:t>且</w:t>
      </w:r>
      <w:r>
        <w:rPr/>
        <w:t>须</w:t>
      </w:r>
      <w:r>
        <w:rPr>
          <w:spacing w:val="-3"/>
        </w:rPr>
        <w:t>满</w:t>
      </w:r>
      <w:r>
        <w:rPr/>
        <w:t>足</w:t>
      </w:r>
      <w:r>
        <w:rPr>
          <w:spacing w:val="-3"/>
        </w:rPr>
        <w:t>下</w:t>
      </w:r>
      <w:r>
        <w:rPr/>
        <w:t>列全</w:t>
      </w:r>
      <w:r>
        <w:rPr>
          <w:spacing w:val="-3"/>
        </w:rPr>
        <w:t>部</w:t>
      </w:r>
      <w:r>
        <w:rPr/>
        <w:t>条</w:t>
      </w:r>
      <w:r>
        <w:rPr>
          <w:spacing w:val="-3"/>
        </w:rPr>
        <w:t>件</w:t>
      </w:r>
      <w:r>
        <w:rPr/>
        <w:t>：</w:t>
      </w:r>
    </w:p>
    <w:p>
      <w:pPr>
        <w:pStyle w:val="BodyText"/>
        <w:spacing w:line="256" w:lineRule="auto" w:before="21"/>
        <w:ind w:left="3375" w:right="92"/>
      </w:pPr>
      <w:r>
        <w:rPr/>
        <w:t>（</w:t>
      </w:r>
      <w:r>
        <w:rPr>
          <w:rFonts w:ascii="Times New Roman" w:eastAsia="Times New Roman"/>
        </w:rPr>
        <w:t>1</w:t>
      </w:r>
      <w:r>
        <w:rPr/>
        <w:t>）肌肉组织活检结果满足肌营养不良症的肌肉细胞变性、坏死等阳性改变；</w:t>
      </w:r>
    </w:p>
    <w:p>
      <w:pPr>
        <w:pStyle w:val="BodyText"/>
        <w:spacing w:line="256" w:lineRule="auto" w:before="21"/>
        <w:ind w:left="3375" w:right="92"/>
      </w:pPr>
      <w:r>
        <w:rPr/>
        <w:t>（</w:t>
      </w:r>
      <w:r>
        <w:rPr>
          <w:rFonts w:ascii="Times New Roman" w:eastAsia="Times New Roman"/>
        </w:rPr>
        <w:t>2</w:t>
      </w:r>
      <w:r>
        <w:rPr/>
        <w:t>）自主生活能力完全丧失，无法独立完成六项基本日常生活活动中的三项或三项以上。</w:t>
      </w:r>
    </w:p>
    <w:p>
      <w:pPr>
        <w:pStyle w:val="BodyText"/>
        <w:spacing w:line="256" w:lineRule="auto" w:before="21"/>
        <w:ind w:left="3375" w:right="136"/>
      </w:pPr>
      <w:r>
        <w:rPr/>
        <w:t>我们承担本项疾病责任不受本合同第八条</w:t>
      </w:r>
      <w:r>
        <w:rPr>
          <w:rFonts w:ascii="Times New Roman" w:hAnsi="Times New Roman" w:eastAsia="Times New Roman"/>
        </w:rPr>
        <w:t>“</w:t>
      </w:r>
      <w:r>
        <w:rPr/>
        <w:t>责任免除</w:t>
      </w:r>
      <w:r>
        <w:rPr>
          <w:rFonts w:ascii="Times New Roman" w:hAnsi="Times New Roman" w:eastAsia="Times New Roman"/>
        </w:rPr>
        <w:t>”</w:t>
      </w:r>
      <w:r>
        <w:rPr/>
        <w:t>中</w:t>
      </w:r>
      <w:r>
        <w:rPr>
          <w:rFonts w:ascii="Times New Roman" w:hAnsi="Times New Roman" w:eastAsia="Times New Roman"/>
        </w:rPr>
        <w:t>“</w:t>
      </w:r>
      <w:r>
        <w:rPr/>
        <w:t>遗传性疾病，先天性畸形、变形或染色体异常</w:t>
      </w:r>
      <w:r>
        <w:rPr>
          <w:rFonts w:ascii="Times New Roman" w:hAnsi="Times New Roman" w:eastAsia="Times New Roman"/>
        </w:rPr>
        <w:t>”</w:t>
      </w:r>
      <w:r>
        <w:rPr/>
        <w:t>的限制。</w:t>
      </w:r>
    </w:p>
    <w:p>
      <w:pPr>
        <w:tabs>
          <w:tab w:pos="3375" w:val="left" w:leader="none"/>
        </w:tabs>
        <w:spacing w:before="4"/>
        <w:ind w:left="117" w:right="0" w:firstLine="0"/>
        <w:jc w:val="left"/>
        <w:rPr>
          <w:b/>
          <w:sz w:val="21"/>
        </w:rPr>
      </w:pPr>
      <w:r>
        <w:rPr>
          <w:rFonts w:ascii="Times New Roman" w:eastAsia="Times New Roman"/>
          <w:sz w:val="21"/>
        </w:rPr>
        <w:t>55.</w:t>
      </w:r>
      <w:r>
        <w:rPr>
          <w:sz w:val="21"/>
        </w:rPr>
        <w:t>严重</w:t>
      </w:r>
      <w:r>
        <w:rPr>
          <w:spacing w:val="-3"/>
          <w:sz w:val="21"/>
        </w:rPr>
        <w:t>川</w:t>
      </w:r>
      <w:r>
        <w:rPr>
          <w:sz w:val="21"/>
        </w:rPr>
        <w:t>崎病</w:t>
        <w:tab/>
        <w:t>为一种病因不明的系统性血管炎。</w:t>
      </w:r>
      <w:r>
        <w:rPr>
          <w:b/>
          <w:sz w:val="21"/>
        </w:rPr>
        <w:t>本合同仅对诊断性检查证实川崎病并发</w:t>
      </w:r>
    </w:p>
    <w:p>
      <w:pPr>
        <w:spacing w:before="20"/>
        <w:ind w:left="3375" w:right="0" w:firstLine="0"/>
        <w:jc w:val="left"/>
        <w:rPr>
          <w:b/>
          <w:sz w:val="21"/>
        </w:rPr>
      </w:pPr>
      <w:r>
        <w:rPr>
          <w:b/>
          <w:sz w:val="21"/>
        </w:rPr>
        <w:t>动脉瘤或其他心血管异常并且实际接受了手术治疗的情况予以理赔。</w:t>
      </w:r>
    </w:p>
    <w:p>
      <w:pPr>
        <w:pStyle w:val="BodyText"/>
        <w:tabs>
          <w:tab w:pos="3375" w:val="left" w:leader="none"/>
        </w:tabs>
        <w:spacing w:before="36"/>
      </w:pPr>
      <w:r>
        <w:rPr>
          <w:rFonts w:ascii="Times New Roman" w:eastAsia="Times New Roman"/>
        </w:rPr>
        <w:t>56.</w:t>
      </w:r>
      <w:r>
        <w:rPr/>
        <w:t>肝豆</w:t>
      </w:r>
      <w:r>
        <w:rPr>
          <w:spacing w:val="-3"/>
        </w:rPr>
        <w:t>状</w:t>
      </w:r>
      <w:r>
        <w:rPr/>
        <w:t>核</w:t>
      </w:r>
      <w:r>
        <w:rPr>
          <w:spacing w:val="-3"/>
        </w:rPr>
        <w:t>变</w:t>
      </w:r>
      <w:r>
        <w:rPr/>
        <w:t>性</w:t>
        <w:tab/>
        <w:t>指一种常染色体隐性遗传的铜代谢缺陷病，以不同程度的肝细胞损害、脑</w:t>
      </w:r>
    </w:p>
    <w:p>
      <w:pPr>
        <w:pStyle w:val="BodyText"/>
        <w:spacing w:line="273" w:lineRule="auto" w:before="20"/>
        <w:ind w:left="3375" w:right="142"/>
      </w:pPr>
      <w:r>
        <w:rPr/>
        <w:t>退行性病变和角膜边缘有铜盐沉着环为其临床特征，并须满足下列全部条件：</w:t>
      </w:r>
    </w:p>
    <w:p>
      <w:pPr>
        <w:pStyle w:val="BodyText"/>
        <w:spacing w:before="7"/>
        <w:ind w:left="3375"/>
      </w:pPr>
      <w:r>
        <w:rPr/>
        <w:t>（</w:t>
      </w:r>
      <w:r>
        <w:rPr>
          <w:rFonts w:ascii="Times New Roman" w:eastAsia="Times New Roman"/>
        </w:rPr>
        <w:t>1</w:t>
      </w:r>
      <w:r>
        <w:rPr/>
        <w:t>）典型症状；</w:t>
      </w:r>
    </w:p>
    <w:p>
      <w:pPr>
        <w:pStyle w:val="BodyText"/>
        <w:spacing w:before="21"/>
        <w:ind w:left="3375"/>
      </w:pPr>
      <w:r>
        <w:rPr>
          <w:w w:val="100"/>
        </w:rPr>
        <w:t>（</w:t>
      </w:r>
      <w:r>
        <w:rPr>
          <w:rFonts w:ascii="Times New Roman" w:eastAsia="Times New Roman"/>
          <w:w w:val="100"/>
        </w:rPr>
        <w:t>2</w:t>
      </w:r>
      <w:r>
        <w:rPr>
          <w:spacing w:val="-3"/>
          <w:w w:val="100"/>
        </w:rPr>
        <w:t>）角膜色素环</w:t>
      </w:r>
      <w:r>
        <w:rPr>
          <w:spacing w:val="-1"/>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before="21"/>
        <w:ind w:left="3375"/>
      </w:pPr>
      <w:r>
        <w:rPr/>
        <w:t>（</w:t>
      </w:r>
      <w:r>
        <w:rPr>
          <w:rFonts w:ascii="Times New Roman" w:eastAsia="Times New Roman"/>
        </w:rPr>
        <w:t>3</w:t>
      </w:r>
      <w:r>
        <w:rPr/>
        <w:t>）血清铜和血清铜蓝蛋白降低，尿铜增加；</w:t>
      </w:r>
    </w:p>
    <w:p>
      <w:pPr>
        <w:pStyle w:val="BodyText"/>
        <w:spacing w:before="21"/>
        <w:ind w:left="3375"/>
      </w:pPr>
      <w:r>
        <w:rPr/>
        <w:t>（</w:t>
      </w:r>
      <w:r>
        <w:rPr>
          <w:rFonts w:ascii="Times New Roman" w:eastAsia="Times New Roman"/>
        </w:rPr>
        <w:t>4</w:t>
      </w:r>
      <w:r>
        <w:rPr/>
        <w:t>）经皮做肝脏活检来定量分析肝脏铜的含量。</w:t>
      </w:r>
    </w:p>
    <w:p>
      <w:pPr>
        <w:pStyle w:val="BodyText"/>
        <w:tabs>
          <w:tab w:pos="3375" w:val="left" w:leader="none"/>
        </w:tabs>
        <w:spacing w:before="21"/>
      </w:pPr>
      <w:r>
        <w:rPr>
          <w:rFonts w:ascii="Times New Roman" w:eastAsia="Times New Roman"/>
        </w:rPr>
        <w:t>57.</w:t>
      </w:r>
      <w:r>
        <w:rPr/>
        <w:t>严重</w:t>
      </w:r>
      <w:r>
        <w:rPr>
          <w:spacing w:val="-3"/>
        </w:rPr>
        <w:t>自</w:t>
      </w:r>
      <w:r>
        <w:rPr/>
        <w:t>身</w:t>
      </w:r>
      <w:r>
        <w:rPr>
          <w:spacing w:val="-3"/>
        </w:rPr>
        <w:t>免</w:t>
      </w:r>
      <w:r>
        <w:rPr/>
        <w:t>疫</w:t>
      </w:r>
      <w:r>
        <w:rPr>
          <w:spacing w:val="-3"/>
        </w:rPr>
        <w:t>性</w:t>
      </w:r>
      <w:r>
        <w:rPr/>
        <w:t>肝炎</w:t>
        <w:tab/>
        <w:t>自身免疫性肝炎是一种原因不明的慢性肝脏的坏死性炎性疾病，机体免疫</w:t>
      </w:r>
    </w:p>
    <w:p>
      <w:pPr>
        <w:pStyle w:val="BodyText"/>
        <w:spacing w:line="273" w:lineRule="auto" w:before="21"/>
        <w:ind w:left="3375" w:right="142"/>
      </w:pPr>
      <w:r>
        <w:rPr/>
        <w:t>机制被破坏，产生针对肝脏自身抗原的抗体导致自身免疫反应，从而破坏肝细胞造成肝脏炎症坏死，进而发展为肝硬化。必须满足所有以下条件：</w:t>
      </w:r>
    </w:p>
    <w:p>
      <w:pPr>
        <w:pStyle w:val="BodyText"/>
        <w:spacing w:before="7"/>
        <w:ind w:left="3375"/>
      </w:pPr>
      <w:r>
        <w:rPr/>
        <w:t>（</w:t>
      </w:r>
      <w:r>
        <w:rPr>
          <w:rFonts w:ascii="Times New Roman" w:hAnsi="Times New Roman" w:eastAsia="Times New Roman"/>
        </w:rPr>
        <w:t>1</w:t>
      </w:r>
      <w:r>
        <w:rPr/>
        <w:t>）高</w:t>
      </w:r>
      <w:r>
        <w:rPr>
          <w:rFonts w:ascii="Times New Roman" w:hAnsi="Times New Roman" w:eastAsia="Times New Roman"/>
        </w:rPr>
        <w:t>γ</w:t>
      </w:r>
      <w:r>
        <w:rPr/>
        <w:t>球蛋白血症；</w:t>
      </w:r>
    </w:p>
    <w:p>
      <w:pPr>
        <w:pStyle w:val="BodyText"/>
        <w:spacing w:line="256" w:lineRule="auto" w:before="20"/>
        <w:ind w:left="3375" w:right="139"/>
      </w:pPr>
      <w:r>
        <w:rPr/>
        <w:t>（</w:t>
      </w:r>
      <w:r>
        <w:rPr>
          <w:rFonts w:ascii="Times New Roman" w:eastAsia="Times New Roman"/>
        </w:rPr>
        <w:t>2</w:t>
      </w:r>
      <w:r>
        <w:rPr/>
        <w:t>）</w:t>
      </w:r>
      <w:r>
        <w:rPr>
          <w:spacing w:val="-3"/>
        </w:rPr>
        <w:t>血液中存在高水平的自身免疫抗体，如</w:t>
      </w:r>
      <w:r>
        <w:rPr>
          <w:rFonts w:ascii="Times New Roman" w:eastAsia="Times New Roman"/>
        </w:rPr>
        <w:t>ANA</w:t>
      </w:r>
      <w:r>
        <w:rPr/>
        <w:t>（</w:t>
      </w:r>
      <w:r>
        <w:rPr>
          <w:spacing w:val="-1"/>
        </w:rPr>
        <w:t>抗核抗体</w:t>
      </w:r>
      <w:r>
        <w:rPr>
          <w:spacing w:val="-104"/>
        </w:rPr>
        <w:t>）</w:t>
      </w:r>
      <w:r>
        <w:rPr/>
        <w:t>、</w:t>
      </w:r>
      <w:r>
        <w:rPr>
          <w:rFonts w:ascii="Times New Roman" w:eastAsia="Times New Roman"/>
        </w:rPr>
        <w:t>SMA</w:t>
      </w:r>
      <w:r>
        <w:rPr/>
        <w:t>（</w:t>
      </w:r>
      <w:r>
        <w:rPr>
          <w:spacing w:val="-3"/>
        </w:rPr>
        <w:t>抗平滑肌抗体</w:t>
      </w:r>
      <w:r>
        <w:rPr>
          <w:spacing w:val="-106"/>
        </w:rPr>
        <w:t>）</w:t>
      </w:r>
      <w:r>
        <w:rPr>
          <w:spacing w:val="-2"/>
        </w:rPr>
        <w:t>、抗</w:t>
      </w:r>
      <w:r>
        <w:rPr>
          <w:rFonts w:ascii="Times New Roman" w:eastAsia="Times New Roman"/>
          <w:spacing w:val="-1"/>
        </w:rPr>
        <w:t>LKM1</w:t>
      </w:r>
      <w:r>
        <w:rPr>
          <w:spacing w:val="-1"/>
        </w:rPr>
        <w:t>抗体或抗</w:t>
      </w:r>
      <w:r>
        <w:rPr>
          <w:rFonts w:ascii="Times New Roman" w:eastAsia="Times New Roman"/>
          <w:spacing w:val="-1"/>
        </w:rPr>
        <w:t>-SLA/LP</w:t>
      </w:r>
      <w:r>
        <w:rPr>
          <w:spacing w:val="-2"/>
        </w:rPr>
        <w:t>抗体；</w:t>
      </w:r>
    </w:p>
    <w:p>
      <w:pPr>
        <w:pStyle w:val="BodyText"/>
        <w:spacing w:before="4"/>
        <w:ind w:left="3375"/>
      </w:pPr>
      <w:r>
        <w:rPr/>
        <w:t>（</w:t>
      </w:r>
      <w:r>
        <w:rPr>
          <w:rFonts w:ascii="Times New Roman" w:eastAsia="Times New Roman"/>
        </w:rPr>
        <w:t>3</w:t>
      </w:r>
      <w:r>
        <w:rPr/>
        <w:t>）肝脏活检证实免疫性肝炎；</w:t>
      </w:r>
    </w:p>
    <w:p>
      <w:pPr>
        <w:pStyle w:val="BodyText"/>
        <w:spacing w:before="21"/>
        <w:ind w:left="3375"/>
      </w:pPr>
      <w:r>
        <w:rPr/>
        <w:t>（</w:t>
      </w:r>
      <w:r>
        <w:rPr>
          <w:rFonts w:ascii="Times New Roman" w:eastAsia="Times New Roman"/>
        </w:rPr>
        <w:t>4</w:t>
      </w:r>
      <w:r>
        <w:rPr/>
        <w:t>）临床已经出现腹水、食道静脉曲张和脾肿大等肝硬化表现。</w:t>
      </w:r>
    </w:p>
    <w:p>
      <w:pPr>
        <w:pStyle w:val="BodyText"/>
        <w:tabs>
          <w:tab w:pos="3375" w:val="left" w:leader="none"/>
        </w:tabs>
        <w:spacing w:before="21"/>
      </w:pPr>
      <w:r>
        <w:rPr>
          <w:rFonts w:ascii="Times New Roman" w:eastAsia="Times New Roman"/>
        </w:rPr>
        <w:t>58.</w:t>
      </w:r>
      <w:r>
        <w:rPr/>
        <w:t>严重</w:t>
      </w:r>
      <w:r>
        <w:rPr>
          <w:spacing w:val="-3"/>
        </w:rPr>
        <w:t>心</w:t>
      </w:r>
      <w:r>
        <w:rPr/>
        <w:t>肌炎</w:t>
        <w:tab/>
        <w:t>心肌</w:t>
      </w:r>
      <w:r>
        <w:rPr>
          <w:spacing w:val="-3"/>
        </w:rPr>
        <w:t>的</w:t>
      </w:r>
      <w:r>
        <w:rPr/>
        <w:t>严</w:t>
      </w:r>
      <w:r>
        <w:rPr>
          <w:spacing w:val="-3"/>
        </w:rPr>
        <w:t>重</w:t>
      </w:r>
      <w:r>
        <w:rPr/>
        <w:t>感</w:t>
      </w:r>
      <w:r>
        <w:rPr>
          <w:spacing w:val="-3"/>
        </w:rPr>
        <w:t>染</w:t>
      </w:r>
      <w:r>
        <w:rPr/>
        <w:t>而</w:t>
      </w:r>
      <w:r>
        <w:rPr>
          <w:spacing w:val="-3"/>
        </w:rPr>
        <w:t>导</w:t>
      </w:r>
      <w:r>
        <w:rPr/>
        <w:t>致</w:t>
      </w:r>
      <w:r>
        <w:rPr>
          <w:spacing w:val="-3"/>
        </w:rPr>
        <w:t>至</w:t>
      </w:r>
      <w:r>
        <w:rPr/>
        <w:t>少持续</w:t>
      </w:r>
      <w:r>
        <w:rPr>
          <w:spacing w:val="8"/>
        </w:rPr>
        <w:t> </w:t>
      </w:r>
      <w:r>
        <w:rPr>
          <w:rFonts w:ascii="Times New Roman" w:eastAsia="Times New Roman"/>
        </w:rPr>
        <w:t>6 </w:t>
      </w:r>
      <w:r>
        <w:rPr>
          <w:rFonts w:ascii="Times New Roman" w:eastAsia="Times New Roman"/>
          <w:spacing w:val="8"/>
        </w:rPr>
        <w:t> </w:t>
      </w:r>
      <w:r>
        <w:rPr>
          <w:spacing w:val="-3"/>
        </w:rPr>
        <w:t>个</w:t>
      </w:r>
      <w:r>
        <w:rPr/>
        <w:t>月</w:t>
      </w:r>
      <w:r>
        <w:rPr>
          <w:spacing w:val="-3"/>
        </w:rPr>
        <w:t>的</w:t>
      </w:r>
      <w:r>
        <w:rPr/>
        <w:t>心</w:t>
      </w:r>
      <w:r>
        <w:rPr>
          <w:spacing w:val="-3"/>
        </w:rPr>
        <w:t>功</w:t>
      </w:r>
      <w:r>
        <w:rPr/>
        <w:t>能</w:t>
      </w:r>
      <w:r>
        <w:rPr>
          <w:spacing w:val="-3"/>
        </w:rPr>
        <w:t>损</w:t>
      </w:r>
      <w:r>
        <w:rPr/>
        <w:t>害。</w:t>
      </w:r>
      <w:r>
        <w:rPr>
          <w:spacing w:val="-3"/>
        </w:rPr>
        <w:t>严</w:t>
      </w:r>
      <w:r>
        <w:rPr/>
        <w:t>重</w:t>
      </w:r>
      <w:r>
        <w:rPr>
          <w:spacing w:val="-3"/>
        </w:rPr>
        <w:t>的</w:t>
      </w:r>
      <w:r>
        <w:rPr/>
        <w:t>心</w:t>
      </w:r>
      <w:r>
        <w:rPr>
          <w:spacing w:val="-3"/>
        </w:rPr>
        <w:t>功</w:t>
      </w:r>
      <w:r>
        <w:rPr/>
        <w:t>能</w:t>
      </w:r>
      <w:r>
        <w:rPr>
          <w:spacing w:val="-3"/>
        </w:rPr>
        <w:t>损</w:t>
      </w:r>
      <w:r>
        <w:rPr/>
        <w:t>害</w:t>
      </w:r>
    </w:p>
    <w:p>
      <w:pPr>
        <w:pStyle w:val="BodyText"/>
        <w:spacing w:line="256" w:lineRule="auto" w:before="21"/>
        <w:ind w:left="3375" w:right="56"/>
      </w:pPr>
      <w:r>
        <w:rPr/>
        <w:t>必须具备如下条件：左室腔扩大至少达到正常值上限的 </w:t>
      </w:r>
      <w:r>
        <w:rPr>
          <w:rFonts w:ascii="Times New Roman" w:eastAsia="Times New Roman"/>
        </w:rPr>
        <w:t>120%</w:t>
      </w:r>
      <w:r>
        <w:rPr/>
        <w:t>，且左室射血分数持续性低于 </w:t>
      </w:r>
      <w:r>
        <w:rPr>
          <w:rFonts w:ascii="Times New Roman" w:eastAsia="Times New Roman"/>
        </w:rPr>
        <w:t>40%</w:t>
      </w:r>
      <w:r>
        <w:rPr/>
        <w:t>。</w:t>
      </w:r>
    </w:p>
    <w:p>
      <w:pPr>
        <w:pStyle w:val="BodyText"/>
        <w:tabs>
          <w:tab w:pos="3375" w:val="left" w:leader="none"/>
        </w:tabs>
        <w:spacing w:before="5"/>
      </w:pPr>
      <w:r>
        <w:rPr>
          <w:rFonts w:ascii="Times New Roman" w:eastAsia="Times New Roman"/>
        </w:rPr>
        <w:t>59.</w:t>
      </w:r>
      <w:r>
        <w:rPr/>
        <w:t>严重</w:t>
      </w:r>
      <w:r>
        <w:rPr>
          <w:spacing w:val="-3"/>
        </w:rPr>
        <w:t>幼</w:t>
      </w:r>
      <w:r>
        <w:rPr/>
        <w:t>年</w:t>
      </w:r>
      <w:r>
        <w:rPr>
          <w:spacing w:val="-3"/>
        </w:rPr>
        <w:t>型</w:t>
      </w:r>
      <w:r>
        <w:rPr/>
        <w:t>类</w:t>
      </w:r>
      <w:r>
        <w:rPr>
          <w:spacing w:val="-3"/>
        </w:rPr>
        <w:t>风</w:t>
      </w:r>
      <w:r>
        <w:rPr/>
        <w:t>湿</w:t>
      </w:r>
      <w:r>
        <w:rPr>
          <w:spacing w:val="-3"/>
        </w:rPr>
        <w:t>性</w:t>
      </w:r>
      <w:r>
        <w:rPr/>
        <w:t>关</w:t>
      </w:r>
      <w:r>
        <w:rPr>
          <w:spacing w:val="-3"/>
        </w:rPr>
        <w:t>节</w:t>
      </w:r>
      <w:r>
        <w:rPr/>
        <w:t>炎</w:t>
        <w:tab/>
        <w:t>幼年型类风湿关节炎是一种儿童期发病的慢性关节炎，其特点为在</w:t>
      </w:r>
      <w:r>
        <w:rPr>
          <w:spacing w:val="5"/>
        </w:rPr>
        <w:t>高</w:t>
      </w:r>
      <w:r>
        <w:rPr/>
        <w:t>热和</w:t>
      </w:r>
    </w:p>
    <w:p>
      <w:pPr>
        <w:spacing w:after="0"/>
        <w:sectPr>
          <w:footerReference w:type="default" r:id="rId12"/>
          <w:pgSz w:w="11910" w:h="16160"/>
          <w:pgMar w:footer="711" w:header="0" w:top="1340" w:bottom="900" w:left="960" w:right="620"/>
          <w:pgNumType w:start="20"/>
        </w:sectPr>
      </w:pPr>
    </w:p>
    <w:p>
      <w:pPr>
        <w:pStyle w:val="BodyText"/>
        <w:spacing w:before="7"/>
        <w:ind w:left="3375"/>
      </w:pPr>
      <w:r>
        <w:rPr/>
        <w:t>系统性病征出现数月后发生关节炎。</w:t>
      </w:r>
    </w:p>
    <w:p>
      <w:pPr>
        <w:spacing w:line="273" w:lineRule="auto" w:before="37"/>
        <w:ind w:left="3375" w:right="182" w:firstLine="0"/>
        <w:jc w:val="left"/>
        <w:rPr>
          <w:b/>
          <w:sz w:val="21"/>
        </w:rPr>
      </w:pPr>
      <w:r>
        <w:rPr>
          <w:b/>
          <w:sz w:val="21"/>
        </w:rPr>
        <w:t>本合同仅对实际接受了膝关节或髋关节置换手术治疗的严重的幼年型类风湿关节炎予以理赔。</w:t>
      </w:r>
    </w:p>
    <w:p>
      <w:pPr>
        <w:pStyle w:val="BodyText"/>
        <w:tabs>
          <w:tab w:pos="3375" w:val="left" w:leader="none"/>
        </w:tabs>
        <w:spacing w:before="7"/>
      </w:pPr>
      <w:r>
        <w:rPr>
          <w:rFonts w:ascii="Times New Roman" w:eastAsia="Times New Roman"/>
        </w:rPr>
        <w:t>60.</w:t>
      </w:r>
      <w:r>
        <w:rPr/>
        <w:t>失去</w:t>
      </w:r>
      <w:r>
        <w:rPr>
          <w:spacing w:val="-3"/>
        </w:rPr>
        <w:t>一</w:t>
      </w:r>
      <w:r>
        <w:rPr/>
        <w:t>肢</w:t>
      </w:r>
      <w:r>
        <w:rPr>
          <w:spacing w:val="-3"/>
        </w:rPr>
        <w:t>及</w:t>
      </w:r>
      <w:r>
        <w:rPr/>
        <w:t>一眼</w:t>
        <w:tab/>
      </w:r>
      <w:r>
        <w:rPr>
          <w:spacing w:val="7"/>
        </w:rPr>
        <w:t>因疾病</w:t>
      </w:r>
      <w:r>
        <w:rPr>
          <w:spacing w:val="5"/>
        </w:rPr>
        <w:t>或</w:t>
      </w:r>
      <w:r>
        <w:rPr>
          <w:spacing w:val="7"/>
        </w:rPr>
        <w:t>意外</w:t>
      </w:r>
      <w:r>
        <w:rPr>
          <w:spacing w:val="5"/>
        </w:rPr>
        <w:t>伤</w:t>
      </w:r>
      <w:r>
        <w:rPr>
          <w:spacing w:val="7"/>
        </w:rPr>
        <w:t>害导</w:t>
      </w:r>
      <w:r>
        <w:rPr>
          <w:spacing w:val="5"/>
        </w:rPr>
        <w:t>致单</w:t>
      </w:r>
      <w:r>
        <w:rPr>
          <w:spacing w:val="7"/>
        </w:rPr>
        <w:t>眼视力</w:t>
      </w:r>
      <w:r>
        <w:rPr>
          <w:spacing w:val="5"/>
        </w:rPr>
        <w:t>丧</w:t>
      </w:r>
      <w:r>
        <w:rPr>
          <w:spacing w:val="7"/>
        </w:rPr>
        <w:t>失及</w:t>
      </w:r>
      <w:r>
        <w:rPr>
          <w:spacing w:val="5"/>
        </w:rPr>
        <w:t>任</w:t>
      </w:r>
      <w:r>
        <w:rPr>
          <w:spacing w:val="7"/>
        </w:rPr>
        <w:t>何一</w:t>
      </w:r>
      <w:r>
        <w:rPr>
          <w:spacing w:val="5"/>
        </w:rPr>
        <w:t>肢自</w:t>
      </w:r>
      <w:r>
        <w:rPr>
          <w:spacing w:val="7"/>
        </w:rPr>
        <w:t>腕关节</w:t>
      </w:r>
      <w:r>
        <w:rPr>
          <w:spacing w:val="5"/>
        </w:rPr>
        <w:t>或</w:t>
      </w:r>
      <w:r>
        <w:rPr>
          <w:spacing w:val="7"/>
        </w:rPr>
        <w:t>踝关</w:t>
      </w:r>
      <w:r>
        <w:rPr>
          <w:spacing w:val="5"/>
        </w:rPr>
        <w:t>节</w:t>
      </w:r>
      <w:r>
        <w:rPr>
          <w:spacing w:val="7"/>
        </w:rPr>
        <w:t>近</w:t>
      </w:r>
      <w:r>
        <w:rPr/>
        <w:t>端</w:t>
      </w:r>
    </w:p>
    <w:p>
      <w:pPr>
        <w:pStyle w:val="BodyText"/>
        <w:spacing w:before="20"/>
        <w:ind w:left="3375"/>
      </w:pPr>
      <w:r>
        <w:rPr/>
        <w:t>（靠近躯干端）以上完全性断离。</w:t>
      </w:r>
    </w:p>
    <w:p>
      <w:pPr>
        <w:pStyle w:val="BodyText"/>
        <w:spacing w:line="273" w:lineRule="auto" w:before="36"/>
        <w:ind w:left="3375" w:right="122"/>
      </w:pPr>
      <w:r>
        <w:rPr/>
        <w:t>单眼视力丧失指单眼视力永久不可逆性丧失，患眼须满足下列至少一项条件：</w:t>
      </w:r>
    </w:p>
    <w:p>
      <w:pPr>
        <w:pStyle w:val="BodyText"/>
        <w:spacing w:before="7"/>
        <w:ind w:left="3375"/>
      </w:pPr>
      <w:r>
        <w:rPr/>
        <w:t>（</w:t>
      </w:r>
      <w:r>
        <w:rPr>
          <w:rFonts w:ascii="Times New Roman" w:eastAsia="Times New Roman"/>
        </w:rPr>
        <w:t>1</w:t>
      </w:r>
      <w:r>
        <w:rPr/>
        <w:t>）眼球缺失或摘除；</w:t>
      </w:r>
    </w:p>
    <w:p>
      <w:pPr>
        <w:pStyle w:val="BodyText"/>
        <w:spacing w:line="256" w:lineRule="auto" w:before="21"/>
        <w:ind w:left="3375" w:right="117"/>
      </w:pPr>
      <w:r>
        <w:rPr/>
        <w:t>（</w:t>
      </w:r>
      <w:r>
        <w:rPr>
          <w:rFonts w:ascii="Times New Roman" w:eastAsia="Times New Roman"/>
        </w:rPr>
        <w:t>2</w:t>
      </w:r>
      <w:r>
        <w:rPr/>
        <w:t>）矫正视力低于</w:t>
      </w:r>
      <w:r>
        <w:rPr>
          <w:rFonts w:ascii="Times New Roman" w:eastAsia="Times New Roman"/>
        </w:rPr>
        <w:t>0.02</w:t>
      </w:r>
      <w:r>
        <w:rPr/>
        <w:t>（采用国际标准视力表，如果使用其它视力表应进</w:t>
      </w:r>
      <w:r>
        <w:rPr>
          <w:spacing w:val="-1"/>
          <w:w w:val="100"/>
        </w:rPr>
        <w:t>行换算</w:t>
      </w:r>
      <w:r>
        <w:rPr>
          <w:spacing w:val="-106"/>
          <w:w w:val="100"/>
        </w:rPr>
        <w:t>）</w:t>
      </w:r>
      <w:r>
        <w:rPr>
          <w:w w:val="100"/>
        </w:rPr>
        <w:t>；</w:t>
      </w:r>
    </w:p>
    <w:p>
      <w:pPr>
        <w:pStyle w:val="BodyText"/>
        <w:spacing w:before="22"/>
        <w:ind w:left="3375"/>
      </w:pPr>
      <w:r>
        <w:rPr/>
        <w:t>（</w:t>
      </w:r>
      <w:r>
        <w:rPr>
          <w:rFonts w:ascii="Times New Roman" w:eastAsia="Times New Roman"/>
        </w:rPr>
        <w:t>3</w:t>
      </w:r>
      <w:r>
        <w:rPr/>
        <w:t>）视野半径小于</w:t>
      </w:r>
      <w:r>
        <w:rPr>
          <w:rFonts w:ascii="Times New Roman" w:eastAsia="Times New Roman"/>
        </w:rPr>
        <w:t>5</w:t>
      </w:r>
      <w:r>
        <w:rPr/>
        <w:t>度。</w:t>
      </w:r>
    </w:p>
    <w:p>
      <w:pPr>
        <w:spacing w:before="21"/>
        <w:ind w:left="3375" w:right="0" w:firstLine="0"/>
        <w:jc w:val="left"/>
        <w:rPr>
          <w:b/>
          <w:sz w:val="21"/>
        </w:rPr>
      </w:pPr>
      <w:r>
        <w:rPr>
          <w:b/>
          <w:sz w:val="21"/>
        </w:rPr>
        <w:t>被保险人在三周岁之前因疾病导致单眼视力丧失不在保障范围内。</w:t>
      </w:r>
    </w:p>
    <w:p>
      <w:pPr>
        <w:pStyle w:val="BodyText"/>
        <w:tabs>
          <w:tab w:pos="3375" w:val="left" w:leader="none"/>
        </w:tabs>
        <w:spacing w:before="38"/>
      </w:pPr>
      <w:r>
        <w:rPr>
          <w:rFonts w:ascii="Times New Roman" w:eastAsia="Times New Roman"/>
        </w:rPr>
        <w:t>61.</w:t>
      </w:r>
      <w:r>
        <w:rPr/>
        <w:t>肺淋</w:t>
      </w:r>
      <w:r>
        <w:rPr>
          <w:spacing w:val="-3"/>
        </w:rPr>
        <w:t>巴</w:t>
      </w:r>
      <w:r>
        <w:rPr/>
        <w:t>管</w:t>
      </w:r>
      <w:r>
        <w:rPr>
          <w:spacing w:val="-3"/>
        </w:rPr>
        <w:t>肌</w:t>
      </w:r>
      <w:r>
        <w:rPr/>
        <w:t>瘤病</w:t>
        <w:tab/>
        <w:t>肺淋</w:t>
      </w:r>
      <w:r>
        <w:rPr>
          <w:spacing w:val="-3"/>
        </w:rPr>
        <w:t>巴</w:t>
      </w:r>
      <w:r>
        <w:rPr/>
        <w:t>管</w:t>
      </w:r>
      <w:r>
        <w:rPr>
          <w:spacing w:val="-3"/>
        </w:rPr>
        <w:t>肌</w:t>
      </w:r>
      <w:r>
        <w:rPr/>
        <w:t>瘤</w:t>
      </w:r>
      <w:r>
        <w:rPr>
          <w:spacing w:val="-3"/>
        </w:rPr>
        <w:t>病</w:t>
      </w:r>
      <w:r>
        <w:rPr/>
        <w:t>是</w:t>
      </w:r>
      <w:r>
        <w:rPr>
          <w:spacing w:val="-3"/>
        </w:rPr>
        <w:t>一</w:t>
      </w:r>
      <w:r>
        <w:rPr/>
        <w:t>种</w:t>
      </w:r>
      <w:r>
        <w:rPr>
          <w:spacing w:val="-3"/>
        </w:rPr>
        <w:t>弥</w:t>
      </w:r>
      <w:r>
        <w:rPr/>
        <w:t>漫性</w:t>
      </w:r>
      <w:r>
        <w:rPr>
          <w:spacing w:val="-3"/>
        </w:rPr>
        <w:t>肺</w:t>
      </w:r>
      <w:r>
        <w:rPr/>
        <w:t>部</w:t>
      </w:r>
      <w:r>
        <w:rPr>
          <w:spacing w:val="-3"/>
        </w:rPr>
        <w:t>疾病</w:t>
      </w:r>
      <w:r>
        <w:rPr>
          <w:spacing w:val="-8"/>
        </w:rPr>
        <w:t>，</w:t>
      </w:r>
      <w:r>
        <w:rPr>
          <w:spacing w:val="-3"/>
        </w:rPr>
        <w:t>主</w:t>
      </w:r>
      <w:r>
        <w:rPr/>
        <w:t>要</w:t>
      </w:r>
      <w:r>
        <w:rPr>
          <w:spacing w:val="-3"/>
        </w:rPr>
        <w:t>病理</w:t>
      </w:r>
      <w:r>
        <w:rPr/>
        <w:t>改变</w:t>
      </w:r>
      <w:r>
        <w:rPr>
          <w:spacing w:val="-3"/>
        </w:rPr>
        <w:t>为</w:t>
      </w:r>
      <w:r>
        <w:rPr/>
        <w:t>肺</w:t>
      </w:r>
      <w:r>
        <w:rPr>
          <w:spacing w:val="-3"/>
        </w:rPr>
        <w:t>间质</w:t>
      </w:r>
      <w:r>
        <w:rPr>
          <w:spacing w:val="-8"/>
        </w:rPr>
        <w:t>、</w:t>
      </w:r>
      <w:r>
        <w:rPr>
          <w:spacing w:val="-3"/>
        </w:rPr>
        <w:t>支</w:t>
      </w:r>
      <w:r>
        <w:rPr/>
        <w:t>气管</w:t>
      </w:r>
    </w:p>
    <w:p>
      <w:pPr>
        <w:pStyle w:val="BodyText"/>
        <w:spacing w:before="21"/>
        <w:ind w:left="3375"/>
      </w:pPr>
      <w:r>
        <w:rPr/>
        <w:t>血管和淋巴管内出现未成熟的平滑肌异常增生，同时需满足下列条件：</w:t>
      </w:r>
    </w:p>
    <w:p>
      <w:pPr>
        <w:pStyle w:val="BodyText"/>
        <w:spacing w:before="36"/>
        <w:ind w:left="3375"/>
      </w:pPr>
      <w:r>
        <w:rPr/>
        <w:t>（</w:t>
      </w:r>
      <w:r>
        <w:rPr>
          <w:rFonts w:ascii="Times New Roman" w:eastAsia="Times New Roman"/>
        </w:rPr>
        <w:t>1</w:t>
      </w:r>
      <w:r>
        <w:rPr/>
        <w:t>）经组织病理学诊断；</w:t>
      </w:r>
    </w:p>
    <w:p>
      <w:pPr>
        <w:pStyle w:val="BodyText"/>
        <w:spacing w:before="20"/>
        <w:ind w:left="3375"/>
      </w:pPr>
      <w:r>
        <w:rPr/>
        <w:t>（</w:t>
      </w:r>
      <w:r>
        <w:rPr>
          <w:rFonts w:ascii="Times New Roman" w:eastAsia="Times New Roman"/>
        </w:rPr>
        <w:t>2</w:t>
      </w:r>
      <w:r>
        <w:rPr/>
        <w:t>）</w:t>
      </w:r>
      <w:r>
        <w:rPr>
          <w:rFonts w:ascii="Times New Roman" w:eastAsia="Times New Roman"/>
        </w:rPr>
        <w:t>CT </w:t>
      </w:r>
      <w:r>
        <w:rPr/>
        <w:t>显示双肺弥漫性囊性改变；</w:t>
      </w:r>
    </w:p>
    <w:p>
      <w:pPr>
        <w:pStyle w:val="BodyText"/>
        <w:spacing w:before="20"/>
        <w:ind w:left="3375"/>
      </w:pPr>
      <w:r>
        <w:rPr/>
        <w:t>（</w:t>
      </w:r>
      <w:r>
        <w:rPr>
          <w:rFonts w:ascii="Times New Roman" w:eastAsia="Times New Roman"/>
        </w:rPr>
        <w:t>3</w:t>
      </w:r>
      <w:r>
        <w:rPr/>
        <w:t>）血气提示低氧血症。</w:t>
      </w:r>
    </w:p>
    <w:p>
      <w:pPr>
        <w:pStyle w:val="BodyText"/>
        <w:tabs>
          <w:tab w:pos="3375" w:val="left" w:leader="none"/>
        </w:tabs>
        <w:spacing w:before="20"/>
      </w:pPr>
      <w:r>
        <w:rPr>
          <w:rFonts w:ascii="Times New Roman" w:eastAsia="Times New Roman"/>
        </w:rPr>
        <w:t>62.</w:t>
      </w:r>
      <w:r>
        <w:rPr/>
        <w:t>需手</w:t>
      </w:r>
      <w:r>
        <w:rPr>
          <w:spacing w:val="-3"/>
        </w:rPr>
        <w:t>术</w:t>
      </w:r>
      <w:r>
        <w:rPr/>
        <w:t>切</w:t>
      </w:r>
      <w:r>
        <w:rPr>
          <w:spacing w:val="-3"/>
        </w:rPr>
        <w:t>除</w:t>
      </w:r>
      <w:r>
        <w:rPr/>
        <w:t>的</w:t>
      </w:r>
      <w:r>
        <w:rPr>
          <w:spacing w:val="-3"/>
        </w:rPr>
        <w:t>嗜</w:t>
      </w:r>
      <w:r>
        <w:rPr/>
        <w:t>铬</w:t>
      </w:r>
      <w:r>
        <w:rPr>
          <w:spacing w:val="-3"/>
        </w:rPr>
        <w:t>细</w:t>
      </w:r>
      <w:r>
        <w:rPr/>
        <w:t>胞瘤</w:t>
        <w:tab/>
        <w:t>是指</w:t>
      </w:r>
      <w:r>
        <w:rPr>
          <w:spacing w:val="-3"/>
        </w:rPr>
        <w:t>肾</w:t>
      </w:r>
      <w:r>
        <w:rPr/>
        <w:t>上</w:t>
      </w:r>
      <w:r>
        <w:rPr>
          <w:spacing w:val="-3"/>
        </w:rPr>
        <w:t>腺</w:t>
      </w:r>
      <w:r>
        <w:rPr/>
        <w:t>或</w:t>
      </w:r>
      <w:r>
        <w:rPr>
          <w:spacing w:val="-3"/>
        </w:rPr>
        <w:t>嗜</w:t>
      </w:r>
      <w:r>
        <w:rPr/>
        <w:t>铬</w:t>
      </w:r>
      <w:r>
        <w:rPr>
          <w:spacing w:val="-3"/>
        </w:rPr>
        <w:t>外</w:t>
      </w:r>
      <w:r>
        <w:rPr/>
        <w:t>组</w:t>
      </w:r>
      <w:r>
        <w:rPr>
          <w:spacing w:val="-3"/>
        </w:rPr>
        <w:t>织</w:t>
      </w:r>
      <w:r>
        <w:rPr/>
        <w:t>出现</w:t>
      </w:r>
      <w:r>
        <w:rPr>
          <w:spacing w:val="-3"/>
        </w:rPr>
        <w:t>神</w:t>
      </w:r>
      <w:r>
        <w:rPr/>
        <w:t>经</w:t>
      </w:r>
      <w:r>
        <w:rPr>
          <w:spacing w:val="-3"/>
        </w:rPr>
        <w:t>内</w:t>
      </w:r>
      <w:r>
        <w:rPr/>
        <w:t>分</w:t>
      </w:r>
      <w:r>
        <w:rPr>
          <w:spacing w:val="-3"/>
        </w:rPr>
        <w:t>泌</w:t>
      </w:r>
      <w:r>
        <w:rPr/>
        <w:t>肿</w:t>
      </w:r>
      <w:r>
        <w:rPr>
          <w:spacing w:val="-3"/>
        </w:rPr>
        <w:t>瘤</w:t>
      </w:r>
      <w:r>
        <w:rPr>
          <w:spacing w:val="-17"/>
        </w:rPr>
        <w:t>，</w:t>
      </w:r>
      <w:r>
        <w:rPr>
          <w:spacing w:val="-3"/>
        </w:rPr>
        <w:t>并</w:t>
      </w:r>
      <w:r>
        <w:rPr/>
        <w:t>分</w:t>
      </w:r>
      <w:r>
        <w:rPr>
          <w:rFonts w:ascii="Arial" w:eastAsia="Arial"/>
          <w:w w:val="115"/>
        </w:rPr>
        <w:t>泌</w:t>
      </w:r>
      <w:r>
        <w:rPr>
          <w:spacing w:val="-3"/>
        </w:rPr>
        <w:t>过</w:t>
      </w:r>
      <w:r>
        <w:rPr/>
        <w:t>多</w:t>
      </w:r>
      <w:r>
        <w:rPr>
          <w:spacing w:val="-3"/>
        </w:rPr>
        <w:t>的</w:t>
      </w:r>
      <w:r>
        <w:rPr/>
        <w:t>儿</w:t>
      </w:r>
      <w:r>
        <w:rPr>
          <w:spacing w:val="-3"/>
        </w:rPr>
        <w:t>茶</w:t>
      </w:r>
      <w:r>
        <w:rPr/>
        <w:t>酚</w:t>
      </w:r>
      <w:r>
        <w:rPr>
          <w:spacing w:val="-3"/>
        </w:rPr>
        <w:t>胺</w:t>
      </w:r>
      <w:r>
        <w:rPr/>
        <w:t>类</w:t>
      </w:r>
    </w:p>
    <w:p>
      <w:pPr>
        <w:pStyle w:val="BodyText"/>
        <w:spacing w:line="273" w:lineRule="auto" w:before="20"/>
        <w:ind w:left="3375" w:right="122"/>
      </w:pPr>
      <w:r>
        <w:rPr/>
        <w:t>需要确实进行手术以切除肿瘤。嗜铬细胞瘤的诊断必须由内分泌专科医生确定。</w:t>
      </w:r>
    </w:p>
    <w:p>
      <w:pPr>
        <w:pStyle w:val="BodyText"/>
        <w:tabs>
          <w:tab w:pos="3375" w:val="left" w:leader="none"/>
        </w:tabs>
        <w:spacing w:before="7"/>
      </w:pPr>
      <w:r>
        <w:rPr>
          <w:rFonts w:ascii="Times New Roman" w:eastAsia="Times New Roman"/>
        </w:rPr>
        <w:t>63.</w:t>
      </w:r>
      <w:r>
        <w:rPr/>
        <w:t>严重</w:t>
      </w:r>
      <w:r>
        <w:rPr>
          <w:spacing w:val="-3"/>
        </w:rPr>
        <w:t>感</w:t>
      </w:r>
      <w:r>
        <w:rPr/>
        <w:t>染</w:t>
      </w:r>
      <w:r>
        <w:rPr>
          <w:spacing w:val="-3"/>
        </w:rPr>
        <w:t>性</w:t>
      </w:r>
      <w:r>
        <w:rPr/>
        <w:t>心</w:t>
      </w:r>
      <w:r>
        <w:rPr>
          <w:spacing w:val="-3"/>
        </w:rPr>
        <w:t>内</w:t>
      </w:r>
      <w:r>
        <w:rPr/>
        <w:t>膜炎</w:t>
        <w:tab/>
        <w:t>指因</w:t>
      </w:r>
      <w:r>
        <w:rPr>
          <w:spacing w:val="-3"/>
        </w:rPr>
        <w:t>感</w:t>
      </w:r>
      <w:r>
        <w:rPr/>
        <w:t>染</w:t>
      </w:r>
      <w:r>
        <w:rPr>
          <w:spacing w:val="-3"/>
        </w:rPr>
        <w:t>性</w:t>
      </w:r>
      <w:r>
        <w:rPr/>
        <w:t>病</w:t>
      </w:r>
      <w:r>
        <w:rPr>
          <w:spacing w:val="-3"/>
        </w:rPr>
        <w:t>原</w:t>
      </w:r>
      <w:r>
        <w:rPr/>
        <w:t>体</w:t>
      </w:r>
      <w:r>
        <w:rPr>
          <w:spacing w:val="-3"/>
        </w:rPr>
        <w:t>造</w:t>
      </w:r>
      <w:r>
        <w:rPr/>
        <w:t>成</w:t>
      </w:r>
      <w:r>
        <w:rPr>
          <w:spacing w:val="-3"/>
        </w:rPr>
        <w:t>心</w:t>
      </w:r>
      <w:r>
        <w:rPr/>
        <w:t>脏内</w:t>
      </w:r>
      <w:r>
        <w:rPr>
          <w:spacing w:val="-3"/>
        </w:rPr>
        <w:t>膜</w:t>
      </w:r>
      <w:r>
        <w:rPr/>
        <w:t>发</w:t>
      </w:r>
      <w:r>
        <w:rPr>
          <w:spacing w:val="-3"/>
        </w:rPr>
        <w:t>炎</w:t>
      </w:r>
      <w:r>
        <w:rPr/>
        <w:t>，</w:t>
      </w:r>
      <w:r>
        <w:rPr>
          <w:spacing w:val="-3"/>
        </w:rPr>
        <w:t>并</w:t>
      </w:r>
      <w:r>
        <w:rPr/>
        <w:t>符</w:t>
      </w:r>
      <w:r>
        <w:rPr>
          <w:spacing w:val="-3"/>
        </w:rPr>
        <w:t>合</w:t>
      </w:r>
      <w:r>
        <w:rPr/>
        <w:t>下</w:t>
      </w:r>
      <w:r>
        <w:rPr>
          <w:spacing w:val="-3"/>
        </w:rPr>
        <w:t>列</w:t>
      </w:r>
      <w:r>
        <w:rPr/>
        <w:t>所有</w:t>
      </w:r>
      <w:r>
        <w:rPr>
          <w:spacing w:val="-3"/>
        </w:rPr>
        <w:t>条</w:t>
      </w:r>
      <w:r>
        <w:rPr/>
        <w:t>件：</w:t>
      </w:r>
    </w:p>
    <w:p>
      <w:pPr>
        <w:pStyle w:val="BodyText"/>
        <w:spacing w:before="21"/>
        <w:ind w:left="3375"/>
      </w:pPr>
      <w:r>
        <w:rPr/>
        <w:t>（</w:t>
      </w:r>
      <w:r>
        <w:rPr>
          <w:rFonts w:ascii="Times New Roman" w:eastAsia="Times New Roman"/>
        </w:rPr>
        <w:t>1</w:t>
      </w:r>
      <w:r>
        <w:rPr/>
        <w:t>）血液培养测试结果为阳性，证实存在感染病原体：</w:t>
      </w:r>
    </w:p>
    <w:p>
      <w:pPr>
        <w:pStyle w:val="BodyText"/>
        <w:spacing w:line="273" w:lineRule="auto" w:before="21"/>
        <w:ind w:left="3375" w:right="121" w:firstLine="422"/>
      </w:pPr>
      <w:r>
        <w:rPr/>
        <w:t>①微生物：在赘生物、栓塞的赘生物或心脏内脓疡经培养或组织检查证实有微生物；或</w:t>
      </w:r>
    </w:p>
    <w:p>
      <w:pPr>
        <w:pStyle w:val="BodyText"/>
        <w:spacing w:line="273" w:lineRule="auto" w:before="7"/>
        <w:ind w:left="3375" w:right="121" w:firstLine="422"/>
      </w:pPr>
      <w:r>
        <w:rPr/>
        <w:t>②病理性病灶：组织病理学检查证实赘生物或心脏内脓疡有活动性心内膜炎；或</w:t>
      </w:r>
    </w:p>
    <w:p>
      <w:pPr>
        <w:pStyle w:val="BodyText"/>
        <w:spacing w:before="7"/>
        <w:ind w:left="3797"/>
      </w:pPr>
      <w:r>
        <w:rPr/>
        <w:t>③分别两次血液培养证实有典型的病原体且与心内膜炎吻合；或</w:t>
      </w:r>
    </w:p>
    <w:p>
      <w:pPr>
        <w:pStyle w:val="BodyText"/>
        <w:spacing w:before="37"/>
        <w:ind w:left="3797"/>
      </w:pPr>
      <w:r>
        <w:rPr/>
        <w:t>④持续血液培养证实有病原体阳性反应，且与心内膜炎吻合。</w:t>
      </w:r>
    </w:p>
    <w:p>
      <w:pPr>
        <w:pStyle w:val="BodyText"/>
        <w:spacing w:line="256" w:lineRule="auto" w:before="37"/>
        <w:ind w:left="3375" w:right="116"/>
      </w:pPr>
      <w:r>
        <w:rPr/>
        <w:t>（</w:t>
      </w:r>
      <w:r>
        <w:rPr>
          <w:rFonts w:ascii="Times New Roman" w:eastAsia="Times New Roman"/>
        </w:rPr>
        <w:t>2</w:t>
      </w:r>
      <w:r>
        <w:rPr/>
        <w:t>）</w:t>
      </w:r>
      <w:r>
        <w:rPr>
          <w:spacing w:val="-3"/>
        </w:rPr>
        <w:t>心内膜炎引起中度心瓣膜闭锁不全</w:t>
      </w:r>
      <w:r>
        <w:rPr/>
        <w:t>（</w:t>
      </w:r>
      <w:r>
        <w:rPr>
          <w:spacing w:val="-2"/>
        </w:rPr>
        <w:t>指返流分数</w:t>
      </w:r>
      <w:r>
        <w:rPr>
          <w:rFonts w:ascii="Times New Roman" w:eastAsia="Times New Roman"/>
        </w:rPr>
        <w:t>20%</w:t>
      </w:r>
      <w:r>
        <w:rPr>
          <w:spacing w:val="-1"/>
        </w:rPr>
        <w:t>或以上</w:t>
      </w:r>
      <w:r>
        <w:rPr/>
        <w:t>）或中度</w:t>
      </w:r>
      <w:r>
        <w:rPr>
          <w:spacing w:val="-2"/>
          <w:w w:val="100"/>
        </w:rPr>
        <w:t>心瓣膜狭窄</w:t>
      </w:r>
      <w:r>
        <w:rPr>
          <w:w w:val="100"/>
        </w:rPr>
        <w:t>（</w:t>
      </w:r>
      <w:r>
        <w:rPr>
          <w:spacing w:val="-3"/>
          <w:w w:val="100"/>
        </w:rPr>
        <w:t>指心瓣膜开口范围小于或等于正常的</w:t>
      </w:r>
      <w:r>
        <w:rPr>
          <w:rFonts w:ascii="Times New Roman" w:eastAsia="Times New Roman"/>
          <w:spacing w:val="-3"/>
          <w:w w:val="100"/>
        </w:rPr>
        <w:t>3</w:t>
      </w:r>
      <w:r>
        <w:rPr>
          <w:rFonts w:ascii="Times New Roman" w:eastAsia="Times New Roman"/>
          <w:w w:val="100"/>
        </w:rPr>
        <w:t>0</w:t>
      </w:r>
      <w:r>
        <w:rPr>
          <w:rFonts w:ascii="Times New Roman" w:eastAsia="Times New Roman"/>
          <w:spacing w:val="-1"/>
          <w:w w:val="100"/>
        </w:rPr>
        <w:t>%</w:t>
      </w:r>
      <w:r>
        <w:rPr>
          <w:spacing w:val="-106"/>
          <w:w w:val="100"/>
        </w:rPr>
        <w:t>）；</w:t>
      </w:r>
    </w:p>
    <w:p>
      <w:pPr>
        <w:pStyle w:val="BodyText"/>
        <w:spacing w:before="5"/>
        <w:ind w:left="3375"/>
      </w:pPr>
      <w:r>
        <w:rPr/>
        <w:t>（</w:t>
      </w:r>
      <w:r>
        <w:rPr>
          <w:rFonts w:ascii="Times New Roman" w:eastAsia="Times New Roman"/>
        </w:rPr>
        <w:t>3</w:t>
      </w:r>
      <w:r>
        <w:rPr/>
        <w:t>）心内膜炎及心瓣膜病损须经心脏专科医生确诊。</w:t>
      </w:r>
    </w:p>
    <w:p>
      <w:pPr>
        <w:spacing w:after="0"/>
        <w:sectPr>
          <w:pgSz w:w="11910" w:h="16160"/>
          <w:pgMar w:header="0" w:footer="711" w:top="1360" w:bottom="900" w:left="960" w:right="640"/>
        </w:sectPr>
      </w:pPr>
    </w:p>
    <w:p>
      <w:pPr>
        <w:pStyle w:val="BodyText"/>
        <w:spacing w:line="256" w:lineRule="auto" w:before="21"/>
        <w:ind w:left="379" w:hanging="263"/>
      </w:pPr>
      <w:r>
        <w:rPr>
          <w:rFonts w:ascii="Times New Roman" w:eastAsia="Times New Roman"/>
        </w:rPr>
        <w:t>64.</w:t>
      </w:r>
      <w:r>
        <w:rPr/>
        <w:t>特定年龄严重肠道疾病并发症</w:t>
      </w:r>
    </w:p>
    <w:p>
      <w:pPr>
        <w:pStyle w:val="BodyText"/>
        <w:spacing w:before="21"/>
      </w:pPr>
      <w:r>
        <w:rPr/>
        <w:br w:type="column"/>
      </w:r>
      <w:r>
        <w:rPr/>
        <w:t>严重肠道疾病或外伤导致小肠损害并发症，必须满足以下所有条件：</w:t>
      </w:r>
    </w:p>
    <w:p>
      <w:pPr>
        <w:pStyle w:val="BodyText"/>
        <w:spacing w:before="37"/>
      </w:pPr>
      <w:r>
        <w:rPr/>
        <w:t>（</w:t>
      </w:r>
      <w:r>
        <w:rPr>
          <w:rFonts w:ascii="Times New Roman" w:eastAsia="Times New Roman"/>
        </w:rPr>
        <w:t>1</w:t>
      </w:r>
      <w:r>
        <w:rPr/>
        <w:t>）至少切除了三分之二小肠；</w:t>
      </w:r>
    </w:p>
    <w:p>
      <w:pPr>
        <w:pStyle w:val="BodyText"/>
        <w:spacing w:before="21"/>
      </w:pPr>
      <w:r>
        <w:rPr/>
        <w:t>（</w:t>
      </w:r>
      <w:r>
        <w:rPr>
          <w:rFonts w:ascii="Times New Roman" w:eastAsia="Times New Roman"/>
        </w:rPr>
        <w:t>2</w:t>
      </w:r>
      <w:r>
        <w:rPr/>
        <w:t>）完全肠外营养支持 </w:t>
      </w:r>
      <w:r>
        <w:rPr>
          <w:rFonts w:ascii="Times New Roman" w:eastAsia="Times New Roman"/>
        </w:rPr>
        <w:t>3 </w:t>
      </w:r>
      <w:r>
        <w:rPr/>
        <w:t>个月以上。</w:t>
      </w:r>
    </w:p>
    <w:p>
      <w:pPr>
        <w:spacing w:before="21"/>
        <w:ind w:left="117" w:right="0" w:firstLine="0"/>
        <w:jc w:val="left"/>
        <w:rPr>
          <w:b/>
          <w:sz w:val="21"/>
        </w:rPr>
      </w:pPr>
      <w:r>
        <w:rPr>
          <w:b/>
          <w:sz w:val="21"/>
        </w:rPr>
        <w:t>被保险人申请理赔时年龄必须在年满十八周岁以前。</w:t>
      </w:r>
    </w:p>
    <w:p>
      <w:pPr>
        <w:spacing w:after="0"/>
        <w:jc w:val="left"/>
        <w:rPr>
          <w:sz w:val="21"/>
        </w:rPr>
        <w:sectPr>
          <w:type w:val="continuous"/>
          <w:pgSz w:w="11910" w:h="16160"/>
          <w:pgMar w:top="560" w:bottom="280" w:left="960" w:right="640"/>
          <w:cols w:num="2" w:equalWidth="0">
            <w:col w:w="3010" w:space="248"/>
            <w:col w:w="7052"/>
          </w:cols>
        </w:sectPr>
      </w:pPr>
    </w:p>
    <w:p>
      <w:pPr>
        <w:pStyle w:val="BodyText"/>
        <w:tabs>
          <w:tab w:pos="3375" w:val="left" w:leader="none"/>
        </w:tabs>
        <w:spacing w:before="36"/>
      </w:pPr>
      <w:r>
        <w:rPr>
          <w:rFonts w:ascii="Times New Roman" w:hAnsi="Times New Roman" w:eastAsia="Times New Roman"/>
        </w:rPr>
        <w:t>65.</w:t>
      </w:r>
      <w:r>
        <w:rPr/>
        <w:t>Ⅲ度</w:t>
      </w:r>
      <w:r>
        <w:rPr>
          <w:spacing w:val="-3"/>
        </w:rPr>
        <w:t>房</w:t>
      </w:r>
      <w:r>
        <w:rPr/>
        <w:t>室</w:t>
      </w:r>
      <w:r>
        <w:rPr>
          <w:spacing w:val="-3"/>
        </w:rPr>
        <w:t>传</w:t>
      </w:r>
      <w:r>
        <w:rPr/>
        <w:t>导</w:t>
      </w:r>
      <w:r>
        <w:rPr>
          <w:spacing w:val="-3"/>
        </w:rPr>
        <w:t>阻</w:t>
      </w:r>
      <w:r>
        <w:rPr/>
        <w:t>滞</w:t>
        <w:tab/>
        <w:t>指心</w:t>
      </w:r>
      <w:r>
        <w:rPr>
          <w:spacing w:val="-3"/>
        </w:rPr>
        <w:t>房</w:t>
      </w:r>
      <w:r>
        <w:rPr/>
        <w:t>激</w:t>
      </w:r>
      <w:r>
        <w:rPr>
          <w:spacing w:val="-3"/>
        </w:rPr>
        <w:t>动</w:t>
      </w:r>
      <w:r>
        <w:rPr/>
        <w:t>在</w:t>
      </w:r>
      <w:r>
        <w:rPr>
          <w:spacing w:val="-3"/>
        </w:rPr>
        <w:t>房</w:t>
      </w:r>
      <w:r>
        <w:rPr/>
        <w:t>室</w:t>
      </w:r>
      <w:r>
        <w:rPr>
          <w:spacing w:val="-3"/>
        </w:rPr>
        <w:t>交</w:t>
      </w:r>
      <w:r>
        <w:rPr/>
        <w:t>界</w:t>
      </w:r>
      <w:r>
        <w:rPr>
          <w:spacing w:val="-3"/>
        </w:rPr>
        <w:t>区</w:t>
      </w:r>
      <w:r>
        <w:rPr/>
        <w:t>、房</w:t>
      </w:r>
      <w:r>
        <w:rPr>
          <w:spacing w:val="-3"/>
        </w:rPr>
        <w:t>室</w:t>
      </w:r>
      <w:r>
        <w:rPr/>
        <w:t>束</w:t>
      </w:r>
      <w:r>
        <w:rPr>
          <w:spacing w:val="-3"/>
        </w:rPr>
        <w:t>及</w:t>
      </w:r>
      <w:r>
        <w:rPr/>
        <w:t>其</w:t>
      </w:r>
      <w:r>
        <w:rPr>
          <w:spacing w:val="-3"/>
        </w:rPr>
        <w:t>分</w:t>
      </w:r>
      <w:r>
        <w:rPr/>
        <w:t>支</w:t>
      </w:r>
      <w:r>
        <w:rPr>
          <w:spacing w:val="-3"/>
        </w:rPr>
        <w:t>内</w:t>
      </w:r>
      <w:r>
        <w:rPr/>
        <w:t>发</w:t>
      </w:r>
      <w:r>
        <w:rPr>
          <w:spacing w:val="-3"/>
        </w:rPr>
        <w:t>生</w:t>
      </w:r>
      <w:r>
        <w:rPr/>
        <w:t>阻滞</w:t>
      </w:r>
      <w:r>
        <w:rPr>
          <w:spacing w:val="-3"/>
        </w:rPr>
        <w:t>，</w:t>
      </w:r>
      <w:r>
        <w:rPr/>
        <w:t>不</w:t>
      </w:r>
      <w:r>
        <w:rPr>
          <w:spacing w:val="-3"/>
        </w:rPr>
        <w:t>能</w:t>
      </w:r>
      <w:r>
        <w:rPr/>
        <w:t>正</w:t>
      </w:r>
      <w:r>
        <w:rPr>
          <w:spacing w:val="-3"/>
        </w:rPr>
        <w:t>常</w:t>
      </w:r>
      <w:r>
        <w:rPr/>
        <w:t>地</w:t>
      </w:r>
      <w:r>
        <w:rPr>
          <w:spacing w:val="-3"/>
        </w:rPr>
        <w:t>传</w:t>
      </w:r>
      <w:r>
        <w:rPr/>
        <w:t>到</w:t>
      </w:r>
    </w:p>
    <w:p>
      <w:pPr>
        <w:pStyle w:val="BodyText"/>
        <w:spacing w:before="20"/>
        <w:ind w:left="3375"/>
      </w:pPr>
      <w:r>
        <w:rPr/>
        <w:t>心室的心脏传导性疾病，须满足下列所有条件：</w:t>
      </w:r>
    </w:p>
    <w:p>
      <w:pPr>
        <w:pStyle w:val="BodyText"/>
        <w:spacing w:before="36"/>
        <w:ind w:left="3375"/>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0"/>
        <w:ind w:left="3375"/>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line="256" w:lineRule="auto" w:before="20"/>
        <w:ind w:left="3375" w:right="72"/>
      </w:pPr>
      <w:r>
        <w:rPr/>
        <w:t>（</w:t>
      </w:r>
      <w:r>
        <w:rPr>
          <w:rFonts w:ascii="Times New Roman" w:eastAsia="Times New Roman"/>
        </w:rPr>
        <w:t>3</w:t>
      </w:r>
      <w:r>
        <w:rPr/>
        <w:t>）必须持续性依赖心脏起搏器维持心脏正常功能，且已经放置心脏起搏器。</w:t>
      </w:r>
    </w:p>
    <w:p>
      <w:pPr>
        <w:pStyle w:val="BodyText"/>
        <w:tabs>
          <w:tab w:pos="3375" w:val="left" w:leader="none"/>
        </w:tabs>
        <w:spacing w:before="21"/>
      </w:pPr>
      <w:r>
        <w:rPr>
          <w:rFonts w:ascii="Times New Roman" w:eastAsia="Times New Roman"/>
        </w:rPr>
        <w:t>66.</w:t>
      </w:r>
      <w:r>
        <w:rPr/>
        <w:t>溶血</w:t>
      </w:r>
      <w:r>
        <w:rPr>
          <w:spacing w:val="-3"/>
        </w:rPr>
        <w:t>性</w:t>
      </w:r>
      <w:r>
        <w:rPr/>
        <w:t>链</w:t>
      </w:r>
      <w:r>
        <w:rPr>
          <w:spacing w:val="-3"/>
        </w:rPr>
        <w:t>球</w:t>
      </w:r>
      <w:r>
        <w:rPr/>
        <w:t>菌</w:t>
      </w:r>
      <w:r>
        <w:rPr>
          <w:spacing w:val="-3"/>
        </w:rPr>
        <w:t>引</w:t>
      </w:r>
      <w:r>
        <w:rPr/>
        <w:t>起</w:t>
      </w:r>
      <w:r>
        <w:rPr>
          <w:spacing w:val="-3"/>
        </w:rPr>
        <w:t>的</w:t>
      </w:r>
      <w:r>
        <w:rPr/>
        <w:t>坏疽</w:t>
        <w:tab/>
      </w:r>
      <w:r>
        <w:rPr>
          <w:spacing w:val="-1"/>
        </w:rPr>
        <w:t>指包</w:t>
      </w:r>
      <w:r>
        <w:rPr>
          <w:spacing w:val="-3"/>
        </w:rPr>
        <w:t>围</w:t>
      </w:r>
      <w:r>
        <w:rPr/>
        <w:t>肢</w:t>
      </w:r>
      <w:r>
        <w:rPr>
          <w:spacing w:val="-3"/>
        </w:rPr>
        <w:t>体</w:t>
      </w:r>
      <w:r>
        <w:rPr/>
        <w:t>或</w:t>
      </w:r>
      <w:r>
        <w:rPr>
          <w:spacing w:val="-3"/>
        </w:rPr>
        <w:t>躯</w:t>
      </w:r>
      <w:r>
        <w:rPr/>
        <w:t>干</w:t>
      </w:r>
      <w:r>
        <w:rPr>
          <w:spacing w:val="-3"/>
        </w:rPr>
        <w:t>的</w:t>
      </w:r>
      <w:r>
        <w:rPr/>
        <w:t>浅</w:t>
      </w:r>
      <w:r>
        <w:rPr>
          <w:spacing w:val="-3"/>
        </w:rPr>
        <w:t>筋</w:t>
      </w:r>
      <w:r>
        <w:rPr/>
        <w:t>膜和</w:t>
      </w:r>
      <w:r>
        <w:rPr>
          <w:rFonts w:ascii="Times New Roman" w:eastAsia="Times New Roman"/>
        </w:rPr>
        <w:t>/</w:t>
      </w:r>
      <w:r>
        <w:rPr>
          <w:spacing w:val="-3"/>
        </w:rPr>
        <w:t>或</w:t>
      </w:r>
      <w:r>
        <w:rPr/>
        <w:t>深</w:t>
      </w:r>
      <w:r>
        <w:rPr>
          <w:spacing w:val="-3"/>
        </w:rPr>
        <w:t>筋</w:t>
      </w:r>
      <w:r>
        <w:rPr/>
        <w:t>膜</w:t>
      </w:r>
      <w:r>
        <w:rPr>
          <w:spacing w:val="-3"/>
        </w:rPr>
        <w:t>受</w:t>
      </w:r>
      <w:r>
        <w:rPr/>
        <w:t>到</w:t>
      </w:r>
      <w:r>
        <w:rPr>
          <w:spacing w:val="-3"/>
        </w:rPr>
        <w:t>溶</w:t>
      </w:r>
      <w:r>
        <w:rPr/>
        <w:t>血</w:t>
      </w:r>
      <w:r>
        <w:rPr>
          <w:spacing w:val="-3"/>
        </w:rPr>
        <w:t>性</w:t>
      </w:r>
      <w:r>
        <w:rPr/>
        <w:t>链球</w:t>
      </w:r>
      <w:r>
        <w:rPr>
          <w:spacing w:val="-3"/>
        </w:rPr>
        <w:t>菌</w:t>
      </w:r>
      <w:r>
        <w:rPr/>
        <w:t>的</w:t>
      </w:r>
      <w:r>
        <w:rPr>
          <w:spacing w:val="-3"/>
        </w:rPr>
        <w:t>感</w:t>
      </w:r>
      <w:r>
        <w:rPr/>
        <w:t>染</w:t>
      </w:r>
      <w:r>
        <w:rPr>
          <w:spacing w:val="-3"/>
        </w:rPr>
        <w:t>，</w:t>
      </w:r>
      <w:r>
        <w:rPr/>
        <w:t>病</w:t>
      </w:r>
      <w:r>
        <w:rPr>
          <w:spacing w:val="-3"/>
        </w:rPr>
        <w:t>情</w:t>
      </w:r>
      <w:r>
        <w:rPr/>
        <w:t>在</w:t>
      </w:r>
    </w:p>
    <w:p>
      <w:pPr>
        <w:pStyle w:val="BodyText"/>
        <w:spacing w:line="273" w:lineRule="auto" w:before="20"/>
        <w:ind w:left="3375" w:right="203"/>
      </w:pPr>
      <w:r>
        <w:rPr/>
        <w:t>短时间内急剧恶化，必须立刻进行手术及清创术。最后的诊断必须由微生物或病理学专家进行相关检查后证实。</w:t>
      </w:r>
    </w:p>
    <w:p>
      <w:pPr>
        <w:spacing w:after="0" w:line="273" w:lineRule="auto"/>
        <w:sectPr>
          <w:type w:val="continuous"/>
          <w:pgSz w:w="11910" w:h="16160"/>
          <w:pgMar w:top="560" w:bottom="280" w:left="960" w:right="640"/>
        </w:sectPr>
      </w:pPr>
    </w:p>
    <w:p>
      <w:pPr>
        <w:pStyle w:val="BodyText"/>
        <w:spacing w:before="7"/>
        <w:ind w:left="560"/>
      </w:pPr>
      <w:r>
        <w:rPr/>
        <w:t>二、重大疾病所属组别</w:t>
      </w:r>
    </w:p>
    <w:p>
      <w:pPr>
        <w:spacing w:line="273" w:lineRule="auto" w:before="37" w:after="20"/>
        <w:ind w:left="137" w:right="140" w:firstLine="420"/>
        <w:jc w:val="left"/>
        <w:rPr>
          <w:sz w:val="21"/>
        </w:rPr>
      </w:pPr>
      <w:r>
        <w:rPr>
          <w:sz w:val="21"/>
        </w:rPr>
        <w:t>本合同所保障的重大疾病共分为三组，每组所包含的重大疾病如下表所示，</w:t>
      </w:r>
      <w:r>
        <w:rPr>
          <w:b/>
          <w:sz w:val="21"/>
        </w:rPr>
        <w:t>同一组别内的重大疾病最多给付一次</w:t>
      </w:r>
      <w:r>
        <w:rPr>
          <w:sz w:val="21"/>
        </w:rPr>
        <w:t>：</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3312"/>
        <w:gridCol w:w="3315"/>
      </w:tblGrid>
      <w:tr>
        <w:trPr>
          <w:trHeight w:val="311" w:hRule="atLeast"/>
        </w:trPr>
        <w:tc>
          <w:tcPr>
            <w:tcW w:w="3313" w:type="dxa"/>
          </w:tcPr>
          <w:p>
            <w:pPr>
              <w:pStyle w:val="TableParagraph"/>
              <w:spacing w:line="278" w:lineRule="exact"/>
              <w:ind w:left="107"/>
              <w:rPr>
                <w:sz w:val="21"/>
              </w:rPr>
            </w:pPr>
            <w:r>
              <w:rPr>
                <w:rFonts w:ascii="Times New Roman" w:eastAsia="Times New Roman"/>
                <w:sz w:val="21"/>
              </w:rPr>
              <w:t>A </w:t>
            </w:r>
            <w:r>
              <w:rPr>
                <w:sz w:val="21"/>
              </w:rPr>
              <w:t>组（</w:t>
            </w:r>
            <w:r>
              <w:rPr>
                <w:rFonts w:ascii="Times New Roman" w:eastAsia="Times New Roman"/>
                <w:sz w:val="21"/>
              </w:rPr>
              <w:t>22 </w:t>
            </w:r>
            <w:r>
              <w:rPr>
                <w:sz w:val="21"/>
              </w:rPr>
              <w:t>种）</w:t>
            </w:r>
          </w:p>
        </w:tc>
        <w:tc>
          <w:tcPr>
            <w:tcW w:w="3312" w:type="dxa"/>
          </w:tcPr>
          <w:p>
            <w:pPr>
              <w:pStyle w:val="TableParagraph"/>
              <w:spacing w:line="278" w:lineRule="exact"/>
              <w:ind w:left="107"/>
              <w:rPr>
                <w:sz w:val="21"/>
              </w:rPr>
            </w:pPr>
            <w:r>
              <w:rPr>
                <w:rFonts w:ascii="Times New Roman" w:eastAsia="Times New Roman"/>
                <w:sz w:val="21"/>
              </w:rPr>
              <w:t>B </w:t>
            </w:r>
            <w:r>
              <w:rPr>
                <w:sz w:val="21"/>
              </w:rPr>
              <w:t>组（</w:t>
            </w:r>
            <w:r>
              <w:rPr>
                <w:rFonts w:ascii="Times New Roman" w:eastAsia="Times New Roman"/>
                <w:sz w:val="21"/>
              </w:rPr>
              <w:t>22 </w:t>
            </w:r>
            <w:r>
              <w:rPr>
                <w:sz w:val="21"/>
              </w:rPr>
              <w:t>种）</w:t>
            </w:r>
          </w:p>
        </w:tc>
        <w:tc>
          <w:tcPr>
            <w:tcW w:w="3315" w:type="dxa"/>
          </w:tcPr>
          <w:p>
            <w:pPr>
              <w:pStyle w:val="TableParagraph"/>
              <w:spacing w:line="278" w:lineRule="exact"/>
              <w:ind w:left="108"/>
              <w:rPr>
                <w:sz w:val="21"/>
              </w:rPr>
            </w:pPr>
            <w:r>
              <w:rPr>
                <w:rFonts w:ascii="Times New Roman" w:eastAsia="Times New Roman"/>
                <w:sz w:val="21"/>
              </w:rPr>
              <w:t>C </w:t>
            </w:r>
            <w:r>
              <w:rPr>
                <w:sz w:val="21"/>
              </w:rPr>
              <w:t>组（</w:t>
            </w:r>
            <w:r>
              <w:rPr>
                <w:rFonts w:ascii="Times New Roman" w:eastAsia="Times New Roman"/>
                <w:sz w:val="21"/>
              </w:rPr>
              <w:t>22 </w:t>
            </w:r>
            <w:r>
              <w:rPr>
                <w:sz w:val="21"/>
              </w:rPr>
              <w:t>种）</w:t>
            </w:r>
          </w:p>
        </w:tc>
      </w:tr>
      <w:tr>
        <w:trPr>
          <w:trHeight w:val="7802" w:hRule="atLeast"/>
        </w:trPr>
        <w:tc>
          <w:tcPr>
            <w:tcW w:w="3313" w:type="dxa"/>
          </w:tcPr>
          <w:p>
            <w:pPr>
              <w:pStyle w:val="TableParagraph"/>
              <w:numPr>
                <w:ilvl w:val="0"/>
                <w:numId w:val="9"/>
              </w:numPr>
              <w:tabs>
                <w:tab w:pos="442" w:val="left" w:leader="none"/>
              </w:tabs>
              <w:spacing w:line="280" w:lineRule="exact" w:before="0" w:after="0"/>
              <w:ind w:left="441" w:right="0" w:hanging="334"/>
              <w:jc w:val="left"/>
              <w:rPr>
                <w:sz w:val="21"/>
              </w:rPr>
            </w:pPr>
            <w:r>
              <w:rPr>
                <w:spacing w:val="-1"/>
                <w:sz w:val="21"/>
              </w:rPr>
              <w:t>恶性肿瘤</w:t>
            </w:r>
          </w:p>
          <w:p>
            <w:pPr>
              <w:pStyle w:val="TableParagraph"/>
              <w:numPr>
                <w:ilvl w:val="0"/>
                <w:numId w:val="9"/>
              </w:numPr>
              <w:tabs>
                <w:tab w:pos="442" w:val="left" w:leader="none"/>
              </w:tabs>
              <w:spacing w:line="256" w:lineRule="auto" w:before="21" w:after="0"/>
              <w:ind w:left="441" w:right="96" w:hanging="334"/>
              <w:jc w:val="left"/>
              <w:rPr>
                <w:sz w:val="21"/>
              </w:rPr>
            </w:pPr>
            <w:r>
              <w:rPr>
                <w:sz w:val="21"/>
              </w:rPr>
              <w:t>重大器官移植术或造血干细胞移植术</w:t>
            </w:r>
          </w:p>
          <w:p>
            <w:pPr>
              <w:pStyle w:val="TableParagraph"/>
              <w:numPr>
                <w:ilvl w:val="0"/>
                <w:numId w:val="9"/>
              </w:numPr>
              <w:tabs>
                <w:tab w:pos="442" w:val="left" w:leader="none"/>
              </w:tabs>
              <w:spacing w:line="256" w:lineRule="auto" w:before="22" w:after="0"/>
              <w:ind w:left="441" w:right="96" w:hanging="334"/>
              <w:jc w:val="left"/>
              <w:rPr>
                <w:sz w:val="21"/>
              </w:rPr>
            </w:pPr>
            <w:r>
              <w:rPr>
                <w:sz w:val="21"/>
              </w:rPr>
              <w:t>终末期肾病（或称慢性肾功能</w:t>
            </w:r>
            <w:r>
              <w:rPr>
                <w:spacing w:val="-2"/>
                <w:sz w:val="21"/>
              </w:rPr>
              <w:t>衰竭尿毒症期</w:t>
            </w:r>
            <w:r>
              <w:rPr>
                <w:sz w:val="21"/>
              </w:rPr>
              <w:t>）</w:t>
            </w:r>
          </w:p>
          <w:p>
            <w:pPr>
              <w:pStyle w:val="TableParagraph"/>
              <w:numPr>
                <w:ilvl w:val="0"/>
                <w:numId w:val="9"/>
              </w:numPr>
              <w:tabs>
                <w:tab w:pos="442" w:val="left" w:leader="none"/>
              </w:tabs>
              <w:spacing w:line="240" w:lineRule="auto" w:before="22" w:after="0"/>
              <w:ind w:left="441" w:right="0" w:hanging="334"/>
              <w:jc w:val="left"/>
              <w:rPr>
                <w:sz w:val="21"/>
              </w:rPr>
            </w:pPr>
            <w:r>
              <w:rPr>
                <w:spacing w:val="-3"/>
                <w:sz w:val="21"/>
              </w:rPr>
              <w:t>急性或亚急性重症肝炎</w:t>
            </w:r>
          </w:p>
          <w:p>
            <w:pPr>
              <w:pStyle w:val="TableParagraph"/>
              <w:numPr>
                <w:ilvl w:val="0"/>
                <w:numId w:val="9"/>
              </w:numPr>
              <w:tabs>
                <w:tab w:pos="442" w:val="left" w:leader="none"/>
              </w:tabs>
              <w:spacing w:line="240" w:lineRule="auto" w:before="21" w:after="0"/>
              <w:ind w:left="441" w:right="0" w:hanging="334"/>
              <w:jc w:val="left"/>
              <w:rPr>
                <w:sz w:val="21"/>
              </w:rPr>
            </w:pPr>
            <w:r>
              <w:rPr>
                <w:spacing w:val="-3"/>
                <w:sz w:val="21"/>
              </w:rPr>
              <w:t>慢性肝功能衰竭失代偿期</w:t>
            </w:r>
          </w:p>
          <w:p>
            <w:pPr>
              <w:pStyle w:val="TableParagraph"/>
              <w:numPr>
                <w:ilvl w:val="0"/>
                <w:numId w:val="9"/>
              </w:numPr>
              <w:tabs>
                <w:tab w:pos="442" w:val="left" w:leader="none"/>
              </w:tabs>
              <w:spacing w:line="240" w:lineRule="auto" w:before="21" w:after="0"/>
              <w:ind w:left="441" w:right="0" w:hanging="334"/>
              <w:jc w:val="left"/>
              <w:rPr>
                <w:sz w:val="21"/>
              </w:rPr>
            </w:pPr>
            <w:r>
              <w:rPr>
                <w:spacing w:val="-3"/>
                <w:sz w:val="21"/>
              </w:rPr>
              <w:t>重型再生障碍性贫血</w:t>
            </w:r>
          </w:p>
          <w:p>
            <w:pPr>
              <w:pStyle w:val="TableParagraph"/>
              <w:numPr>
                <w:ilvl w:val="0"/>
                <w:numId w:val="9"/>
              </w:numPr>
              <w:tabs>
                <w:tab w:pos="442" w:val="left" w:leader="none"/>
              </w:tabs>
              <w:spacing w:line="240" w:lineRule="auto" w:before="21" w:after="0"/>
              <w:ind w:left="441" w:right="0" w:hanging="334"/>
              <w:jc w:val="left"/>
              <w:rPr>
                <w:sz w:val="21"/>
              </w:rPr>
            </w:pPr>
            <w:r>
              <w:rPr>
                <w:spacing w:val="-3"/>
                <w:sz w:val="21"/>
              </w:rPr>
              <w:t>慢性复发性胰腺炎</w:t>
            </w:r>
          </w:p>
          <w:p>
            <w:pPr>
              <w:pStyle w:val="TableParagraph"/>
              <w:numPr>
                <w:ilvl w:val="0"/>
                <w:numId w:val="9"/>
              </w:numPr>
              <w:tabs>
                <w:tab w:pos="442" w:val="left" w:leader="none"/>
              </w:tabs>
              <w:spacing w:line="240" w:lineRule="auto" w:before="20" w:after="0"/>
              <w:ind w:left="441" w:right="0" w:hanging="334"/>
              <w:jc w:val="left"/>
              <w:rPr>
                <w:sz w:val="21"/>
              </w:rPr>
            </w:pPr>
            <w:r>
              <w:rPr>
                <w:spacing w:val="-10"/>
                <w:sz w:val="21"/>
              </w:rPr>
              <w:t>经输血导致的 </w:t>
            </w:r>
            <w:r>
              <w:rPr>
                <w:rFonts w:ascii="Times New Roman" w:eastAsia="Times New Roman"/>
                <w:sz w:val="21"/>
              </w:rPr>
              <w:t>HIV</w:t>
            </w:r>
            <w:r>
              <w:rPr>
                <w:rFonts w:ascii="Times New Roman" w:eastAsia="Times New Roman"/>
                <w:spacing w:val="3"/>
                <w:sz w:val="21"/>
              </w:rPr>
              <w:t> </w:t>
            </w:r>
            <w:r>
              <w:rPr>
                <w:spacing w:val="-3"/>
                <w:sz w:val="21"/>
              </w:rPr>
              <w:t>感染</w:t>
            </w:r>
          </w:p>
          <w:p>
            <w:pPr>
              <w:pStyle w:val="TableParagraph"/>
              <w:numPr>
                <w:ilvl w:val="0"/>
                <w:numId w:val="9"/>
              </w:numPr>
              <w:tabs>
                <w:tab w:pos="442" w:val="left" w:leader="none"/>
              </w:tabs>
              <w:spacing w:line="240" w:lineRule="auto" w:before="20" w:after="0"/>
              <w:ind w:left="441" w:right="0" w:hanging="334"/>
              <w:jc w:val="left"/>
              <w:rPr>
                <w:sz w:val="21"/>
              </w:rPr>
            </w:pPr>
            <w:r>
              <w:rPr>
                <w:spacing w:val="-2"/>
                <w:sz w:val="21"/>
              </w:rPr>
              <w:t>严重克罗恩病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6"/>
                <w:sz w:val="21"/>
              </w:rPr>
              <w:t> </w:t>
            </w:r>
            <w:r>
              <w:rPr>
                <w:spacing w:val="-3"/>
                <w:sz w:val="21"/>
              </w:rPr>
              <w:t>病）</w:t>
            </w:r>
          </w:p>
          <w:p>
            <w:pPr>
              <w:pStyle w:val="TableParagraph"/>
              <w:numPr>
                <w:ilvl w:val="0"/>
                <w:numId w:val="9"/>
              </w:numPr>
              <w:tabs>
                <w:tab w:pos="442" w:val="left" w:leader="none"/>
              </w:tabs>
              <w:spacing w:line="256" w:lineRule="auto" w:before="20" w:after="0"/>
              <w:ind w:left="441" w:right="96" w:hanging="334"/>
              <w:jc w:val="left"/>
              <w:rPr>
                <w:sz w:val="21"/>
              </w:rPr>
            </w:pPr>
            <w:r>
              <w:rPr>
                <w:spacing w:val="-4"/>
                <w:sz w:val="21"/>
              </w:rPr>
              <w:t>系统性红斑狼疮 －</w:t>
            </w:r>
            <w:r>
              <w:rPr>
                <w:spacing w:val="-20"/>
                <w:sz w:val="21"/>
              </w:rPr>
              <w:t>（</w:t>
            </w:r>
            <w:r>
              <w:rPr>
                <w:spacing w:val="-3"/>
                <w:sz w:val="21"/>
              </w:rPr>
              <w:t>并发</w:t>
            </w:r>
            <w:r>
              <w:rPr>
                <w:spacing w:val="-10"/>
                <w:sz w:val="21"/>
              </w:rPr>
              <w:t>）</w:t>
            </w:r>
            <w:r>
              <w:rPr>
                <w:rFonts w:ascii="Times New Roman" w:eastAsia="Times New Roman"/>
                <w:spacing w:val="-10"/>
                <w:sz w:val="21"/>
              </w:rPr>
              <w:t>III </w:t>
            </w:r>
            <w:r>
              <w:rPr>
                <w:spacing w:val="-3"/>
                <w:sz w:val="21"/>
              </w:rPr>
              <w:t>型或以上狼疮性肾炎</w:t>
            </w:r>
          </w:p>
          <w:p>
            <w:pPr>
              <w:pStyle w:val="TableParagraph"/>
              <w:numPr>
                <w:ilvl w:val="0"/>
                <w:numId w:val="9"/>
              </w:numPr>
              <w:tabs>
                <w:tab w:pos="442" w:val="left" w:leader="none"/>
              </w:tabs>
              <w:spacing w:line="240" w:lineRule="auto" w:before="21" w:after="0"/>
              <w:ind w:left="441" w:right="0" w:hanging="334"/>
              <w:jc w:val="left"/>
              <w:rPr>
                <w:sz w:val="21"/>
              </w:rPr>
            </w:pPr>
            <w:r>
              <w:rPr>
                <w:spacing w:val="-3"/>
                <w:sz w:val="21"/>
              </w:rPr>
              <w:t>原发性硬化性胆管炎</w:t>
            </w:r>
          </w:p>
          <w:p>
            <w:pPr>
              <w:pStyle w:val="TableParagraph"/>
              <w:numPr>
                <w:ilvl w:val="0"/>
                <w:numId w:val="9"/>
              </w:numPr>
              <w:tabs>
                <w:tab w:pos="442" w:val="left" w:leader="none"/>
              </w:tabs>
              <w:spacing w:line="240" w:lineRule="auto" w:before="20" w:after="0"/>
              <w:ind w:left="441" w:right="0" w:hanging="334"/>
              <w:jc w:val="left"/>
              <w:rPr>
                <w:sz w:val="21"/>
              </w:rPr>
            </w:pPr>
            <w:r>
              <w:rPr>
                <w:spacing w:val="-3"/>
                <w:sz w:val="21"/>
              </w:rPr>
              <w:t>严重溃疡性结肠炎</w:t>
            </w:r>
          </w:p>
          <w:p>
            <w:pPr>
              <w:pStyle w:val="TableParagraph"/>
              <w:numPr>
                <w:ilvl w:val="0"/>
                <w:numId w:val="9"/>
              </w:numPr>
              <w:tabs>
                <w:tab w:pos="442" w:val="left" w:leader="none"/>
              </w:tabs>
              <w:spacing w:line="240" w:lineRule="auto" w:before="20" w:after="0"/>
              <w:ind w:left="441" w:right="0" w:hanging="334"/>
              <w:jc w:val="left"/>
              <w:rPr>
                <w:sz w:val="21"/>
              </w:rPr>
            </w:pPr>
            <w:r>
              <w:rPr>
                <w:spacing w:val="-3"/>
                <w:sz w:val="21"/>
              </w:rPr>
              <w:t>急性坏死性胰腺炎开腹手术</w:t>
            </w:r>
          </w:p>
          <w:p>
            <w:pPr>
              <w:pStyle w:val="TableParagraph"/>
              <w:numPr>
                <w:ilvl w:val="0"/>
                <w:numId w:val="9"/>
              </w:numPr>
              <w:tabs>
                <w:tab w:pos="442" w:val="left" w:leader="none"/>
              </w:tabs>
              <w:spacing w:line="240" w:lineRule="auto" w:before="20" w:after="0"/>
              <w:ind w:left="441" w:right="0" w:hanging="334"/>
              <w:jc w:val="left"/>
              <w:rPr>
                <w:sz w:val="21"/>
              </w:rPr>
            </w:pPr>
            <w:r>
              <w:rPr>
                <w:spacing w:val="-1"/>
                <w:sz w:val="21"/>
              </w:rPr>
              <w:t>胰腺移植</w:t>
            </w:r>
          </w:p>
          <w:p>
            <w:pPr>
              <w:pStyle w:val="TableParagraph"/>
              <w:numPr>
                <w:ilvl w:val="0"/>
                <w:numId w:val="9"/>
              </w:numPr>
              <w:tabs>
                <w:tab w:pos="442" w:val="left" w:leader="none"/>
              </w:tabs>
              <w:spacing w:line="240" w:lineRule="auto" w:before="20" w:after="0"/>
              <w:ind w:left="441" w:right="0" w:hanging="334"/>
              <w:jc w:val="left"/>
              <w:rPr>
                <w:sz w:val="21"/>
              </w:rPr>
            </w:pPr>
            <w:r>
              <w:rPr>
                <w:spacing w:val="-2"/>
                <w:sz w:val="21"/>
              </w:rPr>
              <w:t>肾髓质囊性病</w:t>
            </w:r>
          </w:p>
          <w:p>
            <w:pPr>
              <w:pStyle w:val="TableParagraph"/>
              <w:numPr>
                <w:ilvl w:val="0"/>
                <w:numId w:val="9"/>
              </w:numPr>
              <w:tabs>
                <w:tab w:pos="442" w:val="left" w:leader="none"/>
              </w:tabs>
              <w:spacing w:line="240" w:lineRule="auto" w:before="20" w:after="0"/>
              <w:ind w:left="441" w:right="0" w:hanging="334"/>
              <w:jc w:val="left"/>
              <w:rPr>
                <w:sz w:val="21"/>
              </w:rPr>
            </w:pPr>
            <w:r>
              <w:rPr>
                <w:spacing w:val="-2"/>
                <w:sz w:val="21"/>
              </w:rPr>
              <w:t>肝豆状核变性</w:t>
            </w:r>
          </w:p>
          <w:p>
            <w:pPr>
              <w:pStyle w:val="TableParagraph"/>
              <w:numPr>
                <w:ilvl w:val="0"/>
                <w:numId w:val="9"/>
              </w:numPr>
              <w:tabs>
                <w:tab w:pos="442" w:val="left" w:leader="none"/>
              </w:tabs>
              <w:spacing w:line="240" w:lineRule="auto" w:before="21" w:after="0"/>
              <w:ind w:left="441" w:right="0" w:hanging="334"/>
              <w:jc w:val="left"/>
              <w:rPr>
                <w:sz w:val="21"/>
              </w:rPr>
            </w:pPr>
            <w:r>
              <w:rPr>
                <w:spacing w:val="-3"/>
                <w:sz w:val="21"/>
              </w:rPr>
              <w:t>严重自身免疫性肝炎</w:t>
            </w:r>
          </w:p>
          <w:p>
            <w:pPr>
              <w:pStyle w:val="TableParagraph"/>
              <w:numPr>
                <w:ilvl w:val="0"/>
                <w:numId w:val="9"/>
              </w:numPr>
              <w:tabs>
                <w:tab w:pos="442" w:val="left" w:leader="none"/>
              </w:tabs>
              <w:spacing w:line="240" w:lineRule="auto" w:before="21" w:after="0"/>
              <w:ind w:left="441" w:right="0" w:hanging="334"/>
              <w:jc w:val="left"/>
              <w:rPr>
                <w:sz w:val="21"/>
              </w:rPr>
            </w:pPr>
            <w:r>
              <w:rPr>
                <w:spacing w:val="-9"/>
                <w:sz w:val="21"/>
              </w:rPr>
              <w:t>因职业关系导致的 </w:t>
            </w:r>
            <w:r>
              <w:rPr>
                <w:rFonts w:ascii="Times New Roman" w:eastAsia="Times New Roman"/>
                <w:sz w:val="21"/>
              </w:rPr>
              <w:t>HIV</w:t>
            </w:r>
            <w:r>
              <w:rPr>
                <w:rFonts w:ascii="Times New Roman" w:eastAsia="Times New Roman"/>
                <w:spacing w:val="5"/>
                <w:sz w:val="21"/>
              </w:rPr>
              <w:t> </w:t>
            </w:r>
            <w:r>
              <w:rPr>
                <w:spacing w:val="-3"/>
                <w:sz w:val="21"/>
              </w:rPr>
              <w:t>感染</w:t>
            </w:r>
          </w:p>
          <w:p>
            <w:pPr>
              <w:pStyle w:val="TableParagraph"/>
              <w:numPr>
                <w:ilvl w:val="0"/>
                <w:numId w:val="9"/>
              </w:numPr>
              <w:tabs>
                <w:tab w:pos="442" w:val="left" w:leader="none"/>
              </w:tabs>
              <w:spacing w:line="240" w:lineRule="auto" w:before="21" w:after="0"/>
              <w:ind w:left="441" w:right="0" w:hanging="334"/>
              <w:jc w:val="left"/>
              <w:rPr>
                <w:sz w:val="21"/>
              </w:rPr>
            </w:pPr>
            <w:r>
              <w:rPr>
                <w:spacing w:val="-3"/>
                <w:sz w:val="21"/>
              </w:rPr>
              <w:t>特定年龄严重肠道疾病并发症</w:t>
            </w:r>
          </w:p>
          <w:p>
            <w:pPr>
              <w:pStyle w:val="TableParagraph"/>
              <w:numPr>
                <w:ilvl w:val="0"/>
                <w:numId w:val="9"/>
              </w:numPr>
              <w:tabs>
                <w:tab w:pos="442" w:val="left" w:leader="none"/>
              </w:tabs>
              <w:spacing w:line="240" w:lineRule="auto" w:before="21" w:after="0"/>
              <w:ind w:left="441" w:right="0" w:hanging="334"/>
              <w:jc w:val="left"/>
              <w:rPr>
                <w:sz w:val="21"/>
              </w:rPr>
            </w:pPr>
            <w:r>
              <w:rPr>
                <w:sz w:val="21"/>
              </w:rPr>
              <w:t>疯牛病</w:t>
            </w:r>
          </w:p>
          <w:p>
            <w:pPr>
              <w:pStyle w:val="TableParagraph"/>
              <w:numPr>
                <w:ilvl w:val="0"/>
                <w:numId w:val="9"/>
              </w:numPr>
              <w:tabs>
                <w:tab w:pos="442" w:val="left" w:leader="none"/>
              </w:tabs>
              <w:spacing w:line="240" w:lineRule="auto" w:before="21" w:after="0"/>
              <w:ind w:left="441" w:right="0" w:hanging="334"/>
              <w:jc w:val="left"/>
              <w:rPr>
                <w:sz w:val="21"/>
              </w:rPr>
            </w:pPr>
            <w:r>
              <w:rPr>
                <w:spacing w:val="-2"/>
                <w:sz w:val="21"/>
              </w:rPr>
              <w:t>埃博拉病毒感染</w:t>
            </w:r>
          </w:p>
          <w:p>
            <w:pPr>
              <w:pStyle w:val="TableParagraph"/>
              <w:numPr>
                <w:ilvl w:val="0"/>
                <w:numId w:val="9"/>
              </w:numPr>
              <w:tabs>
                <w:tab w:pos="442" w:val="left" w:leader="none"/>
              </w:tabs>
              <w:spacing w:line="240" w:lineRule="auto" w:before="21" w:after="0"/>
              <w:ind w:left="441" w:right="0" w:hanging="334"/>
              <w:jc w:val="left"/>
              <w:rPr>
                <w:sz w:val="21"/>
              </w:rPr>
            </w:pPr>
            <w:r>
              <w:rPr>
                <w:spacing w:val="-2"/>
                <w:sz w:val="21"/>
              </w:rPr>
              <w:t>肺淋巴管肌瘤病</w:t>
            </w:r>
          </w:p>
        </w:tc>
        <w:tc>
          <w:tcPr>
            <w:tcW w:w="3312" w:type="dxa"/>
          </w:tcPr>
          <w:p>
            <w:pPr>
              <w:pStyle w:val="TableParagraph"/>
              <w:numPr>
                <w:ilvl w:val="0"/>
                <w:numId w:val="10"/>
              </w:numPr>
              <w:tabs>
                <w:tab w:pos="425" w:val="left" w:leader="none"/>
              </w:tabs>
              <w:spacing w:line="280" w:lineRule="exact" w:before="0" w:after="0"/>
              <w:ind w:left="424" w:right="0" w:hanging="317"/>
              <w:jc w:val="left"/>
              <w:rPr>
                <w:sz w:val="21"/>
              </w:rPr>
            </w:pPr>
            <w:r>
              <w:rPr>
                <w:spacing w:val="-2"/>
                <w:sz w:val="21"/>
              </w:rPr>
              <w:t>急性心肌梗塞</w:t>
            </w:r>
          </w:p>
          <w:p>
            <w:pPr>
              <w:pStyle w:val="TableParagraph"/>
              <w:numPr>
                <w:ilvl w:val="0"/>
                <w:numId w:val="10"/>
              </w:numPr>
              <w:tabs>
                <w:tab w:pos="425" w:val="left" w:leader="none"/>
              </w:tabs>
              <w:spacing w:line="256" w:lineRule="auto" w:before="21" w:after="0"/>
              <w:ind w:left="424" w:right="94" w:hanging="317"/>
              <w:jc w:val="left"/>
              <w:rPr>
                <w:sz w:val="21"/>
              </w:rPr>
            </w:pPr>
            <w:r>
              <w:rPr>
                <w:sz w:val="21"/>
              </w:rPr>
              <w:t>冠状动脉搭桥术（或称冠状动</w:t>
            </w:r>
            <w:r>
              <w:rPr>
                <w:spacing w:val="-2"/>
                <w:sz w:val="21"/>
              </w:rPr>
              <w:t>脉旁路移植术</w:t>
            </w:r>
            <w:r>
              <w:rPr>
                <w:sz w:val="21"/>
              </w:rPr>
              <w:t>）</w:t>
            </w:r>
          </w:p>
          <w:p>
            <w:pPr>
              <w:pStyle w:val="TableParagraph"/>
              <w:numPr>
                <w:ilvl w:val="0"/>
                <w:numId w:val="10"/>
              </w:numPr>
              <w:tabs>
                <w:tab w:pos="425" w:val="left" w:leader="none"/>
              </w:tabs>
              <w:spacing w:line="240" w:lineRule="auto" w:before="22" w:after="0"/>
              <w:ind w:left="424" w:right="0" w:hanging="317"/>
              <w:jc w:val="left"/>
              <w:rPr>
                <w:sz w:val="21"/>
              </w:rPr>
            </w:pPr>
            <w:r>
              <w:rPr>
                <w:spacing w:val="-2"/>
                <w:sz w:val="21"/>
              </w:rPr>
              <w:t>心脏瓣膜手术</w:t>
            </w:r>
          </w:p>
          <w:p>
            <w:pPr>
              <w:pStyle w:val="TableParagraph"/>
              <w:numPr>
                <w:ilvl w:val="0"/>
                <w:numId w:val="10"/>
              </w:numPr>
              <w:tabs>
                <w:tab w:pos="425" w:val="left" w:leader="none"/>
              </w:tabs>
              <w:spacing w:line="240" w:lineRule="auto" w:before="21" w:after="0"/>
              <w:ind w:left="424" w:right="0" w:hanging="317"/>
              <w:jc w:val="left"/>
              <w:rPr>
                <w:sz w:val="21"/>
              </w:rPr>
            </w:pPr>
            <w:r>
              <w:rPr>
                <w:spacing w:val="-1"/>
                <w:sz w:val="21"/>
              </w:rPr>
              <w:t>主动脉手术</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严重原发性心肌病</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严重原发性肺动脉高压</w:t>
            </w:r>
          </w:p>
          <w:p>
            <w:pPr>
              <w:pStyle w:val="TableParagraph"/>
              <w:numPr>
                <w:ilvl w:val="0"/>
                <w:numId w:val="10"/>
              </w:numPr>
              <w:tabs>
                <w:tab w:pos="425" w:val="left" w:leader="none"/>
              </w:tabs>
              <w:spacing w:line="240" w:lineRule="auto" w:before="21" w:after="0"/>
              <w:ind w:left="424" w:right="0" w:hanging="317"/>
              <w:jc w:val="left"/>
              <w:rPr>
                <w:sz w:val="21"/>
              </w:rPr>
            </w:pPr>
            <w:r>
              <w:rPr>
                <w:spacing w:val="-1"/>
                <w:sz w:val="21"/>
              </w:rPr>
              <w:t>严重冠心病</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严重慢性呼吸功能衰竭</w:t>
            </w:r>
          </w:p>
          <w:p>
            <w:pPr>
              <w:pStyle w:val="TableParagraph"/>
              <w:numPr>
                <w:ilvl w:val="0"/>
                <w:numId w:val="10"/>
              </w:numPr>
              <w:tabs>
                <w:tab w:pos="425" w:val="left" w:leader="none"/>
              </w:tabs>
              <w:spacing w:line="256" w:lineRule="auto" w:before="20" w:after="0"/>
              <w:ind w:left="424" w:right="94" w:hanging="317"/>
              <w:jc w:val="left"/>
              <w:rPr>
                <w:sz w:val="21"/>
              </w:rPr>
            </w:pPr>
            <w:r>
              <w:rPr>
                <w:sz w:val="21"/>
              </w:rPr>
              <w:t>特发性慢性肾上腺皮质功能减退</w:t>
            </w:r>
          </w:p>
          <w:p>
            <w:pPr>
              <w:pStyle w:val="TableParagraph"/>
              <w:numPr>
                <w:ilvl w:val="0"/>
                <w:numId w:val="10"/>
              </w:numPr>
              <w:tabs>
                <w:tab w:pos="425" w:val="left" w:leader="none"/>
              </w:tabs>
              <w:spacing w:line="240" w:lineRule="auto" w:before="22" w:after="0"/>
              <w:ind w:left="424" w:right="0" w:hanging="317"/>
              <w:jc w:val="left"/>
              <w:rPr>
                <w:sz w:val="21"/>
              </w:rPr>
            </w:pPr>
            <w:r>
              <w:rPr>
                <w:spacing w:val="-3"/>
                <w:sz w:val="21"/>
              </w:rPr>
              <w:t>严重类风湿性关节炎</w:t>
            </w:r>
          </w:p>
          <w:p>
            <w:pPr>
              <w:pStyle w:val="TableParagraph"/>
              <w:numPr>
                <w:ilvl w:val="0"/>
                <w:numId w:val="10"/>
              </w:numPr>
              <w:tabs>
                <w:tab w:pos="425" w:val="left" w:leader="none"/>
              </w:tabs>
              <w:spacing w:line="240" w:lineRule="auto" w:before="21" w:after="0"/>
              <w:ind w:left="424" w:right="0" w:hanging="317"/>
              <w:jc w:val="left"/>
              <w:rPr>
                <w:sz w:val="21"/>
              </w:rPr>
            </w:pPr>
            <w:r>
              <w:rPr>
                <w:spacing w:val="-2"/>
                <w:sz w:val="21"/>
              </w:rPr>
              <w:t>系统性硬皮病</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重症急性坏死性筋膜炎</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丝虫病所致象皮肿</w:t>
            </w:r>
          </w:p>
          <w:p>
            <w:pPr>
              <w:pStyle w:val="TableParagraph"/>
              <w:numPr>
                <w:ilvl w:val="0"/>
                <w:numId w:val="10"/>
              </w:numPr>
              <w:tabs>
                <w:tab w:pos="425" w:val="left" w:leader="none"/>
              </w:tabs>
              <w:spacing w:line="240" w:lineRule="auto" w:before="21" w:after="0"/>
              <w:ind w:left="424" w:right="0" w:hanging="317"/>
              <w:jc w:val="left"/>
              <w:rPr>
                <w:sz w:val="21"/>
              </w:rPr>
            </w:pPr>
            <w:r>
              <w:rPr>
                <w:spacing w:val="-2"/>
                <w:sz w:val="21"/>
              </w:rPr>
              <w:t>肺源性心脏病</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特定年龄严重哮喘</w:t>
            </w:r>
          </w:p>
          <w:p>
            <w:pPr>
              <w:pStyle w:val="TableParagraph"/>
              <w:numPr>
                <w:ilvl w:val="0"/>
                <w:numId w:val="10"/>
              </w:numPr>
              <w:tabs>
                <w:tab w:pos="425" w:val="left" w:leader="none"/>
              </w:tabs>
              <w:spacing w:line="240" w:lineRule="auto" w:before="21" w:after="0"/>
              <w:ind w:left="424" w:right="0" w:hanging="317"/>
              <w:jc w:val="left"/>
              <w:rPr>
                <w:sz w:val="21"/>
              </w:rPr>
            </w:pPr>
            <w:r>
              <w:rPr>
                <w:spacing w:val="-1"/>
                <w:sz w:val="21"/>
              </w:rPr>
              <w:t>严重川崎病</w:t>
            </w:r>
          </w:p>
          <w:p>
            <w:pPr>
              <w:pStyle w:val="TableParagraph"/>
              <w:numPr>
                <w:ilvl w:val="0"/>
                <w:numId w:val="10"/>
              </w:numPr>
              <w:tabs>
                <w:tab w:pos="425" w:val="left" w:leader="none"/>
              </w:tabs>
              <w:spacing w:line="240" w:lineRule="auto" w:before="21" w:after="0"/>
              <w:ind w:left="424" w:right="0" w:hanging="317"/>
              <w:jc w:val="left"/>
              <w:rPr>
                <w:sz w:val="21"/>
              </w:rPr>
            </w:pPr>
            <w:r>
              <w:rPr>
                <w:spacing w:val="-1"/>
                <w:sz w:val="21"/>
              </w:rPr>
              <w:t>严重心肌炎</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严重幼年型类风湿性关节炎</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需手术切除的嗜铬细胞瘤</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Ⅲ度房室传导阻滞</w:t>
            </w:r>
          </w:p>
          <w:p>
            <w:pPr>
              <w:pStyle w:val="TableParagraph"/>
              <w:numPr>
                <w:ilvl w:val="0"/>
                <w:numId w:val="10"/>
              </w:numPr>
              <w:tabs>
                <w:tab w:pos="425" w:val="left" w:leader="none"/>
              </w:tabs>
              <w:spacing w:line="240" w:lineRule="auto" w:before="21" w:after="0"/>
              <w:ind w:left="424" w:right="0" w:hanging="317"/>
              <w:jc w:val="left"/>
              <w:rPr>
                <w:sz w:val="21"/>
              </w:rPr>
            </w:pPr>
            <w:r>
              <w:rPr>
                <w:spacing w:val="-3"/>
                <w:sz w:val="21"/>
              </w:rPr>
              <w:t>严重感染性心内膜炎</w:t>
            </w:r>
          </w:p>
          <w:p>
            <w:pPr>
              <w:pStyle w:val="TableParagraph"/>
              <w:numPr>
                <w:ilvl w:val="0"/>
                <w:numId w:val="10"/>
              </w:numPr>
              <w:tabs>
                <w:tab w:pos="425" w:val="left" w:leader="none"/>
              </w:tabs>
              <w:spacing w:line="240" w:lineRule="auto" w:before="21" w:after="0"/>
              <w:ind w:left="424" w:right="0" w:hanging="317"/>
              <w:jc w:val="left"/>
              <w:rPr>
                <w:sz w:val="21"/>
              </w:rPr>
            </w:pPr>
            <w:r>
              <w:rPr>
                <w:spacing w:val="-17"/>
                <w:sz w:val="21"/>
              </w:rPr>
              <w:t>严重 </w:t>
            </w:r>
            <w:r>
              <w:rPr>
                <w:rFonts w:ascii="Times New Roman" w:eastAsia="Times New Roman"/>
                <w:sz w:val="21"/>
              </w:rPr>
              <w:t>1 </w:t>
            </w:r>
            <w:r>
              <w:rPr>
                <w:spacing w:val="-2"/>
                <w:sz w:val="21"/>
              </w:rPr>
              <w:t>型糖尿病</w:t>
            </w:r>
          </w:p>
        </w:tc>
        <w:tc>
          <w:tcPr>
            <w:tcW w:w="3315" w:type="dxa"/>
          </w:tcPr>
          <w:p>
            <w:pPr>
              <w:pStyle w:val="TableParagraph"/>
              <w:numPr>
                <w:ilvl w:val="0"/>
                <w:numId w:val="11"/>
              </w:numPr>
              <w:tabs>
                <w:tab w:pos="423" w:val="left" w:leader="none"/>
              </w:tabs>
              <w:spacing w:line="280" w:lineRule="exact" w:before="0" w:after="0"/>
              <w:ind w:left="422" w:right="0" w:hanging="314"/>
              <w:jc w:val="left"/>
              <w:rPr>
                <w:sz w:val="21"/>
              </w:rPr>
            </w:pPr>
            <w:r>
              <w:rPr>
                <w:spacing w:val="-2"/>
                <w:sz w:val="21"/>
              </w:rPr>
              <w:t>多个肢体缺失</w:t>
            </w:r>
          </w:p>
          <w:p>
            <w:pPr>
              <w:pStyle w:val="TableParagraph"/>
              <w:numPr>
                <w:ilvl w:val="0"/>
                <w:numId w:val="11"/>
              </w:numPr>
              <w:tabs>
                <w:tab w:pos="423" w:val="left" w:leader="none"/>
              </w:tabs>
              <w:spacing w:line="240" w:lineRule="auto" w:before="21" w:after="0"/>
              <w:ind w:left="422" w:right="0" w:hanging="314"/>
              <w:jc w:val="left"/>
              <w:rPr>
                <w:sz w:val="21"/>
              </w:rPr>
            </w:pPr>
            <w:r>
              <w:rPr>
                <w:spacing w:val="-3"/>
                <w:sz w:val="21"/>
              </w:rPr>
              <w:t>脑炎后遗症或脑膜炎后遗症</w:t>
            </w:r>
          </w:p>
          <w:p>
            <w:pPr>
              <w:pStyle w:val="TableParagraph"/>
              <w:numPr>
                <w:ilvl w:val="0"/>
                <w:numId w:val="11"/>
              </w:numPr>
              <w:tabs>
                <w:tab w:pos="423" w:val="left" w:leader="none"/>
              </w:tabs>
              <w:spacing w:line="240" w:lineRule="auto" w:before="21" w:after="0"/>
              <w:ind w:left="422" w:right="0" w:hanging="314"/>
              <w:jc w:val="left"/>
              <w:rPr>
                <w:sz w:val="21"/>
              </w:rPr>
            </w:pPr>
            <w:r>
              <w:rPr>
                <w:spacing w:val="-3"/>
                <w:sz w:val="21"/>
              </w:rPr>
              <w:t>严重阿尔茨海默病</w:t>
            </w:r>
          </w:p>
          <w:p>
            <w:pPr>
              <w:pStyle w:val="TableParagraph"/>
              <w:numPr>
                <w:ilvl w:val="0"/>
                <w:numId w:val="11"/>
              </w:numPr>
              <w:tabs>
                <w:tab w:pos="423" w:val="left" w:leader="none"/>
              </w:tabs>
              <w:spacing w:line="240" w:lineRule="auto" w:before="21" w:after="0"/>
              <w:ind w:left="422" w:right="0" w:hanging="314"/>
              <w:jc w:val="left"/>
              <w:rPr>
                <w:sz w:val="21"/>
              </w:rPr>
            </w:pPr>
            <w:r>
              <w:rPr>
                <w:spacing w:val="-1"/>
                <w:sz w:val="21"/>
              </w:rPr>
              <w:t>严重脑损伤</w:t>
            </w:r>
          </w:p>
          <w:p>
            <w:pPr>
              <w:pStyle w:val="TableParagraph"/>
              <w:numPr>
                <w:ilvl w:val="0"/>
                <w:numId w:val="11"/>
              </w:numPr>
              <w:tabs>
                <w:tab w:pos="423" w:val="left" w:leader="none"/>
              </w:tabs>
              <w:spacing w:line="240" w:lineRule="auto" w:before="21" w:after="0"/>
              <w:ind w:left="422" w:right="0" w:hanging="314"/>
              <w:jc w:val="left"/>
              <w:rPr>
                <w:sz w:val="21"/>
              </w:rPr>
            </w:pPr>
            <w:r>
              <w:rPr>
                <w:spacing w:val="-3"/>
                <w:sz w:val="21"/>
              </w:rPr>
              <w:t>严重运动神经元病</w:t>
            </w:r>
          </w:p>
          <w:p>
            <w:pPr>
              <w:pStyle w:val="TableParagraph"/>
              <w:numPr>
                <w:ilvl w:val="0"/>
                <w:numId w:val="11"/>
              </w:numPr>
              <w:tabs>
                <w:tab w:pos="423" w:val="left" w:leader="none"/>
              </w:tabs>
              <w:spacing w:line="240" w:lineRule="auto" w:before="21" w:after="0"/>
              <w:ind w:left="422" w:right="0" w:hanging="314"/>
              <w:jc w:val="left"/>
              <w:rPr>
                <w:sz w:val="21"/>
              </w:rPr>
            </w:pPr>
            <w:r>
              <w:rPr>
                <w:spacing w:val="-2"/>
                <w:sz w:val="21"/>
              </w:rPr>
              <w:t>严重Ⅲ度烧伤</w:t>
            </w:r>
          </w:p>
          <w:p>
            <w:pPr>
              <w:pStyle w:val="TableParagraph"/>
              <w:numPr>
                <w:ilvl w:val="0"/>
                <w:numId w:val="11"/>
              </w:numPr>
              <w:tabs>
                <w:tab w:pos="423" w:val="left" w:leader="none"/>
              </w:tabs>
              <w:spacing w:line="240" w:lineRule="auto" w:before="21" w:after="0"/>
              <w:ind w:left="422" w:right="0" w:hanging="314"/>
              <w:jc w:val="left"/>
              <w:rPr>
                <w:sz w:val="21"/>
              </w:rPr>
            </w:pPr>
            <w:r>
              <w:rPr>
                <w:spacing w:val="-1"/>
                <w:sz w:val="21"/>
              </w:rPr>
              <w:t>双耳失聪</w:t>
            </w:r>
          </w:p>
          <w:p>
            <w:pPr>
              <w:pStyle w:val="TableParagraph"/>
              <w:numPr>
                <w:ilvl w:val="0"/>
                <w:numId w:val="11"/>
              </w:numPr>
              <w:tabs>
                <w:tab w:pos="423" w:val="left" w:leader="none"/>
              </w:tabs>
              <w:spacing w:line="240" w:lineRule="auto" w:before="21" w:after="0"/>
              <w:ind w:left="422" w:right="0" w:hanging="314"/>
              <w:jc w:val="left"/>
              <w:rPr>
                <w:sz w:val="21"/>
              </w:rPr>
            </w:pPr>
            <w:r>
              <w:rPr>
                <w:spacing w:val="-1"/>
                <w:sz w:val="21"/>
              </w:rPr>
              <w:t>双目失明</w:t>
            </w:r>
          </w:p>
          <w:p>
            <w:pPr>
              <w:pStyle w:val="TableParagraph"/>
              <w:numPr>
                <w:ilvl w:val="0"/>
                <w:numId w:val="11"/>
              </w:numPr>
              <w:tabs>
                <w:tab w:pos="423" w:val="left" w:leader="none"/>
              </w:tabs>
              <w:spacing w:line="240" w:lineRule="auto" w:before="21" w:after="0"/>
              <w:ind w:left="422" w:right="0" w:hanging="314"/>
              <w:jc w:val="left"/>
              <w:rPr>
                <w:sz w:val="21"/>
              </w:rPr>
            </w:pPr>
            <w:r>
              <w:rPr>
                <w:spacing w:val="-2"/>
                <w:sz w:val="21"/>
              </w:rPr>
              <w:t>语言能力丧失</w:t>
            </w:r>
          </w:p>
          <w:p>
            <w:pPr>
              <w:pStyle w:val="TableParagraph"/>
              <w:numPr>
                <w:ilvl w:val="0"/>
                <w:numId w:val="11"/>
              </w:numPr>
              <w:tabs>
                <w:tab w:pos="423" w:val="left" w:leader="none"/>
              </w:tabs>
              <w:spacing w:line="240" w:lineRule="auto" w:before="20" w:after="0"/>
              <w:ind w:left="422" w:right="0" w:hanging="314"/>
              <w:jc w:val="left"/>
              <w:rPr>
                <w:sz w:val="21"/>
              </w:rPr>
            </w:pPr>
            <w:r>
              <w:rPr>
                <w:spacing w:val="-2"/>
                <w:sz w:val="21"/>
              </w:rPr>
              <w:t>严重多发性硬化</w:t>
            </w:r>
          </w:p>
          <w:p>
            <w:pPr>
              <w:pStyle w:val="TableParagraph"/>
              <w:numPr>
                <w:ilvl w:val="0"/>
                <w:numId w:val="11"/>
              </w:numPr>
              <w:tabs>
                <w:tab w:pos="423" w:val="left" w:leader="none"/>
              </w:tabs>
              <w:spacing w:line="240" w:lineRule="auto" w:before="20" w:after="0"/>
              <w:ind w:left="422" w:right="0" w:hanging="314"/>
              <w:jc w:val="left"/>
              <w:rPr>
                <w:sz w:val="21"/>
              </w:rPr>
            </w:pPr>
            <w:r>
              <w:rPr>
                <w:spacing w:val="-1"/>
                <w:sz w:val="21"/>
              </w:rPr>
              <w:t>全身性</w:t>
            </w:r>
            <w:r>
              <w:rPr>
                <w:sz w:val="21"/>
              </w:rPr>
              <w:t>（</w:t>
            </w:r>
            <w:r>
              <w:rPr>
                <w:spacing w:val="-3"/>
                <w:sz w:val="21"/>
              </w:rPr>
              <w:t>型</w:t>
            </w:r>
            <w:r>
              <w:rPr>
                <w:sz w:val="21"/>
              </w:rPr>
              <w:t>）</w:t>
            </w:r>
            <w:r>
              <w:rPr>
                <w:spacing w:val="-3"/>
                <w:sz w:val="21"/>
              </w:rPr>
              <w:t>重症肌无力</w:t>
            </w:r>
          </w:p>
          <w:p>
            <w:pPr>
              <w:pStyle w:val="TableParagraph"/>
              <w:numPr>
                <w:ilvl w:val="0"/>
                <w:numId w:val="11"/>
              </w:numPr>
              <w:tabs>
                <w:tab w:pos="423" w:val="left" w:leader="none"/>
              </w:tabs>
              <w:spacing w:line="240" w:lineRule="auto" w:before="20" w:after="0"/>
              <w:ind w:left="422" w:right="0" w:hanging="314"/>
              <w:jc w:val="left"/>
              <w:rPr>
                <w:sz w:val="21"/>
              </w:rPr>
            </w:pPr>
            <w:r>
              <w:rPr>
                <w:spacing w:val="-1"/>
                <w:sz w:val="21"/>
              </w:rPr>
              <w:t>深度昏迷</w:t>
            </w:r>
          </w:p>
          <w:p>
            <w:pPr>
              <w:pStyle w:val="TableParagraph"/>
              <w:numPr>
                <w:ilvl w:val="0"/>
                <w:numId w:val="11"/>
              </w:numPr>
              <w:tabs>
                <w:tab w:pos="423" w:val="left" w:leader="none"/>
              </w:tabs>
              <w:spacing w:line="240" w:lineRule="auto" w:before="20" w:after="0"/>
              <w:ind w:left="422" w:right="0" w:hanging="314"/>
              <w:jc w:val="left"/>
              <w:rPr>
                <w:sz w:val="21"/>
              </w:rPr>
            </w:pPr>
            <w:r>
              <w:rPr>
                <w:sz w:val="21"/>
              </w:rPr>
              <w:t>瘫痪</w:t>
            </w:r>
          </w:p>
          <w:p>
            <w:pPr>
              <w:pStyle w:val="TableParagraph"/>
              <w:numPr>
                <w:ilvl w:val="0"/>
                <w:numId w:val="11"/>
              </w:numPr>
              <w:tabs>
                <w:tab w:pos="423" w:val="left" w:leader="none"/>
              </w:tabs>
              <w:spacing w:line="240" w:lineRule="auto" w:before="20" w:after="0"/>
              <w:ind w:left="422" w:right="0" w:hanging="314"/>
              <w:jc w:val="left"/>
              <w:rPr>
                <w:sz w:val="21"/>
              </w:rPr>
            </w:pPr>
            <w:r>
              <w:rPr>
                <w:spacing w:val="-2"/>
                <w:sz w:val="21"/>
              </w:rPr>
              <w:t>脑中风后遗症</w:t>
            </w:r>
          </w:p>
          <w:p>
            <w:pPr>
              <w:pStyle w:val="TableParagraph"/>
              <w:numPr>
                <w:ilvl w:val="0"/>
                <w:numId w:val="11"/>
              </w:numPr>
              <w:tabs>
                <w:tab w:pos="423" w:val="left" w:leader="none"/>
              </w:tabs>
              <w:spacing w:line="240" w:lineRule="auto" w:before="20" w:after="0"/>
              <w:ind w:left="422" w:right="0" w:hanging="314"/>
              <w:jc w:val="left"/>
              <w:rPr>
                <w:sz w:val="21"/>
              </w:rPr>
            </w:pPr>
            <w:r>
              <w:rPr>
                <w:spacing w:val="-1"/>
                <w:sz w:val="21"/>
              </w:rPr>
              <w:t>良性脑肿瘤</w:t>
            </w:r>
          </w:p>
          <w:p>
            <w:pPr>
              <w:pStyle w:val="TableParagraph"/>
              <w:numPr>
                <w:ilvl w:val="0"/>
                <w:numId w:val="11"/>
              </w:numPr>
              <w:tabs>
                <w:tab w:pos="423" w:val="left" w:leader="none"/>
              </w:tabs>
              <w:spacing w:line="240" w:lineRule="auto" w:before="20" w:after="0"/>
              <w:ind w:left="422" w:right="0" w:hanging="314"/>
              <w:jc w:val="left"/>
              <w:rPr>
                <w:sz w:val="21"/>
              </w:rPr>
            </w:pPr>
            <w:r>
              <w:rPr>
                <w:spacing w:val="-1"/>
                <w:sz w:val="21"/>
              </w:rPr>
              <w:t>植物人状态</w:t>
            </w:r>
          </w:p>
          <w:p>
            <w:pPr>
              <w:pStyle w:val="TableParagraph"/>
              <w:numPr>
                <w:ilvl w:val="0"/>
                <w:numId w:val="11"/>
              </w:numPr>
              <w:tabs>
                <w:tab w:pos="423" w:val="left" w:leader="none"/>
              </w:tabs>
              <w:spacing w:line="240" w:lineRule="auto" w:before="20" w:after="0"/>
              <w:ind w:left="422" w:right="0" w:hanging="314"/>
              <w:jc w:val="left"/>
              <w:rPr>
                <w:sz w:val="21"/>
              </w:rPr>
            </w:pPr>
            <w:r>
              <w:rPr>
                <w:spacing w:val="-2"/>
                <w:sz w:val="21"/>
              </w:rPr>
              <w:t>严重帕金森病</w:t>
            </w:r>
          </w:p>
          <w:p>
            <w:pPr>
              <w:pStyle w:val="TableParagraph"/>
              <w:numPr>
                <w:ilvl w:val="0"/>
                <w:numId w:val="11"/>
              </w:numPr>
              <w:tabs>
                <w:tab w:pos="423" w:val="left" w:leader="none"/>
              </w:tabs>
              <w:spacing w:line="240" w:lineRule="auto" w:before="20" w:after="0"/>
              <w:ind w:left="422" w:right="0" w:hanging="314"/>
              <w:jc w:val="left"/>
              <w:rPr>
                <w:sz w:val="21"/>
              </w:rPr>
            </w:pPr>
            <w:r>
              <w:rPr>
                <w:spacing w:val="-1"/>
                <w:sz w:val="21"/>
              </w:rPr>
              <w:t>脊髓灰质炎</w:t>
            </w:r>
          </w:p>
          <w:p>
            <w:pPr>
              <w:pStyle w:val="TableParagraph"/>
              <w:numPr>
                <w:ilvl w:val="0"/>
                <w:numId w:val="11"/>
              </w:numPr>
              <w:tabs>
                <w:tab w:pos="423" w:val="left" w:leader="none"/>
              </w:tabs>
              <w:spacing w:line="240" w:lineRule="auto" w:before="20" w:after="0"/>
              <w:ind w:left="422" w:right="0" w:hanging="314"/>
              <w:jc w:val="left"/>
              <w:rPr>
                <w:sz w:val="21"/>
              </w:rPr>
            </w:pPr>
            <w:r>
              <w:rPr>
                <w:spacing w:val="-3"/>
                <w:sz w:val="21"/>
              </w:rPr>
              <w:t>严重肌营养不良症</w:t>
            </w:r>
          </w:p>
          <w:p>
            <w:pPr>
              <w:pStyle w:val="TableParagraph"/>
              <w:numPr>
                <w:ilvl w:val="0"/>
                <w:numId w:val="11"/>
              </w:numPr>
              <w:tabs>
                <w:tab w:pos="423" w:val="left" w:leader="none"/>
              </w:tabs>
              <w:spacing w:line="240" w:lineRule="auto" w:before="21" w:after="0"/>
              <w:ind w:left="422" w:right="0" w:hanging="314"/>
              <w:jc w:val="left"/>
              <w:rPr>
                <w:sz w:val="21"/>
              </w:rPr>
            </w:pPr>
            <w:r>
              <w:rPr>
                <w:spacing w:val="-3"/>
                <w:sz w:val="21"/>
              </w:rPr>
              <w:t>非阿尔茨海默病所致严重痴呆</w:t>
            </w:r>
          </w:p>
          <w:p>
            <w:pPr>
              <w:pStyle w:val="TableParagraph"/>
              <w:numPr>
                <w:ilvl w:val="0"/>
                <w:numId w:val="11"/>
              </w:numPr>
              <w:tabs>
                <w:tab w:pos="423" w:val="left" w:leader="none"/>
              </w:tabs>
              <w:spacing w:line="240" w:lineRule="auto" w:before="21" w:after="0"/>
              <w:ind w:left="422" w:right="0" w:hanging="314"/>
              <w:jc w:val="left"/>
              <w:rPr>
                <w:sz w:val="21"/>
              </w:rPr>
            </w:pPr>
            <w:r>
              <w:rPr>
                <w:spacing w:val="-2"/>
                <w:sz w:val="21"/>
              </w:rPr>
              <w:t>失去一肢及一眼</w:t>
            </w:r>
          </w:p>
          <w:p>
            <w:pPr>
              <w:pStyle w:val="TableParagraph"/>
              <w:numPr>
                <w:ilvl w:val="0"/>
                <w:numId w:val="11"/>
              </w:numPr>
              <w:tabs>
                <w:tab w:pos="423" w:val="left" w:leader="none"/>
              </w:tabs>
              <w:spacing w:line="240" w:lineRule="auto" w:before="21" w:after="0"/>
              <w:ind w:left="422" w:right="0" w:hanging="314"/>
              <w:jc w:val="left"/>
              <w:rPr>
                <w:sz w:val="21"/>
              </w:rPr>
            </w:pPr>
            <w:r>
              <w:rPr>
                <w:spacing w:val="-3"/>
                <w:sz w:val="21"/>
              </w:rPr>
              <w:t>溶血性链球菌引起的坏疽</w:t>
            </w:r>
          </w:p>
        </w:tc>
      </w:tr>
    </w:tbl>
    <w:p>
      <w:pPr>
        <w:pStyle w:val="BodyText"/>
        <w:ind w:left="0"/>
        <w:rPr>
          <w:sz w:val="20"/>
        </w:rPr>
      </w:pPr>
    </w:p>
    <w:p>
      <w:pPr>
        <w:pStyle w:val="BodyText"/>
        <w:ind w:left="0"/>
        <w:rPr>
          <w:sz w:val="20"/>
        </w:rPr>
      </w:pPr>
    </w:p>
    <w:p>
      <w:pPr>
        <w:pStyle w:val="BodyText"/>
        <w:ind w:left="0"/>
        <w:rPr>
          <w:sz w:val="20"/>
        </w:rPr>
      </w:pPr>
    </w:p>
    <w:p>
      <w:pPr>
        <w:spacing w:before="138"/>
        <w:ind w:left="0" w:right="13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711" w:top="1360" w:bottom="900" w:left="9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87.660004pt;margin-top:761.429871pt;width:228.05pt;height:13.7pt;mso-position-horizontal-relative:page;mso-position-vertical-relative:page;z-index:-34072" type="#_x0000_t202" filled="false" stroked="false">
          <v:textbox inset="0,0,0,0">
            <w:txbxContent>
              <w:p>
                <w:pPr>
                  <w:pStyle w:val="BodyText"/>
                  <w:spacing w:line="254" w:lineRule="exact"/>
                  <w:ind w:left="20"/>
                </w:pPr>
                <w:r>
                  <w:rPr/>
                  <w:t>太平福禄倍至终身重大疾病保险，第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22</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34048" from="53.880001pt,592.630005pt" to="197.930001pt,592.630005pt" stroked="true" strokeweight=".47998pt" strokecolor="#000000">
          <v:stroke dashstyle="solid"/>
          <w10:wrap type="none"/>
        </v:line>
      </w:pict>
    </w:r>
    <w:r>
      <w:rPr/>
      <w:pict>
        <v:shape style="position:absolute;margin-left:187.660004pt;margin-top:761.429871pt;width:228.05pt;height:13.7pt;mso-position-horizontal-relative:page;mso-position-vertical-relative:page;z-index:-34024" type="#_x0000_t202" filled="false" stroked="false">
          <v:textbox inset="0,0,0,0">
            <w:txbxContent>
              <w:p>
                <w:pPr>
                  <w:pStyle w:val="BodyText"/>
                  <w:spacing w:line="254" w:lineRule="exact"/>
                  <w:ind w:left="20"/>
                </w:pPr>
                <w:r>
                  <w:rPr/>
                  <w:t>太平福禄倍至终身重大疾病保险，第</w:t>
                </w:r>
                <w:r>
                  <w:rPr>
                    <w:rFonts w:ascii="Times New Roman" w:eastAsia="Times New Roman"/>
                  </w:rPr>
                  <w:t>4</w:t>
                </w:r>
                <w:r>
                  <w:rPr/>
                  <w:t>页，共</w:t>
                </w:r>
                <w:r>
                  <w:rPr>
                    <w:rFonts w:ascii="Times New Roman" w:eastAsia="Times New Roman"/>
                  </w:rPr>
                  <w:t>22</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7.660004pt;margin-top:761.429871pt;width:228.05pt;height:13.7pt;mso-position-horizontal-relative:page;mso-position-vertical-relative:page;z-index:-34000" type="#_x0000_t202" filled="false" stroked="false">
          <v:textbox inset="0,0,0,0">
            <w:txbxContent>
              <w:p>
                <w:pPr>
                  <w:pStyle w:val="BodyText"/>
                  <w:spacing w:line="254" w:lineRule="exact"/>
                  <w:ind w:left="20"/>
                </w:pPr>
                <w:r>
                  <w:rPr/>
                  <w:t>太平福禄倍至终身重大疾病保险，第</w:t>
                </w:r>
                <w:r>
                  <w:rPr>
                    <w:rFonts w:ascii="Times New Roman" w:eastAsia="Times New Roman"/>
                  </w:rPr>
                  <w:t>5</w:t>
                </w:r>
                <w:r>
                  <w:rPr/>
                  <w:t>页，共</w:t>
                </w:r>
                <w:r>
                  <w:rPr>
                    <w:rFonts w:ascii="Times New Roman" w:eastAsia="Times New Roman"/>
                  </w:rPr>
                  <w:t>22</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20004pt;margin-top:761.429871pt;width:233.3pt;height:13.7pt;mso-position-horizontal-relative:page;mso-position-vertical-relative:page;z-index:-33976" type="#_x0000_t202" filled="false" stroked="false">
          <v:textbox inset="0,0,0,0">
            <w:txbxContent>
              <w:p>
                <w:pPr>
                  <w:pStyle w:val="BodyText"/>
                  <w:spacing w:line="254" w:lineRule="exact"/>
                  <w:ind w:left="20"/>
                </w:pPr>
                <w:r>
                  <w:rPr/>
                  <w:t>太平福禄倍至终身重大疾病保险，第</w:t>
                </w:r>
                <w:r>
                  <w:rPr/>
                  <w:fldChar w:fldCharType="begin"/>
                </w:r>
                <w:r>
                  <w:rPr>
                    <w:rFonts w:ascii="Times New Roman" w:eastAsia="Times New Roman"/>
                  </w:rPr>
                  <w:instrText> PAGE </w:instrText>
                </w:r>
                <w:r>
                  <w:rPr/>
                  <w:fldChar w:fldCharType="separate"/>
                </w:r>
                <w:r>
                  <w:rPr/>
                  <w:t>14</w:t>
                </w:r>
                <w:r>
                  <w:rPr/>
                  <w:fldChar w:fldCharType="end"/>
                </w:r>
                <w:r>
                  <w:rPr/>
                  <w:t>页，共</w:t>
                </w:r>
                <w:r>
                  <w:rPr>
                    <w:rFonts w:ascii="Times New Roman" w:eastAsia="Times New Roman"/>
                  </w:rPr>
                  <w:t>22</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5.020004pt;margin-top:761.429871pt;width:233.3pt;height:13.7pt;mso-position-horizontal-relative:page;mso-position-vertical-relative:page;z-index:-33952" type="#_x0000_t202" filled="false" stroked="false">
          <v:textbox inset="0,0,0,0">
            <w:txbxContent>
              <w:p>
                <w:pPr>
                  <w:pStyle w:val="BodyText"/>
                  <w:spacing w:line="254" w:lineRule="exact"/>
                  <w:ind w:left="20"/>
                </w:pPr>
                <w:r>
                  <w:rPr/>
                  <w:t>太平福禄倍至终身重大疾病保险，第</w:t>
                </w:r>
                <w:r>
                  <w:rPr/>
                  <w:fldChar w:fldCharType="begin"/>
                </w:r>
                <w:r>
                  <w:rPr>
                    <w:rFonts w:ascii="Times New Roman" w:eastAsia="Times New Roman"/>
                  </w:rPr>
                  <w:instrText> PAGE </w:instrText>
                </w:r>
                <w:r>
                  <w:rPr/>
                  <w:fldChar w:fldCharType="separate"/>
                </w:r>
                <w:r>
                  <w:rPr/>
                  <w:t>20</w:t>
                </w:r>
                <w:r>
                  <w:rPr/>
                  <w:fldChar w:fldCharType="end"/>
                </w:r>
                <w:r>
                  <w:rPr/>
                  <w:t>页，共</w:t>
                </w:r>
                <w:r>
                  <w:rPr>
                    <w:rFonts w:ascii="Times New Roman" w:eastAsia="Times New Roman"/>
                  </w:rPr>
                  <w:t>22</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22" w:hanging="315"/>
        <w:jc w:val="left"/>
      </w:pPr>
      <w:rPr>
        <w:rFonts w:hint="default" w:ascii="Times New Roman" w:hAnsi="Times New Roman" w:eastAsia="Times New Roman" w:cs="Times New Roman"/>
        <w:w w:val="100"/>
        <w:sz w:val="21"/>
        <w:szCs w:val="21"/>
      </w:rPr>
    </w:lvl>
    <w:lvl w:ilvl="1">
      <w:start w:val="0"/>
      <w:numFmt w:val="bullet"/>
      <w:lvlText w:val="•"/>
      <w:lvlJc w:val="left"/>
      <w:pPr>
        <w:ind w:left="708" w:hanging="315"/>
      </w:pPr>
      <w:rPr>
        <w:rFonts w:hint="default"/>
      </w:rPr>
    </w:lvl>
    <w:lvl w:ilvl="2">
      <w:start w:val="0"/>
      <w:numFmt w:val="bullet"/>
      <w:lvlText w:val="•"/>
      <w:lvlJc w:val="left"/>
      <w:pPr>
        <w:ind w:left="997" w:hanging="315"/>
      </w:pPr>
      <w:rPr>
        <w:rFonts w:hint="default"/>
      </w:rPr>
    </w:lvl>
    <w:lvl w:ilvl="3">
      <w:start w:val="0"/>
      <w:numFmt w:val="bullet"/>
      <w:lvlText w:val="•"/>
      <w:lvlJc w:val="left"/>
      <w:pPr>
        <w:ind w:left="1285" w:hanging="315"/>
      </w:pPr>
      <w:rPr>
        <w:rFonts w:hint="default"/>
      </w:rPr>
    </w:lvl>
    <w:lvl w:ilvl="4">
      <w:start w:val="0"/>
      <w:numFmt w:val="bullet"/>
      <w:lvlText w:val="•"/>
      <w:lvlJc w:val="left"/>
      <w:pPr>
        <w:ind w:left="1574" w:hanging="315"/>
      </w:pPr>
      <w:rPr>
        <w:rFonts w:hint="default"/>
      </w:rPr>
    </w:lvl>
    <w:lvl w:ilvl="5">
      <w:start w:val="0"/>
      <w:numFmt w:val="bullet"/>
      <w:lvlText w:val="•"/>
      <w:lvlJc w:val="left"/>
      <w:pPr>
        <w:ind w:left="1862" w:hanging="315"/>
      </w:pPr>
      <w:rPr>
        <w:rFonts w:hint="default"/>
      </w:rPr>
    </w:lvl>
    <w:lvl w:ilvl="6">
      <w:start w:val="0"/>
      <w:numFmt w:val="bullet"/>
      <w:lvlText w:val="•"/>
      <w:lvlJc w:val="left"/>
      <w:pPr>
        <w:ind w:left="2151" w:hanging="315"/>
      </w:pPr>
      <w:rPr>
        <w:rFonts w:hint="default"/>
      </w:rPr>
    </w:lvl>
    <w:lvl w:ilvl="7">
      <w:start w:val="0"/>
      <w:numFmt w:val="bullet"/>
      <w:lvlText w:val="•"/>
      <w:lvlJc w:val="left"/>
      <w:pPr>
        <w:ind w:left="2439" w:hanging="315"/>
      </w:pPr>
      <w:rPr>
        <w:rFonts w:hint="default"/>
      </w:rPr>
    </w:lvl>
    <w:lvl w:ilvl="8">
      <w:start w:val="0"/>
      <w:numFmt w:val="bullet"/>
      <w:lvlText w:val="•"/>
      <w:lvlJc w:val="left"/>
      <w:pPr>
        <w:ind w:left="2728" w:hanging="315"/>
      </w:pPr>
      <w:rPr>
        <w:rFonts w:hint="default"/>
      </w:rPr>
    </w:lvl>
  </w:abstractNum>
  <w:abstractNum w:abstractNumId="9">
    <w:multiLevelType w:val="hybridMultilevel"/>
    <w:lvl w:ilvl="0">
      <w:start w:val="1"/>
      <w:numFmt w:val="decimal"/>
      <w:lvlText w:val="%1."/>
      <w:lvlJc w:val="left"/>
      <w:pPr>
        <w:ind w:left="424" w:hanging="317"/>
        <w:jc w:val="left"/>
      </w:pPr>
      <w:rPr>
        <w:rFonts w:hint="default" w:ascii="Times New Roman" w:hAnsi="Times New Roman" w:eastAsia="Times New Roman" w:cs="Times New Roman"/>
        <w:w w:val="100"/>
        <w:sz w:val="21"/>
        <w:szCs w:val="21"/>
      </w:rPr>
    </w:lvl>
    <w:lvl w:ilvl="1">
      <w:start w:val="0"/>
      <w:numFmt w:val="bullet"/>
      <w:lvlText w:val="•"/>
      <w:lvlJc w:val="left"/>
      <w:pPr>
        <w:ind w:left="708" w:hanging="317"/>
      </w:pPr>
      <w:rPr>
        <w:rFonts w:hint="default"/>
      </w:rPr>
    </w:lvl>
    <w:lvl w:ilvl="2">
      <w:start w:val="0"/>
      <w:numFmt w:val="bullet"/>
      <w:lvlText w:val="•"/>
      <w:lvlJc w:val="left"/>
      <w:pPr>
        <w:ind w:left="996" w:hanging="317"/>
      </w:pPr>
      <w:rPr>
        <w:rFonts w:hint="default"/>
      </w:rPr>
    </w:lvl>
    <w:lvl w:ilvl="3">
      <w:start w:val="0"/>
      <w:numFmt w:val="bullet"/>
      <w:lvlText w:val="•"/>
      <w:lvlJc w:val="left"/>
      <w:pPr>
        <w:ind w:left="1284" w:hanging="317"/>
      </w:pPr>
      <w:rPr>
        <w:rFonts w:hint="default"/>
      </w:rPr>
    </w:lvl>
    <w:lvl w:ilvl="4">
      <w:start w:val="0"/>
      <w:numFmt w:val="bullet"/>
      <w:lvlText w:val="•"/>
      <w:lvlJc w:val="left"/>
      <w:pPr>
        <w:ind w:left="1572" w:hanging="317"/>
      </w:pPr>
      <w:rPr>
        <w:rFonts w:hint="default"/>
      </w:rPr>
    </w:lvl>
    <w:lvl w:ilvl="5">
      <w:start w:val="0"/>
      <w:numFmt w:val="bullet"/>
      <w:lvlText w:val="•"/>
      <w:lvlJc w:val="left"/>
      <w:pPr>
        <w:ind w:left="1861" w:hanging="317"/>
      </w:pPr>
      <w:rPr>
        <w:rFonts w:hint="default"/>
      </w:rPr>
    </w:lvl>
    <w:lvl w:ilvl="6">
      <w:start w:val="0"/>
      <w:numFmt w:val="bullet"/>
      <w:lvlText w:val="•"/>
      <w:lvlJc w:val="left"/>
      <w:pPr>
        <w:ind w:left="2149" w:hanging="317"/>
      </w:pPr>
      <w:rPr>
        <w:rFonts w:hint="default"/>
      </w:rPr>
    </w:lvl>
    <w:lvl w:ilvl="7">
      <w:start w:val="0"/>
      <w:numFmt w:val="bullet"/>
      <w:lvlText w:val="•"/>
      <w:lvlJc w:val="left"/>
      <w:pPr>
        <w:ind w:left="2437" w:hanging="317"/>
      </w:pPr>
      <w:rPr>
        <w:rFonts w:hint="default"/>
      </w:rPr>
    </w:lvl>
    <w:lvl w:ilvl="8">
      <w:start w:val="0"/>
      <w:numFmt w:val="bullet"/>
      <w:lvlText w:val="•"/>
      <w:lvlJc w:val="left"/>
      <w:pPr>
        <w:ind w:left="2725" w:hanging="317"/>
      </w:pPr>
      <w:rPr>
        <w:rFonts w:hint="default"/>
      </w:rPr>
    </w:lvl>
  </w:abstractNum>
  <w:abstractNum w:abstractNumId="8">
    <w:multiLevelType w:val="hybridMultilevel"/>
    <w:lvl w:ilvl="0">
      <w:start w:val="1"/>
      <w:numFmt w:val="decimal"/>
      <w:lvlText w:val="%1."/>
      <w:lvlJc w:val="left"/>
      <w:pPr>
        <w:ind w:left="441" w:hanging="335"/>
        <w:jc w:val="left"/>
      </w:pPr>
      <w:rPr>
        <w:rFonts w:hint="default" w:ascii="Times New Roman" w:hAnsi="Times New Roman" w:eastAsia="Times New Roman" w:cs="Times New Roman"/>
        <w:w w:val="100"/>
        <w:sz w:val="21"/>
        <w:szCs w:val="21"/>
      </w:rPr>
    </w:lvl>
    <w:lvl w:ilvl="1">
      <w:start w:val="0"/>
      <w:numFmt w:val="bullet"/>
      <w:lvlText w:val="•"/>
      <w:lvlJc w:val="left"/>
      <w:pPr>
        <w:ind w:left="726" w:hanging="335"/>
      </w:pPr>
      <w:rPr>
        <w:rFonts w:hint="default"/>
      </w:rPr>
    </w:lvl>
    <w:lvl w:ilvl="2">
      <w:start w:val="0"/>
      <w:numFmt w:val="bullet"/>
      <w:lvlText w:val="•"/>
      <w:lvlJc w:val="left"/>
      <w:pPr>
        <w:ind w:left="1012" w:hanging="335"/>
      </w:pPr>
      <w:rPr>
        <w:rFonts w:hint="default"/>
      </w:rPr>
    </w:lvl>
    <w:lvl w:ilvl="3">
      <w:start w:val="0"/>
      <w:numFmt w:val="bullet"/>
      <w:lvlText w:val="•"/>
      <w:lvlJc w:val="left"/>
      <w:pPr>
        <w:ind w:left="1298" w:hanging="335"/>
      </w:pPr>
      <w:rPr>
        <w:rFonts w:hint="default"/>
      </w:rPr>
    </w:lvl>
    <w:lvl w:ilvl="4">
      <w:start w:val="0"/>
      <w:numFmt w:val="bullet"/>
      <w:lvlText w:val="•"/>
      <w:lvlJc w:val="left"/>
      <w:pPr>
        <w:ind w:left="1585" w:hanging="335"/>
      </w:pPr>
      <w:rPr>
        <w:rFonts w:hint="default"/>
      </w:rPr>
    </w:lvl>
    <w:lvl w:ilvl="5">
      <w:start w:val="0"/>
      <w:numFmt w:val="bullet"/>
      <w:lvlText w:val="•"/>
      <w:lvlJc w:val="left"/>
      <w:pPr>
        <w:ind w:left="1871" w:hanging="335"/>
      </w:pPr>
      <w:rPr>
        <w:rFonts w:hint="default"/>
      </w:rPr>
    </w:lvl>
    <w:lvl w:ilvl="6">
      <w:start w:val="0"/>
      <w:numFmt w:val="bullet"/>
      <w:lvlText w:val="•"/>
      <w:lvlJc w:val="left"/>
      <w:pPr>
        <w:ind w:left="2157" w:hanging="335"/>
      </w:pPr>
      <w:rPr>
        <w:rFonts w:hint="default"/>
      </w:rPr>
    </w:lvl>
    <w:lvl w:ilvl="7">
      <w:start w:val="0"/>
      <w:numFmt w:val="bullet"/>
      <w:lvlText w:val="•"/>
      <w:lvlJc w:val="left"/>
      <w:pPr>
        <w:ind w:left="2444" w:hanging="335"/>
      </w:pPr>
      <w:rPr>
        <w:rFonts w:hint="default"/>
      </w:rPr>
    </w:lvl>
    <w:lvl w:ilvl="8">
      <w:start w:val="0"/>
      <w:numFmt w:val="bullet"/>
      <w:lvlText w:val="•"/>
      <w:lvlJc w:val="left"/>
      <w:pPr>
        <w:ind w:left="2730" w:hanging="335"/>
      </w:pPr>
      <w:rPr>
        <w:rFonts w:hint="default"/>
      </w:rPr>
    </w:lvl>
  </w:abstractNum>
  <w:abstractNum w:abstractNumId="7">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6">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8" w:hanging="264"/>
      </w:pPr>
      <w:rPr>
        <w:rFonts w:hint="default"/>
      </w:rPr>
    </w:lvl>
    <w:lvl w:ilvl="2">
      <w:start w:val="0"/>
      <w:numFmt w:val="bullet"/>
      <w:lvlText w:val="•"/>
      <w:lvlJc w:val="left"/>
      <w:pPr>
        <w:ind w:left="2697" w:hanging="264"/>
      </w:pPr>
      <w:rPr>
        <w:rFonts w:hint="default"/>
      </w:rPr>
    </w:lvl>
    <w:lvl w:ilvl="3">
      <w:start w:val="0"/>
      <w:numFmt w:val="bullet"/>
      <w:lvlText w:val="•"/>
      <w:lvlJc w:val="left"/>
      <w:pPr>
        <w:ind w:left="3645" w:hanging="264"/>
      </w:pPr>
      <w:rPr>
        <w:rFonts w:hint="default"/>
      </w:rPr>
    </w:lvl>
    <w:lvl w:ilvl="4">
      <w:start w:val="0"/>
      <w:numFmt w:val="bullet"/>
      <w:lvlText w:val="•"/>
      <w:lvlJc w:val="left"/>
      <w:pPr>
        <w:ind w:left="4594" w:hanging="264"/>
      </w:pPr>
      <w:rPr>
        <w:rFonts w:hint="default"/>
      </w:rPr>
    </w:lvl>
    <w:lvl w:ilvl="5">
      <w:start w:val="0"/>
      <w:numFmt w:val="bullet"/>
      <w:lvlText w:val="•"/>
      <w:lvlJc w:val="left"/>
      <w:pPr>
        <w:ind w:left="5543" w:hanging="264"/>
      </w:pPr>
      <w:rPr>
        <w:rFonts w:hint="default"/>
      </w:rPr>
    </w:lvl>
    <w:lvl w:ilvl="6">
      <w:start w:val="0"/>
      <w:numFmt w:val="bullet"/>
      <w:lvlText w:val="•"/>
      <w:lvlJc w:val="left"/>
      <w:pPr>
        <w:ind w:left="6491" w:hanging="264"/>
      </w:pPr>
      <w:rPr>
        <w:rFonts w:hint="default"/>
      </w:rPr>
    </w:lvl>
    <w:lvl w:ilvl="7">
      <w:start w:val="0"/>
      <w:numFmt w:val="bullet"/>
      <w:lvlText w:val="•"/>
      <w:lvlJc w:val="left"/>
      <w:pPr>
        <w:ind w:left="7440" w:hanging="264"/>
      </w:pPr>
      <w:rPr>
        <w:rFonts w:hint="default"/>
      </w:rPr>
    </w:lvl>
    <w:lvl w:ilvl="8">
      <w:start w:val="0"/>
      <w:numFmt w:val="bullet"/>
      <w:lvlText w:val="•"/>
      <w:lvlJc w:val="left"/>
      <w:pPr>
        <w:ind w:left="8389"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line="272" w:lineRule="exact"/>
      <w:ind w:left="802" w:hanging="264"/>
    </w:pPr>
    <w:rPr>
      <w:rFonts w:ascii="宋体" w:hAnsi="宋体" w:eastAsia="宋体" w:cs="宋体"/>
    </w:rPr>
  </w:style>
  <w:style w:styleId="TableParagraph" w:type="paragraph">
    <w:name w:val="Table Paragraph"/>
    <w:basedOn w:val="Normal"/>
    <w:uiPriority w:val="1"/>
    <w:qFormat/>
    <w:pPr>
      <w:ind w:left="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2018-10-19T23:29:20Z</dcterms:created>
  <dcterms:modified xsi:type="dcterms:W3CDTF">2018-10-19T23:29:20Z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2016-06-28T00:00:00Z</vt:filetime>
  </property>
  <property fmtid="{D5CDD505-2E9C-101B-9397-08002B2CF9AE}" pid="3" name="Creator">
    <vt:lpwstr>Microsoft® Word 2010</vt:lpwstr>
  </property>
  <property fmtid="{D5CDD505-2E9C-101B-9397-08002B2CF9AE}" pid="4" name="LastSaved">
    <vt:filetime>2018-10-19T00:00:00Z</vt:filetime>
  </property>
</Properties>
</file>