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4"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3-2：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53"/>
        <w:ind w:left="344" w:right="0" w:firstLine="0"/>
        <w:jc w:val="left"/>
        <w:rPr>
          <w:sz w:val="16"/>
        </w:rPr>
      </w:pPr>
      <w:r>
        <w:rPr/>
        <w:br w:type="column"/>
      </w:r>
      <w:r>
        <w:rPr>
          <w:w w:val="95"/>
          <w:sz w:val="16"/>
        </w:rPr>
        <w:t>民生保险[2012]疾病保险021号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9" w:space="1414"/>
            <w:col w:w="2567"/>
          </w:cols>
        </w:sectPr>
      </w:pPr>
    </w:p>
    <w:p>
      <w:pPr>
        <w:pStyle w:val="BodyText"/>
        <w:spacing w:before="0"/>
        <w:rPr>
          <w:sz w:val="12"/>
        </w:rPr>
      </w:pPr>
    </w:p>
    <w:p>
      <w:pPr>
        <w:spacing w:line="292" w:lineRule="exact" w:before="35"/>
        <w:ind w:left="1840" w:right="0" w:firstLine="0"/>
        <w:jc w:val="left"/>
        <w:rPr>
          <w:b/>
          <w:sz w:val="21"/>
        </w:rPr>
      </w:pPr>
      <w:r>
        <w:rPr/>
        <w:drawing>
          <wp:anchor distT="0" distB="0" distL="0" distR="0" allowOverlap="1" layoutInCell="1" locked="0" behindDoc="0" simplePos="0" relativeHeight="1072">
            <wp:simplePos x="0" y="0"/>
            <wp:positionH relativeFrom="page">
              <wp:posOffset>6252826</wp:posOffset>
            </wp:positionH>
            <wp:positionV relativeFrom="paragraph">
              <wp:posOffset>-463598</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46" w:lineRule="exact" w:before="0"/>
        <w:ind w:left="0" w:right="125" w:firstLine="0"/>
        <w:jc w:val="right"/>
        <w:rPr>
          <w:sz w:val="16"/>
        </w:rPr>
      </w:pPr>
      <w:r>
        <w:rPr>
          <w:sz w:val="16"/>
        </w:rPr>
        <w:t>请扫描以查询验证条款</w:t>
      </w:r>
    </w:p>
    <w:p>
      <w:pPr>
        <w:pStyle w:val="BodyText"/>
        <w:spacing w:before="6"/>
        <w:rPr>
          <w:sz w:val="29"/>
        </w:rPr>
      </w:pPr>
    </w:p>
    <w:p>
      <w:pPr>
        <w:pStyle w:val="Heading3"/>
        <w:tabs>
          <w:tab w:pos="1382" w:val="left" w:leader="none"/>
        </w:tabs>
        <w:spacing w:line="683" w:lineRule="exact"/>
        <w:ind w:left="371"/>
      </w:pPr>
      <w:r>
        <w:rPr/>
        <w:drawing>
          <wp:anchor distT="0" distB="0" distL="0" distR="0" allowOverlap="1" layoutInCell="1" locked="0" behindDoc="1" simplePos="0" relativeHeight="268415255">
            <wp:simplePos x="0" y="0"/>
            <wp:positionH relativeFrom="page">
              <wp:posOffset>684058</wp:posOffset>
            </wp:positionH>
            <wp:positionV relativeFrom="paragraph">
              <wp:posOffset>-73504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您有保险单借款的权利…………………………………………………………第5.2条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spacing w:after="0"/>
        <w:rPr>
          <w:sz w:val="12"/>
        </w:rPr>
        <w:sectPr>
          <w:type w:val="continuous"/>
          <w:pgSz w:w="11910" w:h="16840"/>
          <w:pgMar w:top="1040" w:bottom="1180" w:left="960" w:right="940"/>
        </w:sectPr>
      </w:pPr>
    </w:p>
    <w:p>
      <w:pPr>
        <w:pStyle w:val="Heading3"/>
        <w:spacing w:before="36"/>
      </w:pPr>
      <w:r>
        <w:rPr>
          <w:w w:val="95"/>
        </w:rPr>
        <w:t>1.您与我们的合同</w:t>
      </w:r>
    </w:p>
    <w:p>
      <w:pPr>
        <w:spacing w:before="52"/>
        <w:ind w:left="692" w:right="0" w:firstLine="0"/>
        <w:jc w:val="left"/>
        <w:rPr>
          <w:b/>
          <w:sz w:val="21"/>
        </w:rPr>
      </w:pPr>
      <w:r>
        <w:rPr/>
        <w:br w:type="column"/>
      </w:r>
      <w:r>
        <w:rPr>
          <w:b/>
          <w:w w:val="95"/>
          <w:sz w:val="21"/>
        </w:rPr>
        <w:t>4.如何交付保险费</w:t>
      </w:r>
    </w:p>
    <w:p>
      <w:pPr>
        <w:spacing w:before="52"/>
        <w:ind w:left="692" w:right="0" w:firstLine="0"/>
        <w:jc w:val="left"/>
        <w:rPr>
          <w:b/>
          <w:sz w:val="21"/>
        </w:rPr>
      </w:pPr>
      <w:r>
        <w:rPr/>
        <w:br w:type="column"/>
      </w:r>
      <w:r>
        <w:rPr>
          <w:b/>
          <w:w w:val="95"/>
          <w:sz w:val="21"/>
        </w:rPr>
        <w:t>8.释义</w:t>
      </w:r>
    </w:p>
    <w:p>
      <w:pPr>
        <w:spacing w:after="0"/>
        <w:jc w:val="left"/>
        <w:rPr>
          <w:sz w:val="21"/>
        </w:rPr>
        <w:sectPr>
          <w:type w:val="continuous"/>
          <w:pgSz w:w="11910" w:h="16840"/>
          <w:pgMar w:top="1040" w:bottom="1180" w:left="960" w:right="940"/>
          <w:cols w:num="3" w:equalWidth="0">
            <w:col w:w="2381" w:space="660"/>
            <w:col w:w="2381" w:space="570"/>
            <w:col w:w="4018"/>
          </w:cols>
        </w:sectPr>
      </w:pPr>
    </w:p>
    <w:p>
      <w:pPr>
        <w:pStyle w:val="BodyText"/>
        <w:spacing w:before="6"/>
        <w:rPr>
          <w:b/>
          <w:sz w:val="6"/>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93"/>
        <w:gridCol w:w="2944"/>
        <w:gridCol w:w="3154"/>
      </w:tblGrid>
      <w:tr>
        <w:trPr>
          <w:trHeight w:val="269" w:hRule="atLeast"/>
        </w:trPr>
        <w:tc>
          <w:tcPr>
            <w:tcW w:w="418" w:type="dxa"/>
          </w:tcPr>
          <w:p>
            <w:pPr>
              <w:pStyle w:val="TableParagraph"/>
              <w:spacing w:line="210" w:lineRule="exact"/>
              <w:ind w:left="50"/>
              <w:rPr>
                <w:sz w:val="21"/>
              </w:rPr>
            </w:pPr>
            <w:r>
              <w:rPr>
                <w:sz w:val="21"/>
              </w:rPr>
              <w:t>1.1</w:t>
            </w:r>
          </w:p>
        </w:tc>
        <w:tc>
          <w:tcPr>
            <w:tcW w:w="1993" w:type="dxa"/>
          </w:tcPr>
          <w:p>
            <w:pPr>
              <w:pStyle w:val="TableParagraph"/>
              <w:spacing w:line="210" w:lineRule="exact"/>
              <w:ind w:left="52"/>
              <w:rPr>
                <w:sz w:val="21"/>
              </w:rPr>
            </w:pPr>
            <w:r>
              <w:rPr>
                <w:sz w:val="21"/>
              </w:rPr>
              <w:t>合同构成</w:t>
            </w:r>
          </w:p>
        </w:tc>
        <w:tc>
          <w:tcPr>
            <w:tcW w:w="2944" w:type="dxa"/>
          </w:tcPr>
          <w:p>
            <w:pPr>
              <w:pStyle w:val="TableParagraph"/>
              <w:spacing w:line="227" w:lineRule="exact"/>
              <w:ind w:left="679"/>
              <w:rPr>
                <w:sz w:val="21"/>
              </w:rPr>
            </w:pPr>
            <w:r>
              <w:rPr>
                <w:sz w:val="21"/>
              </w:rPr>
              <w:t>4.1 保险费的交付</w:t>
            </w:r>
          </w:p>
        </w:tc>
        <w:tc>
          <w:tcPr>
            <w:tcW w:w="3154" w:type="dxa"/>
          </w:tcPr>
          <w:p>
            <w:pPr>
              <w:pStyle w:val="TableParagraph"/>
              <w:spacing w:line="226" w:lineRule="exact"/>
              <w:ind w:left="581"/>
              <w:rPr>
                <w:sz w:val="21"/>
              </w:rPr>
            </w:pPr>
            <w:r>
              <w:rPr>
                <w:sz w:val="21"/>
              </w:rPr>
              <w:t>8.1 有效身份证件</w:t>
            </w:r>
          </w:p>
        </w:tc>
      </w:tr>
      <w:tr>
        <w:trPr>
          <w:trHeight w:val="311" w:hRule="atLeast"/>
        </w:trPr>
        <w:tc>
          <w:tcPr>
            <w:tcW w:w="418" w:type="dxa"/>
          </w:tcPr>
          <w:p>
            <w:pPr>
              <w:pStyle w:val="TableParagraph"/>
              <w:spacing w:line="253" w:lineRule="exact"/>
              <w:ind w:left="50"/>
              <w:rPr>
                <w:sz w:val="21"/>
              </w:rPr>
            </w:pPr>
            <w:r>
              <w:rPr>
                <w:sz w:val="21"/>
              </w:rPr>
              <w:t>1.2</w:t>
            </w:r>
          </w:p>
        </w:tc>
        <w:tc>
          <w:tcPr>
            <w:tcW w:w="1993" w:type="dxa"/>
          </w:tcPr>
          <w:p>
            <w:pPr>
              <w:pStyle w:val="TableParagraph"/>
              <w:spacing w:line="253" w:lineRule="exact"/>
              <w:ind w:left="52"/>
              <w:rPr>
                <w:sz w:val="21"/>
              </w:rPr>
            </w:pPr>
            <w:r>
              <w:rPr>
                <w:sz w:val="21"/>
              </w:rPr>
              <w:t>合同成立与生效</w:t>
            </w:r>
          </w:p>
        </w:tc>
        <w:tc>
          <w:tcPr>
            <w:tcW w:w="2944" w:type="dxa"/>
          </w:tcPr>
          <w:p>
            <w:pPr>
              <w:pStyle w:val="TableParagraph"/>
              <w:rPr>
                <w:rFonts w:ascii="Times New Roman"/>
                <w:sz w:val="20"/>
              </w:rPr>
            </w:pPr>
          </w:p>
        </w:tc>
        <w:tc>
          <w:tcPr>
            <w:tcW w:w="3154" w:type="dxa"/>
          </w:tcPr>
          <w:p>
            <w:pPr>
              <w:pStyle w:val="TableParagraph"/>
              <w:spacing w:line="269" w:lineRule="exact"/>
              <w:ind w:left="581"/>
              <w:rPr>
                <w:sz w:val="21"/>
              </w:rPr>
            </w:pPr>
            <w:r>
              <w:rPr>
                <w:sz w:val="21"/>
              </w:rPr>
              <w:t>8.2 发病</w:t>
            </w:r>
          </w:p>
        </w:tc>
      </w:tr>
      <w:tr>
        <w:trPr>
          <w:trHeight w:val="312" w:hRule="atLeast"/>
        </w:trPr>
        <w:tc>
          <w:tcPr>
            <w:tcW w:w="418" w:type="dxa"/>
          </w:tcPr>
          <w:p>
            <w:pPr>
              <w:pStyle w:val="TableParagraph"/>
              <w:spacing w:line="253" w:lineRule="exact"/>
              <w:ind w:left="50"/>
              <w:rPr>
                <w:sz w:val="21"/>
              </w:rPr>
            </w:pPr>
            <w:r>
              <w:rPr>
                <w:sz w:val="21"/>
              </w:rPr>
              <w:t>1.3</w:t>
            </w:r>
          </w:p>
        </w:tc>
        <w:tc>
          <w:tcPr>
            <w:tcW w:w="1993" w:type="dxa"/>
          </w:tcPr>
          <w:p>
            <w:pPr>
              <w:pStyle w:val="TableParagraph"/>
              <w:spacing w:line="253" w:lineRule="exact"/>
              <w:ind w:left="52"/>
              <w:rPr>
                <w:sz w:val="21"/>
              </w:rPr>
            </w:pPr>
            <w:r>
              <w:rPr>
                <w:sz w:val="21"/>
              </w:rPr>
              <w:t>犹豫期</w:t>
            </w:r>
          </w:p>
        </w:tc>
        <w:tc>
          <w:tcPr>
            <w:tcW w:w="2944" w:type="dxa"/>
          </w:tcPr>
          <w:p>
            <w:pPr>
              <w:pStyle w:val="TableParagraph"/>
              <w:spacing w:line="269" w:lineRule="exact"/>
              <w:ind w:left="469"/>
              <w:rPr>
                <w:b/>
                <w:sz w:val="21"/>
              </w:rPr>
            </w:pPr>
            <w:r>
              <w:rPr>
                <w:b/>
                <w:w w:val="95"/>
                <w:sz w:val="21"/>
              </w:rPr>
              <w:t>5.现金价值权益</w:t>
            </w:r>
          </w:p>
        </w:tc>
        <w:tc>
          <w:tcPr>
            <w:tcW w:w="3154" w:type="dxa"/>
          </w:tcPr>
          <w:p>
            <w:pPr>
              <w:pStyle w:val="TableParagraph"/>
              <w:spacing w:line="269" w:lineRule="exact"/>
              <w:ind w:left="581"/>
              <w:rPr>
                <w:sz w:val="21"/>
              </w:rPr>
            </w:pPr>
            <w:r>
              <w:rPr>
                <w:sz w:val="21"/>
              </w:rPr>
              <w:t>8.3 意外事故</w:t>
            </w:r>
          </w:p>
        </w:tc>
      </w:tr>
      <w:tr>
        <w:trPr>
          <w:trHeight w:val="320" w:hRule="atLeast"/>
        </w:trPr>
        <w:tc>
          <w:tcPr>
            <w:tcW w:w="418" w:type="dxa"/>
          </w:tcPr>
          <w:p>
            <w:pPr>
              <w:pStyle w:val="TableParagraph"/>
              <w:spacing w:line="253" w:lineRule="exact"/>
              <w:ind w:left="50"/>
              <w:rPr>
                <w:sz w:val="21"/>
              </w:rPr>
            </w:pPr>
            <w:r>
              <w:rPr>
                <w:sz w:val="21"/>
              </w:rPr>
              <w:t>1.4</w:t>
            </w:r>
          </w:p>
        </w:tc>
        <w:tc>
          <w:tcPr>
            <w:tcW w:w="1993" w:type="dxa"/>
          </w:tcPr>
          <w:p>
            <w:pPr>
              <w:pStyle w:val="TableParagraph"/>
              <w:spacing w:line="253" w:lineRule="exact"/>
              <w:ind w:left="52"/>
              <w:rPr>
                <w:sz w:val="21"/>
              </w:rPr>
            </w:pPr>
            <w:r>
              <w:rPr>
                <w:sz w:val="21"/>
              </w:rPr>
              <w:t>保险期间</w:t>
            </w:r>
          </w:p>
        </w:tc>
        <w:tc>
          <w:tcPr>
            <w:tcW w:w="2944" w:type="dxa"/>
          </w:tcPr>
          <w:p>
            <w:pPr>
              <w:pStyle w:val="TableParagraph"/>
              <w:spacing w:line="269" w:lineRule="exact"/>
              <w:ind w:left="681"/>
              <w:rPr>
                <w:sz w:val="21"/>
              </w:rPr>
            </w:pPr>
            <w:r>
              <w:rPr>
                <w:sz w:val="21"/>
              </w:rPr>
              <w:t>5.1 现金价值</w:t>
            </w:r>
          </w:p>
        </w:tc>
        <w:tc>
          <w:tcPr>
            <w:tcW w:w="3154" w:type="dxa"/>
          </w:tcPr>
          <w:p>
            <w:pPr>
              <w:pStyle w:val="TableParagraph"/>
              <w:spacing w:line="269" w:lineRule="exact"/>
              <w:ind w:left="581"/>
              <w:rPr>
                <w:sz w:val="21"/>
              </w:rPr>
            </w:pPr>
            <w:r>
              <w:rPr>
                <w:sz w:val="21"/>
              </w:rPr>
              <w:t>8.4 指定或认可的医疗机构</w:t>
            </w:r>
          </w:p>
        </w:tc>
      </w:tr>
      <w:tr>
        <w:trPr>
          <w:trHeight w:val="261" w:hRule="atLeast"/>
        </w:trPr>
        <w:tc>
          <w:tcPr>
            <w:tcW w:w="418" w:type="dxa"/>
          </w:tcPr>
          <w:p>
            <w:pPr>
              <w:pStyle w:val="TableParagraph"/>
              <w:rPr>
                <w:rFonts w:ascii="Times New Roman"/>
                <w:sz w:val="18"/>
              </w:rPr>
            </w:pPr>
          </w:p>
        </w:tc>
        <w:tc>
          <w:tcPr>
            <w:tcW w:w="1993" w:type="dxa"/>
          </w:tcPr>
          <w:p>
            <w:pPr>
              <w:pStyle w:val="TableParagraph"/>
              <w:rPr>
                <w:rFonts w:ascii="Times New Roman"/>
                <w:sz w:val="18"/>
              </w:rPr>
            </w:pPr>
          </w:p>
        </w:tc>
        <w:tc>
          <w:tcPr>
            <w:tcW w:w="2944" w:type="dxa"/>
          </w:tcPr>
          <w:p>
            <w:pPr>
              <w:pStyle w:val="TableParagraph"/>
              <w:spacing w:line="241" w:lineRule="exact"/>
              <w:ind w:left="680"/>
              <w:rPr>
                <w:sz w:val="21"/>
              </w:rPr>
            </w:pPr>
            <w:r>
              <w:rPr>
                <w:sz w:val="21"/>
              </w:rPr>
              <w:t>5.2 保险单借款</w:t>
            </w:r>
          </w:p>
        </w:tc>
        <w:tc>
          <w:tcPr>
            <w:tcW w:w="3154" w:type="dxa"/>
          </w:tcPr>
          <w:p>
            <w:pPr>
              <w:pStyle w:val="TableParagraph"/>
              <w:spacing w:line="241" w:lineRule="exact"/>
              <w:ind w:left="581"/>
              <w:rPr>
                <w:sz w:val="21"/>
              </w:rPr>
            </w:pPr>
            <w:r>
              <w:rPr>
                <w:sz w:val="21"/>
              </w:rPr>
              <w:t>8.5 毒品</w:t>
            </w:r>
          </w:p>
        </w:tc>
      </w:tr>
    </w:tbl>
    <w:p>
      <w:pPr>
        <w:spacing w:after="0" w:line="241" w:lineRule="exact"/>
        <w:rPr>
          <w:sz w:val="21"/>
        </w:rPr>
        <w:sectPr>
          <w:type w:val="continuous"/>
          <w:pgSz w:w="11910" w:h="16840"/>
          <w:pgMar w:top="1040" w:bottom="1180" w:left="960" w:right="940"/>
        </w:sectPr>
      </w:pPr>
    </w:p>
    <w:p>
      <w:pPr>
        <w:spacing w:before="21"/>
        <w:ind w:left="692" w:right="0" w:firstLine="0"/>
        <w:jc w:val="left"/>
        <w:rPr>
          <w:b/>
          <w:sz w:val="21"/>
        </w:rPr>
      </w:pPr>
      <w:r>
        <w:rPr>
          <w:b/>
          <w:w w:val="95"/>
          <w:sz w:val="21"/>
        </w:rPr>
        <w:t>2.我们提供的保障</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保险金额</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保险责任</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责任免除</w:t>
      </w:r>
    </w:p>
    <w:p>
      <w:pPr>
        <w:pStyle w:val="BodyText"/>
        <w:spacing w:before="8"/>
        <w:rPr>
          <w:sz w:val="26"/>
        </w:rPr>
      </w:pPr>
    </w:p>
    <w:p>
      <w:pPr>
        <w:spacing w:before="0"/>
        <w:ind w:left="692" w:right="0" w:firstLine="0"/>
        <w:jc w:val="left"/>
        <w:rPr>
          <w:b/>
          <w:sz w:val="21"/>
        </w:rPr>
      </w:pPr>
      <w:r>
        <w:rPr>
          <w:b/>
          <w:w w:val="95"/>
          <w:sz w:val="21"/>
        </w:rPr>
        <w:t>3.如何申请领取保险金</w:t>
      </w:r>
    </w:p>
    <w:p>
      <w:pPr>
        <w:pStyle w:val="BodyText"/>
        <w:spacing w:before="9"/>
        <w:rPr>
          <w:b/>
          <w:sz w:val="26"/>
        </w:rPr>
      </w:pPr>
      <w:r>
        <w:rPr/>
        <w:br w:type="column"/>
      </w:r>
      <w:r>
        <w:rPr>
          <w:b/>
          <w:sz w:val="26"/>
        </w:rPr>
      </w:r>
    </w:p>
    <w:p>
      <w:pPr>
        <w:spacing w:before="0"/>
        <w:ind w:left="692" w:right="0" w:firstLine="0"/>
        <w:jc w:val="left"/>
        <w:rPr>
          <w:b/>
          <w:sz w:val="21"/>
        </w:rPr>
      </w:pPr>
      <w:r>
        <w:rPr>
          <w:b/>
          <w:w w:val="95"/>
          <w:sz w:val="21"/>
        </w:rPr>
        <w:t>6.如何解除保险合同</w:t>
      </w:r>
    </w:p>
    <w:p>
      <w:pPr>
        <w:spacing w:line="273" w:lineRule="auto" w:before="37"/>
        <w:ind w:left="1322" w:right="425" w:hanging="419"/>
        <w:jc w:val="left"/>
        <w:rPr>
          <w:sz w:val="21"/>
        </w:rPr>
      </w:pPr>
      <w:r>
        <w:rPr>
          <w:sz w:val="21"/>
        </w:rPr>
        <w:t>6.1 您解除合同的手续及风险</w:t>
      </w:r>
    </w:p>
    <w:p>
      <w:pPr>
        <w:pStyle w:val="BodyText"/>
        <w:spacing w:before="5"/>
        <w:rPr>
          <w:sz w:val="24"/>
        </w:rPr>
      </w:pPr>
    </w:p>
    <w:p>
      <w:pPr>
        <w:spacing w:before="0"/>
        <w:ind w:left="692" w:right="0" w:firstLine="0"/>
        <w:jc w:val="left"/>
        <w:rPr>
          <w:b/>
          <w:sz w:val="21"/>
        </w:rPr>
      </w:pPr>
      <w:r>
        <w:rPr>
          <w:b/>
          <w:w w:val="95"/>
          <w:sz w:val="21"/>
        </w:rPr>
        <w:t>7.其他需要您关注的事项</w:t>
      </w:r>
    </w:p>
    <w:p>
      <w:pPr>
        <w:pStyle w:val="ListParagraph"/>
        <w:numPr>
          <w:ilvl w:val="1"/>
          <w:numId w:val="3"/>
        </w:numPr>
        <w:tabs>
          <w:tab w:pos="1114" w:val="left" w:leader="none"/>
        </w:tabs>
        <w:spacing w:line="240" w:lineRule="auto" w:before="37" w:after="0"/>
        <w:ind w:left="1113" w:right="0" w:hanging="421"/>
        <w:jc w:val="left"/>
        <w:rPr>
          <w:sz w:val="21"/>
        </w:rPr>
      </w:pPr>
      <w:r>
        <w:rPr>
          <w:sz w:val="21"/>
        </w:rPr>
        <w:br w:type="column"/>
      </w:r>
      <w:r>
        <w:rPr>
          <w:spacing w:val="-1"/>
          <w:sz w:val="21"/>
        </w:rPr>
        <w:t>酒后驾驶</w:t>
      </w:r>
    </w:p>
    <w:p>
      <w:pPr>
        <w:pStyle w:val="ListParagraph"/>
        <w:numPr>
          <w:ilvl w:val="1"/>
          <w:numId w:val="3"/>
        </w:numPr>
        <w:tabs>
          <w:tab w:pos="1113" w:val="left" w:leader="none"/>
        </w:tabs>
        <w:spacing w:line="240" w:lineRule="auto" w:before="37" w:after="0"/>
        <w:ind w:left="1112" w:right="0" w:hanging="420"/>
        <w:jc w:val="left"/>
        <w:rPr>
          <w:sz w:val="21"/>
        </w:rPr>
      </w:pPr>
      <w:r>
        <w:rPr>
          <w:spacing w:val="-1"/>
          <w:sz w:val="21"/>
        </w:rPr>
        <w:t>无合法有效驾驶证驾驶</w:t>
      </w:r>
    </w:p>
    <w:p>
      <w:pPr>
        <w:pStyle w:val="ListParagraph"/>
        <w:numPr>
          <w:ilvl w:val="1"/>
          <w:numId w:val="3"/>
        </w:numPr>
        <w:tabs>
          <w:tab w:pos="1113" w:val="left" w:leader="none"/>
        </w:tabs>
        <w:spacing w:line="240" w:lineRule="auto" w:before="37" w:after="0"/>
        <w:ind w:left="1112" w:right="0" w:hanging="420"/>
        <w:jc w:val="left"/>
        <w:rPr>
          <w:sz w:val="21"/>
        </w:rPr>
      </w:pPr>
      <w:r>
        <w:rPr>
          <w:spacing w:val="-1"/>
          <w:sz w:val="21"/>
        </w:rPr>
        <w:t>无有效行驶证</w:t>
      </w:r>
    </w:p>
    <w:p>
      <w:pPr>
        <w:pStyle w:val="ListParagraph"/>
        <w:numPr>
          <w:ilvl w:val="1"/>
          <w:numId w:val="3"/>
        </w:numPr>
        <w:tabs>
          <w:tab w:pos="1114" w:val="left" w:leader="none"/>
        </w:tabs>
        <w:spacing w:line="240" w:lineRule="auto" w:before="37" w:after="0"/>
        <w:ind w:left="1113" w:right="0" w:hanging="421"/>
        <w:jc w:val="left"/>
        <w:rPr>
          <w:sz w:val="21"/>
        </w:rPr>
      </w:pPr>
      <w:r>
        <w:rPr>
          <w:sz w:val="21"/>
        </w:rPr>
        <w:t>艾滋病</w:t>
      </w:r>
    </w:p>
    <w:p>
      <w:pPr>
        <w:pStyle w:val="ListParagraph"/>
        <w:numPr>
          <w:ilvl w:val="1"/>
          <w:numId w:val="3"/>
        </w:numPr>
        <w:tabs>
          <w:tab w:pos="1218" w:val="left" w:leader="none"/>
        </w:tabs>
        <w:spacing w:line="240" w:lineRule="auto" w:before="37" w:after="0"/>
        <w:ind w:left="1217" w:right="0" w:hanging="525"/>
        <w:jc w:val="left"/>
        <w:rPr>
          <w:sz w:val="21"/>
        </w:rPr>
      </w:pPr>
      <w:r>
        <w:rPr>
          <w:spacing w:val="-1"/>
          <w:sz w:val="21"/>
        </w:rPr>
        <w:t>艾滋病病毒</w:t>
      </w:r>
    </w:p>
    <w:p>
      <w:pPr>
        <w:pStyle w:val="ListParagraph"/>
        <w:numPr>
          <w:ilvl w:val="1"/>
          <w:numId w:val="3"/>
        </w:numPr>
        <w:tabs>
          <w:tab w:pos="1218" w:val="left" w:leader="none"/>
        </w:tabs>
        <w:spacing w:line="240" w:lineRule="auto" w:before="37" w:after="0"/>
        <w:ind w:left="1217" w:right="0" w:hanging="525"/>
        <w:jc w:val="left"/>
        <w:rPr>
          <w:sz w:val="21"/>
        </w:rPr>
      </w:pPr>
      <w:r>
        <w:rPr>
          <w:spacing w:val="-1"/>
          <w:sz w:val="21"/>
        </w:rPr>
        <w:t>现金价值</w:t>
      </w:r>
    </w:p>
    <w:p>
      <w:pPr>
        <w:spacing w:after="0" w:line="240" w:lineRule="auto"/>
        <w:jc w:val="left"/>
        <w:rPr>
          <w:sz w:val="21"/>
        </w:rPr>
        <w:sectPr>
          <w:type w:val="continuous"/>
          <w:pgSz w:w="11910" w:h="16840"/>
          <w:pgMar w:top="1040" w:bottom="1180" w:left="960" w:right="940"/>
          <w:cols w:num="3" w:equalWidth="0">
            <w:col w:w="2801" w:space="240"/>
            <w:col w:w="3011" w:space="44"/>
            <w:col w:w="3914"/>
          </w:cols>
        </w:sectPr>
      </w:pPr>
    </w:p>
    <w:p>
      <w:pPr>
        <w:pStyle w:val="BodyText"/>
        <w:spacing w:before="6"/>
        <w:rPr>
          <w:sz w:val="6"/>
        </w:rPr>
      </w:pPr>
      <w:r>
        <w:rPr/>
        <w:pict>
          <v:line style="position:absolute;mso-position-horizontal-relative:page;mso-position-vertical-relative:page;z-index:-20224" from="63.720001pt,55.619999pt" to="543.000001pt,55.619999pt" stroked="true" strokeweight=".72pt" strokecolor="#000000">
            <v:stroke dashstyle="solid"/>
            <w10:wrap type="none"/>
          </v:line>
        </w:pict>
      </w: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92"/>
        <w:gridCol w:w="2733"/>
        <w:gridCol w:w="1266"/>
        <w:gridCol w:w="523"/>
      </w:tblGrid>
      <w:tr>
        <w:trPr>
          <w:trHeight w:val="269" w:hRule="atLeast"/>
        </w:trPr>
        <w:tc>
          <w:tcPr>
            <w:tcW w:w="418" w:type="dxa"/>
          </w:tcPr>
          <w:p>
            <w:pPr>
              <w:pStyle w:val="TableParagraph"/>
              <w:spacing w:line="210" w:lineRule="exact"/>
              <w:ind w:left="50"/>
              <w:rPr>
                <w:sz w:val="21"/>
              </w:rPr>
            </w:pPr>
            <w:r>
              <w:rPr>
                <w:sz w:val="21"/>
              </w:rPr>
              <w:t>3.1</w:t>
            </w:r>
          </w:p>
        </w:tc>
        <w:tc>
          <w:tcPr>
            <w:tcW w:w="1992" w:type="dxa"/>
          </w:tcPr>
          <w:p>
            <w:pPr>
              <w:pStyle w:val="TableParagraph"/>
              <w:spacing w:line="210" w:lineRule="exact"/>
              <w:ind w:left="52"/>
              <w:rPr>
                <w:sz w:val="21"/>
              </w:rPr>
            </w:pPr>
            <w:r>
              <w:rPr>
                <w:sz w:val="21"/>
              </w:rPr>
              <w:t>受益人的指定</w:t>
            </w:r>
          </w:p>
        </w:tc>
        <w:tc>
          <w:tcPr>
            <w:tcW w:w="2733" w:type="dxa"/>
          </w:tcPr>
          <w:p>
            <w:pPr>
              <w:pStyle w:val="TableParagraph"/>
              <w:spacing w:line="226" w:lineRule="exact"/>
              <w:ind w:left="680"/>
              <w:rPr>
                <w:sz w:val="21"/>
              </w:rPr>
            </w:pPr>
            <w:r>
              <w:rPr>
                <w:sz w:val="21"/>
              </w:rPr>
              <w:t>7.1 投保范围</w:t>
            </w:r>
          </w:p>
        </w:tc>
        <w:tc>
          <w:tcPr>
            <w:tcW w:w="1266" w:type="dxa"/>
          </w:tcPr>
          <w:p>
            <w:pPr>
              <w:pStyle w:val="TableParagraph"/>
              <w:spacing w:line="226" w:lineRule="exact"/>
              <w:ind w:left="793"/>
              <w:rPr>
                <w:sz w:val="21"/>
              </w:rPr>
            </w:pPr>
            <w:r>
              <w:rPr>
                <w:sz w:val="21"/>
              </w:rPr>
              <w:t>8.12</w:t>
            </w:r>
          </w:p>
        </w:tc>
        <w:tc>
          <w:tcPr>
            <w:tcW w:w="523" w:type="dxa"/>
          </w:tcPr>
          <w:p>
            <w:pPr>
              <w:pStyle w:val="TableParagraph"/>
              <w:spacing w:line="226" w:lineRule="exact"/>
              <w:ind w:left="52"/>
              <w:rPr>
                <w:sz w:val="21"/>
              </w:rPr>
            </w:pPr>
            <w:r>
              <w:rPr>
                <w:sz w:val="21"/>
              </w:rPr>
              <w:t>利息</w:t>
            </w:r>
          </w:p>
        </w:tc>
      </w:tr>
      <w:tr>
        <w:trPr>
          <w:trHeight w:val="312" w:hRule="atLeast"/>
        </w:trPr>
        <w:tc>
          <w:tcPr>
            <w:tcW w:w="418" w:type="dxa"/>
          </w:tcPr>
          <w:p>
            <w:pPr>
              <w:pStyle w:val="TableParagraph"/>
              <w:spacing w:line="253" w:lineRule="exact"/>
              <w:ind w:left="50"/>
              <w:rPr>
                <w:sz w:val="21"/>
              </w:rPr>
            </w:pPr>
            <w:r>
              <w:rPr>
                <w:sz w:val="21"/>
              </w:rPr>
              <w:t>3.2</w:t>
            </w:r>
          </w:p>
        </w:tc>
        <w:tc>
          <w:tcPr>
            <w:tcW w:w="1992" w:type="dxa"/>
          </w:tcPr>
          <w:p>
            <w:pPr>
              <w:pStyle w:val="TableParagraph"/>
              <w:spacing w:line="253" w:lineRule="exact"/>
              <w:ind w:left="52"/>
              <w:rPr>
                <w:sz w:val="21"/>
              </w:rPr>
            </w:pPr>
            <w:r>
              <w:rPr>
                <w:sz w:val="21"/>
              </w:rPr>
              <w:t>保险金的申请</w:t>
            </w:r>
          </w:p>
        </w:tc>
        <w:tc>
          <w:tcPr>
            <w:tcW w:w="2733" w:type="dxa"/>
          </w:tcPr>
          <w:p>
            <w:pPr>
              <w:pStyle w:val="TableParagraph"/>
              <w:spacing w:line="269" w:lineRule="exact"/>
              <w:ind w:left="680"/>
              <w:rPr>
                <w:sz w:val="21"/>
              </w:rPr>
            </w:pPr>
            <w:r>
              <w:rPr>
                <w:sz w:val="21"/>
              </w:rPr>
              <w:t>7.2 合同效力</w:t>
            </w:r>
          </w:p>
        </w:tc>
        <w:tc>
          <w:tcPr>
            <w:tcW w:w="1266" w:type="dxa"/>
          </w:tcPr>
          <w:p>
            <w:pPr>
              <w:pStyle w:val="TableParagraph"/>
              <w:rPr>
                <w:rFonts w:ascii="Times New Roman"/>
                <w:sz w:val="20"/>
              </w:rPr>
            </w:pPr>
          </w:p>
        </w:tc>
        <w:tc>
          <w:tcPr>
            <w:tcW w:w="523" w:type="dxa"/>
          </w:tcPr>
          <w:p>
            <w:pPr>
              <w:pStyle w:val="TableParagraph"/>
              <w:rPr>
                <w:rFonts w:ascii="Times New Roman"/>
                <w:sz w:val="20"/>
              </w:rPr>
            </w:pPr>
          </w:p>
        </w:tc>
      </w:tr>
      <w:tr>
        <w:trPr>
          <w:trHeight w:val="303" w:hRule="atLeast"/>
        </w:trPr>
        <w:tc>
          <w:tcPr>
            <w:tcW w:w="418" w:type="dxa"/>
          </w:tcPr>
          <w:p>
            <w:pPr>
              <w:pStyle w:val="TableParagraph"/>
              <w:spacing w:line="253" w:lineRule="exact"/>
              <w:ind w:left="50"/>
              <w:rPr>
                <w:sz w:val="21"/>
              </w:rPr>
            </w:pPr>
            <w:r>
              <w:rPr>
                <w:sz w:val="21"/>
              </w:rPr>
              <w:t>3.3</w:t>
            </w:r>
          </w:p>
        </w:tc>
        <w:tc>
          <w:tcPr>
            <w:tcW w:w="1992" w:type="dxa"/>
          </w:tcPr>
          <w:p>
            <w:pPr>
              <w:pStyle w:val="TableParagraph"/>
              <w:spacing w:line="253" w:lineRule="exact"/>
              <w:ind w:left="52"/>
              <w:rPr>
                <w:sz w:val="21"/>
              </w:rPr>
            </w:pPr>
            <w:r>
              <w:rPr>
                <w:sz w:val="21"/>
              </w:rPr>
              <w:t>欠款的扣除</w:t>
            </w:r>
          </w:p>
        </w:tc>
        <w:tc>
          <w:tcPr>
            <w:tcW w:w="2733" w:type="dxa"/>
          </w:tcPr>
          <w:p>
            <w:pPr>
              <w:pStyle w:val="TableParagraph"/>
              <w:rPr>
                <w:rFonts w:ascii="Times New Roman"/>
                <w:sz w:val="20"/>
              </w:rPr>
            </w:pPr>
          </w:p>
        </w:tc>
        <w:tc>
          <w:tcPr>
            <w:tcW w:w="1266" w:type="dxa"/>
          </w:tcPr>
          <w:p>
            <w:pPr>
              <w:pStyle w:val="TableParagraph"/>
              <w:rPr>
                <w:rFonts w:ascii="Times New Roman"/>
                <w:sz w:val="20"/>
              </w:rPr>
            </w:pPr>
          </w:p>
        </w:tc>
        <w:tc>
          <w:tcPr>
            <w:tcW w:w="523" w:type="dxa"/>
          </w:tcPr>
          <w:p>
            <w:pPr>
              <w:pStyle w:val="TableParagraph"/>
              <w:rPr>
                <w:rFonts w:ascii="Times New Roman"/>
                <w:sz w:val="20"/>
              </w:rPr>
            </w:pPr>
          </w:p>
        </w:tc>
      </w:tr>
      <w:tr>
        <w:trPr>
          <w:trHeight w:val="261" w:hRule="atLeast"/>
        </w:trPr>
        <w:tc>
          <w:tcPr>
            <w:tcW w:w="418" w:type="dxa"/>
          </w:tcPr>
          <w:p>
            <w:pPr>
              <w:pStyle w:val="TableParagraph"/>
              <w:spacing w:line="241" w:lineRule="exact"/>
              <w:ind w:left="50"/>
              <w:rPr>
                <w:sz w:val="21"/>
              </w:rPr>
            </w:pPr>
            <w:r>
              <w:rPr>
                <w:sz w:val="21"/>
              </w:rPr>
              <w:t>3.4</w:t>
            </w:r>
          </w:p>
        </w:tc>
        <w:tc>
          <w:tcPr>
            <w:tcW w:w="1992" w:type="dxa"/>
          </w:tcPr>
          <w:p>
            <w:pPr>
              <w:pStyle w:val="TableParagraph"/>
              <w:spacing w:line="241" w:lineRule="exact"/>
              <w:ind w:left="52"/>
              <w:rPr>
                <w:sz w:val="21"/>
              </w:rPr>
            </w:pPr>
            <w:r>
              <w:rPr>
                <w:sz w:val="21"/>
              </w:rPr>
              <w:t>诉讼时效</w:t>
            </w:r>
          </w:p>
        </w:tc>
        <w:tc>
          <w:tcPr>
            <w:tcW w:w="2733" w:type="dxa"/>
          </w:tcPr>
          <w:p>
            <w:pPr>
              <w:pStyle w:val="TableParagraph"/>
              <w:rPr>
                <w:rFonts w:ascii="Times New Roman"/>
                <w:sz w:val="18"/>
              </w:rPr>
            </w:pPr>
          </w:p>
        </w:tc>
        <w:tc>
          <w:tcPr>
            <w:tcW w:w="1266" w:type="dxa"/>
          </w:tcPr>
          <w:p>
            <w:pPr>
              <w:pStyle w:val="TableParagraph"/>
              <w:rPr>
                <w:rFonts w:ascii="Times New Roman"/>
                <w:sz w:val="18"/>
              </w:rPr>
            </w:pPr>
          </w:p>
        </w:tc>
        <w:tc>
          <w:tcPr>
            <w:tcW w:w="523"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960" w:right="940"/>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701" w:right="2828" w:firstLine="0"/>
        <w:jc w:val="center"/>
        <w:rPr>
          <w:b/>
          <w:sz w:val="28"/>
        </w:rPr>
      </w:pPr>
      <w:r>
        <w:rPr>
          <w:b/>
          <w:w w:val="95"/>
          <w:sz w:val="28"/>
        </w:rPr>
        <w:t>附加金康福提前给付重大疾病保险条款</w:t>
      </w:r>
    </w:p>
    <w:p>
      <w:pPr>
        <w:pStyle w:val="BodyText"/>
        <w:spacing w:before="0"/>
        <w:rPr>
          <w:b/>
          <w:sz w:val="28"/>
        </w:rPr>
      </w:pPr>
    </w:p>
    <w:p>
      <w:pPr>
        <w:spacing w:before="221"/>
        <w:ind w:left="224" w:right="0" w:firstLine="0"/>
        <w:jc w:val="left"/>
        <w:rPr>
          <w:sz w:val="21"/>
        </w:rPr>
      </w:pPr>
      <w:r>
        <w:rPr>
          <w:spacing w:val="-23"/>
          <w:sz w:val="21"/>
        </w:rPr>
        <w:t>在本条款中，“您”指投保人，“我们”、“本公司”均指民生人寿保险股份有限公司</w:t>
      </w:r>
    </w:p>
    <w:p>
      <w:pPr>
        <w:pStyle w:val="BodyText"/>
        <w:spacing w:before="8"/>
        <w:rPr>
          <w:sz w:val="27"/>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37.289822pt" to="553.5pt,37.289822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10"/>
        <w:rPr>
          <w:b/>
          <w:sz w:val="11"/>
        </w:rPr>
      </w:pPr>
    </w:p>
    <w:p>
      <w:pPr>
        <w:pStyle w:val="ListParagraph"/>
        <w:numPr>
          <w:ilvl w:val="1"/>
          <w:numId w:val="4"/>
        </w:numPr>
        <w:tabs>
          <w:tab w:pos="906" w:val="left" w:leader="none"/>
          <w:tab w:pos="907" w:val="left" w:leader="none"/>
          <w:tab w:pos="2613" w:val="left" w:leader="none"/>
        </w:tabs>
        <w:spacing w:line="312" w:lineRule="exact" w:before="5" w:after="0"/>
        <w:ind w:left="2613" w:right="132" w:hanging="2389"/>
        <w:jc w:val="left"/>
        <w:rPr>
          <w:sz w:val="18"/>
        </w:rPr>
      </w:pPr>
      <w:r>
        <w:rPr>
          <w:b/>
          <w:w w:val="99"/>
          <w:position w:val="-4"/>
          <w:sz w:val="21"/>
        </w:rPr>
        <w:t>合同构成</w:t>
      </w:r>
      <w:r>
        <w:rPr>
          <w:b/>
          <w:position w:val="-4"/>
          <w:sz w:val="21"/>
        </w:rPr>
        <w:tab/>
      </w:r>
      <w:r>
        <w:rPr>
          <w:sz w:val="18"/>
        </w:rPr>
        <w:t>本附加保险合</w:t>
      </w:r>
      <w:r>
        <w:rPr>
          <w:spacing w:val="-5"/>
          <w:sz w:val="18"/>
        </w:rPr>
        <w:t>同</w:t>
      </w:r>
      <w:r>
        <w:rPr>
          <w:sz w:val="18"/>
        </w:rPr>
        <w:t>（以下简</w:t>
      </w:r>
      <w:r>
        <w:rPr>
          <w:spacing w:val="-5"/>
          <w:sz w:val="18"/>
        </w:rPr>
        <w:t>称</w:t>
      </w:r>
      <w:r>
        <w:rPr>
          <w:sz w:val="18"/>
        </w:rPr>
        <w:t>“本附加合同</w:t>
      </w:r>
      <w:r>
        <w:rPr>
          <w:spacing w:val="-90"/>
          <w:sz w:val="18"/>
        </w:rPr>
        <w:t>”</w:t>
      </w:r>
      <w:r>
        <w:rPr>
          <w:spacing w:val="-5"/>
          <w:sz w:val="18"/>
        </w:rPr>
        <w:t>）</w:t>
      </w:r>
      <w:r>
        <w:rPr>
          <w:sz w:val="18"/>
        </w:rPr>
        <w:t>附加于本公司规定的主保险合</w:t>
      </w:r>
      <w:r>
        <w:rPr>
          <w:spacing w:val="-5"/>
          <w:sz w:val="18"/>
        </w:rPr>
        <w:t>同</w:t>
      </w:r>
      <w:r>
        <w:rPr>
          <w:sz w:val="18"/>
        </w:rPr>
        <w:t>（以下简</w:t>
      </w:r>
      <w:r>
        <w:rPr>
          <w:spacing w:val="-5"/>
          <w:sz w:val="18"/>
        </w:rPr>
        <w:t>称</w:t>
      </w:r>
      <w:r>
        <w:rPr>
          <w:sz w:val="18"/>
        </w:rPr>
        <w:t>“主合同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39"/>
        <w:ind w:left="2613" w:right="221"/>
        <w:jc w:val="both"/>
      </w:pPr>
      <w:r>
        <w:rPr/>
        <w:t>除本附加合同另有约定外，其他未尽事宜以主合同条款为准。如果主合同与本附加合同的条款内容互有冲突，则以本附加合同为准。</w:t>
      </w:r>
    </w:p>
    <w:p>
      <w:pPr>
        <w:pStyle w:val="BodyText"/>
        <w:spacing w:before="9"/>
        <w:rPr>
          <w:sz w:val="15"/>
        </w:rPr>
      </w:pPr>
    </w:p>
    <w:p>
      <w:pPr>
        <w:pStyle w:val="ListParagraph"/>
        <w:numPr>
          <w:ilvl w:val="1"/>
          <w:numId w:val="4"/>
        </w:numPr>
        <w:tabs>
          <w:tab w:pos="907" w:val="left" w:leader="none"/>
          <w:tab w:pos="908" w:val="left" w:leader="none"/>
          <w:tab w:pos="2613" w:val="left" w:leader="none"/>
        </w:tabs>
        <w:spacing w:line="312" w:lineRule="exact" w:before="1" w:after="0"/>
        <w:ind w:left="2613" w:right="221" w:hanging="2389"/>
        <w:jc w:val="left"/>
        <w:rPr>
          <w:sz w:val="18"/>
        </w:rPr>
      </w:pPr>
      <w:r>
        <w:rPr>
          <w:b/>
          <w:position w:val="-4"/>
          <w:sz w:val="21"/>
        </w:rPr>
        <w:t>合同成立与生效</w:t>
        <w:tab/>
      </w:r>
      <w:r>
        <w:rPr>
          <w:sz w:val="18"/>
        </w:rPr>
        <w:t>自您提出保险申请，本公司同意承保，本附加合同成立。合同成立日期在保险单上载明。</w:t>
      </w:r>
      <w:r>
        <w:rPr>
          <w:spacing w:val="0"/>
          <w:sz w:val="18"/>
        </w:rPr>
        <w:t> </w:t>
      </w:r>
      <w:r>
        <w:rPr>
          <w:sz w:val="18"/>
        </w:rPr>
        <w:t>本附加合同自我们同意承保、收取首期保险费并签发保险单开始生效，具体生效日以保险单载明的日期为准。我们自生效日零时起开始承担本附加合同约定的保险责任。</w:t>
      </w:r>
    </w:p>
    <w:p>
      <w:pPr>
        <w:pStyle w:val="BodyText"/>
        <w:spacing w:line="316" w:lineRule="auto" w:before="39"/>
        <w:ind w:left="2613" w:right="221"/>
        <w:jc w:val="both"/>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1"/>
        <w:rPr>
          <w:sz w:val="20"/>
        </w:rPr>
      </w:pPr>
    </w:p>
    <w:p>
      <w:pPr>
        <w:pStyle w:val="ListParagraph"/>
        <w:numPr>
          <w:ilvl w:val="1"/>
          <w:numId w:val="4"/>
        </w:numPr>
        <w:tabs>
          <w:tab w:pos="908" w:val="left" w:leader="none"/>
        </w:tabs>
        <w:spacing w:line="312" w:lineRule="exact" w:before="0" w:after="0"/>
        <w:ind w:left="2613" w:right="288" w:hanging="2389"/>
        <w:jc w:val="both"/>
        <w:rPr>
          <w:sz w:val="18"/>
        </w:rPr>
      </w:pPr>
      <w:r>
        <w:rPr>
          <w:b/>
          <w:spacing w:val="0"/>
          <w:position w:val="-4"/>
          <w:sz w:val="21"/>
        </w:rPr>
        <w:t>犹豫期         </w:t>
      </w:r>
      <w:r>
        <w:rPr>
          <w:sz w:val="18"/>
        </w:rPr>
        <w:t>自您签收本附加合同次日起，有十天的犹豫期。在此期间请您认真审视本附加合同，如果您认为本附加合同与您的需求不相符，您可以在此期间提出解除本附加合同。您解除本附加合同须同时解除主合同。我们将无息退还您所交的全部保险费。</w:t>
      </w:r>
    </w:p>
    <w:p>
      <w:pPr>
        <w:pStyle w:val="BodyText"/>
        <w:spacing w:line="316" w:lineRule="auto" w:before="38"/>
        <w:ind w:left="2613" w:right="221" w:hanging="1"/>
        <w:jc w:val="both"/>
      </w:pPr>
      <w:r>
        <w:rPr/>
        <w:t>解除合同时，您需要填写书面申请书，并提供您的合同及</w:t>
      </w:r>
      <w:r>
        <w:rPr>
          <w:b/>
          <w:w w:val="99"/>
        </w:rPr>
        <w:t>有效身份证件</w:t>
      </w:r>
      <w:r>
        <w:rPr/>
        <w:t>（</w:t>
      </w:r>
      <w:r>
        <w:rPr>
          <w:spacing w:val="-14"/>
        </w:rPr>
        <w:t>见 </w:t>
      </w:r>
      <w:r>
        <w:rPr/>
        <w:t>8.1</w:t>
      </w:r>
      <w:r>
        <w:rPr>
          <w:spacing w:val="-90"/>
        </w:rPr>
        <w:t>）</w:t>
      </w:r>
      <w:r>
        <w:rPr/>
        <w:t>。自您书面申请解除合同之日起，本附加合同效力即行终止，对合同解除前发生的保险事故，我们不承担给付保险金的责任。</w:t>
      </w:r>
    </w:p>
    <w:p>
      <w:pPr>
        <w:pStyle w:val="BodyText"/>
        <w:spacing w:before="9"/>
      </w:pPr>
    </w:p>
    <w:p>
      <w:pPr>
        <w:pStyle w:val="ListParagraph"/>
        <w:numPr>
          <w:ilvl w:val="1"/>
          <w:numId w:val="4"/>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保险期间</w:t>
        <w:tab/>
      </w:r>
      <w:r>
        <w:rPr>
          <w:sz w:val="18"/>
        </w:rPr>
        <w:t>本附加合同保险期间与主合同一致，且须与主合同同时投保。</w:t>
      </w:r>
    </w:p>
    <w:p>
      <w:pPr>
        <w:pStyle w:val="BodyText"/>
        <w:spacing w:before="3"/>
        <w:rPr>
          <w:sz w:val="15"/>
        </w:rPr>
      </w:pPr>
    </w:p>
    <w:p>
      <w:pPr>
        <w:tabs>
          <w:tab w:pos="907" w:val="left" w:leader="none"/>
        </w:tabs>
        <w:spacing w:before="1"/>
        <w:ind w:left="224" w:right="0" w:firstLine="0"/>
        <w:jc w:val="left"/>
        <w:rPr>
          <w:b/>
          <w:sz w:val="24"/>
        </w:rPr>
      </w:pPr>
      <w:r>
        <w:rPr/>
        <w:pict>
          <v:line style="position:absolute;mso-position-horizontal-relative:page;mso-position-vertical-relative:paragraph;z-index:1120;mso-wrap-distance-left:0;mso-wrap-distance-right:0" from="59.82pt,37.339809pt" to="553.5pt,37.339809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10"/>
        <w:rPr>
          <w:b/>
          <w:sz w:val="11"/>
        </w:rPr>
      </w:pPr>
    </w:p>
    <w:p>
      <w:pPr>
        <w:pStyle w:val="ListParagraph"/>
        <w:numPr>
          <w:ilvl w:val="1"/>
          <w:numId w:val="5"/>
        </w:numPr>
        <w:tabs>
          <w:tab w:pos="906" w:val="left" w:leader="none"/>
          <w:tab w:pos="907" w:val="left" w:leader="none"/>
          <w:tab w:pos="2613" w:val="left" w:leader="none"/>
        </w:tabs>
        <w:spacing w:line="240" w:lineRule="auto" w:before="44" w:after="0"/>
        <w:ind w:left="2613" w:right="0" w:hanging="2389"/>
        <w:jc w:val="left"/>
        <w:rPr>
          <w:sz w:val="18"/>
        </w:rPr>
      </w:pPr>
      <w:r>
        <w:rPr>
          <w:b/>
          <w:position w:val="-4"/>
          <w:sz w:val="21"/>
        </w:rPr>
        <w:t>保险金额</w:t>
        <w:tab/>
      </w:r>
      <w:r>
        <w:rPr>
          <w:sz w:val="18"/>
        </w:rPr>
        <w:t>本附加合同基本保险金额是本附加合同所附加主合同的基本保险金额。</w:t>
      </w:r>
    </w:p>
    <w:p>
      <w:pPr>
        <w:pStyle w:val="BodyText"/>
        <w:spacing w:before="12"/>
        <w:rPr>
          <w:sz w:val="24"/>
        </w:rPr>
      </w:pPr>
    </w:p>
    <w:p>
      <w:pPr>
        <w:pStyle w:val="ListParagraph"/>
        <w:numPr>
          <w:ilvl w:val="1"/>
          <w:numId w:val="5"/>
        </w:numPr>
        <w:tabs>
          <w:tab w:pos="906" w:val="left" w:leader="none"/>
          <w:tab w:pos="907" w:val="left" w:leader="none"/>
          <w:tab w:pos="2613" w:val="left" w:leader="none"/>
        </w:tabs>
        <w:spacing w:line="240" w:lineRule="auto" w:before="0" w:after="0"/>
        <w:ind w:left="906" w:right="0" w:hanging="682"/>
        <w:jc w:val="left"/>
        <w:rPr>
          <w:sz w:val="18"/>
        </w:rPr>
      </w:pPr>
      <w:r>
        <w:rPr>
          <w:b/>
          <w:position w:val="-4"/>
          <w:sz w:val="21"/>
        </w:rPr>
        <w:t>保险责任</w:t>
        <w:tab/>
      </w:r>
      <w:r>
        <w:rPr>
          <w:sz w:val="18"/>
        </w:rPr>
        <w:t>在本附加合同有效期内，本公司按下列规定承担保险责任：</w:t>
      </w:r>
    </w:p>
    <w:p>
      <w:pPr>
        <w:pStyle w:val="BodyText"/>
        <w:spacing w:before="5"/>
        <w:rPr>
          <w:sz w:val="25"/>
        </w:rPr>
      </w:pPr>
    </w:p>
    <w:p>
      <w:pPr>
        <w:pStyle w:val="BodyText"/>
        <w:tabs>
          <w:tab w:pos="2613" w:val="left" w:leader="none"/>
        </w:tabs>
        <w:spacing w:line="312" w:lineRule="exact" w:before="0"/>
        <w:ind w:left="2613" w:right="132" w:hanging="1707"/>
      </w:pPr>
      <w:r>
        <w:rPr>
          <w:b/>
          <w:spacing w:val="0"/>
          <w:w w:val="99"/>
          <w:position w:val="-4"/>
          <w:sz w:val="21"/>
        </w:rPr>
        <w:t>等待</w:t>
      </w:r>
      <w:r>
        <w:rPr>
          <w:b/>
          <w:w w:val="99"/>
          <w:position w:val="-4"/>
          <w:sz w:val="21"/>
        </w:rPr>
        <w:t>期</w:t>
      </w:r>
      <w:r>
        <w:rPr>
          <w:b/>
          <w:position w:val="-4"/>
          <w:sz w:val="21"/>
        </w:rPr>
        <w:tab/>
      </w:r>
      <w:r>
        <w:rPr/>
        <w:t>从本附加合同生</w:t>
      </w:r>
      <w:r>
        <w:rPr>
          <w:spacing w:val="-6"/>
        </w:rPr>
        <w:t>效</w:t>
      </w:r>
      <w:r>
        <w:rPr/>
        <w:t>（或复效</w:t>
      </w:r>
      <w:r>
        <w:rPr>
          <w:spacing w:val="-6"/>
        </w:rPr>
        <w:t>）</w:t>
      </w:r>
      <w:r>
        <w:rPr/>
        <w:t>之日起一百八十天</w:t>
      </w:r>
      <w:r>
        <w:rPr>
          <w:spacing w:val="-6"/>
        </w:rPr>
        <w:t>内</w:t>
      </w:r>
      <w:r>
        <w:rPr/>
        <w:t>（包括第一百八十天</w:t>
      </w:r>
      <w:r>
        <w:rPr>
          <w:spacing w:val="-91"/>
        </w:rPr>
        <w:t>）</w:t>
      </w:r>
      <w:r>
        <w:rPr>
          <w:spacing w:val="-6"/>
        </w:rPr>
        <w:t>，</w:t>
      </w:r>
      <w:r>
        <w:rPr/>
        <w:t>被保险人因疾病首次</w:t>
      </w:r>
      <w:r>
        <w:rPr>
          <w:b/>
        </w:rPr>
        <w:t>发病</w:t>
      </w:r>
      <w:r>
        <w:rPr/>
        <w:t>（见</w:t>
      </w:r>
      <w:r>
        <w:rPr>
          <w:spacing w:val="-46"/>
        </w:rPr>
        <w:t> </w:t>
      </w:r>
      <w:r>
        <w:rPr/>
        <w:t>8.2）或被确诊患有本附加合同附表一所列的轻症疾病或附表二所列的重大疾病， 我们不承担保险责任</w:t>
      </w:r>
      <w:r>
        <w:rPr>
          <w:spacing w:val="-23"/>
        </w:rPr>
        <w:t>，</w:t>
      </w:r>
      <w:r>
        <w:rPr/>
        <w:t>并向您返还本附加合同及主合同累计已交保险</w:t>
      </w:r>
      <w:r>
        <w:rPr>
          <w:spacing w:val="-23"/>
        </w:rPr>
        <w:t>费</w:t>
      </w:r>
      <w:r>
        <w:rPr/>
        <w:t>（不计利息</w:t>
      </w:r>
      <w:r>
        <w:rPr>
          <w:spacing w:val="-23"/>
        </w:rPr>
        <w:t>）</w:t>
      </w:r>
      <w:r>
        <w:rPr/>
        <w:t>的</w:t>
      </w:r>
      <w:r>
        <w:rPr>
          <w:spacing w:val="-46"/>
        </w:rPr>
        <w:t> </w:t>
      </w:r>
      <w:r>
        <w:rPr/>
        <w:t>105%， 本附加合同终止，同时主合同终止。这一百八十天时间被称为等待期。因</w:t>
      </w:r>
      <w:r>
        <w:rPr>
          <w:b/>
        </w:rPr>
        <w:t>意外事故</w:t>
      </w:r>
      <w:r>
        <w:rPr/>
        <w:t>（见</w:t>
      </w:r>
      <w:r>
        <w:rPr>
          <w:spacing w:val="-48"/>
        </w:rPr>
        <w:t> </w:t>
      </w:r>
      <w:r>
        <w:rPr/>
        <w:t>8.3） 发生上述情形的，无等待期。</w:t>
      </w:r>
    </w:p>
    <w:p>
      <w:pPr>
        <w:spacing w:after="0" w:line="312" w:lineRule="exact"/>
        <w:sectPr>
          <w:headerReference w:type="default" r:id="rId9"/>
          <w:pgSz w:w="11910" w:h="16840"/>
          <w:pgMar w:header="877" w:footer="981" w:top="1100" w:bottom="1180" w:left="1080" w:right="720"/>
        </w:sectPr>
      </w:pPr>
    </w:p>
    <w:p>
      <w:pPr>
        <w:pStyle w:val="BodyText"/>
        <w:spacing w:before="3"/>
        <w:rPr>
          <w:sz w:val="20"/>
        </w:rPr>
      </w:pPr>
    </w:p>
    <w:p>
      <w:pPr>
        <w:spacing w:after="0"/>
        <w:rPr>
          <w:sz w:val="20"/>
        </w:rPr>
        <w:sectPr>
          <w:pgSz w:w="11910" w:h="16840"/>
          <w:pgMar w:header="877" w:footer="981" w:top="1100" w:bottom="1180" w:left="1080" w:right="720"/>
        </w:sectPr>
      </w:pPr>
    </w:p>
    <w:p>
      <w:pPr>
        <w:spacing w:line="340" w:lineRule="auto" w:before="59"/>
        <w:ind w:left="907" w:right="0" w:firstLine="0"/>
        <w:jc w:val="left"/>
        <w:rPr>
          <w:b/>
          <w:sz w:val="21"/>
        </w:rPr>
      </w:pPr>
      <w:r>
        <w:rPr>
          <w:b/>
          <w:sz w:val="21"/>
        </w:rPr>
        <w:t>1．轻症疾病保险金</w:t>
      </w:r>
    </w:p>
    <w:p>
      <w:pPr>
        <w:pStyle w:val="BodyText"/>
        <w:spacing w:line="316" w:lineRule="auto" w:before="44"/>
        <w:ind w:left="504" w:right="148"/>
      </w:pPr>
      <w:r>
        <w:rPr/>
        <w:br w:type="column"/>
      </w:r>
      <w:r>
        <w:rPr/>
        <w:t>若被保险人经诊断于本附加合同等待期后首次发病并经我们</w:t>
      </w:r>
      <w:r>
        <w:rPr>
          <w:b/>
        </w:rPr>
        <w:t>指定或认可的医疗机构</w:t>
      </w:r>
      <w:r>
        <w:rPr/>
        <w:t>（</w:t>
      </w:r>
      <w:r>
        <w:rPr>
          <w:spacing w:val="-25"/>
        </w:rPr>
        <w:t>见 </w:t>
      </w:r>
      <w:r>
        <w:rPr/>
        <w:t>8.4） </w:t>
      </w:r>
      <w:r>
        <w:rPr>
          <w:spacing w:val="-1"/>
        </w:rPr>
        <w:t>确诊初次患有本附加合同附表一约定的一项或多项轻症疾病的，我们按基本保险金额的 </w:t>
      </w:r>
      <w:r>
        <w:rPr/>
        <w:t>20% 向轻症疾病保险金受益人给付轻症疾病保险金，本项责任终止。</w:t>
      </w:r>
    </w:p>
    <w:p>
      <w:pPr>
        <w:spacing w:after="0" w:line="316" w:lineRule="auto"/>
        <w:sectPr>
          <w:type w:val="continuous"/>
          <w:pgSz w:w="11910" w:h="16840"/>
          <w:pgMar w:top="1040" w:bottom="1180" w:left="1080" w:right="720"/>
          <w:cols w:num="2" w:equalWidth="0">
            <w:col w:w="2069" w:space="40"/>
            <w:col w:w="8001"/>
          </w:cols>
        </w:sectPr>
      </w:pPr>
    </w:p>
    <w:p>
      <w:pPr>
        <w:pStyle w:val="BodyText"/>
        <w:spacing w:before="0"/>
        <w:rPr>
          <w:sz w:val="20"/>
        </w:rPr>
      </w:pPr>
    </w:p>
    <w:p>
      <w:pPr>
        <w:pStyle w:val="BodyText"/>
        <w:spacing w:before="2"/>
        <w:rPr>
          <w:sz w:val="19"/>
        </w:rPr>
      </w:pPr>
    </w:p>
    <w:p>
      <w:pPr>
        <w:spacing w:after="0"/>
        <w:rPr>
          <w:sz w:val="19"/>
        </w:rPr>
        <w:sectPr>
          <w:type w:val="continuous"/>
          <w:pgSz w:w="11910" w:h="16840"/>
          <w:pgMar w:top="1040" w:bottom="1180" w:left="1080" w:right="720"/>
        </w:sectPr>
      </w:pPr>
    </w:p>
    <w:p>
      <w:pPr>
        <w:pStyle w:val="Heading3"/>
        <w:spacing w:line="340" w:lineRule="auto" w:before="59"/>
        <w:ind w:left="907"/>
      </w:pPr>
      <w:r>
        <w:rPr/>
        <w:t>2．重大疾病保险金</w:t>
      </w:r>
    </w:p>
    <w:p>
      <w:pPr>
        <w:pStyle w:val="BodyText"/>
        <w:spacing w:line="316" w:lineRule="auto" w:before="44"/>
        <w:ind w:left="504" w:right="247"/>
        <w:jc w:val="both"/>
      </w:pPr>
      <w:r>
        <w:rPr/>
        <w:br w:type="column"/>
      </w:r>
      <w:r>
        <w:rPr/>
        <w:t>若被保险人经诊断于本附加合同等待期后首次发病并经我们指定或认可的医疗机构确诊初次患有本附加合同附表二约定的一项或多项重大疾病的，我们按以下两项中金额较大者向重大疾病保险金受益人给付重大疾病保险金，本附加合同终止，同时主合同终止：</w:t>
      </w:r>
    </w:p>
    <w:p>
      <w:pPr>
        <w:pStyle w:val="BodyText"/>
        <w:spacing w:before="18"/>
        <w:ind w:left="504"/>
        <w:jc w:val="both"/>
      </w:pPr>
      <w:r>
        <w:rPr/>
        <w:t>（1）本附加合同基本保险金额；</w:t>
      </w:r>
    </w:p>
    <w:p>
      <w:pPr>
        <w:pStyle w:val="BodyText"/>
        <w:ind w:left="504"/>
        <w:jc w:val="both"/>
      </w:pPr>
      <w:r>
        <w:rPr/>
        <w:t>（</w:t>
      </w:r>
      <w:r>
        <w:rPr>
          <w:rFonts w:ascii="Times New Roman" w:eastAsia="Times New Roman"/>
        </w:rPr>
        <w:t>2</w:t>
      </w:r>
      <w:r>
        <w:rPr/>
        <w:t>）本附加合同及主合同累计已交保险费（不计利息</w:t>
      </w:r>
      <w:r>
        <w:rPr>
          <w:spacing w:val="-90"/>
        </w:rPr>
        <w:t>）</w:t>
      </w:r>
      <w:r>
        <w:rPr/>
        <w:t>。</w:t>
      </w:r>
    </w:p>
    <w:p>
      <w:pPr>
        <w:spacing w:after="0"/>
        <w:jc w:val="both"/>
        <w:sectPr>
          <w:type w:val="continuous"/>
          <w:pgSz w:w="11910" w:h="16840"/>
          <w:pgMar w:top="1040" w:bottom="1180" w:left="1080" w:right="720"/>
          <w:cols w:num="2" w:equalWidth="0">
            <w:col w:w="2069" w:space="40"/>
            <w:col w:w="8001"/>
          </w:cols>
        </w:sectPr>
      </w:pPr>
    </w:p>
    <w:p>
      <w:pPr>
        <w:pStyle w:val="BodyText"/>
        <w:spacing w:before="9"/>
      </w:pPr>
    </w:p>
    <w:p>
      <w:pPr>
        <w:pStyle w:val="ListParagraph"/>
        <w:numPr>
          <w:ilvl w:val="1"/>
          <w:numId w:val="5"/>
        </w:numPr>
        <w:tabs>
          <w:tab w:pos="906" w:val="left" w:leader="none"/>
          <w:tab w:pos="907" w:val="left" w:leader="none"/>
          <w:tab w:pos="2613" w:val="left" w:leader="none"/>
        </w:tabs>
        <w:spacing w:line="259" w:lineRule="auto" w:before="45" w:after="0"/>
        <w:ind w:left="2613" w:right="221" w:hanging="2389"/>
        <w:jc w:val="left"/>
        <w:rPr>
          <w:sz w:val="18"/>
        </w:rPr>
      </w:pPr>
      <w:r>
        <w:rPr>
          <w:b/>
          <w:position w:val="-4"/>
          <w:sz w:val="21"/>
        </w:rPr>
        <w:t>责任免除</w:t>
        <w:tab/>
      </w:r>
      <w:r>
        <w:rPr>
          <w:sz w:val="18"/>
        </w:rPr>
        <w:t>被保险人因下列情形之一导致患本附加合同约定的轻症疾病或重大疾病的，本公司不承担保 险责任：</w:t>
      </w:r>
    </w:p>
    <w:p>
      <w:pPr>
        <w:pStyle w:val="Heading4"/>
        <w:spacing w:before="62"/>
        <w:ind w:left="2613"/>
        <w:jc w:val="both"/>
      </w:pPr>
      <w:r>
        <w:rPr/>
        <w:t>1、 投保人对被保险人的故意杀害、故意伤害；</w:t>
      </w:r>
    </w:p>
    <w:p>
      <w:pPr>
        <w:spacing w:before="76"/>
        <w:ind w:left="2613" w:right="0" w:firstLine="0"/>
        <w:jc w:val="both"/>
        <w:rPr>
          <w:b/>
          <w:sz w:val="18"/>
        </w:rPr>
      </w:pPr>
      <w:r>
        <w:rPr>
          <w:b/>
          <w:sz w:val="18"/>
        </w:rPr>
        <w:t>2、 被保险人故意犯罪或者抗拒依法采取的刑事强制措施；</w:t>
      </w:r>
    </w:p>
    <w:p>
      <w:pPr>
        <w:spacing w:before="76"/>
        <w:ind w:left="2613" w:right="0" w:firstLine="0"/>
        <w:jc w:val="both"/>
        <w:rPr>
          <w:b/>
          <w:sz w:val="18"/>
        </w:rPr>
      </w:pPr>
      <w:r>
        <w:rPr>
          <w:b/>
          <w:sz w:val="18"/>
        </w:rPr>
        <w:t>3、 被保险人故意自伤；</w:t>
      </w:r>
    </w:p>
    <w:p>
      <w:pPr>
        <w:spacing w:before="76"/>
        <w:ind w:left="2613" w:right="0" w:firstLine="0"/>
        <w:jc w:val="both"/>
        <w:rPr>
          <w:b/>
          <w:sz w:val="18"/>
        </w:rPr>
      </w:pPr>
      <w:r>
        <w:rPr>
          <w:b/>
          <w:spacing w:val="0"/>
          <w:w w:val="99"/>
          <w:sz w:val="18"/>
        </w:rPr>
        <w:t>4</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8.5</w:t>
      </w:r>
      <w:r>
        <w:rPr>
          <w:spacing w:val="-90"/>
          <w:sz w:val="18"/>
        </w:rPr>
        <w:t>）</w:t>
      </w:r>
      <w:r>
        <w:rPr>
          <w:b/>
          <w:w w:val="99"/>
          <w:sz w:val="18"/>
        </w:rPr>
        <w:t>；</w:t>
      </w:r>
    </w:p>
    <w:p>
      <w:pPr>
        <w:spacing w:before="76"/>
        <w:ind w:left="2613" w:right="0" w:firstLine="0"/>
        <w:jc w:val="both"/>
        <w:rPr>
          <w:sz w:val="18"/>
        </w:rPr>
      </w:pPr>
      <w:r>
        <w:rPr>
          <w:b/>
          <w:spacing w:val="0"/>
          <w:w w:val="99"/>
          <w:sz w:val="18"/>
        </w:rPr>
        <w:t>5</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8.6</w:t>
      </w:r>
      <w:r>
        <w:rPr>
          <w:spacing w:val="-92"/>
          <w:sz w:val="18"/>
        </w:rPr>
        <w:t>）</w:t>
      </w:r>
      <w:r>
        <w:rPr>
          <w:b/>
          <w:spacing w:val="-8"/>
          <w:w w:val="99"/>
          <w:sz w:val="18"/>
        </w:rPr>
        <w:t>、无合法有效驾驶证驾驶</w:t>
      </w:r>
      <w:r>
        <w:rPr>
          <w:spacing w:val="-2"/>
          <w:sz w:val="18"/>
        </w:rPr>
        <w:t>（</w:t>
      </w:r>
      <w:r>
        <w:rPr>
          <w:spacing w:val="-23"/>
          <w:sz w:val="18"/>
        </w:rPr>
        <w:t>见 </w:t>
      </w:r>
      <w:r>
        <w:rPr>
          <w:sz w:val="18"/>
        </w:rPr>
        <w:t>8.7</w:t>
      </w:r>
      <w:r>
        <w:rPr>
          <w:spacing w:val="-34"/>
          <w:sz w:val="18"/>
        </w:rPr>
        <w:t>）</w:t>
      </w:r>
      <w:r>
        <w:rPr>
          <w:b/>
          <w:spacing w:val="-4"/>
          <w:w w:val="99"/>
          <w:sz w:val="18"/>
        </w:rPr>
        <w:t>或驾驶无有效行驶证</w:t>
      </w:r>
      <w:r>
        <w:rPr>
          <w:sz w:val="18"/>
        </w:rPr>
        <w:t>（见</w:t>
      </w:r>
    </w:p>
    <w:p>
      <w:pPr>
        <w:spacing w:before="76"/>
        <w:ind w:left="3010" w:right="0" w:firstLine="0"/>
        <w:jc w:val="left"/>
        <w:rPr>
          <w:b/>
          <w:sz w:val="18"/>
        </w:rPr>
      </w:pPr>
      <w:r>
        <w:rPr>
          <w:w w:val="95"/>
          <w:sz w:val="18"/>
        </w:rPr>
        <w:t>8.8）</w:t>
      </w:r>
      <w:r>
        <w:rPr>
          <w:b/>
          <w:w w:val="95"/>
          <w:sz w:val="18"/>
        </w:rPr>
        <w:t>的机动车；</w:t>
      </w:r>
    </w:p>
    <w:p>
      <w:pPr>
        <w:pStyle w:val="Heading4"/>
        <w:spacing w:before="76"/>
        <w:ind w:left="2613"/>
        <w:jc w:val="both"/>
        <w:rPr>
          <w:b w:val="0"/>
        </w:rPr>
      </w:pPr>
      <w:r>
        <w:rPr>
          <w:spacing w:val="0"/>
          <w:w w:val="99"/>
        </w:rPr>
        <w:t>6</w:t>
      </w:r>
      <w:r>
        <w:rPr>
          <w:w w:val="99"/>
        </w:rPr>
        <w:t>、</w:t>
      </w:r>
      <w:r>
        <w:rPr>
          <w:spacing w:val="35"/>
        </w:rPr>
        <w:t> </w:t>
      </w:r>
      <w:r>
        <w:rPr>
          <w:spacing w:val="-3"/>
          <w:w w:val="99"/>
        </w:rPr>
        <w:t>被保险人在本附加合同生效日起二年内患艾滋病</w:t>
      </w:r>
      <w:r>
        <w:rPr>
          <w:b w:val="0"/>
        </w:rPr>
        <w:t>（</w:t>
      </w:r>
      <w:r>
        <w:rPr>
          <w:b w:val="0"/>
          <w:spacing w:val="-23"/>
        </w:rPr>
        <w:t>见 </w:t>
      </w:r>
      <w:r>
        <w:rPr>
          <w:b w:val="0"/>
        </w:rPr>
        <w:t>8.9</w:t>
      </w:r>
      <w:r>
        <w:rPr>
          <w:b w:val="0"/>
          <w:spacing w:val="-146"/>
        </w:rPr>
        <w:t>）</w:t>
      </w:r>
      <w:r>
        <w:rPr>
          <w:spacing w:val="0"/>
          <w:w w:val="99"/>
        </w:rPr>
        <w:t>（A</w:t>
      </w:r>
      <w:r>
        <w:rPr>
          <w:w w:val="99"/>
        </w:rPr>
        <w:t>I</w:t>
      </w:r>
      <w:r>
        <w:rPr>
          <w:spacing w:val="0"/>
          <w:w w:val="99"/>
        </w:rPr>
        <w:t>DS</w:t>
      </w:r>
      <w:r>
        <w:rPr>
          <w:spacing w:val="-56"/>
          <w:w w:val="99"/>
        </w:rPr>
        <w:t>）</w:t>
      </w:r>
      <w:r>
        <w:rPr>
          <w:spacing w:val="-7"/>
          <w:w w:val="99"/>
        </w:rPr>
        <w:t>或感染艾滋病病毒</w:t>
      </w:r>
      <w:r>
        <w:rPr>
          <w:b w:val="0"/>
        </w:rPr>
        <w:t>（见</w:t>
      </w:r>
    </w:p>
    <w:p>
      <w:pPr>
        <w:spacing w:before="76"/>
        <w:ind w:left="3030" w:right="0" w:firstLine="0"/>
        <w:jc w:val="left"/>
        <w:rPr>
          <w:b/>
          <w:sz w:val="18"/>
        </w:rPr>
      </w:pPr>
      <w:r>
        <w:rPr>
          <w:sz w:val="18"/>
        </w:rPr>
        <w:t>8.10</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89"/>
          <w:w w:val="99"/>
          <w:sz w:val="18"/>
        </w:rPr>
        <w:t>）</w:t>
      </w:r>
      <w:r>
        <w:rPr>
          <w:b/>
          <w:w w:val="99"/>
          <w:sz w:val="18"/>
        </w:rPr>
        <w:t>；</w:t>
      </w:r>
    </w:p>
    <w:p>
      <w:pPr>
        <w:pStyle w:val="Heading4"/>
        <w:spacing w:before="76"/>
        <w:ind w:left="2613"/>
        <w:jc w:val="both"/>
      </w:pPr>
      <w:r>
        <w:rPr/>
        <w:t>7、 战争、军事冲突、暴乱或武装叛乱；</w:t>
      </w:r>
    </w:p>
    <w:p>
      <w:pPr>
        <w:spacing w:before="76"/>
        <w:ind w:left="2613" w:right="0" w:firstLine="0"/>
        <w:jc w:val="both"/>
        <w:rPr>
          <w:b/>
          <w:sz w:val="18"/>
        </w:rPr>
      </w:pPr>
      <w:r>
        <w:rPr>
          <w:b/>
          <w:sz w:val="18"/>
        </w:rPr>
        <w:t>8、 核爆炸、核辐射或核污染。</w:t>
      </w:r>
    </w:p>
    <w:p>
      <w:pPr>
        <w:pStyle w:val="BodyText"/>
        <w:spacing w:line="316" w:lineRule="auto"/>
        <w:ind w:left="2613" w:right="221"/>
        <w:jc w:val="both"/>
      </w:pPr>
      <w:r>
        <w:rPr>
          <w:spacing w:val="-3"/>
        </w:rPr>
        <w:t>发生上述第 </w:t>
      </w:r>
      <w:r>
        <w:rPr/>
        <w:t>1</w:t>
      </w:r>
      <w:r>
        <w:rPr>
          <w:spacing w:val="-3"/>
        </w:rPr>
        <w:t> 项情形导致被保险人患本附加合同约定的轻症疾病或重大疾病的，本附加合同终止，同时主合同终止，您已交足两年以上保险费的，本公司向其他权利人退还本附加合同及主合同的</w:t>
      </w:r>
      <w:r>
        <w:rPr>
          <w:b/>
          <w:spacing w:val="0"/>
          <w:w w:val="99"/>
        </w:rPr>
        <w:t>现金价值</w:t>
      </w:r>
      <w:r>
        <w:rPr/>
        <w:t>（</w:t>
      </w:r>
      <w:r>
        <w:rPr>
          <w:spacing w:val="-23"/>
        </w:rPr>
        <w:t>见 </w:t>
      </w:r>
      <w:r>
        <w:rPr/>
        <w:t>8.</w:t>
      </w:r>
      <w:r>
        <w:rPr>
          <w:spacing w:val="-2"/>
        </w:rPr>
        <w:t>1</w:t>
      </w:r>
      <w:r>
        <w:rPr/>
        <w:t>1</w:t>
      </w:r>
      <w:r>
        <w:rPr>
          <w:spacing w:val="-90"/>
        </w:rPr>
        <w:t>）</w:t>
      </w:r>
      <w:r>
        <w:rPr/>
        <w:t>。</w:t>
      </w:r>
    </w:p>
    <w:p>
      <w:pPr>
        <w:pStyle w:val="BodyText"/>
        <w:spacing w:line="316" w:lineRule="auto" w:before="18"/>
        <w:ind w:left="2613" w:right="247"/>
      </w:pPr>
      <w:r>
        <w:rPr/>
        <w:t>发生上述其它情形导致被保险人患本附加合同约定的轻症疾病或重大疾病的，本公司向您或其他权利人退还本附加合同及主合同的现金价值，本附加合同终止，同时主合同终止。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144;mso-wrap-distance-left:0;mso-wrap-distance-right:0" from="59.82pt,43.12981pt" to="553.5pt,43.12981pt" stroked="true" strokeweight=".48001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10"/>
        <w:rPr>
          <w:b/>
          <w:sz w:val="11"/>
        </w:rPr>
      </w:pPr>
    </w:p>
    <w:p>
      <w:pPr>
        <w:pStyle w:val="ListParagraph"/>
        <w:numPr>
          <w:ilvl w:val="1"/>
          <w:numId w:val="6"/>
        </w:numPr>
        <w:tabs>
          <w:tab w:pos="907" w:val="left" w:leader="none"/>
          <w:tab w:pos="908" w:val="left" w:leader="none"/>
          <w:tab w:pos="2613" w:val="left" w:leader="none"/>
        </w:tabs>
        <w:spacing w:line="240" w:lineRule="auto" w:before="44" w:after="0"/>
        <w:ind w:left="2613" w:right="0" w:hanging="2389"/>
        <w:jc w:val="left"/>
        <w:rPr>
          <w:sz w:val="18"/>
        </w:rPr>
      </w:pPr>
      <w:r>
        <w:rPr>
          <w:b/>
          <w:position w:val="-4"/>
          <w:sz w:val="21"/>
        </w:rPr>
        <w:t>受益人的指定</w:t>
        <w:tab/>
      </w:r>
      <w:r>
        <w:rPr>
          <w:sz w:val="18"/>
        </w:rPr>
        <w:t>除另有指定之外，本附加合同的受益人为被保险人本人。</w:t>
      </w:r>
    </w:p>
    <w:p>
      <w:pPr>
        <w:pStyle w:val="BodyText"/>
        <w:spacing w:before="11"/>
        <w:rPr>
          <w:sz w:val="29"/>
        </w:rPr>
      </w:pPr>
    </w:p>
    <w:p>
      <w:pPr>
        <w:pStyle w:val="ListParagraph"/>
        <w:numPr>
          <w:ilvl w:val="1"/>
          <w:numId w:val="6"/>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保险金的申请</w:t>
        <w:tab/>
      </w:r>
      <w:r>
        <w:rPr>
          <w:sz w:val="18"/>
        </w:rPr>
        <w:t>1、轻症疾病保险金及重大疾病保险金</w:t>
      </w:r>
    </w:p>
    <w:p>
      <w:pPr>
        <w:pStyle w:val="BodyText"/>
        <w:spacing w:line="316" w:lineRule="auto" w:before="21"/>
        <w:ind w:left="2613" w:right="221"/>
      </w:pPr>
      <w:r>
        <w:rPr/>
        <w:t>轻症疾病保险金及重大疾病保险金受益人申请轻症疾病保险金或重大疾病保险金时，须填写保险金给付申请书,并提供下列证明材料：</w:t>
      </w:r>
    </w:p>
    <w:p>
      <w:pPr>
        <w:pStyle w:val="ListParagraph"/>
        <w:numPr>
          <w:ilvl w:val="2"/>
          <w:numId w:val="6"/>
        </w:numPr>
        <w:tabs>
          <w:tab w:pos="3034" w:val="left" w:leader="none"/>
        </w:tabs>
        <w:spacing w:line="240" w:lineRule="auto" w:before="18" w:after="0"/>
        <w:ind w:left="3033" w:right="0" w:hanging="420"/>
        <w:jc w:val="left"/>
        <w:rPr>
          <w:sz w:val="18"/>
        </w:rPr>
      </w:pPr>
      <w:r>
        <w:rPr>
          <w:sz w:val="18"/>
        </w:rPr>
        <w:t>保险合同；</w:t>
      </w:r>
    </w:p>
    <w:p>
      <w:pPr>
        <w:pStyle w:val="ListParagraph"/>
        <w:numPr>
          <w:ilvl w:val="2"/>
          <w:numId w:val="6"/>
        </w:numPr>
        <w:tabs>
          <w:tab w:pos="3034" w:val="left" w:leader="none"/>
        </w:tabs>
        <w:spacing w:line="240" w:lineRule="auto" w:before="76" w:after="0"/>
        <w:ind w:left="3033" w:right="0" w:hanging="420"/>
        <w:jc w:val="left"/>
        <w:rPr>
          <w:sz w:val="18"/>
        </w:rPr>
      </w:pPr>
      <w:r>
        <w:rPr>
          <w:sz w:val="18"/>
        </w:rPr>
        <w:t>受益人的有效身份证件；</w:t>
      </w:r>
    </w:p>
    <w:p>
      <w:pPr>
        <w:pStyle w:val="ListParagraph"/>
        <w:numPr>
          <w:ilvl w:val="2"/>
          <w:numId w:val="6"/>
        </w:numPr>
        <w:tabs>
          <w:tab w:pos="3034" w:val="left" w:leader="none"/>
        </w:tabs>
        <w:spacing w:line="316" w:lineRule="auto" w:before="76" w:after="0"/>
        <w:ind w:left="3033" w:right="228" w:hanging="420"/>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6"/>
        </w:numPr>
        <w:tabs>
          <w:tab w:pos="3034" w:val="left" w:leader="none"/>
        </w:tabs>
        <w:spacing w:line="240" w:lineRule="auto" w:before="18" w:after="0"/>
        <w:ind w:left="3033" w:right="0" w:hanging="420"/>
        <w:jc w:val="left"/>
        <w:rPr>
          <w:sz w:val="18"/>
        </w:rPr>
      </w:pPr>
      <w:r>
        <w:rPr>
          <w:sz w:val="18"/>
        </w:rPr>
        <w:t>所能提供的与确认保险事故的性质、原因有关的证明文件和资料。</w:t>
      </w:r>
    </w:p>
    <w:p>
      <w:pPr>
        <w:pStyle w:val="BodyText"/>
        <w:spacing w:before="0"/>
      </w:pPr>
    </w:p>
    <w:p>
      <w:pPr>
        <w:pStyle w:val="BodyText"/>
        <w:spacing w:line="636" w:lineRule="auto" w:before="152"/>
        <w:ind w:left="2613" w:right="828"/>
      </w:pPr>
      <w:r>
        <w:rPr/>
        <w:t>保险金作为被保险人或受益人遗产时，必须提供可证明合法继承权的相关权利文件。2、如委托他人代为申领，还应提供授权委托书及受托人的有效身份证件。</w:t>
      </w:r>
    </w:p>
    <w:p>
      <w:pPr>
        <w:spacing w:after="0" w:line="636" w:lineRule="auto"/>
        <w:sectPr>
          <w:type w:val="continuous"/>
          <w:pgSz w:w="11910" w:h="16840"/>
          <w:pgMar w:top="1040" w:bottom="1180" w:left="1080" w:right="720"/>
        </w:sectPr>
      </w:pPr>
    </w:p>
    <w:p>
      <w:pPr>
        <w:pStyle w:val="BodyText"/>
        <w:spacing w:before="0"/>
        <w:rPr>
          <w:sz w:val="20"/>
        </w:rPr>
      </w:pPr>
    </w:p>
    <w:p>
      <w:pPr>
        <w:pStyle w:val="BodyText"/>
        <w:spacing w:before="6"/>
        <w:rPr>
          <w:sz w:val="20"/>
        </w:rPr>
      </w:pPr>
    </w:p>
    <w:p>
      <w:pPr>
        <w:pStyle w:val="BodyText"/>
        <w:spacing w:before="45"/>
        <w:ind w:left="2613"/>
      </w:pPr>
      <w:r>
        <w:rPr/>
        <w:t>以上证明和资料不完整的，本公司将及时一次性通知申请人补充提供有关证明和资料。</w:t>
      </w:r>
    </w:p>
    <w:p>
      <w:pPr>
        <w:pStyle w:val="BodyText"/>
        <w:spacing w:before="2"/>
        <w:rPr>
          <w:sz w:val="26"/>
        </w:rPr>
      </w:pPr>
    </w:p>
    <w:p>
      <w:pPr>
        <w:pStyle w:val="ListParagraph"/>
        <w:numPr>
          <w:ilvl w:val="1"/>
          <w:numId w:val="6"/>
        </w:numPr>
        <w:tabs>
          <w:tab w:pos="907" w:val="left" w:leader="none"/>
          <w:tab w:pos="908" w:val="left" w:leader="none"/>
          <w:tab w:pos="2613" w:val="left" w:leader="none"/>
        </w:tabs>
        <w:spacing w:line="259" w:lineRule="auto" w:before="0" w:after="0"/>
        <w:ind w:left="2613" w:right="221" w:hanging="2389"/>
        <w:jc w:val="left"/>
        <w:rPr>
          <w:sz w:val="18"/>
        </w:rPr>
      </w:pPr>
      <w:r>
        <w:rPr>
          <w:b/>
          <w:position w:val="-4"/>
          <w:sz w:val="21"/>
        </w:rPr>
        <w:t>欠款的扣除</w:t>
        <w:tab/>
      </w:r>
      <w:r>
        <w:rPr>
          <w:sz w:val="18"/>
        </w:rPr>
        <w:t>本公司给付各项保险金、返还现金价值或保险费时，如本附加合同有借款、欠交保险费，则 本公司扣除未清偿的借款及应付</w:t>
      </w:r>
      <w:r>
        <w:rPr>
          <w:b/>
          <w:spacing w:val="0"/>
          <w:w w:val="99"/>
          <w:sz w:val="18"/>
        </w:rPr>
        <w:t>利息</w:t>
      </w:r>
      <w:r>
        <w:rPr>
          <w:sz w:val="18"/>
        </w:rPr>
        <w:t>（见</w:t>
      </w:r>
      <w:r>
        <w:rPr>
          <w:spacing w:val="-46"/>
          <w:sz w:val="18"/>
        </w:rPr>
        <w:t> </w:t>
      </w:r>
      <w:r>
        <w:rPr>
          <w:sz w:val="18"/>
        </w:rPr>
        <w:t>8.12</w:t>
      </w:r>
      <w:r>
        <w:rPr>
          <w:spacing w:val="-90"/>
          <w:sz w:val="18"/>
        </w:rPr>
        <w:t>）</w:t>
      </w:r>
      <w:r>
        <w:rPr>
          <w:sz w:val="18"/>
        </w:rPr>
        <w:t>、欠交的保险费后给付。</w:t>
      </w:r>
    </w:p>
    <w:p>
      <w:pPr>
        <w:pStyle w:val="BodyText"/>
        <w:spacing w:before="0"/>
        <w:rPr>
          <w:sz w:val="22"/>
        </w:rPr>
      </w:pPr>
    </w:p>
    <w:p>
      <w:pPr>
        <w:pStyle w:val="BodyText"/>
        <w:tabs>
          <w:tab w:pos="907" w:val="left" w:leader="none"/>
          <w:tab w:pos="2613" w:val="left" w:leader="none"/>
        </w:tabs>
        <w:spacing w:line="259" w:lineRule="auto" w:before="0"/>
        <w:ind w:left="2613" w:right="221" w:hanging="2390"/>
      </w:pPr>
      <w:r>
        <w:rPr>
          <w:b/>
          <w:position w:val="-4"/>
          <w:sz w:val="21"/>
        </w:rPr>
        <w:t>3.3</w:t>
        <w:tab/>
        <w:t>诉讼时效</w:t>
        <w:tab/>
      </w:r>
      <w:r>
        <w:rPr/>
        <w:t>本附加合同的受益人向本公司请求给付保险金的诉讼时效期间为二年，自其知道或者应当知 道保险事故发生之日起计算。</w:t>
      </w:r>
    </w:p>
    <w:p>
      <w:pPr>
        <w:pStyle w:val="BodyText"/>
        <w:spacing w:before="4"/>
        <w:rPr>
          <w:sz w:val="21"/>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68;mso-wrap-distance-left:0;mso-wrap-distance-right:0" from="59.82pt,31.391087pt" to="553.5pt,31.391087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10"/>
        <w:rPr>
          <w:b/>
          <w:sz w:val="11"/>
        </w:rPr>
      </w:pPr>
    </w:p>
    <w:p>
      <w:pPr>
        <w:pStyle w:val="BodyText"/>
        <w:tabs>
          <w:tab w:pos="907" w:val="left" w:leader="none"/>
          <w:tab w:pos="2613" w:val="left" w:leader="none"/>
        </w:tabs>
        <w:spacing w:line="259" w:lineRule="auto" w:before="44"/>
        <w:ind w:left="2613" w:right="221" w:hanging="2390"/>
      </w:pPr>
      <w:r>
        <w:rPr>
          <w:b/>
          <w:position w:val="-4"/>
          <w:sz w:val="21"/>
        </w:rPr>
        <w:t>4.1</w:t>
        <w:tab/>
        <w:t>保险费的交付</w:t>
        <w:tab/>
      </w:r>
      <w:r>
        <w:rPr/>
        <w:t>本附加合同保险费的交付方式与主合同相同，且须与主合同同时交付保险费，本附加合同保 险费不能单独交付。</w:t>
      </w:r>
    </w:p>
    <w:p>
      <w:pPr>
        <w:pStyle w:val="BodyText"/>
        <w:spacing w:before="5"/>
        <w:rPr>
          <w:sz w:val="21"/>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92;mso-wrap-distance-left:0;mso-wrap-distance-right:0" from="59.82pt,31.394218pt" to="553.5pt,31.394218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10"/>
        <w:rPr>
          <w:b/>
          <w:sz w:val="11"/>
        </w:rPr>
      </w:pPr>
    </w:p>
    <w:p>
      <w:pPr>
        <w:pStyle w:val="ListParagraph"/>
        <w:numPr>
          <w:ilvl w:val="1"/>
          <w:numId w:val="7"/>
        </w:numPr>
        <w:tabs>
          <w:tab w:pos="907" w:val="left" w:leader="none"/>
          <w:tab w:pos="908" w:val="left" w:leader="none"/>
          <w:tab w:pos="2613" w:val="left" w:leader="none"/>
        </w:tabs>
        <w:spacing w:line="259" w:lineRule="auto" w:before="44" w:after="0"/>
        <w:ind w:left="2613" w:right="221" w:hanging="2389"/>
        <w:jc w:val="left"/>
        <w:rPr>
          <w:sz w:val="18"/>
        </w:rPr>
      </w:pPr>
      <w:r>
        <w:rPr>
          <w:b/>
          <w:position w:val="-4"/>
          <w:sz w:val="21"/>
        </w:rPr>
        <w:t>现金价值</w:t>
        <w:tab/>
      </w:r>
      <w:r>
        <w:rPr>
          <w:sz w:val="18"/>
        </w:rPr>
        <w:t>本附加合同保单年度末的现金价值会在保险单上载明，保单年度内的现金价值，您可以向本 公司咨询。</w:t>
      </w:r>
    </w:p>
    <w:p>
      <w:pPr>
        <w:pStyle w:val="BodyText"/>
        <w:spacing w:before="0"/>
        <w:rPr>
          <w:sz w:val="22"/>
        </w:rPr>
      </w:pPr>
    </w:p>
    <w:p>
      <w:pPr>
        <w:pStyle w:val="ListParagraph"/>
        <w:numPr>
          <w:ilvl w:val="1"/>
          <w:numId w:val="7"/>
        </w:numPr>
        <w:tabs>
          <w:tab w:pos="907" w:val="left" w:leader="none"/>
          <w:tab w:pos="908" w:val="left" w:leader="none"/>
          <w:tab w:pos="2613" w:val="left" w:leader="none"/>
        </w:tabs>
        <w:spacing w:line="259" w:lineRule="auto" w:before="0" w:after="0"/>
        <w:ind w:left="2613" w:right="221" w:hanging="2389"/>
        <w:jc w:val="left"/>
        <w:rPr>
          <w:sz w:val="18"/>
        </w:rPr>
      </w:pPr>
      <w:r>
        <w:rPr>
          <w:b/>
          <w:position w:val="-4"/>
          <w:sz w:val="21"/>
        </w:rPr>
        <w:t>保险单借款</w:t>
        <w:tab/>
      </w:r>
      <w:r>
        <w:rPr>
          <w:sz w:val="18"/>
        </w:rPr>
        <w:t>您对主合同申请保险单借款时，本附加合同应同时进行保险单借款，借款比例和利息计算方 式与主合同一致。您不能单独对本附加合同进行保险单借款。</w:t>
      </w:r>
    </w:p>
    <w:p>
      <w:pPr>
        <w:pStyle w:val="BodyText"/>
        <w:spacing w:before="5"/>
        <w:rPr>
          <w:sz w:val="12"/>
        </w:rPr>
      </w:pPr>
    </w:p>
    <w:p>
      <w:pPr>
        <w:pStyle w:val="Heading2"/>
        <w:numPr>
          <w:ilvl w:val="0"/>
          <w:numId w:val="8"/>
        </w:numPr>
        <w:tabs>
          <w:tab w:pos="907" w:val="left" w:leader="none"/>
          <w:tab w:pos="908" w:val="left" w:leader="none"/>
        </w:tabs>
        <w:spacing w:line="240" w:lineRule="auto" w:before="0" w:after="0"/>
        <w:ind w:left="907" w:right="0" w:hanging="683"/>
        <w:jc w:val="left"/>
      </w:pPr>
      <w:r>
        <w:rPr/>
        <w:pict>
          <v:line style="position:absolute;mso-position-horizontal-relative:page;mso-position-vertical-relative:paragraph;z-index:1216;mso-wrap-distance-left:0;mso-wrap-distance-right:0" from="59.82pt,37.229786pt" to="553.5pt,37.229786pt" stroked="true" strokeweight=".48001pt" strokecolor="#000000">
            <v:stroke dashstyle="solid"/>
            <w10:wrap type="topAndBottom"/>
          </v:line>
        </w:pict>
      </w:r>
      <w:r>
        <w:rPr>
          <w:w w:val="95"/>
        </w:rPr>
        <w:t>如何解除保险合同</w:t>
      </w:r>
    </w:p>
    <w:p>
      <w:pPr>
        <w:pStyle w:val="BodyText"/>
        <w:spacing w:before="10"/>
        <w:rPr>
          <w:b/>
          <w:sz w:val="11"/>
        </w:rPr>
      </w:pPr>
    </w:p>
    <w:p>
      <w:pPr>
        <w:spacing w:after="0"/>
        <w:rPr>
          <w:sz w:val="11"/>
        </w:rPr>
        <w:sectPr>
          <w:pgSz w:w="11910" w:h="16840"/>
          <w:pgMar w:header="877" w:footer="981" w:top="1100" w:bottom="1180" w:left="1080" w:right="720"/>
        </w:sectPr>
      </w:pPr>
    </w:p>
    <w:p>
      <w:pPr>
        <w:pStyle w:val="Heading3"/>
        <w:tabs>
          <w:tab w:pos="907" w:val="left" w:leader="none"/>
        </w:tabs>
        <w:spacing w:line="340" w:lineRule="auto" w:before="58"/>
        <w:ind w:left="907" w:hanging="683"/>
      </w:pPr>
      <w:r>
        <w:rPr/>
        <w:t>6.1</w:t>
        <w:tab/>
        <w:t>您解除合同的手 续及风险</w:t>
      </w:r>
    </w:p>
    <w:p>
      <w:pPr>
        <w:pStyle w:val="BodyText"/>
        <w:spacing w:line="316" w:lineRule="auto" w:before="44"/>
        <w:ind w:left="172" w:right="288"/>
      </w:pPr>
      <w:r>
        <w:rPr/>
        <w:br w:type="column"/>
      </w:r>
      <w:r>
        <w:rPr/>
        <w:t>您在犹豫期后，可以书面通知我们要求解除本附加合同，自本公司收到合同解除申请书之日起，本附加合同效力即行终止。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288"/>
      </w:pPr>
      <w:r>
        <w:rPr/>
        <w:t>本公司自收到上述证明和材料之日起三十日内，返还本附加合同的现金价值。您解除本附加合同须同时解除主合同。</w:t>
      </w:r>
    </w:p>
    <w:p>
      <w:pPr>
        <w:pStyle w:val="BodyText"/>
        <w:spacing w:before="18"/>
        <w:ind w:left="172"/>
      </w:pPr>
      <w:r>
        <w:rPr/>
        <w:t>您在犹豫期后解除合同会遭受一定损失。</w:t>
      </w:r>
    </w:p>
    <w:p>
      <w:pPr>
        <w:pStyle w:val="BodyText"/>
        <w:ind w:left="172"/>
      </w:pPr>
      <w:r>
        <w:rPr/>
        <w:t>解除合同后，受益人不能对合同解除前发生的保险事故申请给付保险金。</w:t>
      </w:r>
    </w:p>
    <w:p>
      <w:pPr>
        <w:spacing w:after="0"/>
        <w:sectPr>
          <w:type w:val="continuous"/>
          <w:pgSz w:w="11910" w:h="16840"/>
          <w:pgMar w:top="1040" w:bottom="1180" w:left="1080" w:right="720"/>
          <w:cols w:num="2" w:equalWidth="0">
            <w:col w:w="2402" w:space="40"/>
            <w:col w:w="7668"/>
          </w:cols>
        </w:sectPr>
      </w:pPr>
    </w:p>
    <w:p>
      <w:pPr>
        <w:pStyle w:val="BodyText"/>
        <w:spacing w:before="6"/>
        <w:rPr>
          <w:sz w:val="22"/>
        </w:rPr>
      </w:pPr>
    </w:p>
    <w:p>
      <w:pPr>
        <w:pStyle w:val="Heading2"/>
        <w:tabs>
          <w:tab w:pos="907" w:val="left" w:leader="none"/>
        </w:tabs>
        <w:spacing w:line="557" w:lineRule="exact"/>
      </w:pPr>
      <w:r>
        <w:rPr/>
        <w:pict>
          <v:line style="position:absolute;mso-position-horizontal-relative:page;mso-position-vertical-relative:paragraph;z-index:1240;mso-wrap-distance-left:0;mso-wrap-distance-right:0" from="59.82pt,31.391787pt" to="553.5pt,31.391787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8"/>
        <w:rPr>
          <w:b/>
          <w:sz w:val="13"/>
        </w:rPr>
      </w:pPr>
    </w:p>
    <w:p>
      <w:pPr>
        <w:pStyle w:val="ListParagraph"/>
        <w:numPr>
          <w:ilvl w:val="1"/>
          <w:numId w:val="9"/>
        </w:numPr>
        <w:tabs>
          <w:tab w:pos="907" w:val="left" w:leader="none"/>
          <w:tab w:pos="908" w:val="left" w:leader="none"/>
          <w:tab w:pos="2613" w:val="left" w:leader="none"/>
        </w:tabs>
        <w:spacing w:line="240" w:lineRule="auto" w:before="36" w:after="0"/>
        <w:ind w:left="907" w:right="0" w:hanging="683"/>
        <w:jc w:val="left"/>
        <w:rPr>
          <w:sz w:val="18"/>
        </w:rPr>
      </w:pPr>
      <w:r>
        <w:rPr>
          <w:b/>
          <w:sz w:val="21"/>
        </w:rPr>
        <w:t>投保范围</w:t>
        <w:tab/>
      </w:r>
      <w:r>
        <w:rPr>
          <w:position w:val="1"/>
          <w:sz w:val="18"/>
        </w:rPr>
        <w:t>本附加合同投保范围与主合同相同。</w:t>
      </w:r>
    </w:p>
    <w:p>
      <w:pPr>
        <w:pStyle w:val="BodyText"/>
        <w:spacing w:before="0"/>
        <w:rPr>
          <w:sz w:val="20"/>
        </w:rPr>
      </w:pPr>
    </w:p>
    <w:p>
      <w:pPr>
        <w:pStyle w:val="ListParagraph"/>
        <w:numPr>
          <w:ilvl w:val="1"/>
          <w:numId w:val="9"/>
        </w:numPr>
        <w:tabs>
          <w:tab w:pos="907" w:val="left" w:leader="none"/>
          <w:tab w:pos="908" w:val="left" w:leader="none"/>
          <w:tab w:pos="2613" w:val="left" w:leader="none"/>
        </w:tabs>
        <w:spacing w:line="240" w:lineRule="auto" w:before="155" w:after="0"/>
        <w:ind w:left="907" w:right="0" w:hanging="683"/>
        <w:jc w:val="left"/>
        <w:rPr>
          <w:sz w:val="18"/>
        </w:rPr>
      </w:pPr>
      <w:r>
        <w:rPr>
          <w:b/>
          <w:position w:val="-4"/>
          <w:sz w:val="21"/>
        </w:rPr>
        <w:t>合同效力</w:t>
        <w:tab/>
      </w:r>
      <w:r>
        <w:rPr>
          <w:sz w:val="18"/>
        </w:rPr>
        <w:t>本附加合同的效力在发生下列情形之一时自动终止：</w:t>
      </w:r>
    </w:p>
    <w:p>
      <w:pPr>
        <w:pStyle w:val="BodyText"/>
        <w:spacing w:before="22"/>
        <w:ind w:left="2613"/>
      </w:pPr>
      <w:r>
        <w:rPr/>
        <w:t>1、 主合同期满或终止；</w:t>
      </w:r>
    </w:p>
    <w:p>
      <w:pPr>
        <w:pStyle w:val="BodyText"/>
        <w:ind w:left="2613"/>
      </w:pPr>
      <w:r>
        <w:rPr/>
        <w:t>2、 本附加合同期满；</w:t>
      </w:r>
    </w:p>
    <w:p>
      <w:pPr>
        <w:pStyle w:val="BodyText"/>
        <w:ind w:left="2613"/>
      </w:pPr>
      <w:r>
        <w:rPr/>
        <w:t>3、 出现主合同或本附加合同内的其它约定终止情况。</w:t>
      </w:r>
    </w:p>
    <w:p>
      <w:pPr>
        <w:pStyle w:val="BodyText"/>
        <w:spacing w:before="114"/>
        <w:ind w:left="2613"/>
      </w:pPr>
      <w:r>
        <w:rPr/>
        <w:t>本附加合同效力终止后，除另有规定外，我们不退还本附加合同的现金价值。</w:t>
      </w:r>
    </w:p>
    <w:p>
      <w:pPr>
        <w:spacing w:after="0"/>
        <w:sectPr>
          <w:type w:val="continuous"/>
          <w:pgSz w:w="11910" w:h="16840"/>
          <w:pgMar w:top="1040" w:bottom="1180" w:left="1080" w:right="72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64;mso-wrap-distance-left:0;mso-wrap-distance-right:0" from="59.82pt,31.43545pt" to="553.5pt,31.43545pt" stroked="true" strokeweight=".48004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10"/>
        <w:rPr>
          <w:b/>
          <w:sz w:val="11"/>
        </w:rPr>
      </w:pPr>
    </w:p>
    <w:p>
      <w:pPr>
        <w:pStyle w:val="ListParagraph"/>
        <w:numPr>
          <w:ilvl w:val="1"/>
          <w:numId w:val="10"/>
        </w:numPr>
        <w:tabs>
          <w:tab w:pos="907" w:val="left" w:leader="none"/>
          <w:tab w:pos="908" w:val="left" w:leader="none"/>
          <w:tab w:pos="2613" w:val="left" w:leader="none"/>
        </w:tabs>
        <w:spacing w:line="259" w:lineRule="auto" w:before="44" w:after="0"/>
        <w:ind w:left="2613" w:right="221" w:hanging="2389"/>
        <w:jc w:val="left"/>
        <w:rPr>
          <w:sz w:val="18"/>
        </w:rPr>
      </w:pPr>
      <w:r>
        <w:rPr>
          <w:b/>
          <w:position w:val="-4"/>
          <w:sz w:val="21"/>
        </w:rPr>
        <w:t>有效身份证件</w:t>
        <w:tab/>
      </w:r>
      <w:r>
        <w:rPr>
          <w:sz w:val="18"/>
        </w:rPr>
        <w:t>指由政府主管部门规定的证明其身份的证件，如：居民身份证、按规定可使用的有效护照、 军官证、警官证、士兵证、户口簿等证件。</w:t>
      </w:r>
    </w:p>
    <w:p>
      <w:pPr>
        <w:pStyle w:val="BodyText"/>
        <w:spacing w:before="0"/>
        <w:rPr>
          <w:sz w:val="22"/>
        </w:rPr>
      </w:pPr>
    </w:p>
    <w:p>
      <w:pPr>
        <w:pStyle w:val="ListParagraph"/>
        <w:numPr>
          <w:ilvl w:val="1"/>
          <w:numId w:val="10"/>
        </w:numPr>
        <w:tabs>
          <w:tab w:pos="907" w:val="left" w:leader="none"/>
          <w:tab w:pos="908" w:val="left" w:leader="none"/>
          <w:tab w:pos="2613" w:val="left" w:leader="none"/>
        </w:tabs>
        <w:spacing w:line="259" w:lineRule="auto" w:before="0" w:after="0"/>
        <w:ind w:left="2613" w:right="221" w:hanging="2389"/>
        <w:jc w:val="left"/>
        <w:rPr>
          <w:sz w:val="18"/>
        </w:rPr>
      </w:pPr>
      <w:r>
        <w:rPr>
          <w:b/>
          <w:position w:val="-4"/>
          <w:sz w:val="21"/>
        </w:rPr>
        <w:t>发病</w:t>
        <w:tab/>
      </w:r>
      <w:r>
        <w:rPr>
          <w:sz w:val="18"/>
        </w:rPr>
        <w:t>指被保险人出现本附加合同附表一所约定的轻症疾病或附表二所约定的重大疾病的前兆或异 常的身体状况，或已经出现足以使一般人士引起注意并寻求诊断、治疗或护理的病症。</w:t>
      </w:r>
    </w:p>
    <w:p>
      <w:pPr>
        <w:pStyle w:val="BodyText"/>
        <w:spacing w:before="0"/>
        <w:rPr>
          <w:sz w:val="22"/>
        </w:rPr>
      </w:pPr>
    </w:p>
    <w:p>
      <w:pPr>
        <w:pStyle w:val="ListParagraph"/>
        <w:numPr>
          <w:ilvl w:val="1"/>
          <w:numId w:val="10"/>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意外事故</w:t>
        <w:tab/>
      </w:r>
      <w:r>
        <w:rPr>
          <w:sz w:val="18"/>
        </w:rPr>
        <w:t>指外来的</w:t>
      </w:r>
      <w:r>
        <w:rPr>
          <w:spacing w:val="-6"/>
          <w:sz w:val="18"/>
        </w:rPr>
        <w:t>、</w:t>
      </w:r>
      <w:r>
        <w:rPr>
          <w:sz w:val="18"/>
        </w:rPr>
        <w:t>非本意的</w:t>
      </w:r>
      <w:r>
        <w:rPr>
          <w:spacing w:val="-6"/>
          <w:sz w:val="18"/>
        </w:rPr>
        <w:t>、</w:t>
      </w:r>
      <w:r>
        <w:rPr>
          <w:sz w:val="18"/>
        </w:rPr>
        <w:t>突然的</w:t>
      </w:r>
      <w:r>
        <w:rPr>
          <w:spacing w:val="-6"/>
          <w:sz w:val="18"/>
        </w:rPr>
        <w:t>、</w:t>
      </w:r>
      <w:r>
        <w:rPr>
          <w:sz w:val="18"/>
        </w:rPr>
        <w:t>剧烈的</w:t>
      </w:r>
      <w:r>
        <w:rPr>
          <w:spacing w:val="-6"/>
          <w:sz w:val="18"/>
        </w:rPr>
        <w:t>、</w:t>
      </w:r>
      <w:r>
        <w:rPr>
          <w:sz w:val="18"/>
        </w:rPr>
        <w:t>非疾病的使被保险人身体受到剧烈伤害的客观事件。</w:t>
      </w:r>
    </w:p>
    <w:p>
      <w:pPr>
        <w:pStyle w:val="BodyText"/>
        <w:spacing w:before="7"/>
        <w:rPr>
          <w:sz w:val="21"/>
        </w:rPr>
      </w:pPr>
    </w:p>
    <w:p>
      <w:pPr>
        <w:spacing w:after="0"/>
        <w:rPr>
          <w:sz w:val="21"/>
        </w:rPr>
        <w:sectPr>
          <w:pgSz w:w="11910" w:h="16840"/>
          <w:pgMar w:header="877" w:footer="981" w:top="1100" w:bottom="1180" w:left="1080" w:right="720"/>
        </w:sectPr>
      </w:pPr>
    </w:p>
    <w:p>
      <w:pPr>
        <w:pStyle w:val="Heading3"/>
        <w:numPr>
          <w:ilvl w:val="1"/>
          <w:numId w:val="10"/>
        </w:numPr>
        <w:tabs>
          <w:tab w:pos="907" w:val="left" w:leader="none"/>
          <w:tab w:pos="908" w:val="left" w:leader="none"/>
        </w:tabs>
        <w:spacing w:line="340" w:lineRule="auto" w:before="58" w:after="0"/>
        <w:ind w:left="907" w:right="0" w:hanging="683"/>
        <w:jc w:val="left"/>
      </w:pPr>
      <w:r>
        <w:rPr/>
        <w:t>指定或认可的医疗机构</w:t>
      </w:r>
    </w:p>
    <w:p>
      <w:pPr>
        <w:pStyle w:val="BodyText"/>
        <w:spacing w:line="316" w:lineRule="auto" w:before="44"/>
        <w:ind w:left="172" w:right="222"/>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720"/>
          <w:cols w:num="2" w:equalWidth="0">
            <w:col w:w="2402" w:space="40"/>
            <w:col w:w="7668"/>
          </w:cols>
        </w:sectPr>
      </w:pPr>
    </w:p>
    <w:p>
      <w:pPr>
        <w:pStyle w:val="BodyText"/>
        <w:spacing w:before="8"/>
        <w:rPr>
          <w:sz w:val="13"/>
        </w:rPr>
      </w:pPr>
    </w:p>
    <w:p>
      <w:pPr>
        <w:pStyle w:val="ListParagraph"/>
        <w:numPr>
          <w:ilvl w:val="1"/>
          <w:numId w:val="10"/>
        </w:numPr>
        <w:tabs>
          <w:tab w:pos="831" w:val="left" w:leader="none"/>
          <w:tab w:pos="832" w:val="left" w:leader="none"/>
          <w:tab w:pos="2564" w:val="left" w:leader="none"/>
        </w:tabs>
        <w:spacing w:line="304" w:lineRule="auto" w:before="35" w:after="0"/>
        <w:ind w:left="2564" w:right="353" w:hanging="2340"/>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w:t>
      </w:r>
      <w:r>
        <w:rPr>
          <w:sz w:val="18"/>
        </w:rPr>
        <w:t>及国家规定管制的其他能够使人形成瘾癖的麻醉药品和精神药品</w:t>
      </w:r>
      <w:r>
        <w:rPr>
          <w:spacing w:val="-16"/>
          <w:sz w:val="18"/>
        </w:rPr>
        <w:t>，</w:t>
      </w:r>
      <w:r>
        <w:rPr>
          <w:sz w:val="18"/>
        </w:rPr>
        <w:t>但不包括由医生开具并遵医嘱使用的用于治疗疾病但含有毒品成分的处方药品。</w:t>
      </w:r>
    </w:p>
    <w:p>
      <w:pPr>
        <w:pStyle w:val="BodyText"/>
        <w:spacing w:before="7"/>
        <w:rPr>
          <w:sz w:val="17"/>
        </w:rPr>
      </w:pPr>
    </w:p>
    <w:p>
      <w:pPr>
        <w:pStyle w:val="ListParagraph"/>
        <w:numPr>
          <w:ilvl w:val="1"/>
          <w:numId w:val="10"/>
        </w:numPr>
        <w:tabs>
          <w:tab w:pos="832" w:val="left" w:leader="none"/>
        </w:tabs>
        <w:spacing w:line="304" w:lineRule="auto" w:before="0" w:after="0"/>
        <w:ind w:left="2564" w:right="352" w:hanging="2340"/>
        <w:jc w:val="both"/>
        <w:rPr>
          <w:sz w:val="18"/>
        </w:rPr>
      </w:pPr>
      <w:r>
        <w:rPr>
          <w:b/>
          <w:spacing w:val="2"/>
          <w:sz w:val="21"/>
        </w:rPr>
        <w:t>酒后驾驶       </w:t>
      </w:r>
      <w:r>
        <w:rPr>
          <w:spacing w:val="-2"/>
          <w:position w:val="1"/>
          <w:sz w:val="18"/>
        </w:rPr>
        <w:t>指经检测或鉴定，发生事故时车辆驾驶人员每百毫升血液中的酒精含量或呼气酒精含量达到</w:t>
      </w:r>
      <w:r>
        <w:rPr>
          <w:spacing w:val="-5"/>
          <w:sz w:val="18"/>
        </w:rPr>
        <w:t>或超过一定的标准，公安机关交通管理部门依据《道路交通安全法》的规定认定为饮酒后驾驶或醉酒后驾驶。</w:t>
      </w:r>
    </w:p>
    <w:p>
      <w:pPr>
        <w:pStyle w:val="BodyText"/>
        <w:spacing w:before="10"/>
        <w:rPr>
          <w:sz w:val="14"/>
        </w:rPr>
      </w:pPr>
    </w:p>
    <w:p>
      <w:pPr>
        <w:spacing w:after="0"/>
        <w:rPr>
          <w:sz w:val="14"/>
        </w:rPr>
        <w:sectPr>
          <w:type w:val="continuous"/>
          <w:pgSz w:w="11910" w:h="16840"/>
          <w:pgMar w:top="1040" w:bottom="1180" w:left="1080" w:right="720"/>
        </w:sectPr>
      </w:pPr>
    </w:p>
    <w:p>
      <w:pPr>
        <w:pStyle w:val="Heading3"/>
        <w:numPr>
          <w:ilvl w:val="1"/>
          <w:numId w:val="10"/>
        </w:numPr>
        <w:tabs>
          <w:tab w:pos="831" w:val="left" w:leader="none"/>
          <w:tab w:pos="832" w:val="left" w:leader="none"/>
        </w:tabs>
        <w:spacing w:line="273" w:lineRule="auto" w:before="35" w:after="0"/>
        <w:ind w:left="831" w:right="0" w:hanging="607"/>
        <w:jc w:val="left"/>
      </w:pPr>
      <w:r>
        <w:rPr>
          <w:w w:val="95"/>
        </w:rPr>
        <w:t>无合法有效驾驶</w:t>
      </w:r>
      <w:r>
        <w:rPr/>
        <w:t>证驾驶</w:t>
      </w:r>
    </w:p>
    <w:p>
      <w:pPr>
        <w:pStyle w:val="BodyText"/>
        <w:spacing w:before="61"/>
        <w:ind w:left="217"/>
      </w:pPr>
      <w:r>
        <w:rPr/>
        <w:br w:type="column"/>
      </w:r>
      <w:r>
        <w:rPr/>
        <w:t>指下列情形之一：</w:t>
      </w:r>
    </w:p>
    <w:p>
      <w:pPr>
        <w:pStyle w:val="ListParagraph"/>
        <w:numPr>
          <w:ilvl w:val="0"/>
          <w:numId w:val="11"/>
        </w:numPr>
        <w:tabs>
          <w:tab w:pos="615" w:val="left" w:leader="none"/>
        </w:tabs>
        <w:spacing w:line="240" w:lineRule="auto" w:before="76" w:after="0"/>
        <w:ind w:left="614" w:right="0" w:hanging="397"/>
        <w:jc w:val="left"/>
        <w:rPr>
          <w:sz w:val="18"/>
        </w:rPr>
      </w:pPr>
      <w:r>
        <w:rPr>
          <w:sz w:val="18"/>
        </w:rPr>
        <w:t>没有取得驾驶资格；</w:t>
      </w:r>
    </w:p>
    <w:p>
      <w:pPr>
        <w:pStyle w:val="ListParagraph"/>
        <w:numPr>
          <w:ilvl w:val="0"/>
          <w:numId w:val="11"/>
        </w:numPr>
        <w:tabs>
          <w:tab w:pos="615" w:val="left" w:leader="none"/>
        </w:tabs>
        <w:spacing w:line="240" w:lineRule="auto" w:before="76" w:after="0"/>
        <w:ind w:left="614" w:right="0" w:hanging="397"/>
        <w:jc w:val="left"/>
        <w:rPr>
          <w:sz w:val="18"/>
        </w:rPr>
      </w:pPr>
      <w:r>
        <w:rPr>
          <w:sz w:val="18"/>
        </w:rPr>
        <w:t>驾驶与驾驶证准驾车型不相符合的车辆；</w:t>
      </w:r>
    </w:p>
    <w:p>
      <w:pPr>
        <w:pStyle w:val="ListParagraph"/>
        <w:numPr>
          <w:ilvl w:val="0"/>
          <w:numId w:val="11"/>
        </w:numPr>
        <w:tabs>
          <w:tab w:pos="615" w:val="left" w:leader="none"/>
        </w:tabs>
        <w:spacing w:line="240" w:lineRule="auto" w:before="76" w:after="0"/>
        <w:ind w:left="614" w:right="0" w:hanging="397"/>
        <w:jc w:val="left"/>
        <w:rPr>
          <w:sz w:val="18"/>
        </w:rPr>
      </w:pPr>
      <w:r>
        <w:rPr>
          <w:sz w:val="18"/>
        </w:rPr>
        <w:t>持审验不合格的驾驶证驾驶；</w:t>
      </w:r>
    </w:p>
    <w:p>
      <w:pPr>
        <w:pStyle w:val="ListParagraph"/>
        <w:numPr>
          <w:ilvl w:val="0"/>
          <w:numId w:val="11"/>
        </w:numPr>
        <w:tabs>
          <w:tab w:pos="578" w:val="left" w:leader="none"/>
        </w:tabs>
        <w:spacing w:line="240" w:lineRule="auto" w:before="76" w:after="0"/>
        <w:ind w:left="577"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080" w:right="720"/>
          <w:cols w:num="2" w:equalWidth="0">
            <w:col w:w="2307" w:space="40"/>
            <w:col w:w="7763"/>
          </w:cols>
        </w:sectPr>
      </w:pPr>
    </w:p>
    <w:p>
      <w:pPr>
        <w:pStyle w:val="BodyText"/>
        <w:spacing w:before="7"/>
      </w:pPr>
    </w:p>
    <w:p>
      <w:pPr>
        <w:pStyle w:val="ListParagraph"/>
        <w:numPr>
          <w:ilvl w:val="1"/>
          <w:numId w:val="10"/>
        </w:numPr>
        <w:tabs>
          <w:tab w:pos="831" w:val="left" w:leader="none"/>
          <w:tab w:pos="832" w:val="left" w:leader="none"/>
          <w:tab w:pos="2564" w:val="left" w:leader="none"/>
        </w:tabs>
        <w:spacing w:line="240" w:lineRule="auto" w:before="35" w:after="0"/>
        <w:ind w:left="831" w:right="0" w:hanging="607"/>
        <w:jc w:val="left"/>
        <w:rPr>
          <w:sz w:val="18"/>
        </w:rPr>
      </w:pPr>
      <w:r>
        <w:rPr>
          <w:b/>
          <w:sz w:val="21"/>
        </w:rPr>
        <w:t>无有效行驶证</w:t>
        <w:tab/>
      </w:r>
      <w:r>
        <w:rPr>
          <w:position w:val="1"/>
          <w:sz w:val="18"/>
        </w:rPr>
        <w:t>指下列情形之一：</w:t>
      </w:r>
    </w:p>
    <w:p>
      <w:pPr>
        <w:pStyle w:val="ListParagraph"/>
        <w:numPr>
          <w:ilvl w:val="2"/>
          <w:numId w:val="10"/>
        </w:numPr>
        <w:tabs>
          <w:tab w:pos="2962" w:val="left" w:leader="none"/>
        </w:tabs>
        <w:spacing w:line="240" w:lineRule="auto" w:before="62" w:after="0"/>
        <w:ind w:left="2961" w:right="0" w:hanging="397"/>
        <w:jc w:val="left"/>
        <w:rPr>
          <w:sz w:val="18"/>
        </w:rPr>
      </w:pPr>
      <w:r>
        <w:rPr>
          <w:sz w:val="18"/>
        </w:rPr>
        <w:t>机动车被依法注销登记的；</w:t>
      </w:r>
    </w:p>
    <w:p>
      <w:pPr>
        <w:pStyle w:val="ListParagraph"/>
        <w:numPr>
          <w:ilvl w:val="2"/>
          <w:numId w:val="10"/>
        </w:numPr>
        <w:tabs>
          <w:tab w:pos="2925" w:val="left" w:leader="none"/>
        </w:tabs>
        <w:spacing w:line="240" w:lineRule="auto" w:before="76" w:after="0"/>
        <w:ind w:left="2924"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0"/>
        </w:numPr>
        <w:tabs>
          <w:tab w:pos="831" w:val="left" w:leader="none"/>
          <w:tab w:pos="832" w:val="left" w:leader="none"/>
          <w:tab w:pos="2564" w:val="left" w:leader="none"/>
        </w:tabs>
        <w:spacing w:line="240" w:lineRule="auto" w:before="0" w:after="0"/>
        <w:ind w:left="831" w:right="0" w:hanging="607"/>
        <w:jc w:val="left"/>
        <w:rPr>
          <w:sz w:val="18"/>
        </w:rPr>
      </w:pPr>
      <w:r>
        <w:rPr>
          <w:b/>
          <w:sz w:val="21"/>
        </w:rPr>
        <w:t>艾滋病</w:t>
        <w:tab/>
      </w:r>
      <w:r>
        <w:rPr>
          <w:position w:val="1"/>
          <w:sz w:val="18"/>
        </w:rPr>
        <w:t>获得性免疫力缺乏综合症（AIDS）的简称。</w:t>
      </w:r>
    </w:p>
    <w:p>
      <w:pPr>
        <w:pStyle w:val="BodyText"/>
        <w:spacing w:before="1"/>
        <w:rPr>
          <w:sz w:val="20"/>
        </w:rPr>
      </w:pPr>
    </w:p>
    <w:p>
      <w:pPr>
        <w:pStyle w:val="ListParagraph"/>
        <w:numPr>
          <w:ilvl w:val="1"/>
          <w:numId w:val="10"/>
        </w:numPr>
        <w:tabs>
          <w:tab w:pos="832" w:val="left" w:leader="none"/>
          <w:tab w:pos="2564" w:val="left" w:leader="none"/>
        </w:tabs>
        <w:spacing w:line="304" w:lineRule="auto" w:before="0" w:after="0"/>
        <w:ind w:left="2564" w:right="354" w:hanging="2340"/>
        <w:jc w:val="left"/>
        <w:rPr>
          <w:sz w:val="18"/>
        </w:rPr>
      </w:pPr>
      <w:r>
        <w:rPr>
          <w:b/>
          <w:sz w:val="21"/>
        </w:rPr>
        <w:t>艾滋病病毒</w:t>
        <w:tab/>
      </w:r>
      <w:r>
        <w:rPr>
          <w:position w:val="1"/>
          <w:sz w:val="18"/>
        </w:rPr>
        <w:t>获得性免疫力缺乏综合症病毒（HIV）的简称。获得性免疫力缺乏综合症的定义应按世界卫</w:t>
      </w:r>
      <w:r>
        <w:rPr>
          <w:sz w:val="18"/>
        </w:rPr>
        <w:t>生组织制定的定义为准</w:t>
      </w:r>
      <w:r>
        <w:rPr>
          <w:spacing w:val="-9"/>
          <w:sz w:val="18"/>
        </w:rPr>
        <w:t>，</w:t>
      </w:r>
      <w:r>
        <w:rPr>
          <w:sz w:val="18"/>
        </w:rPr>
        <w:t>如在血液样本中发现获得性免疫力缺乏综合症病毒或其抗体</w:t>
      </w:r>
      <w:r>
        <w:rPr>
          <w:spacing w:val="-9"/>
          <w:sz w:val="18"/>
        </w:rPr>
        <w:t>，</w:t>
      </w:r>
      <w:r>
        <w:rPr>
          <w:sz w:val="18"/>
        </w:rPr>
        <w:t>则可认定为感染艾滋病或艾滋病病毒。</w:t>
      </w:r>
    </w:p>
    <w:p>
      <w:pPr>
        <w:pStyle w:val="BodyText"/>
        <w:spacing w:before="6"/>
        <w:rPr>
          <w:sz w:val="17"/>
        </w:rPr>
      </w:pPr>
    </w:p>
    <w:p>
      <w:pPr>
        <w:pStyle w:val="ListParagraph"/>
        <w:numPr>
          <w:ilvl w:val="1"/>
          <w:numId w:val="10"/>
        </w:numPr>
        <w:tabs>
          <w:tab w:pos="833" w:val="left" w:leader="none"/>
          <w:tab w:pos="2564" w:val="left" w:leader="none"/>
        </w:tabs>
        <w:spacing w:line="295" w:lineRule="auto" w:before="0" w:after="0"/>
        <w:ind w:left="2564" w:right="352" w:hanging="2340"/>
        <w:jc w:val="left"/>
        <w:rPr>
          <w:sz w:val="18"/>
        </w:rPr>
      </w:pPr>
      <w:r>
        <w:rPr>
          <w:b/>
          <w:sz w:val="21"/>
        </w:rPr>
        <w:t>现金价值</w:t>
        <w:tab/>
      </w:r>
      <w:r>
        <w:rPr>
          <w:position w:val="1"/>
          <w:sz w:val="18"/>
        </w:rPr>
        <w:t>指保险单所具有的价值</w:t>
      </w:r>
      <w:r>
        <w:rPr>
          <w:spacing w:val="-5"/>
          <w:position w:val="1"/>
          <w:sz w:val="18"/>
        </w:rPr>
        <w:t>，</w:t>
      </w:r>
      <w:r>
        <w:rPr>
          <w:position w:val="1"/>
          <w:sz w:val="18"/>
        </w:rPr>
        <w:t>通常体现为解除合同时</w:t>
      </w:r>
      <w:r>
        <w:rPr>
          <w:spacing w:val="-5"/>
          <w:position w:val="1"/>
          <w:sz w:val="18"/>
        </w:rPr>
        <w:t>，</w:t>
      </w:r>
      <w:r>
        <w:rPr>
          <w:position w:val="1"/>
          <w:sz w:val="18"/>
        </w:rPr>
        <w:t>根据精算原理计算的</w:t>
      </w:r>
      <w:r>
        <w:rPr>
          <w:spacing w:val="-5"/>
          <w:position w:val="1"/>
          <w:sz w:val="18"/>
        </w:rPr>
        <w:t>，</w:t>
      </w:r>
      <w:r>
        <w:rPr>
          <w:position w:val="1"/>
          <w:sz w:val="18"/>
        </w:rPr>
        <w:t>由本公司退还的那</w:t>
      </w:r>
      <w:r>
        <w:rPr>
          <w:sz w:val="18"/>
        </w:rPr>
        <w:t>部分金额。</w:t>
      </w:r>
    </w:p>
    <w:p>
      <w:pPr>
        <w:pStyle w:val="BodyText"/>
        <w:spacing w:before="1"/>
      </w:pPr>
    </w:p>
    <w:p>
      <w:pPr>
        <w:pStyle w:val="ListParagraph"/>
        <w:numPr>
          <w:ilvl w:val="1"/>
          <w:numId w:val="10"/>
        </w:numPr>
        <w:tabs>
          <w:tab w:pos="832" w:val="left" w:leader="none"/>
          <w:tab w:pos="2564" w:val="left" w:leader="none"/>
        </w:tabs>
        <w:spacing w:line="240" w:lineRule="auto" w:before="1" w:after="0"/>
        <w:ind w:left="831" w:right="0" w:hanging="607"/>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80" w:left="1080" w:right="720"/>
        </w:sectPr>
      </w:pPr>
    </w:p>
    <w:p>
      <w:pPr>
        <w:pStyle w:val="BodyText"/>
        <w:spacing w:before="3"/>
        <w:rPr>
          <w:sz w:val="20"/>
        </w:rPr>
      </w:pPr>
    </w:p>
    <w:p>
      <w:pPr>
        <w:pStyle w:val="Heading4"/>
        <w:ind w:left="4320" w:right="3992"/>
        <w:jc w:val="center"/>
      </w:pPr>
      <w:r>
        <w:rPr>
          <w:w w:val="95"/>
        </w:rPr>
        <w:t>附表一：轻症疾病说明</w:t>
      </w:r>
    </w:p>
    <w:p>
      <w:pPr>
        <w:pStyle w:val="BodyText"/>
        <w:spacing w:before="11"/>
        <w:rPr>
          <w:b/>
          <w:sz w:val="23"/>
        </w:rPr>
      </w:pPr>
    </w:p>
    <w:p>
      <w:pPr>
        <w:spacing w:before="44"/>
        <w:ind w:left="224" w:right="0" w:firstLine="0"/>
        <w:jc w:val="left"/>
        <w:rPr>
          <w:b/>
          <w:sz w:val="18"/>
        </w:rPr>
      </w:pPr>
      <w:r>
        <w:rPr>
          <w:b/>
          <w:w w:val="95"/>
          <w:sz w:val="18"/>
        </w:rPr>
        <w:t>轻症疾病：指下列疾病或手术之一</w:t>
      </w:r>
    </w:p>
    <w:p>
      <w:pPr>
        <w:pStyle w:val="BodyText"/>
        <w:spacing w:before="8"/>
        <w:rPr>
          <w:b/>
          <w:sz w:val="23"/>
        </w:rPr>
      </w:pPr>
    </w:p>
    <w:p>
      <w:pPr>
        <w:spacing w:after="0"/>
        <w:rPr>
          <w:sz w:val="23"/>
        </w:rPr>
        <w:sectPr>
          <w:pgSz w:w="11910" w:h="16840"/>
          <w:pgMar w:header="877" w:footer="981" w:top="1100" w:bottom="1180" w:left="1080" w:right="760"/>
        </w:sectPr>
      </w:pPr>
    </w:p>
    <w:p>
      <w:pPr>
        <w:pStyle w:val="ListParagraph"/>
        <w:numPr>
          <w:ilvl w:val="0"/>
          <w:numId w:val="12"/>
        </w:numPr>
        <w:tabs>
          <w:tab w:pos="524" w:val="left" w:leader="none"/>
          <w:tab w:pos="525" w:val="left" w:leader="none"/>
        </w:tabs>
        <w:spacing w:line="316" w:lineRule="auto" w:before="45" w:after="0"/>
        <w:ind w:left="524" w:right="0" w:hanging="420"/>
        <w:jc w:val="left"/>
        <w:rPr>
          <w:b/>
          <w:sz w:val="18"/>
        </w:rPr>
      </w:pPr>
      <w:r>
        <w:rPr>
          <w:b/>
          <w:spacing w:val="18"/>
          <w:w w:val="95"/>
          <w:sz w:val="18"/>
        </w:rPr>
        <w:t>极早期的恶性肿瘤或</w:t>
      </w:r>
      <w:r>
        <w:rPr>
          <w:b/>
          <w:w w:val="95"/>
          <w:sz w:val="18"/>
        </w:rPr>
        <w:t>恶性病变</w:t>
      </w:r>
    </w:p>
    <w:p>
      <w:pPr>
        <w:pStyle w:val="BodyText"/>
        <w:spacing w:line="316" w:lineRule="auto" w:before="45"/>
        <w:ind w:left="104" w:right="1599"/>
      </w:pPr>
      <w:r>
        <w:rPr/>
        <w:br w:type="column"/>
      </w:r>
      <w:r>
        <w:rPr/>
        <w:t>指经组织病理学检查被明确诊断为下列恶性病变，并且接受了相应的治疗。(一)原位癌</w:t>
      </w:r>
    </w:p>
    <w:p>
      <w:pPr>
        <w:pStyle w:val="BodyText"/>
        <w:spacing w:line="316" w:lineRule="auto" w:before="18"/>
        <w:ind w:left="104" w:right="2591"/>
      </w:pPr>
      <w:r>
        <w:rPr>
          <w:spacing w:val="6"/>
        </w:rPr>
        <w:t>(二)相当于</w:t>
      </w:r>
      <w:r>
        <w:rPr/>
        <w:t>Binet</w:t>
      </w:r>
      <w:r>
        <w:rPr>
          <w:spacing w:val="7"/>
        </w:rPr>
        <w:t> 分期方案</w:t>
      </w:r>
      <w:r>
        <w:rPr/>
        <w:t>A 期程度的慢性淋巴细胞白血病； </w:t>
      </w:r>
      <w:r>
        <w:rPr>
          <w:spacing w:val="6"/>
        </w:rPr>
        <w:t>(三)相当于</w:t>
      </w:r>
      <w:r>
        <w:rPr/>
        <w:t>Ann Arbor</w:t>
      </w:r>
      <w:r>
        <w:rPr>
          <w:spacing w:val="7"/>
        </w:rPr>
        <w:t> 分期方案</w:t>
      </w:r>
      <w:r>
        <w:rPr/>
        <w:t>I 期程度的何杰金氏病； (四)皮肤癌（不包括恶性黑色素瘤及已发生转移的皮肤癌</w:t>
      </w:r>
      <w:r>
        <w:rPr>
          <w:spacing w:val="-90"/>
        </w:rPr>
        <w:t>）</w:t>
      </w:r>
      <w:r>
        <w:rPr/>
        <w:t>；</w:t>
      </w:r>
    </w:p>
    <w:p>
      <w:pPr>
        <w:pStyle w:val="BodyText"/>
        <w:spacing w:before="18"/>
        <w:ind w:left="104"/>
      </w:pPr>
      <w:r>
        <w:rPr/>
        <w:t>(五)TNM 分期为T1N0M0 期或更轻分期的前列腺癌。</w:t>
      </w:r>
    </w:p>
    <w:p>
      <w:pPr>
        <w:spacing w:after="0"/>
        <w:sectPr>
          <w:type w:val="continuous"/>
          <w:pgSz w:w="11910" w:h="16840"/>
          <w:pgMar w:top="1040" w:bottom="1180" w:left="1080" w:right="760"/>
          <w:cols w:num="2" w:equalWidth="0">
            <w:col w:w="2327" w:space="91"/>
            <w:col w:w="7652"/>
          </w:cols>
        </w:sectPr>
      </w:pPr>
    </w:p>
    <w:p>
      <w:pPr>
        <w:pStyle w:val="BodyText"/>
        <w:spacing w:before="3"/>
        <w:rPr>
          <w:sz w:val="26"/>
        </w:rPr>
      </w:pPr>
    </w:p>
    <w:p>
      <w:pPr>
        <w:spacing w:after="0"/>
        <w:rPr>
          <w:sz w:val="26"/>
        </w:rPr>
        <w:sectPr>
          <w:type w:val="continuous"/>
          <w:pgSz w:w="11910" w:h="16840"/>
          <w:pgMar w:top="1040" w:bottom="1180" w:left="1080" w:right="760"/>
        </w:sectPr>
      </w:pPr>
    </w:p>
    <w:p>
      <w:pPr>
        <w:pStyle w:val="Heading4"/>
        <w:numPr>
          <w:ilvl w:val="0"/>
          <w:numId w:val="12"/>
        </w:numPr>
        <w:tabs>
          <w:tab w:pos="524" w:val="left" w:leader="none"/>
          <w:tab w:pos="525" w:val="left" w:leader="none"/>
        </w:tabs>
        <w:spacing w:line="316" w:lineRule="auto" w:before="45" w:after="0"/>
        <w:ind w:left="524" w:right="0" w:hanging="420"/>
        <w:jc w:val="left"/>
      </w:pPr>
      <w:r>
        <w:rPr>
          <w:spacing w:val="18"/>
          <w:w w:val="95"/>
        </w:rPr>
        <w:t>不典型的急性心肌梗</w:t>
      </w:r>
      <w:r>
        <w:rPr/>
        <w:t>塞</w:t>
      </w:r>
    </w:p>
    <w:p>
      <w:pPr>
        <w:pStyle w:val="BodyText"/>
        <w:spacing w:line="316" w:lineRule="auto" w:before="45"/>
        <w:ind w:left="104" w:right="141"/>
      </w:pPr>
      <w:r>
        <w:rPr/>
        <w:br w:type="column"/>
      </w:r>
      <w:r>
        <w:rPr/>
        <w:t>指被临床诊断为急性心肌梗塞并接受了急性心肌梗塞治疗，虽然未达到重大疾病“急性心肌梗塞”的给付标准，但满足下列全部条件：</w:t>
      </w:r>
    </w:p>
    <w:p>
      <w:pPr>
        <w:pStyle w:val="BodyText"/>
        <w:spacing w:line="316" w:lineRule="auto" w:before="19"/>
        <w:ind w:left="104" w:right="3221"/>
      </w:pPr>
      <w:r>
        <w:rPr/>
        <w:t>(一)肌钙蛋白有诊断意义的升高；                  </w:t>
      </w:r>
      <w:r>
        <w:rPr>
          <w:spacing w:val="2"/>
        </w:rPr>
        <w:t>(二)心电图有损伤性的</w:t>
      </w:r>
      <w:r>
        <w:rPr/>
        <w:t>ST</w:t>
      </w:r>
      <w:r>
        <w:rPr>
          <w:spacing w:val="3"/>
        </w:rPr>
        <w:t> 段改变但未出现病理</w:t>
      </w:r>
      <w:r>
        <w:rPr/>
        <w:t>Q 波。</w:t>
      </w:r>
    </w:p>
    <w:p>
      <w:pPr>
        <w:pStyle w:val="BodyText"/>
        <w:spacing w:line="316" w:lineRule="auto" w:before="19"/>
        <w:ind w:left="104" w:right="141"/>
      </w:pPr>
      <w:r>
        <w:rPr/>
        <w:t>如果被保险人在出现不典型的急性心肌梗塞以后接受冠状动脉介入手术治疗，我们仅就其中一种疾病给付轻症疾病保险金。</w:t>
      </w:r>
    </w:p>
    <w:p>
      <w:pPr>
        <w:spacing w:after="0" w:line="316" w:lineRule="auto"/>
        <w:sectPr>
          <w:type w:val="continuous"/>
          <w:pgSz w:w="11910" w:h="16840"/>
          <w:pgMar w:top="1040" w:bottom="1180" w:left="1080" w:right="760"/>
          <w:cols w:num="2" w:equalWidth="0">
            <w:col w:w="2327" w:space="91"/>
            <w:col w:w="7652"/>
          </w:cols>
        </w:sectPr>
      </w:pPr>
    </w:p>
    <w:p>
      <w:pPr>
        <w:pStyle w:val="BodyText"/>
        <w:spacing w:before="11"/>
        <w:rPr>
          <w:sz w:val="21"/>
        </w:rPr>
      </w:pPr>
    </w:p>
    <w:p>
      <w:pPr>
        <w:pStyle w:val="ListParagraph"/>
        <w:numPr>
          <w:ilvl w:val="0"/>
          <w:numId w:val="12"/>
        </w:numPr>
        <w:tabs>
          <w:tab w:pos="524" w:val="left" w:leader="none"/>
          <w:tab w:pos="525" w:val="left" w:leader="none"/>
          <w:tab w:pos="2522" w:val="left" w:leader="none"/>
        </w:tabs>
        <w:spacing w:line="316" w:lineRule="auto" w:before="45" w:after="0"/>
        <w:ind w:left="2522" w:right="195" w:hanging="2418"/>
        <w:jc w:val="left"/>
        <w:rPr>
          <w:sz w:val="18"/>
        </w:rPr>
      </w:pPr>
      <w:r>
        <w:rPr>
          <w:b/>
          <w:sz w:val="18"/>
        </w:rPr>
        <w:t>冠状动脉介入手术</w:t>
        <w:tab/>
      </w:r>
      <w:r>
        <w:rPr>
          <w:sz w:val="18"/>
        </w:rPr>
        <w:t>为了治疗明显的冠状动脉狭窄性疾病</w:t>
      </w:r>
      <w:r>
        <w:rPr>
          <w:spacing w:val="-18"/>
          <w:sz w:val="18"/>
        </w:rPr>
        <w:t>，</w:t>
      </w:r>
      <w:r>
        <w:rPr>
          <w:sz w:val="18"/>
        </w:rPr>
        <w:t>首次实际实施了冠状动脉球囊扩张成形术</w:t>
      </w:r>
      <w:r>
        <w:rPr>
          <w:spacing w:val="-18"/>
          <w:sz w:val="18"/>
        </w:rPr>
        <w:t>、</w:t>
      </w:r>
      <w:r>
        <w:rPr>
          <w:sz w:val="18"/>
        </w:rPr>
        <w:t>冠状动脉支架植入术或激光冠状动脉成形术。</w:t>
      </w:r>
    </w:p>
    <w:p>
      <w:pPr>
        <w:pStyle w:val="BodyText"/>
        <w:spacing w:line="316" w:lineRule="auto" w:before="19"/>
        <w:ind w:left="2522" w:right="195"/>
        <w:jc w:val="both"/>
      </w:pPr>
      <w:r>
        <w:rPr>
          <w:spacing w:val="-2"/>
        </w:rPr>
        <w:t>如果被保险人在出现不典型的急性心肌梗塞以后接受冠状动脉介入手术治疗，我们仅就其中一种疾病给付轻症疾病保险金。</w:t>
      </w:r>
    </w:p>
    <w:p>
      <w:pPr>
        <w:pStyle w:val="BodyText"/>
        <w:spacing w:line="316" w:lineRule="auto" w:before="19"/>
        <w:ind w:left="2522" w:right="195"/>
        <w:jc w:val="both"/>
      </w:pPr>
      <w:r>
        <w:rPr>
          <w:spacing w:val="-2"/>
        </w:rPr>
        <w:t>如果被保险人在出现急性心肌梗塞以后接受冠状动脉介入手术，我们仅就急性心肌梗塞给付重大疾病保险金。</w:t>
      </w:r>
    </w:p>
    <w:p>
      <w:pPr>
        <w:pStyle w:val="BodyText"/>
        <w:spacing w:before="3"/>
        <w:rPr>
          <w:sz w:val="25"/>
        </w:rPr>
      </w:pPr>
    </w:p>
    <w:p>
      <w:pPr>
        <w:pStyle w:val="ListParagraph"/>
        <w:numPr>
          <w:ilvl w:val="0"/>
          <w:numId w:val="12"/>
        </w:numPr>
        <w:tabs>
          <w:tab w:pos="524" w:val="left" w:leader="none"/>
          <w:tab w:pos="525" w:val="left" w:leader="none"/>
          <w:tab w:pos="2522" w:val="left" w:leader="none"/>
        </w:tabs>
        <w:spacing w:line="240" w:lineRule="auto" w:before="0" w:after="0"/>
        <w:ind w:left="524" w:right="0" w:hanging="420"/>
        <w:jc w:val="left"/>
        <w:rPr>
          <w:sz w:val="18"/>
        </w:rPr>
      </w:pPr>
      <w:r>
        <w:rPr>
          <w:b/>
          <w:spacing w:val="0"/>
          <w:w w:val="99"/>
          <w:sz w:val="18"/>
        </w:rPr>
        <w:t>轻微</w:t>
      </w:r>
      <w:r>
        <w:rPr>
          <w:b/>
          <w:w w:val="99"/>
          <w:sz w:val="18"/>
        </w:rPr>
        <w:t>脑</w:t>
      </w:r>
      <w:r>
        <w:rPr>
          <w:b/>
          <w:spacing w:val="0"/>
          <w:w w:val="99"/>
          <w:sz w:val="18"/>
        </w:rPr>
        <w:t>中</w:t>
      </w:r>
      <w:r>
        <w:rPr>
          <w:b/>
          <w:w w:val="99"/>
          <w:sz w:val="18"/>
        </w:rPr>
        <w:t>风</w:t>
      </w:r>
      <w:r>
        <w:rPr>
          <w:b/>
          <w:sz w:val="18"/>
        </w:rPr>
        <w:tab/>
      </w:r>
      <w:r>
        <w:rPr>
          <w:spacing w:val="0"/>
          <w:sz w:val="18"/>
        </w:rPr>
        <w:t>指实际发生</w:t>
      </w:r>
      <w:r>
        <w:rPr>
          <w:spacing w:val="1"/>
          <w:sz w:val="18"/>
        </w:rPr>
        <w:t>了</w:t>
      </w:r>
      <w:r>
        <w:rPr>
          <w:spacing w:val="0"/>
          <w:sz w:val="18"/>
        </w:rPr>
        <w:t>脑血管的突</w:t>
      </w:r>
      <w:r>
        <w:rPr>
          <w:spacing w:val="1"/>
          <w:sz w:val="18"/>
        </w:rPr>
        <w:t>发</w:t>
      </w:r>
      <w:r>
        <w:rPr>
          <w:spacing w:val="0"/>
          <w:sz w:val="18"/>
        </w:rPr>
        <w:t>病变出现神</w:t>
      </w:r>
      <w:r>
        <w:rPr>
          <w:spacing w:val="1"/>
          <w:sz w:val="18"/>
        </w:rPr>
        <w:t>经</w:t>
      </w:r>
      <w:r>
        <w:rPr>
          <w:spacing w:val="0"/>
          <w:sz w:val="18"/>
        </w:rPr>
        <w:t>系统功能障</w:t>
      </w:r>
      <w:r>
        <w:rPr>
          <w:spacing w:val="1"/>
          <w:sz w:val="18"/>
        </w:rPr>
        <w:t>碍</w:t>
      </w:r>
      <w:r>
        <w:rPr>
          <w:spacing w:val="0"/>
          <w:sz w:val="18"/>
        </w:rPr>
        <w:t>表现，头颅</w:t>
      </w:r>
      <w:r>
        <w:rPr>
          <w:spacing w:val="1"/>
          <w:sz w:val="18"/>
        </w:rPr>
        <w:t>断</w:t>
      </w:r>
      <w:r>
        <w:rPr>
          <w:spacing w:val="0"/>
          <w:sz w:val="18"/>
        </w:rPr>
        <w:t>层扫描（</w:t>
      </w:r>
      <w:r>
        <w:rPr>
          <w:sz w:val="18"/>
        </w:rPr>
        <w:t>C</w:t>
      </w:r>
      <w:r>
        <w:rPr>
          <w:spacing w:val="0"/>
          <w:sz w:val="18"/>
        </w:rPr>
        <w:t>T</w:t>
      </w:r>
      <w:r>
        <w:rPr>
          <w:spacing w:val="-89"/>
          <w:sz w:val="18"/>
        </w:rPr>
        <w:t>）</w:t>
      </w:r>
      <w:r>
        <w:rPr>
          <w:spacing w:val="1"/>
          <w:sz w:val="18"/>
        </w:rPr>
        <w:t>、</w:t>
      </w:r>
      <w:r>
        <w:rPr>
          <w:spacing w:val="0"/>
          <w:sz w:val="18"/>
        </w:rPr>
        <w:t>核磁共振</w:t>
      </w:r>
    </w:p>
    <w:p>
      <w:pPr>
        <w:pStyle w:val="BodyText"/>
        <w:spacing w:line="316" w:lineRule="auto" w:before="75"/>
        <w:ind w:left="2522" w:right="195"/>
        <w:jc w:val="both"/>
      </w:pPr>
      <w:r>
        <w:rPr/>
        <w:t>（MRI）</w:t>
      </w:r>
      <w:r>
        <w:rPr>
          <w:spacing w:val="-2"/>
        </w:rPr>
        <w:t>等影像学检查证实存在对应病灶，确诊为脑出血、脑栓塞或脑梗塞，在确诊 </w:t>
      </w:r>
      <w:r>
        <w:rPr/>
        <w:t>180 天后</w:t>
      </w:r>
      <w:r>
        <w:rPr>
          <w:spacing w:val="-2"/>
        </w:rPr>
        <w:t>未遗留神经系统功能障碍或后遗的神经系统功能障碍程度未达到重大疾病“脑中风后遗症”的给付标准。</w:t>
      </w:r>
    </w:p>
    <w:p>
      <w:pPr>
        <w:pStyle w:val="BodyText"/>
        <w:spacing w:before="18"/>
        <w:ind w:left="2522"/>
      </w:pPr>
      <w:r>
        <w:rPr/>
        <w:t>短暂性脑缺血发作(TIA) 和腔隙性脑梗塞不在保障范围内。</w:t>
      </w:r>
    </w:p>
    <w:p>
      <w:pPr>
        <w:pStyle w:val="BodyText"/>
        <w:spacing w:before="0"/>
      </w:pPr>
    </w:p>
    <w:p>
      <w:pPr>
        <w:pStyle w:val="ListParagraph"/>
        <w:numPr>
          <w:ilvl w:val="0"/>
          <w:numId w:val="12"/>
        </w:numPr>
        <w:tabs>
          <w:tab w:pos="524" w:val="left" w:leader="none"/>
          <w:tab w:pos="525" w:val="left" w:leader="none"/>
          <w:tab w:pos="2522" w:val="left" w:leader="none"/>
        </w:tabs>
        <w:spacing w:line="316" w:lineRule="auto" w:before="153" w:after="0"/>
        <w:ind w:left="2522" w:right="195" w:hanging="2418"/>
        <w:jc w:val="left"/>
        <w:rPr>
          <w:sz w:val="18"/>
        </w:rPr>
      </w:pPr>
      <w:r>
        <w:rPr>
          <w:b/>
          <w:sz w:val="18"/>
        </w:rPr>
        <w:t>心脏瓣膜介入手术</w:t>
        <w:tab/>
      </w:r>
      <w:r>
        <w:rPr>
          <w:sz w:val="18"/>
        </w:rPr>
        <w:t>为了治疗心脏瓣膜疾病</w:t>
      </w:r>
      <w:r>
        <w:rPr>
          <w:spacing w:val="-36"/>
          <w:sz w:val="18"/>
        </w:rPr>
        <w:t>，</w:t>
      </w:r>
      <w:r>
        <w:rPr>
          <w:sz w:val="18"/>
        </w:rPr>
        <w:t>实际实施了非开胸的经胸壁打孔内镜手术或经皮经导管介入手术进行的心脏瓣膜置换或修复手术。</w:t>
      </w:r>
    </w:p>
    <w:p>
      <w:pPr>
        <w:pStyle w:val="BodyText"/>
        <w:spacing w:before="3"/>
        <w:rPr>
          <w:sz w:val="25"/>
        </w:rPr>
      </w:pPr>
    </w:p>
    <w:p>
      <w:pPr>
        <w:pStyle w:val="ListParagraph"/>
        <w:numPr>
          <w:ilvl w:val="0"/>
          <w:numId w:val="12"/>
        </w:numPr>
        <w:tabs>
          <w:tab w:pos="524" w:val="left" w:leader="none"/>
          <w:tab w:pos="525" w:val="left" w:leader="none"/>
          <w:tab w:pos="2522" w:val="left" w:leader="none"/>
        </w:tabs>
        <w:spacing w:line="316" w:lineRule="auto" w:before="1" w:after="0"/>
        <w:ind w:left="2522" w:right="195" w:hanging="2418"/>
        <w:jc w:val="left"/>
        <w:rPr>
          <w:sz w:val="18"/>
        </w:rPr>
      </w:pPr>
      <w:r>
        <w:rPr>
          <w:b/>
          <w:sz w:val="18"/>
        </w:rPr>
        <w:t>视力严重受损</w:t>
        <w:tab/>
      </w:r>
      <w:r>
        <w:rPr>
          <w:sz w:val="18"/>
        </w:rPr>
        <w:t>指因疾病或意外伤害导致双目视力永久不可逆性丧失</w:t>
      </w:r>
      <w:r>
        <w:rPr>
          <w:spacing w:val="-13"/>
          <w:sz w:val="18"/>
        </w:rPr>
        <w:t>，</w:t>
      </w:r>
      <w:r>
        <w:rPr>
          <w:sz w:val="18"/>
        </w:rPr>
        <w:t>虽然未达到重大疾</w:t>
      </w:r>
      <w:r>
        <w:rPr>
          <w:spacing w:val="-13"/>
          <w:sz w:val="18"/>
        </w:rPr>
        <w:t>病</w:t>
      </w:r>
      <w:r>
        <w:rPr>
          <w:sz w:val="18"/>
        </w:rPr>
        <w:t>“双目失明</w:t>
      </w:r>
      <w:r>
        <w:rPr>
          <w:spacing w:val="-13"/>
          <w:sz w:val="18"/>
        </w:rPr>
        <w:t>”</w:t>
      </w:r>
      <w:r>
        <w:rPr>
          <w:sz w:val="18"/>
        </w:rPr>
        <w:t>的给付标准，但满足下列全部条件：</w:t>
      </w:r>
    </w:p>
    <w:p>
      <w:pPr>
        <w:pStyle w:val="BodyText"/>
        <w:spacing w:line="316" w:lineRule="auto" w:before="19"/>
        <w:ind w:left="2522" w:right="105"/>
        <w:jc w:val="both"/>
      </w:pPr>
      <w:r>
        <w:rPr>
          <w:spacing w:val="-3"/>
        </w:rPr>
        <w:t>(一)双眼中较好眼矫正视力低于 </w:t>
      </w:r>
      <w:r>
        <w:rPr/>
        <w:t>0.</w:t>
      </w:r>
      <w:r>
        <w:rPr>
          <w:spacing w:val="-86"/>
        </w:rPr>
        <w:t>1</w:t>
      </w:r>
      <w:r>
        <w:rPr/>
        <w:t>（</w:t>
      </w:r>
      <w:r>
        <w:rPr>
          <w:spacing w:val="-9"/>
        </w:rPr>
        <w:t>采用国际标准视力表，如果使用其他视力表应进行换算</w:t>
      </w:r>
      <w:r>
        <w:rPr>
          <w:spacing w:val="-90"/>
        </w:rPr>
        <w:t>）</w:t>
      </w:r>
      <w:r>
        <w:rPr/>
        <w:t>； </w:t>
      </w:r>
      <w:r>
        <w:rPr>
          <w:spacing w:val="-5"/>
        </w:rPr>
        <w:t>(二)视野半径小于 </w:t>
      </w:r>
      <w:r>
        <w:rPr/>
        <w:t>20 度。</w:t>
      </w:r>
    </w:p>
    <w:p>
      <w:pPr>
        <w:pStyle w:val="BodyText"/>
        <w:spacing w:line="316" w:lineRule="auto" w:before="19"/>
        <w:ind w:left="2522" w:right="197"/>
        <w:jc w:val="both"/>
      </w:pPr>
      <w:r>
        <w:rPr>
          <w:spacing w:val="-9"/>
        </w:rPr>
        <w:t>申请理赔时，被保险人年龄必须在 </w:t>
      </w:r>
      <w:r>
        <w:rPr/>
        <w:t>3</w:t>
      </w:r>
      <w:r>
        <w:rPr>
          <w:spacing w:val="-6"/>
        </w:rPr>
        <w:t> 周岁以上，并且须提供理赔当时的视力丧失诊断及检查证据。</w:t>
      </w:r>
    </w:p>
    <w:p>
      <w:pPr>
        <w:pStyle w:val="BodyText"/>
        <w:spacing w:before="3"/>
        <w:rPr>
          <w:sz w:val="25"/>
        </w:rPr>
      </w:pPr>
    </w:p>
    <w:p>
      <w:pPr>
        <w:pStyle w:val="ListParagraph"/>
        <w:numPr>
          <w:ilvl w:val="0"/>
          <w:numId w:val="12"/>
        </w:numPr>
        <w:tabs>
          <w:tab w:pos="524" w:val="left" w:leader="none"/>
          <w:tab w:pos="525" w:val="left" w:leader="none"/>
          <w:tab w:pos="2522" w:val="left" w:leader="none"/>
        </w:tabs>
        <w:spacing w:line="240" w:lineRule="auto" w:before="1" w:after="0"/>
        <w:ind w:left="524" w:right="0" w:hanging="420"/>
        <w:jc w:val="left"/>
        <w:rPr>
          <w:sz w:val="18"/>
        </w:rPr>
      </w:pPr>
      <w:r>
        <w:rPr>
          <w:b/>
          <w:spacing w:val="0"/>
          <w:w w:val="99"/>
          <w:sz w:val="18"/>
        </w:rPr>
        <w:t>较小</w:t>
      </w:r>
      <w:r>
        <w:rPr>
          <w:b/>
          <w:w w:val="99"/>
          <w:sz w:val="18"/>
        </w:rPr>
        <w:t>面积</w:t>
      </w:r>
      <w:r>
        <w:rPr>
          <w:b/>
          <w:spacing w:val="-44"/>
          <w:sz w:val="18"/>
        </w:rPr>
        <w:t> </w:t>
      </w:r>
      <w:r>
        <w:rPr>
          <w:b/>
          <w:w w:val="99"/>
          <w:sz w:val="18"/>
        </w:rPr>
        <w:t>I</w:t>
      </w:r>
      <w:r>
        <w:rPr>
          <w:b/>
          <w:spacing w:val="0"/>
          <w:w w:val="99"/>
          <w:sz w:val="18"/>
        </w:rPr>
        <w:t>I</w:t>
      </w:r>
      <w:r>
        <w:rPr>
          <w:b/>
          <w:w w:val="99"/>
          <w:sz w:val="18"/>
        </w:rPr>
        <w:t>I</w:t>
      </w:r>
      <w:r>
        <w:rPr>
          <w:b/>
          <w:spacing w:val="-1"/>
          <w:sz w:val="18"/>
        </w:rPr>
        <w:t> </w:t>
      </w:r>
      <w:r>
        <w:rPr>
          <w:b/>
          <w:spacing w:val="0"/>
          <w:w w:val="99"/>
          <w:sz w:val="18"/>
        </w:rPr>
        <w:t>度烧</w:t>
      </w:r>
      <w:r>
        <w:rPr>
          <w:b/>
          <w:w w:val="99"/>
          <w:sz w:val="18"/>
        </w:rPr>
        <w:t>伤</w:t>
      </w:r>
      <w:r>
        <w:rPr>
          <w:b/>
          <w:sz w:val="18"/>
        </w:rPr>
        <w:tab/>
      </w:r>
      <w:r>
        <w:rPr>
          <w:sz w:val="18"/>
        </w:rPr>
        <w:t>指烧伤程度为Ⅲ度</w:t>
      </w:r>
      <w:r>
        <w:rPr>
          <w:spacing w:val="-57"/>
          <w:sz w:val="18"/>
        </w:rPr>
        <w:t>，</w:t>
      </w:r>
      <w:r>
        <w:rPr>
          <w:sz w:val="18"/>
        </w:rPr>
        <w:t>且Ⅲ度</w:t>
      </w:r>
      <w:r>
        <w:rPr>
          <w:spacing w:val="-2"/>
          <w:sz w:val="18"/>
        </w:rPr>
        <w:t>烧</w:t>
      </w:r>
      <w:r>
        <w:rPr>
          <w:sz w:val="18"/>
        </w:rPr>
        <w:t>伤的面积达到全身体表面积的</w:t>
      </w:r>
      <w:r>
        <w:rPr>
          <w:spacing w:val="-46"/>
          <w:sz w:val="18"/>
        </w:rPr>
        <w:t> </w:t>
      </w:r>
      <w:r>
        <w:rPr>
          <w:sz w:val="18"/>
        </w:rPr>
        <w:t>15%以</w:t>
      </w:r>
      <w:r>
        <w:rPr>
          <w:spacing w:val="-57"/>
          <w:sz w:val="18"/>
        </w:rPr>
        <w:t>上</w:t>
      </w:r>
      <w:r>
        <w:rPr>
          <w:sz w:val="18"/>
        </w:rPr>
        <w:t>（含</w:t>
      </w:r>
      <w:r>
        <w:rPr>
          <w:spacing w:val="-46"/>
          <w:sz w:val="18"/>
        </w:rPr>
        <w:t> </w:t>
      </w:r>
      <w:r>
        <w:rPr>
          <w:sz w:val="18"/>
        </w:rPr>
        <w:t>15%</w:t>
      </w:r>
      <w:r>
        <w:rPr>
          <w:spacing w:val="-90"/>
          <w:sz w:val="18"/>
        </w:rPr>
        <w:t>）</w:t>
      </w:r>
      <w:r>
        <w:rPr>
          <w:spacing w:val="-57"/>
          <w:sz w:val="18"/>
        </w:rPr>
        <w:t>，</w:t>
      </w:r>
      <w:r>
        <w:rPr>
          <w:sz w:val="18"/>
        </w:rPr>
        <w:t>但尚未</w:t>
      </w:r>
      <w:r>
        <w:rPr>
          <w:spacing w:val="-2"/>
          <w:sz w:val="18"/>
        </w:rPr>
        <w:t>达</w:t>
      </w:r>
      <w:r>
        <w:rPr>
          <w:sz w:val="18"/>
        </w:rPr>
        <w:t>到</w:t>
      </w:r>
      <w:r>
        <w:rPr>
          <w:spacing w:val="-46"/>
          <w:sz w:val="18"/>
        </w:rPr>
        <w:t> </w:t>
      </w:r>
      <w:r>
        <w:rPr>
          <w:sz w:val="18"/>
        </w:rPr>
        <w:t>2</w:t>
      </w:r>
      <w:r>
        <w:rPr>
          <w:spacing w:val="0"/>
          <w:sz w:val="18"/>
        </w:rPr>
        <w:t>0</w:t>
      </w:r>
      <w:r>
        <w:rPr>
          <w:sz w:val="18"/>
        </w:rPr>
        <w:t>%</w:t>
      </w:r>
    </w:p>
    <w:p>
      <w:pPr>
        <w:pStyle w:val="BodyText"/>
        <w:ind w:left="2522"/>
        <w:jc w:val="both"/>
      </w:pPr>
      <w:r>
        <w:rPr/>
        <w:t>（</w:t>
      </w:r>
      <w:r>
        <w:rPr>
          <w:spacing w:val="-16"/>
        </w:rPr>
        <w:t>不含 </w:t>
      </w:r>
      <w:r>
        <w:rPr/>
        <w:t>20%</w:t>
      </w:r>
      <w:r>
        <w:rPr>
          <w:spacing w:val="-90"/>
        </w:rPr>
        <w:t>）</w:t>
      </w:r>
      <w:r>
        <w:rPr/>
        <w:t>。体表面积根据《中国新九分法》计算。</w:t>
      </w:r>
    </w:p>
    <w:p>
      <w:pPr>
        <w:pStyle w:val="BodyText"/>
        <w:spacing w:before="0"/>
      </w:pPr>
    </w:p>
    <w:p>
      <w:pPr>
        <w:pStyle w:val="ListParagraph"/>
        <w:numPr>
          <w:ilvl w:val="0"/>
          <w:numId w:val="12"/>
        </w:numPr>
        <w:tabs>
          <w:tab w:pos="524" w:val="left" w:leader="none"/>
          <w:tab w:pos="525" w:val="left" w:leader="none"/>
          <w:tab w:pos="2522" w:val="left" w:leader="none"/>
        </w:tabs>
        <w:spacing w:line="240" w:lineRule="auto" w:before="152" w:after="0"/>
        <w:ind w:left="524" w:right="0" w:hanging="420"/>
        <w:jc w:val="left"/>
        <w:rPr>
          <w:sz w:val="18"/>
        </w:rPr>
      </w:pPr>
      <w:r>
        <w:rPr>
          <w:b/>
          <w:sz w:val="18"/>
        </w:rPr>
        <w:t>主动脉内手术</w:t>
        <w:tab/>
      </w:r>
      <w:r>
        <w:rPr>
          <w:sz w:val="18"/>
        </w:rPr>
        <w:t>为了治疗主动脉疾病实际实施了经皮经导管进行的动脉内手术。主动脉指胸主动脉和</w:t>
      </w:r>
      <w:r>
        <w:rPr>
          <w:spacing w:val="2"/>
          <w:sz w:val="18"/>
        </w:rPr>
        <w:t>腹主</w:t>
      </w:r>
      <w:r>
        <w:rPr>
          <w:sz w:val="18"/>
        </w:rPr>
        <w:t>动</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BodyText"/>
        <w:spacing w:before="44"/>
        <w:ind w:left="2522"/>
      </w:pPr>
      <w:r>
        <w:rPr/>
        <w:t>脉，不包括胸主动脉和腹主动脉的分支血管。</w:t>
      </w:r>
    </w:p>
    <w:p>
      <w:pPr>
        <w:pStyle w:val="BodyText"/>
        <w:spacing w:before="0"/>
      </w:pPr>
    </w:p>
    <w:p>
      <w:pPr>
        <w:pStyle w:val="ListParagraph"/>
        <w:numPr>
          <w:ilvl w:val="0"/>
          <w:numId w:val="12"/>
        </w:numPr>
        <w:tabs>
          <w:tab w:pos="525" w:val="left" w:leader="none"/>
        </w:tabs>
        <w:spacing w:line="316" w:lineRule="auto" w:before="152" w:after="0"/>
        <w:ind w:left="2522" w:right="115" w:hanging="2418"/>
        <w:jc w:val="both"/>
        <w:rPr>
          <w:sz w:val="18"/>
        </w:rPr>
      </w:pPr>
      <w:r>
        <w:rPr>
          <w:b/>
          <w:w w:val="99"/>
          <w:sz w:val="18"/>
        </w:rPr>
        <w:t>脑垂体瘤及脑囊肿</w:t>
      </w:r>
      <w:r>
        <w:rPr>
          <w:b/>
          <w:sz w:val="18"/>
        </w:rPr>
        <w:t>      </w:t>
      </w:r>
      <w:r>
        <w:rPr>
          <w:spacing w:val="-1"/>
          <w:sz w:val="18"/>
        </w:rPr>
        <w:t>指经头颅断层扫描</w:t>
      </w:r>
      <w:r>
        <w:rPr>
          <w:sz w:val="18"/>
        </w:rPr>
        <w:t>（CT</w:t>
      </w:r>
      <w:r>
        <w:rPr>
          <w:spacing w:val="-90"/>
          <w:sz w:val="18"/>
        </w:rPr>
        <w:t>）</w:t>
      </w:r>
      <w:r>
        <w:rPr>
          <w:spacing w:val="-4"/>
          <w:sz w:val="18"/>
        </w:rPr>
        <w:t>、核磁共振</w:t>
      </w:r>
      <w:r>
        <w:rPr>
          <w:sz w:val="18"/>
        </w:rPr>
        <w:t>（MRI</w:t>
      </w:r>
      <w:r>
        <w:rPr>
          <w:spacing w:val="-8"/>
          <w:sz w:val="18"/>
        </w:rPr>
        <w:t>）</w:t>
      </w:r>
      <w:r>
        <w:rPr>
          <w:spacing w:val="-1"/>
          <w:sz w:val="18"/>
        </w:rPr>
        <w:t>或其他影像学检查被确诊为下列病变，并实际接受了手术或放射治疗。</w:t>
      </w:r>
    </w:p>
    <w:p>
      <w:pPr>
        <w:pStyle w:val="BodyText"/>
        <w:spacing w:line="316" w:lineRule="auto" w:before="18"/>
        <w:ind w:left="2522" w:right="6199"/>
      </w:pPr>
      <w:r>
        <w:rPr/>
        <w:t>(一)脑垂体瘤； (二)脑囊肿。</w:t>
      </w:r>
    </w:p>
    <w:p>
      <w:pPr>
        <w:pStyle w:val="BodyText"/>
        <w:spacing w:before="3"/>
        <w:rPr>
          <w:sz w:val="25"/>
        </w:rPr>
      </w:pPr>
    </w:p>
    <w:p>
      <w:pPr>
        <w:pStyle w:val="ListParagraph"/>
        <w:numPr>
          <w:ilvl w:val="0"/>
          <w:numId w:val="12"/>
        </w:numPr>
        <w:tabs>
          <w:tab w:pos="525" w:val="left" w:leader="none"/>
        </w:tabs>
        <w:spacing w:line="316" w:lineRule="auto" w:before="0" w:after="0"/>
        <w:ind w:left="2522" w:right="114" w:hanging="2418"/>
        <w:jc w:val="both"/>
        <w:rPr>
          <w:sz w:val="18"/>
        </w:rPr>
      </w:pPr>
      <w:r>
        <w:rPr>
          <w:b/>
          <w:sz w:val="18"/>
        </w:rPr>
        <w:t>重度头部外伤 </w:t>
      </w:r>
      <w:r>
        <w:rPr>
          <w:spacing w:val="-4"/>
          <w:sz w:val="18"/>
        </w:rPr>
        <w:t>指因头部遭受机械性外力，引起脑重要部位损伤，导致神经系统永久性的功能障碍。须由头颅断层扫描（</w:t>
      </w:r>
      <w:r>
        <w:rPr>
          <w:sz w:val="18"/>
        </w:rPr>
        <w:t>C</w:t>
      </w:r>
      <w:r>
        <w:rPr>
          <w:spacing w:val="0"/>
          <w:sz w:val="18"/>
        </w:rPr>
        <w:t>T</w:t>
      </w:r>
      <w:r>
        <w:rPr>
          <w:spacing w:val="-88"/>
          <w:sz w:val="18"/>
        </w:rPr>
        <w:t>）</w:t>
      </w:r>
      <w:r>
        <w:rPr>
          <w:sz w:val="18"/>
        </w:rPr>
        <w:t>、核磁共振检查</w:t>
      </w:r>
      <w:r>
        <w:rPr>
          <w:spacing w:val="0"/>
          <w:sz w:val="18"/>
        </w:rPr>
        <w:t>（</w:t>
      </w:r>
      <w:r>
        <w:rPr>
          <w:sz w:val="18"/>
        </w:rPr>
        <w:t>MR</w:t>
      </w:r>
      <w:r>
        <w:rPr>
          <w:spacing w:val="0"/>
          <w:sz w:val="18"/>
        </w:rPr>
        <w:t>I）</w:t>
      </w:r>
      <w:r>
        <w:rPr>
          <w:sz w:val="18"/>
        </w:rPr>
        <w:t>或正电子发射断层扫描</w:t>
      </w:r>
      <w:r>
        <w:rPr>
          <w:spacing w:val="0"/>
          <w:sz w:val="18"/>
        </w:rPr>
        <w:t>（</w:t>
      </w:r>
      <w:r>
        <w:rPr>
          <w:sz w:val="18"/>
        </w:rPr>
        <w:t>PE</w:t>
      </w:r>
      <w:r>
        <w:rPr>
          <w:spacing w:val="0"/>
          <w:sz w:val="18"/>
        </w:rPr>
        <w:t>T）</w:t>
      </w:r>
      <w:r>
        <w:rPr>
          <w:sz w:val="18"/>
        </w:rPr>
        <w:t>等影像学检查证实。神经系统永</w:t>
      </w:r>
      <w:r>
        <w:rPr>
          <w:spacing w:val="-8"/>
          <w:sz w:val="18"/>
        </w:rPr>
        <w:t>久性的功能障碍，指脑损伤 </w:t>
      </w:r>
      <w:r>
        <w:rPr>
          <w:sz w:val="18"/>
        </w:rPr>
        <w:t>180</w:t>
      </w:r>
      <w:r>
        <w:rPr>
          <w:spacing w:val="-8"/>
          <w:sz w:val="18"/>
        </w:rPr>
        <w:t> 天后，仍完全丧失自主生活能力，虽未达到重大疾病“严重脑损伤”的给付标准，但无法独立完成六项基本日常生活活动中的二项。</w:t>
      </w:r>
    </w:p>
    <w:p>
      <w:pPr>
        <w:pStyle w:val="BodyText"/>
        <w:spacing w:before="0"/>
      </w:pPr>
    </w:p>
    <w:p>
      <w:pPr>
        <w:pStyle w:val="BodyText"/>
        <w:spacing w:before="0"/>
      </w:pPr>
    </w:p>
    <w:p>
      <w:pPr>
        <w:pStyle w:val="BodyText"/>
        <w:spacing w:before="0"/>
      </w:pPr>
    </w:p>
    <w:p>
      <w:pPr>
        <w:pStyle w:val="BodyText"/>
        <w:spacing w:before="0"/>
      </w:pPr>
    </w:p>
    <w:p>
      <w:pPr>
        <w:pStyle w:val="BodyText"/>
        <w:spacing w:before="10"/>
        <w:rPr>
          <w:sz w:val="24"/>
        </w:rPr>
      </w:pPr>
    </w:p>
    <w:p>
      <w:pPr>
        <w:pStyle w:val="Heading4"/>
        <w:spacing w:before="0"/>
        <w:ind w:left="4320" w:right="3912"/>
        <w:jc w:val="center"/>
      </w:pPr>
      <w:r>
        <w:rPr>
          <w:w w:val="95"/>
        </w:rPr>
        <w:t>附表二：重大疾病说明</w:t>
      </w:r>
    </w:p>
    <w:p>
      <w:pPr>
        <w:pStyle w:val="BodyText"/>
        <w:spacing w:before="0"/>
        <w:rPr>
          <w:b/>
        </w:rPr>
      </w:pPr>
    </w:p>
    <w:p>
      <w:pPr>
        <w:spacing w:before="121"/>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1"/>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3"/>
        </w:rPr>
      </w:pPr>
    </w:p>
    <w:p>
      <w:pPr>
        <w:pStyle w:val="ListParagraph"/>
        <w:numPr>
          <w:ilvl w:val="0"/>
          <w:numId w:val="13"/>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3"/>
        </w:numPr>
        <w:tabs>
          <w:tab w:pos="2883" w:val="left" w:leader="none"/>
        </w:tabs>
        <w:spacing w:line="240" w:lineRule="auto" w:before="75"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1"/>
        <w:rPr>
          <w:sz w:val="23"/>
        </w:rPr>
      </w:pPr>
    </w:p>
    <w:p>
      <w:pPr>
        <w:pStyle w:val="ListParagraph"/>
        <w:numPr>
          <w:ilvl w:val="0"/>
          <w:numId w:val="13"/>
        </w:numPr>
        <w:tabs>
          <w:tab w:pos="524" w:val="left" w:leader="none"/>
          <w:tab w:pos="525" w:val="left" w:leader="none"/>
          <w:tab w:pos="2522" w:val="left" w:leader="none"/>
        </w:tabs>
        <w:spacing w:line="240" w:lineRule="auto" w:before="1"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典型临床表现，例如急性胸痛等；</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新近的心电图改变提示急性心肌梗塞；</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3" w:val="left" w:leader="none"/>
        </w:tabs>
        <w:spacing w:line="240" w:lineRule="auto" w:before="76"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3"/>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3"/>
        </w:numPr>
        <w:tabs>
          <w:tab w:pos="2943" w:val="left" w:leader="none"/>
        </w:tabs>
        <w:spacing w:line="240" w:lineRule="auto" w:before="76" w:after="0"/>
        <w:ind w:left="2942" w:right="0" w:hanging="420"/>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3"/>
        </w:numPr>
        <w:tabs>
          <w:tab w:pos="2943" w:val="left" w:leader="none"/>
        </w:tabs>
        <w:spacing w:line="316" w:lineRule="auto" w:before="76" w:after="0"/>
        <w:ind w:left="2942" w:right="115"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11"/>
          <w:sz w:val="18"/>
        </w:rPr>
        <w:t>5）</w:t>
      </w:r>
      <w:r>
        <w:rPr>
          <w:sz w:val="18"/>
        </w:rPr>
        <w:t>中的三项或三项以上。</w:t>
      </w:r>
    </w:p>
    <w:p>
      <w:pPr>
        <w:pStyle w:val="BodyText"/>
        <w:spacing w:before="9"/>
      </w:pPr>
    </w:p>
    <w:p>
      <w:pPr>
        <w:pStyle w:val="ListParagraph"/>
        <w:numPr>
          <w:ilvl w:val="0"/>
          <w:numId w:val="13"/>
        </w:numPr>
        <w:tabs>
          <w:tab w:pos="524" w:val="left" w:leader="none"/>
          <w:tab w:pos="525" w:val="left" w:leader="none"/>
          <w:tab w:pos="2522" w:val="left" w:leader="none"/>
        </w:tabs>
        <w:spacing w:line="240" w:lineRule="auto" w:before="0" w:after="0"/>
        <w:ind w:left="2522" w:right="0" w:hanging="2418"/>
        <w:jc w:val="left"/>
        <w:rPr>
          <w:sz w:val="18"/>
        </w:rPr>
      </w:pPr>
      <w:r>
        <w:rPr>
          <w:b/>
          <w:spacing w:val="20"/>
          <w:sz w:val="18"/>
        </w:rPr>
        <w:t>重大器官移</w:t>
      </w:r>
      <w:r>
        <w:rPr>
          <w:b/>
          <w:spacing w:val="17"/>
          <w:sz w:val="18"/>
        </w:rPr>
        <w:t>植</w:t>
      </w:r>
      <w:r>
        <w:rPr>
          <w:b/>
          <w:spacing w:val="20"/>
          <w:sz w:val="18"/>
        </w:rPr>
        <w:t>术或</w:t>
      </w:r>
      <w:r>
        <w:rPr>
          <w:b/>
          <w:sz w:val="18"/>
        </w:rPr>
        <w:t>造</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w:t>
      </w:r>
    </w:p>
    <w:p>
      <w:pPr>
        <w:spacing w:after="0" w:line="240" w:lineRule="auto"/>
        <w:jc w:val="left"/>
        <w:rPr>
          <w:sz w:val="18"/>
        </w:rPr>
        <w:sectPr>
          <w:footerReference w:type="default" r:id="rId10"/>
          <w:pgSz w:w="11910" w:h="16840"/>
          <w:pgMar w:footer="981" w:header="877" w:top="1100" w:bottom="1180" w:left="1080" w:right="840"/>
          <w:pgNumType w:start="7"/>
        </w:sectPr>
      </w:pPr>
    </w:p>
    <w:p>
      <w:pPr>
        <w:pStyle w:val="BodyText"/>
        <w:spacing w:before="3"/>
        <w:rPr>
          <w:sz w:val="20"/>
        </w:rPr>
      </w:pPr>
    </w:p>
    <w:p>
      <w:pPr>
        <w:pStyle w:val="Heading4"/>
        <w:tabs>
          <w:tab w:pos="2522" w:val="left" w:leader="none"/>
        </w:tabs>
        <w:rPr>
          <w:b w:val="0"/>
        </w:rPr>
      </w:pPr>
      <w:r>
        <w:rPr/>
        <w:t>血干细胞移植术</w:t>
        <w:tab/>
      </w:r>
      <w:r>
        <w:rPr>
          <w:b w:val="0"/>
        </w:rPr>
        <w:t>术。</w:t>
      </w:r>
    </w:p>
    <w:p>
      <w:pPr>
        <w:pStyle w:val="BodyText"/>
        <w:spacing w:line="316" w:lineRule="auto"/>
        <w:ind w:left="2522" w:right="71"/>
      </w:pPr>
      <w:r>
        <w:rPr/>
        <w:t>造血干细胞移植术，指因造血功能损害或造血系统恶性肿瘤，已经实施了造血干细胞（包括骨髓造血干细胞、外周血造血干细胞和脐血造血干细胞）的异体移植手术。</w:t>
      </w:r>
    </w:p>
    <w:p>
      <w:pPr>
        <w:pStyle w:val="BodyText"/>
        <w:spacing w:before="10"/>
      </w:pPr>
    </w:p>
    <w:p>
      <w:pPr>
        <w:pStyle w:val="ListParagraph"/>
        <w:numPr>
          <w:ilvl w:val="0"/>
          <w:numId w:val="13"/>
        </w:numPr>
        <w:tabs>
          <w:tab w:pos="524" w:val="left" w:leader="none"/>
          <w:tab w:pos="525" w:val="left" w:leader="none"/>
          <w:tab w:pos="2522" w:val="left" w:leader="none"/>
        </w:tabs>
        <w:spacing w:line="240" w:lineRule="auto" w:before="0"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3"/>
        </w:numPr>
        <w:tabs>
          <w:tab w:pos="524" w:val="left" w:leader="none"/>
          <w:tab w:pos="525" w:val="left" w:leader="none"/>
          <w:tab w:pos="2522" w:val="left" w:leader="none"/>
        </w:tabs>
        <w:spacing w:line="316" w:lineRule="auto" w:before="1"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3"/>
        </w:numPr>
        <w:tabs>
          <w:tab w:pos="524" w:val="left" w:leader="none"/>
          <w:tab w:pos="525" w:val="left" w:leader="none"/>
          <w:tab w:pos="2522" w:val="left" w:leader="none"/>
        </w:tabs>
        <w:spacing w:line="316" w:lineRule="auto" w:before="0"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pgSz w:w="11910" w:h="16840"/>
          <w:pgMar w:header="877" w:footer="981" w:top="1100" w:bottom="1180" w:left="1080" w:right="840"/>
        </w:sectPr>
      </w:pPr>
    </w:p>
    <w:p>
      <w:pPr>
        <w:pStyle w:val="Heading4"/>
        <w:numPr>
          <w:ilvl w:val="0"/>
          <w:numId w:val="13"/>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465" w:val="left" w:leader="none"/>
        </w:tabs>
        <w:spacing w:line="240" w:lineRule="auto" w:before="18" w:after="0"/>
        <w:ind w:left="464" w:right="0" w:hanging="360"/>
        <w:jc w:val="left"/>
        <w:rPr>
          <w:sz w:val="18"/>
        </w:rPr>
      </w:pPr>
      <w:r>
        <w:rPr>
          <w:sz w:val="18"/>
        </w:rPr>
        <w:t>重度黄疸或黄疸迅速加重；</w:t>
      </w:r>
    </w:p>
    <w:p>
      <w:pPr>
        <w:pStyle w:val="ListParagraph"/>
        <w:numPr>
          <w:ilvl w:val="0"/>
          <w:numId w:val="14"/>
        </w:numPr>
        <w:tabs>
          <w:tab w:pos="465" w:val="left" w:leader="none"/>
        </w:tabs>
        <w:spacing w:line="240" w:lineRule="auto" w:before="76" w:after="0"/>
        <w:ind w:left="464" w:right="0" w:hanging="360"/>
        <w:jc w:val="left"/>
        <w:rPr>
          <w:sz w:val="18"/>
        </w:rPr>
      </w:pPr>
      <w:r>
        <w:rPr>
          <w:sz w:val="18"/>
        </w:rPr>
        <w:t>肝性脑病；</w:t>
      </w:r>
    </w:p>
    <w:p>
      <w:pPr>
        <w:pStyle w:val="ListParagraph"/>
        <w:numPr>
          <w:ilvl w:val="0"/>
          <w:numId w:val="14"/>
        </w:numPr>
        <w:tabs>
          <w:tab w:pos="465" w:val="left" w:leader="none"/>
        </w:tabs>
        <w:spacing w:line="240" w:lineRule="auto" w:before="76" w:after="0"/>
        <w:ind w:left="464" w:right="0" w:hanging="360"/>
        <w:jc w:val="left"/>
        <w:rPr>
          <w:sz w:val="18"/>
        </w:rPr>
      </w:pPr>
      <w:r>
        <w:rPr>
          <w:sz w:val="18"/>
        </w:rPr>
        <w:t>B</w:t>
      </w:r>
      <w:r>
        <w:rPr>
          <w:spacing w:val="-7"/>
          <w:sz w:val="18"/>
        </w:rPr>
        <w:t> 超或其他影像学检查显示肝脏体积急速萎缩；</w:t>
      </w:r>
    </w:p>
    <w:p>
      <w:pPr>
        <w:pStyle w:val="ListParagraph"/>
        <w:numPr>
          <w:ilvl w:val="0"/>
          <w:numId w:val="14"/>
        </w:numPr>
        <w:tabs>
          <w:tab w:pos="465" w:val="left" w:leader="none"/>
        </w:tabs>
        <w:spacing w:line="240" w:lineRule="auto" w:before="76" w:after="0"/>
        <w:ind w:left="464"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7" w:space="91"/>
            <w:col w:w="7572"/>
          </w:cols>
        </w:sectPr>
      </w:pPr>
    </w:p>
    <w:p>
      <w:pPr>
        <w:pStyle w:val="BodyText"/>
        <w:spacing w:before="10"/>
        <w:rPr>
          <w:sz w:val="19"/>
        </w:rPr>
      </w:pPr>
    </w:p>
    <w:p>
      <w:pPr>
        <w:pStyle w:val="ListParagraph"/>
        <w:numPr>
          <w:ilvl w:val="0"/>
          <w:numId w:val="13"/>
        </w:numPr>
        <w:tabs>
          <w:tab w:pos="525" w:val="left" w:leader="none"/>
          <w:tab w:pos="2522" w:val="left" w:leader="none"/>
        </w:tabs>
        <w:spacing w:line="316" w:lineRule="auto" w:before="45" w:after="0"/>
        <w:ind w:left="2522" w:right="11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3" w:val="left" w:leader="none"/>
        </w:tabs>
        <w:spacing w:line="240" w:lineRule="auto" w:before="19" w:after="0"/>
        <w:ind w:left="2882" w:right="0" w:hanging="360"/>
        <w:jc w:val="left"/>
        <w:rPr>
          <w:sz w:val="18"/>
        </w:rPr>
      </w:pPr>
      <w:r>
        <w:rPr>
          <w:sz w:val="18"/>
        </w:rPr>
        <w:t>实际实施了开颅进行的脑肿瘤完全切除或部分切除的手术；</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11"/>
        <w:rPr>
          <w:sz w:val="19"/>
        </w:rPr>
      </w:pPr>
    </w:p>
    <w:p>
      <w:pPr>
        <w:spacing w:after="0"/>
        <w:rPr>
          <w:sz w:val="19"/>
        </w:rPr>
        <w:sectPr>
          <w:type w:val="continuous"/>
          <w:pgSz w:w="11910" w:h="16840"/>
          <w:pgMar w:top="1040" w:bottom="1180" w:left="1080" w:right="840"/>
        </w:sectPr>
      </w:pPr>
    </w:p>
    <w:p>
      <w:pPr>
        <w:pStyle w:val="Heading4"/>
        <w:numPr>
          <w:ilvl w:val="0"/>
          <w:numId w:val="13"/>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5"/>
        </w:numPr>
        <w:tabs>
          <w:tab w:pos="445" w:val="left" w:leader="none"/>
        </w:tabs>
        <w:spacing w:line="240" w:lineRule="auto" w:before="76" w:after="0"/>
        <w:ind w:left="104" w:right="0" w:firstLine="0"/>
        <w:jc w:val="left"/>
        <w:rPr>
          <w:sz w:val="18"/>
        </w:rPr>
      </w:pPr>
      <w:r>
        <w:rPr>
          <w:sz w:val="18"/>
        </w:rPr>
        <w:t>持续性黄疸；</w:t>
      </w:r>
    </w:p>
    <w:p>
      <w:pPr>
        <w:pStyle w:val="ListParagraph"/>
        <w:numPr>
          <w:ilvl w:val="0"/>
          <w:numId w:val="15"/>
        </w:numPr>
        <w:tabs>
          <w:tab w:pos="445" w:val="left" w:leader="none"/>
        </w:tabs>
        <w:spacing w:line="240" w:lineRule="auto" w:before="76" w:after="0"/>
        <w:ind w:left="104" w:right="0" w:firstLine="0"/>
        <w:jc w:val="left"/>
        <w:rPr>
          <w:sz w:val="18"/>
        </w:rPr>
      </w:pPr>
      <w:r>
        <w:rPr>
          <w:sz w:val="18"/>
        </w:rPr>
        <w:t>腹水；</w:t>
      </w:r>
    </w:p>
    <w:p>
      <w:pPr>
        <w:pStyle w:val="ListParagraph"/>
        <w:numPr>
          <w:ilvl w:val="0"/>
          <w:numId w:val="15"/>
        </w:numPr>
        <w:tabs>
          <w:tab w:pos="445" w:val="left" w:leader="none"/>
        </w:tabs>
        <w:spacing w:line="240" w:lineRule="auto" w:before="76" w:after="0"/>
        <w:ind w:left="104" w:right="0" w:firstLine="0"/>
        <w:jc w:val="left"/>
        <w:rPr>
          <w:sz w:val="18"/>
        </w:rPr>
      </w:pPr>
      <w:r>
        <w:rPr>
          <w:sz w:val="18"/>
        </w:rPr>
        <w:t>肝性脑病；</w:t>
      </w:r>
    </w:p>
    <w:p>
      <w:pPr>
        <w:pStyle w:val="ListParagraph"/>
        <w:numPr>
          <w:ilvl w:val="0"/>
          <w:numId w:val="15"/>
        </w:numPr>
        <w:tabs>
          <w:tab w:pos="445" w:val="left" w:leader="none"/>
        </w:tabs>
        <w:spacing w:line="316" w:lineRule="auto" w:before="76" w:after="0"/>
        <w:ind w:left="104" w:right="314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7" w:space="91"/>
            <w:col w:w="7572"/>
          </w:cols>
        </w:sectPr>
      </w:pPr>
    </w:p>
    <w:p>
      <w:pPr>
        <w:pStyle w:val="BodyText"/>
        <w:spacing w:before="5"/>
        <w:rPr>
          <w:sz w:val="15"/>
        </w:rPr>
      </w:pPr>
    </w:p>
    <w:p>
      <w:pPr>
        <w:spacing w:after="0"/>
        <w:rPr>
          <w:sz w:val="15"/>
        </w:rPr>
        <w:sectPr>
          <w:type w:val="continuous"/>
          <w:pgSz w:w="11910" w:h="16840"/>
          <w:pgMar w:top="1040" w:bottom="1180" w:left="1080" w:right="840"/>
        </w:sectPr>
      </w:pPr>
    </w:p>
    <w:p>
      <w:pPr>
        <w:pStyle w:val="Heading4"/>
        <w:numPr>
          <w:ilvl w:val="0"/>
          <w:numId w:val="13"/>
        </w:numPr>
        <w:tabs>
          <w:tab w:pos="525" w:val="left" w:leader="none"/>
        </w:tabs>
        <w:spacing w:line="316" w:lineRule="auto" w:before="44" w:after="0"/>
        <w:ind w:left="524" w:right="0" w:hanging="420"/>
        <w:jc w:val="left"/>
      </w:pPr>
      <w:r>
        <w:rPr>
          <w:spacing w:val="18"/>
          <w:w w:val="95"/>
        </w:rPr>
        <w:t>脑炎后遗症或脑膜炎</w:t>
      </w:r>
      <w:r>
        <w:rPr/>
        <w:t>后遗症</w:t>
      </w:r>
    </w:p>
    <w:p>
      <w:pPr>
        <w:pStyle w:val="BodyText"/>
        <w:spacing w:line="316" w:lineRule="auto" w:before="44"/>
        <w:ind w:left="104" w:right="6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445" w:val="left" w:leader="none"/>
        </w:tabs>
        <w:spacing w:line="240" w:lineRule="auto" w:before="18" w:after="0"/>
        <w:ind w:left="444" w:right="0" w:hanging="340"/>
        <w:jc w:val="left"/>
        <w:rPr>
          <w:sz w:val="18"/>
        </w:rPr>
      </w:pPr>
      <w:r>
        <w:rPr>
          <w:sz w:val="18"/>
        </w:rPr>
        <w:t>一肢或一肢以上肢体机能完全丧失；</w:t>
      </w:r>
    </w:p>
    <w:p>
      <w:pPr>
        <w:pStyle w:val="ListParagraph"/>
        <w:numPr>
          <w:ilvl w:val="0"/>
          <w:numId w:val="16"/>
        </w:numPr>
        <w:tabs>
          <w:tab w:pos="445" w:val="left" w:leader="none"/>
        </w:tabs>
        <w:spacing w:line="240" w:lineRule="auto" w:before="76" w:after="0"/>
        <w:ind w:left="444" w:right="0" w:hanging="340"/>
        <w:jc w:val="left"/>
        <w:rPr>
          <w:sz w:val="18"/>
        </w:rPr>
      </w:pPr>
      <w:r>
        <w:rPr>
          <w:sz w:val="18"/>
        </w:rPr>
        <w:t>语言能力或咀嚼吞咽能力完全丧失；</w:t>
      </w:r>
    </w:p>
    <w:p>
      <w:pPr>
        <w:pStyle w:val="ListParagraph"/>
        <w:numPr>
          <w:ilvl w:val="0"/>
          <w:numId w:val="16"/>
        </w:numPr>
        <w:tabs>
          <w:tab w:pos="465" w:val="left" w:leader="none"/>
        </w:tabs>
        <w:spacing w:line="240" w:lineRule="auto" w:before="76"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40"/>
          <w:cols w:num="2" w:equalWidth="0">
            <w:col w:w="2327" w:space="91"/>
            <w:col w:w="7572"/>
          </w:cols>
        </w:sectPr>
      </w:pPr>
    </w:p>
    <w:p>
      <w:pPr>
        <w:pStyle w:val="BodyText"/>
        <w:spacing w:before="9"/>
        <w:rPr>
          <w:sz w:val="19"/>
        </w:rPr>
      </w:pPr>
    </w:p>
    <w:p>
      <w:pPr>
        <w:pStyle w:val="ListParagraph"/>
        <w:numPr>
          <w:ilvl w:val="0"/>
          <w:numId w:val="13"/>
        </w:numPr>
        <w:tabs>
          <w:tab w:pos="525" w:val="left" w:leader="none"/>
          <w:tab w:pos="2522" w:val="left" w:leader="none"/>
        </w:tabs>
        <w:spacing w:line="316" w:lineRule="auto" w:before="45" w:after="0"/>
        <w:ind w:left="2522" w:right="11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2"/>
      </w:pPr>
      <w:r>
        <w:rPr/>
        <w:t>因酗酒或药物滥用导致的深度昏迷不在保障范围内。</w:t>
      </w:r>
    </w:p>
    <w:p>
      <w:pPr>
        <w:pStyle w:val="BodyText"/>
        <w:spacing w:before="1"/>
        <w:rPr>
          <w:sz w:val="23"/>
        </w:rPr>
      </w:pPr>
    </w:p>
    <w:p>
      <w:pPr>
        <w:pStyle w:val="ListParagraph"/>
        <w:numPr>
          <w:ilvl w:val="0"/>
          <w:numId w:val="13"/>
        </w:numPr>
        <w:tabs>
          <w:tab w:pos="525" w:val="left" w:leader="none"/>
          <w:tab w:pos="2522" w:val="left" w:leader="none"/>
        </w:tabs>
        <w:spacing w:line="316" w:lineRule="auto" w:before="1" w:after="0"/>
        <w:ind w:left="2522" w:right="117" w:hanging="2418"/>
        <w:jc w:val="left"/>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w:t>
      </w:r>
    </w:p>
    <w:p>
      <w:pPr>
        <w:spacing w:after="0" w:line="316" w:lineRule="auto"/>
        <w:jc w:val="left"/>
        <w:rPr>
          <w:sz w:val="18"/>
        </w:rPr>
        <w:sectPr>
          <w:type w:val="continuous"/>
          <w:pgSz w:w="11910" w:h="16840"/>
          <w:pgMar w:top="1040" w:bottom="1180" w:left="1080" w:right="840"/>
        </w:sectPr>
      </w:pPr>
    </w:p>
    <w:p>
      <w:pPr>
        <w:pStyle w:val="BodyText"/>
        <w:spacing w:before="3"/>
        <w:rPr>
          <w:sz w:val="20"/>
        </w:rPr>
      </w:pPr>
    </w:p>
    <w:p>
      <w:pPr>
        <w:pStyle w:val="BodyText"/>
        <w:spacing w:before="44"/>
        <w:ind w:left="2522"/>
      </w:pPr>
      <w:r>
        <w:rPr/>
        <w:t>测等证实。</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339"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863" w:val="left" w:leader="none"/>
        </w:tabs>
        <w:spacing w:line="240" w:lineRule="auto" w:before="18" w:after="0"/>
        <w:ind w:left="2862" w:right="0" w:hanging="340"/>
        <w:jc w:val="left"/>
        <w:rPr>
          <w:sz w:val="18"/>
        </w:rPr>
      </w:pPr>
      <w:r>
        <w:rPr>
          <w:sz w:val="18"/>
        </w:rPr>
        <w:t>眼球缺失或摘除；</w:t>
      </w:r>
    </w:p>
    <w:p>
      <w:pPr>
        <w:pStyle w:val="ListParagraph"/>
        <w:numPr>
          <w:ilvl w:val="1"/>
          <w:numId w:val="13"/>
        </w:numPr>
        <w:tabs>
          <w:tab w:pos="2863" w:val="left" w:leader="none"/>
        </w:tabs>
        <w:spacing w:line="240" w:lineRule="auto" w:before="76" w:after="0"/>
        <w:ind w:left="2862" w:right="0" w:hanging="3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9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5" w:val="left" w:leader="none"/>
          <w:tab w:pos="2522" w:val="left" w:leader="none"/>
        </w:tabs>
        <w:spacing w:line="240" w:lineRule="auto" w:before="1"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6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一肢或一肢以上肢体机能完全丧失；</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语言能力或咀嚼吞咽能力完全丧失；</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自主生活能力完全丧失，无法独立完成六项基本日常生活活动中的三项或三项以上。</w:t>
      </w:r>
    </w:p>
    <w:p>
      <w:pPr>
        <w:pStyle w:val="BodyText"/>
        <w:spacing w:before="3"/>
        <w:rPr>
          <w:sz w:val="23"/>
        </w:rPr>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药物治疗无法控制病情；</w:t>
      </w:r>
    </w:p>
    <w:p>
      <w:pPr>
        <w:pStyle w:val="ListParagraph"/>
        <w:numPr>
          <w:ilvl w:val="1"/>
          <w:numId w:val="13"/>
        </w:numPr>
        <w:tabs>
          <w:tab w:pos="2883" w:val="left" w:leader="none"/>
        </w:tabs>
        <w:spacing w:line="316" w:lineRule="auto" w:before="76" w:after="0"/>
        <w:ind w:left="2882" w:right="520" w:hanging="36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197" w:hanging="2418"/>
        <w:jc w:val="left"/>
        <w:rPr>
          <w:sz w:val="18"/>
        </w:rPr>
      </w:pPr>
      <w:r>
        <w:rPr>
          <w:b/>
          <w:sz w:val="18"/>
        </w:rPr>
        <w:t>严重Ⅲ度烧伤</w:t>
        <w:tab/>
      </w:r>
      <w:r>
        <w:rPr>
          <w:sz w:val="18"/>
        </w:rPr>
        <w:t>指烧伤程度为Ⅲ度</w:t>
      </w:r>
      <w:r>
        <w:rPr>
          <w:spacing w:val="-72"/>
          <w:sz w:val="18"/>
        </w:rPr>
        <w:t>，</w:t>
      </w:r>
      <w:r>
        <w:rPr>
          <w:sz w:val="18"/>
        </w:rPr>
        <w:t>且Ⅲ度烧伤面积达到全身体表面积的</w:t>
      </w:r>
      <w:r>
        <w:rPr>
          <w:spacing w:val="-46"/>
          <w:sz w:val="18"/>
        </w:rPr>
        <w:t> </w:t>
      </w:r>
      <w:r>
        <w:rPr>
          <w:sz w:val="18"/>
        </w:rPr>
        <w:t>20％或</w:t>
      </w:r>
      <w:r>
        <w:rPr>
          <w:spacing w:val="-46"/>
          <w:sz w:val="18"/>
        </w:rPr>
        <w:t> </w:t>
      </w:r>
      <w:r>
        <w:rPr>
          <w:sz w:val="18"/>
        </w:rPr>
        <w:t>20％以上</w:t>
      </w:r>
      <w:r>
        <w:rPr>
          <w:spacing w:val="-73"/>
          <w:sz w:val="18"/>
        </w:rPr>
        <w:t>。</w:t>
      </w:r>
      <w:r>
        <w:rPr>
          <w:sz w:val="18"/>
        </w:rPr>
        <w:t>体表面积根</w:t>
      </w:r>
      <w:r>
        <w:rPr>
          <w:spacing w:val="16"/>
          <w:sz w:val="18"/>
        </w:rPr>
        <w:t>据</w:t>
      </w:r>
      <w:r>
        <w:rPr>
          <w:sz w:val="18"/>
        </w:rPr>
        <w:t>《中国新九分法》计算。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3"/>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3"/>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9"/>
      </w:pPr>
    </w:p>
    <w:p>
      <w:pPr>
        <w:pStyle w:val="ListParagraph"/>
        <w:numPr>
          <w:ilvl w:val="0"/>
          <w:numId w:val="13"/>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1"/>
        <w:rPr>
          <w:sz w:val="23"/>
        </w:rPr>
      </w:pPr>
    </w:p>
    <w:p>
      <w:pPr>
        <w:pStyle w:val="ListParagraph"/>
        <w:numPr>
          <w:ilvl w:val="0"/>
          <w:numId w:val="13"/>
        </w:numPr>
        <w:tabs>
          <w:tab w:pos="525" w:val="left" w:leader="none"/>
          <w:tab w:pos="2522" w:val="left" w:leader="none"/>
        </w:tabs>
        <w:spacing w:line="240" w:lineRule="auto" w:before="1" w:after="0"/>
        <w:ind w:left="2522" w:right="0" w:hanging="2418"/>
        <w:jc w:val="left"/>
        <w:rPr>
          <w:sz w:val="18"/>
        </w:rPr>
      </w:pP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BodyText"/>
        <w:spacing w:before="44"/>
        <w:ind w:left="2522"/>
      </w:pPr>
      <w:r>
        <w:rPr/>
        <w:t>部条件：</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骨髓穿刺检查或骨髓活检结果支持诊断；</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spacing w:before="75"/>
        <w:ind w:left="2972"/>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05" w:hanging="2418"/>
        <w:jc w:val="left"/>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1"/>
        <w:rPr>
          <w:sz w:val="23"/>
        </w:rPr>
      </w:pPr>
    </w:p>
    <w:p>
      <w:pPr>
        <w:pStyle w:val="ListParagraph"/>
        <w:numPr>
          <w:ilvl w:val="0"/>
          <w:numId w:val="13"/>
        </w:numPr>
        <w:tabs>
          <w:tab w:pos="525" w:val="left" w:leader="none"/>
          <w:tab w:pos="2522" w:val="left" w:leader="none"/>
        </w:tabs>
        <w:spacing w:line="316" w:lineRule="auto" w:before="1" w:after="0"/>
        <w:ind w:left="2522" w:right="196" w:hanging="2418"/>
        <w:jc w:val="left"/>
        <w:rPr>
          <w:sz w:val="18"/>
        </w:rPr>
      </w:pPr>
      <w:r>
        <w:rPr>
          <w:b/>
          <w:sz w:val="18"/>
        </w:rPr>
        <w:t>植物人</w:t>
        <w:tab/>
      </w:r>
      <w:r>
        <w:rPr>
          <w:spacing w:val="-1"/>
          <w:sz w:val="18"/>
        </w:rPr>
        <w:t>指经</w:t>
      </w:r>
      <w:r>
        <w:rPr>
          <w:sz w:val="18"/>
        </w:rPr>
        <w:t>我们认可的神经科医生确诊</w:t>
      </w:r>
      <w:r>
        <w:rPr>
          <w:spacing w:val="-10"/>
          <w:sz w:val="18"/>
        </w:rPr>
        <w:t>，</w:t>
      </w:r>
      <w:r>
        <w:rPr>
          <w:sz w:val="18"/>
        </w:rPr>
        <w:t>大脑皮质全面坏死</w:t>
      </w:r>
      <w:r>
        <w:rPr>
          <w:spacing w:val="-10"/>
          <w:sz w:val="18"/>
        </w:rPr>
        <w:t>，</w:t>
      </w:r>
      <w:r>
        <w:rPr>
          <w:sz w:val="18"/>
        </w:rPr>
        <w:t>意识完全丧失</w:t>
      </w:r>
      <w:r>
        <w:rPr>
          <w:spacing w:val="-9"/>
          <w:sz w:val="18"/>
        </w:rPr>
        <w:t>，</w:t>
      </w:r>
      <w:r>
        <w:rPr>
          <w:sz w:val="18"/>
        </w:rPr>
        <w:t>但脑干仍保持完好</w:t>
      </w:r>
      <w:r>
        <w:rPr>
          <w:spacing w:val="-8"/>
          <w:sz w:val="18"/>
        </w:rPr>
        <w:t>，</w:t>
      </w:r>
      <w:r>
        <w:rPr>
          <w:sz w:val="18"/>
        </w:rPr>
        <w:t>且此情况维持</w:t>
      </w:r>
      <w:r>
        <w:rPr>
          <w:spacing w:val="-46"/>
          <w:sz w:val="18"/>
        </w:rPr>
        <w:t> </w:t>
      </w:r>
      <w:r>
        <w:rPr>
          <w:sz w:val="18"/>
        </w:rPr>
        <w:t>30</w:t>
      </w:r>
      <w:r>
        <w:rPr>
          <w:spacing w:val="-45"/>
          <w:sz w:val="18"/>
        </w:rPr>
        <w:t> </w:t>
      </w:r>
      <w:r>
        <w:rPr>
          <w:sz w:val="18"/>
        </w:rPr>
        <w:t>天以上。</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3"/>
        </w:numPr>
        <w:tabs>
          <w:tab w:pos="525" w:val="left" w:leader="none"/>
        </w:tabs>
        <w:spacing w:line="316" w:lineRule="auto" w:before="45" w:after="0"/>
        <w:ind w:left="524" w:right="0" w:hanging="420"/>
        <w:jc w:val="left"/>
      </w:pPr>
      <w:r>
        <w:rPr>
          <w:spacing w:val="18"/>
          <w:w w:val="95"/>
        </w:rPr>
        <w:t>系统性红斑狼疮并发</w:t>
      </w:r>
      <w:r>
        <w:rPr>
          <w:w w:val="95"/>
        </w:rPr>
        <w:t>重度的肾功能损害</w:t>
      </w:r>
    </w:p>
    <w:p>
      <w:pPr>
        <w:pStyle w:val="BodyText"/>
        <w:spacing w:line="316" w:lineRule="auto" w:before="45"/>
        <w:ind w:left="104" w:right="148"/>
      </w:pPr>
      <w:r>
        <w:rPr/>
        <w:br w:type="column"/>
      </w:r>
      <w:r>
        <w:rPr/>
        <w:t>是一种自身免疫性结缔组织病，于体内有大量致病性自身抗体和免疫复合物，造成组织损伤。理赔须经我们认可的专科医生确认并同时具备下列情况：</w:t>
      </w:r>
    </w:p>
    <w:p>
      <w:pPr>
        <w:pStyle w:val="ListParagraph"/>
        <w:numPr>
          <w:ilvl w:val="0"/>
          <w:numId w:val="17"/>
        </w:numPr>
        <w:tabs>
          <w:tab w:pos="525" w:val="left" w:leader="none"/>
        </w:tabs>
        <w:spacing w:line="240" w:lineRule="auto" w:before="18" w:after="0"/>
        <w:ind w:left="524" w:right="0" w:hanging="420"/>
        <w:jc w:val="left"/>
        <w:rPr>
          <w:sz w:val="18"/>
        </w:rPr>
      </w:pPr>
      <w:r>
        <w:rPr>
          <w:sz w:val="18"/>
        </w:rPr>
        <w:t>临床表现至少具备如下条件的四个：</w:t>
      </w:r>
    </w:p>
    <w:p>
      <w:pPr>
        <w:pStyle w:val="BodyText"/>
        <w:ind w:left="524"/>
      </w:pPr>
      <w:r>
        <w:rPr/>
        <w:t>①  蝶形红斑或盘形红斑；</w:t>
      </w:r>
    </w:p>
    <w:p>
      <w:pPr>
        <w:pStyle w:val="BodyText"/>
        <w:ind w:left="524"/>
      </w:pPr>
      <w:r>
        <w:rPr/>
        <w:t>②  光敏感；</w:t>
      </w:r>
    </w:p>
    <w:p>
      <w:pPr>
        <w:pStyle w:val="BodyText"/>
        <w:ind w:left="524"/>
      </w:pPr>
      <w:r>
        <w:rPr/>
        <w:t>③  口腔溃疡；</w:t>
      </w:r>
    </w:p>
    <w:p>
      <w:pPr>
        <w:pStyle w:val="BodyText"/>
        <w:ind w:left="524"/>
      </w:pPr>
      <w:r>
        <w:rPr/>
        <w:t>④  非畸形关节炎或关节痛；</w:t>
      </w:r>
    </w:p>
    <w:p>
      <w:pPr>
        <w:pStyle w:val="BodyText"/>
        <w:ind w:left="524"/>
      </w:pPr>
      <w:r>
        <w:rPr/>
        <w:t>⑤  浆膜炎、胸膜炎或心包炎；</w:t>
      </w:r>
    </w:p>
    <w:p>
      <w:pPr>
        <w:pStyle w:val="BodyText"/>
        <w:ind w:left="524"/>
      </w:pPr>
      <w:r>
        <w:rPr/>
        <w:t>⑥  神经系统损伤（抽搐或精神症状</w:t>
      </w:r>
      <w:r>
        <w:rPr>
          <w:spacing w:val="-90"/>
        </w:rPr>
        <w:t>）</w:t>
      </w:r>
      <w:r>
        <w:rPr/>
        <w:t>；</w:t>
      </w:r>
    </w:p>
    <w:p>
      <w:pPr>
        <w:pStyle w:val="BodyText"/>
        <w:ind w:left="524"/>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0"/>
          <w:numId w:val="17"/>
        </w:numPr>
        <w:tabs>
          <w:tab w:pos="525" w:val="left" w:leader="none"/>
        </w:tabs>
        <w:spacing w:line="240" w:lineRule="auto" w:before="76" w:after="0"/>
        <w:ind w:left="524" w:right="0" w:hanging="420"/>
        <w:jc w:val="left"/>
        <w:rPr>
          <w:sz w:val="18"/>
        </w:rPr>
      </w:pPr>
      <w:r>
        <w:rPr>
          <w:sz w:val="18"/>
        </w:rPr>
        <w:t>检测结果至少具备如下条件的两个：</w:t>
      </w:r>
    </w:p>
    <w:p>
      <w:pPr>
        <w:pStyle w:val="BodyText"/>
        <w:ind w:left="524"/>
      </w:pPr>
      <w:r>
        <w:rPr/>
        <w:t>①  狼疮细胞或抗双链DNA 抗体阳性；</w:t>
      </w:r>
    </w:p>
    <w:p>
      <w:pPr>
        <w:pStyle w:val="BodyText"/>
        <w:ind w:left="524"/>
      </w:pPr>
      <w:r>
        <w:rPr/>
        <w:t>②  抗Sm 抗体阳性；</w:t>
      </w:r>
    </w:p>
    <w:p>
      <w:pPr>
        <w:pStyle w:val="BodyText"/>
        <w:ind w:left="524"/>
      </w:pPr>
      <w:r>
        <w:rPr/>
        <w:t>③  抗核抗体阳性；</w:t>
      </w:r>
    </w:p>
    <w:p>
      <w:pPr>
        <w:pStyle w:val="BodyText"/>
        <w:ind w:left="524"/>
      </w:pPr>
      <w:r>
        <w:rPr/>
        <w:t>④  狼疮带试验阳性；</w:t>
      </w:r>
    </w:p>
    <w:p>
      <w:pPr>
        <w:pStyle w:val="BodyText"/>
        <w:ind w:left="524"/>
      </w:pPr>
      <w:r>
        <w:rPr/>
        <w:t>⑤  C3 补体低于正常。</w:t>
      </w:r>
    </w:p>
    <w:p>
      <w:pPr>
        <w:pStyle w:val="ListParagraph"/>
        <w:numPr>
          <w:ilvl w:val="0"/>
          <w:numId w:val="17"/>
        </w:numPr>
        <w:tabs>
          <w:tab w:pos="555" w:val="left" w:leader="none"/>
        </w:tabs>
        <w:spacing w:line="240" w:lineRule="auto" w:before="76" w:after="0"/>
        <w:ind w:left="554" w:right="0" w:hanging="450"/>
        <w:jc w:val="left"/>
        <w:rPr>
          <w:sz w:val="18"/>
        </w:rPr>
      </w:pPr>
      <w:r>
        <w:rPr>
          <w:spacing w:val="-2"/>
          <w:sz w:val="18"/>
        </w:rPr>
        <w:t>狼疮肾炎致使肾功能减弱，血肌酐的清除率低于每分钟 </w:t>
      </w:r>
      <w:r>
        <w:rPr>
          <w:sz w:val="18"/>
        </w:rPr>
        <w:t>30ml。</w:t>
      </w:r>
    </w:p>
    <w:p>
      <w:pPr>
        <w:spacing w:after="0" w:line="240" w:lineRule="auto"/>
        <w:jc w:val="left"/>
        <w:rPr>
          <w:sz w:val="18"/>
        </w:rPr>
        <w:sectPr>
          <w:type w:val="continuous"/>
          <w:pgSz w:w="11910" w:h="16840"/>
          <w:pgMar w:top="1040" w:bottom="1180" w:left="1080" w:right="760"/>
          <w:cols w:num="2" w:equalWidth="0">
            <w:col w:w="2327" w:space="91"/>
            <w:col w:w="7652"/>
          </w:cols>
        </w:sectPr>
      </w:pPr>
    </w:p>
    <w:p>
      <w:pPr>
        <w:pStyle w:val="BodyText"/>
        <w:spacing w:before="9"/>
        <w:rPr>
          <w:sz w:val="19"/>
        </w:rPr>
      </w:pPr>
    </w:p>
    <w:p>
      <w:pPr>
        <w:pStyle w:val="ListParagraph"/>
        <w:numPr>
          <w:ilvl w:val="0"/>
          <w:numId w:val="13"/>
        </w:numPr>
        <w:tabs>
          <w:tab w:pos="525" w:val="left" w:leader="none"/>
          <w:tab w:pos="2522" w:val="left" w:leader="none"/>
        </w:tabs>
        <w:spacing w:line="316" w:lineRule="auto" w:before="45" w:after="0"/>
        <w:ind w:left="2522" w:right="19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明确出现因视神经、脑干和脊髓损伤而导致的临床表现；</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散在的身体损害的多样性；</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有明确的上述症状及神经损伤反复恶化、减轻的病史纪录。</w:t>
      </w:r>
    </w:p>
    <w:p>
      <w:pPr>
        <w:pStyle w:val="BodyText"/>
        <w:spacing w:before="10"/>
        <w:rPr>
          <w:sz w:val="19"/>
        </w:rPr>
      </w:pPr>
    </w:p>
    <w:p>
      <w:pPr>
        <w:spacing w:after="0"/>
        <w:rPr>
          <w:sz w:val="19"/>
        </w:rPr>
        <w:sectPr>
          <w:type w:val="continuous"/>
          <w:pgSz w:w="11910" w:h="16840"/>
          <w:pgMar w:top="1040" w:bottom="1180" w:left="1080" w:right="760"/>
        </w:sectPr>
      </w:pPr>
    </w:p>
    <w:p>
      <w:pPr>
        <w:pStyle w:val="Heading4"/>
        <w:numPr>
          <w:ilvl w:val="0"/>
          <w:numId w:val="13"/>
        </w:numPr>
        <w:tabs>
          <w:tab w:pos="525" w:val="left" w:leader="none"/>
        </w:tabs>
        <w:spacing w:line="240" w:lineRule="auto" w:before="44" w:after="0"/>
        <w:ind w:left="2522" w:right="0" w:hanging="2418"/>
        <w:jc w:val="left"/>
      </w:pPr>
      <w:r>
        <w:rPr>
          <w:spacing w:val="18"/>
          <w:w w:val="95"/>
        </w:rPr>
        <w:t>胰岛素依赖型糖尿病</w:t>
      </w:r>
    </w:p>
    <w:p>
      <w:pPr>
        <w:spacing w:before="75"/>
        <w:ind w:left="524" w:right="0" w:firstLine="0"/>
        <w:jc w:val="left"/>
        <w:rPr>
          <w:b/>
          <w:sz w:val="18"/>
        </w:rPr>
      </w:pPr>
      <w:r>
        <w:rPr>
          <w:b/>
          <w:w w:val="95"/>
          <w:sz w:val="18"/>
        </w:rPr>
        <w:t>（Ｉ型糖尿病）</w:t>
      </w:r>
    </w:p>
    <w:p>
      <w:pPr>
        <w:pStyle w:val="BodyText"/>
        <w:spacing w:line="316" w:lineRule="auto" w:before="44"/>
        <w:ind w:left="104" w:right="106"/>
      </w:pPr>
      <w:r>
        <w:rPr/>
        <w:br w:type="column"/>
      </w:r>
      <w:r>
        <w:rPr>
          <w:spacing w:val="-2"/>
        </w:rPr>
        <w:t>胰岛素依赖型糖尿病是由于胰岛素分泌不足引起的慢性血糖升高，并需持续性地依赖外源性胰</w:t>
      </w:r>
      <w:r>
        <w:rPr>
          <w:spacing w:val="3"/>
        </w:rPr>
        <w:t>岛素维持</w:t>
      </w:r>
      <w:r>
        <w:rPr/>
        <w:t>180</w:t>
      </w:r>
      <w:r>
        <w:rPr>
          <w:spacing w:val="-14"/>
        </w:rPr>
        <w:t> 天以上，须由我们认可的有资格的内分泌医生确诊并在本合同保险责任有效期内， 满足下述至少一个条件：</w:t>
      </w:r>
    </w:p>
    <w:p>
      <w:pPr>
        <w:pStyle w:val="ListParagraph"/>
        <w:numPr>
          <w:ilvl w:val="0"/>
          <w:numId w:val="18"/>
        </w:numPr>
        <w:tabs>
          <w:tab w:pos="525" w:val="left" w:leader="none"/>
        </w:tabs>
        <w:spacing w:line="240" w:lineRule="auto" w:before="18" w:after="0"/>
        <w:ind w:left="524" w:right="0" w:hanging="420"/>
        <w:jc w:val="left"/>
        <w:rPr>
          <w:sz w:val="18"/>
        </w:rPr>
      </w:pPr>
      <w:r>
        <w:rPr>
          <w:sz w:val="18"/>
        </w:rPr>
        <w:t>我们认可的内分泌医生确诊已出现增殖性视网膜病变；</w:t>
      </w:r>
    </w:p>
    <w:p>
      <w:pPr>
        <w:pStyle w:val="ListParagraph"/>
        <w:numPr>
          <w:ilvl w:val="0"/>
          <w:numId w:val="18"/>
        </w:numPr>
        <w:tabs>
          <w:tab w:pos="525" w:val="left" w:leader="none"/>
        </w:tabs>
        <w:spacing w:line="240" w:lineRule="auto" w:before="76" w:after="0"/>
        <w:ind w:left="524" w:right="0" w:hanging="420"/>
        <w:jc w:val="left"/>
        <w:rPr>
          <w:sz w:val="18"/>
        </w:rPr>
      </w:pPr>
      <w:r>
        <w:rPr>
          <w:sz w:val="18"/>
        </w:rPr>
        <w:t>须植入心脏起搏器治疗心脏病；</w:t>
      </w:r>
    </w:p>
    <w:p>
      <w:pPr>
        <w:pStyle w:val="ListParagraph"/>
        <w:numPr>
          <w:ilvl w:val="0"/>
          <w:numId w:val="18"/>
        </w:numPr>
        <w:tabs>
          <w:tab w:pos="525" w:val="left" w:leader="none"/>
        </w:tabs>
        <w:spacing w:line="240" w:lineRule="auto" w:before="76" w:after="0"/>
        <w:ind w:left="524" w:right="0" w:hanging="420"/>
        <w:jc w:val="left"/>
        <w:rPr>
          <w:sz w:val="18"/>
        </w:rPr>
      </w:pPr>
      <w:r>
        <w:rPr>
          <w:sz w:val="18"/>
        </w:rPr>
        <w:t>因坏疽需切除一只或以上脚趾。</w:t>
      </w:r>
    </w:p>
    <w:p>
      <w:pPr>
        <w:spacing w:after="0" w:line="240" w:lineRule="auto"/>
        <w:jc w:val="left"/>
        <w:rPr>
          <w:sz w:val="18"/>
        </w:rPr>
        <w:sectPr>
          <w:type w:val="continuous"/>
          <w:pgSz w:w="11910" w:h="16840"/>
          <w:pgMar w:top="1040" w:bottom="1180" w:left="1080" w:right="760"/>
          <w:cols w:num="2" w:equalWidth="0">
            <w:col w:w="2327" w:space="91"/>
            <w:col w:w="7652"/>
          </w:cols>
        </w:sectPr>
      </w:pPr>
    </w:p>
    <w:p>
      <w:pPr>
        <w:pStyle w:val="BodyText"/>
        <w:spacing w:before="3"/>
        <w:rPr>
          <w:sz w:val="20"/>
        </w:rPr>
      </w:pPr>
    </w:p>
    <w:p>
      <w:pPr>
        <w:pStyle w:val="ListParagraph"/>
        <w:numPr>
          <w:ilvl w:val="0"/>
          <w:numId w:val="13"/>
        </w:numPr>
        <w:tabs>
          <w:tab w:pos="585" w:val="left" w:leader="none"/>
        </w:tabs>
        <w:spacing w:line="316" w:lineRule="auto" w:before="44" w:after="0"/>
        <w:ind w:left="2582" w:right="301"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82" w:right="339"/>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3"/>
        </w:numPr>
        <w:tabs>
          <w:tab w:pos="585" w:val="left" w:leader="none"/>
          <w:tab w:pos="2582" w:val="left" w:leader="none"/>
        </w:tabs>
        <w:spacing w:line="316" w:lineRule="auto" w:before="1" w:after="0"/>
        <w:ind w:left="2582" w:right="16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须经我们认可的神经科医师确诊。其诊断必须同时具有下列情况：</w:t>
      </w:r>
    </w:p>
    <w:p>
      <w:pPr>
        <w:pStyle w:val="ListParagraph"/>
        <w:numPr>
          <w:ilvl w:val="1"/>
          <w:numId w:val="13"/>
        </w:numPr>
        <w:tabs>
          <w:tab w:pos="3003" w:val="left" w:leader="none"/>
        </w:tabs>
        <w:spacing w:line="240" w:lineRule="auto" w:before="19" w:after="0"/>
        <w:ind w:left="3002" w:right="0" w:hanging="420"/>
        <w:jc w:val="left"/>
        <w:rPr>
          <w:sz w:val="18"/>
        </w:rPr>
      </w:pPr>
      <w:r>
        <w:rPr>
          <w:sz w:val="18"/>
        </w:rPr>
        <w:t>经药物、胸腺手术治疗一年以上无法控制病情，丧失正常工作能力；</w:t>
      </w:r>
    </w:p>
    <w:p>
      <w:pPr>
        <w:pStyle w:val="ListParagraph"/>
        <w:numPr>
          <w:ilvl w:val="1"/>
          <w:numId w:val="13"/>
        </w:numPr>
        <w:tabs>
          <w:tab w:pos="3003" w:val="left" w:leader="none"/>
        </w:tabs>
        <w:spacing w:line="316" w:lineRule="auto" w:before="76" w:after="0"/>
        <w:ind w:left="3002" w:right="280"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3003" w:val="left" w:leader="none"/>
        </w:tabs>
        <w:spacing w:line="240" w:lineRule="auto" w:before="18" w:after="0"/>
        <w:ind w:left="3002" w:right="0" w:hanging="420"/>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3"/>
        </w:numPr>
        <w:tabs>
          <w:tab w:pos="585" w:val="left" w:leader="none"/>
          <w:tab w:pos="2582" w:val="left" w:leader="none"/>
        </w:tabs>
        <w:spacing w:line="316" w:lineRule="auto" w:before="1" w:after="0"/>
        <w:ind w:left="2582" w:right="196" w:hanging="2418"/>
        <w:jc w:val="left"/>
        <w:rPr>
          <w:sz w:val="18"/>
        </w:rPr>
      </w:pPr>
      <w:r>
        <w:rPr>
          <w:b/>
          <w:sz w:val="18"/>
        </w:rPr>
        <w:t>脊髓灰质炎</w:t>
        <w:tab/>
      </w:r>
      <w:r>
        <w:rPr>
          <w:sz w:val="18"/>
        </w:rPr>
        <w:t>经由我们认可的神经专科医生确认是由于脊髓灰质炎病毒感染所导致的运动功能障碍或呼吸功能减弱麻痹性瘫痪的疾病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footerReference w:type="default" r:id="rId11"/>
          <w:pgSz w:w="11910" w:h="16840"/>
          <w:pgMar w:footer="981" w:header="877" w:top="1100" w:bottom="1180" w:left="1020" w:right="760"/>
          <w:pgNumType w:start="11"/>
        </w:sectPr>
      </w:pPr>
    </w:p>
    <w:p>
      <w:pPr>
        <w:pStyle w:val="Heading4"/>
        <w:numPr>
          <w:ilvl w:val="0"/>
          <w:numId w:val="13"/>
        </w:numPr>
        <w:tabs>
          <w:tab w:pos="585" w:val="left" w:leader="none"/>
        </w:tabs>
        <w:spacing w:line="316" w:lineRule="auto" w:before="45" w:after="0"/>
        <w:ind w:left="525" w:right="0" w:hanging="361"/>
        <w:jc w:val="left"/>
      </w:pPr>
      <w:r>
        <w:rPr/>
        <w:t>急性坏死性胰腺炎</w:t>
      </w:r>
    </w:p>
    <w:p>
      <w:pPr>
        <w:pStyle w:val="BodyText"/>
        <w:spacing w:line="316" w:lineRule="auto" w:before="45"/>
        <w:ind w:left="164" w:right="141"/>
      </w:pPr>
      <w:r>
        <w:rPr/>
        <w:br w:type="column"/>
      </w:r>
      <w:r>
        <w:rPr/>
        <w:t>由我们指定或认可的医师确诊为急性坏死性胰腺炎，并需进行手术治疗，以进行组织清除、病灶切除或胰腺切除。但因酒精中毒所致的急性坏死性胰腺炎除外。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60"/>
          <w:cols w:num="2" w:equalWidth="0">
            <w:col w:w="1490" w:space="928"/>
            <w:col w:w="7712"/>
          </w:cols>
        </w:sectPr>
      </w:pPr>
    </w:p>
    <w:p>
      <w:pPr>
        <w:pStyle w:val="BodyText"/>
        <w:spacing w:before="4"/>
        <w:rPr>
          <w:sz w:val="15"/>
        </w:rPr>
      </w:pPr>
    </w:p>
    <w:p>
      <w:pPr>
        <w:pStyle w:val="ListParagraph"/>
        <w:numPr>
          <w:ilvl w:val="0"/>
          <w:numId w:val="13"/>
        </w:numPr>
        <w:tabs>
          <w:tab w:pos="585" w:val="left" w:leader="none"/>
          <w:tab w:pos="2582" w:val="left" w:leader="none"/>
        </w:tabs>
        <w:spacing w:line="316" w:lineRule="auto" w:before="45" w:after="0"/>
        <w:ind w:left="2582" w:right="197"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经我们认可的神经专科医生确认符合以下四项诊断指标中的三项：</w:t>
      </w:r>
    </w:p>
    <w:p>
      <w:pPr>
        <w:pStyle w:val="ListParagraph"/>
        <w:numPr>
          <w:ilvl w:val="1"/>
          <w:numId w:val="13"/>
        </w:numPr>
        <w:tabs>
          <w:tab w:pos="3003" w:val="left" w:leader="none"/>
        </w:tabs>
        <w:spacing w:line="240" w:lineRule="auto" w:before="19" w:after="0"/>
        <w:ind w:left="3002" w:right="0" w:hanging="420"/>
        <w:jc w:val="left"/>
        <w:rPr>
          <w:sz w:val="18"/>
        </w:rPr>
      </w:pPr>
      <w:r>
        <w:rPr>
          <w:sz w:val="18"/>
        </w:rPr>
        <w:t>家族史中有其他成员患相同疾病；</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临床表现包括：无感觉神经紊乱，正常脑脊液及轻微腱反射的减退；</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典型的肌电图；</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临床推测必须有肌肉或组织检查加以证实。</w:t>
      </w:r>
    </w:p>
    <w:p>
      <w:pPr>
        <w:pStyle w:val="BodyText"/>
        <w:spacing w:before="4"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498"/>
      </w:tblGrid>
      <w:tr>
        <w:trPr>
          <w:trHeight w:val="1920"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3"/>
              <w:rPr>
                <w:b/>
                <w:sz w:val="18"/>
              </w:rPr>
            </w:pPr>
            <w:r>
              <w:rPr>
                <w:b/>
                <w:sz w:val="18"/>
              </w:rPr>
              <w:t>终末期肺病</w:t>
            </w:r>
          </w:p>
        </w:tc>
        <w:tc>
          <w:tcPr>
            <w:tcW w:w="7498" w:type="dxa"/>
          </w:tcPr>
          <w:p>
            <w:pPr>
              <w:pStyle w:val="TableParagraph"/>
              <w:spacing w:line="180" w:lineRule="exact"/>
              <w:ind w:left="97"/>
              <w:rPr>
                <w:sz w:val="18"/>
              </w:rPr>
            </w:pPr>
            <w:r>
              <w:rPr>
                <w:sz w:val="18"/>
              </w:rPr>
              <w:t>由我们认可的呼吸专科医生确诊被保险人患有终末期肺病而出现慢性呼吸功能衰竭，其诊断标</w:t>
            </w:r>
          </w:p>
          <w:p>
            <w:pPr>
              <w:pStyle w:val="TableParagraph"/>
              <w:spacing w:before="76"/>
              <w:ind w:left="97"/>
              <w:rPr>
                <w:sz w:val="18"/>
              </w:rPr>
            </w:pPr>
            <w:r>
              <w:rPr>
                <w:sz w:val="18"/>
              </w:rPr>
              <w:t>准包括以下各项：</w:t>
            </w:r>
          </w:p>
          <w:p>
            <w:pPr>
              <w:pStyle w:val="TableParagraph"/>
              <w:numPr>
                <w:ilvl w:val="0"/>
                <w:numId w:val="19"/>
              </w:numPr>
              <w:tabs>
                <w:tab w:pos="457" w:val="left" w:leader="none"/>
              </w:tabs>
              <w:spacing w:line="240" w:lineRule="auto" w:before="76" w:after="0"/>
              <w:ind w:left="457"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9"/>
              </w:numPr>
              <w:tabs>
                <w:tab w:pos="457" w:val="left" w:leader="none"/>
              </w:tabs>
              <w:spacing w:line="240" w:lineRule="auto" w:before="76" w:after="0"/>
              <w:ind w:left="457" w:right="0" w:hanging="360"/>
              <w:jc w:val="left"/>
              <w:rPr>
                <w:sz w:val="18"/>
              </w:rPr>
            </w:pPr>
            <w:r>
              <w:rPr>
                <w:sz w:val="18"/>
              </w:rPr>
              <w:t>病人缺氧必须广泛而持续地进行输氧治疗；</w:t>
            </w:r>
          </w:p>
          <w:p>
            <w:pPr>
              <w:pStyle w:val="TableParagraph"/>
              <w:numPr>
                <w:ilvl w:val="0"/>
                <w:numId w:val="19"/>
              </w:numPr>
              <w:tabs>
                <w:tab w:pos="457" w:val="left" w:leader="none"/>
              </w:tabs>
              <w:spacing w:line="240" w:lineRule="auto" w:before="76" w:after="0"/>
              <w:ind w:left="457" w:right="0" w:hanging="360"/>
              <w:jc w:val="left"/>
              <w:rPr>
                <w:sz w:val="18"/>
              </w:rPr>
            </w:pPr>
            <w:r>
              <w:rPr>
                <w:spacing w:val="-4"/>
                <w:sz w:val="18"/>
              </w:rPr>
              <w:t>动脉血气分析氧分压低于 </w:t>
            </w:r>
            <w:r>
              <w:rPr>
                <w:sz w:val="18"/>
              </w:rPr>
              <w:t>55mmHg。</w:t>
            </w:r>
          </w:p>
          <w:p>
            <w:pPr>
              <w:pStyle w:val="TableParagraph"/>
              <w:spacing w:before="76"/>
              <w:ind w:left="97"/>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3" w:right="96"/>
              <w:rPr>
                <w:b/>
                <w:sz w:val="18"/>
              </w:rPr>
            </w:pPr>
            <w:r>
              <w:rPr>
                <w:b/>
                <w:w w:val="95"/>
                <w:sz w:val="18"/>
              </w:rPr>
              <w:t>经输血感染艾滋病病</w:t>
            </w:r>
            <w:r>
              <w:rPr>
                <w:b/>
                <w:sz w:val="18"/>
              </w:rPr>
              <w:t>毒</w:t>
            </w:r>
          </w:p>
        </w:tc>
        <w:tc>
          <w:tcPr>
            <w:tcW w:w="7498"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20"/>
              </w:numPr>
              <w:tabs>
                <w:tab w:pos="518" w:val="left" w:leader="none"/>
              </w:tabs>
              <w:spacing w:line="316" w:lineRule="auto" w:before="76" w:after="0"/>
              <w:ind w:left="517" w:right="138" w:hanging="420"/>
              <w:jc w:val="left"/>
              <w:rPr>
                <w:sz w:val="18"/>
              </w:rPr>
            </w:pPr>
            <w:r>
              <w:rPr>
                <w:sz w:val="18"/>
              </w:rPr>
              <w:t>感染是由于必要的医疗性输血引起的，且医疗性输血是在保单生效日后或复效日后发生的；</w:t>
            </w:r>
          </w:p>
          <w:p>
            <w:pPr>
              <w:pStyle w:val="TableParagraph"/>
              <w:numPr>
                <w:ilvl w:val="0"/>
                <w:numId w:val="20"/>
              </w:numPr>
              <w:tabs>
                <w:tab w:pos="518" w:val="left" w:leader="none"/>
              </w:tabs>
              <w:spacing w:line="240" w:lineRule="auto" w:before="19" w:after="0"/>
              <w:ind w:left="517" w:right="0" w:hanging="420"/>
              <w:jc w:val="left"/>
              <w:rPr>
                <w:sz w:val="18"/>
              </w:rPr>
            </w:pPr>
            <w:r>
              <w:rPr>
                <w:sz w:val="18"/>
              </w:rPr>
              <w:t>提供输血的医疗机构承认该项输血感染为医疗责任事故；</w:t>
            </w:r>
          </w:p>
          <w:p>
            <w:pPr>
              <w:pStyle w:val="TableParagraph"/>
              <w:numPr>
                <w:ilvl w:val="0"/>
                <w:numId w:val="20"/>
              </w:numPr>
              <w:tabs>
                <w:tab w:pos="518" w:val="left" w:leader="none"/>
              </w:tabs>
              <w:spacing w:line="240" w:lineRule="auto" w:before="76" w:after="0"/>
              <w:ind w:left="517" w:right="0" w:hanging="420"/>
              <w:jc w:val="left"/>
              <w:rPr>
                <w:sz w:val="18"/>
              </w:rPr>
            </w:pPr>
            <w:r>
              <w:rPr>
                <w:sz w:val="18"/>
              </w:rPr>
              <w:t>被保险人不是血友病患者。</w:t>
            </w:r>
          </w:p>
        </w:tc>
      </w:tr>
      <w:tr>
        <w:trPr>
          <w:trHeight w:val="671"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498" w:type="dxa"/>
          </w:tcPr>
          <w:p>
            <w:pPr>
              <w:pStyle w:val="TableParagraph"/>
              <w:spacing w:before="124"/>
              <w:ind w:left="96"/>
              <w:rPr>
                <w:sz w:val="18"/>
              </w:rPr>
            </w:pPr>
            <w:r>
              <w:rPr>
                <w:sz w:val="18"/>
              </w:rPr>
              <w:t>是指类风湿性关节炎患者符合以下三项标准的：</w:t>
            </w:r>
          </w:p>
          <w:p>
            <w:pPr>
              <w:pStyle w:val="TableParagraph"/>
              <w:spacing w:line="216" w:lineRule="exact" w:before="76"/>
              <w:ind w:left="96"/>
              <w:rPr>
                <w:sz w:val="18"/>
              </w:rPr>
            </w:pPr>
            <w:r>
              <w:rPr>
                <w:sz w:val="18"/>
              </w:rPr>
              <w:t>(1) 至少包括下列关节中的三组或以上有广泛受损和畸形改变:手指关节、腕关节、肘关节、</w:t>
            </w:r>
          </w:p>
        </w:tc>
      </w:tr>
    </w:tbl>
    <w:p>
      <w:pPr>
        <w:pStyle w:val="BodyText"/>
        <w:ind w:left="3002"/>
      </w:pPr>
      <w:r>
        <w:rPr/>
        <w:t>膝关节、髋关节、踝关节、脊椎或脚趾关节；</w:t>
      </w:r>
    </w:p>
    <w:p>
      <w:pPr>
        <w:pStyle w:val="ListParagraph"/>
        <w:numPr>
          <w:ilvl w:val="0"/>
          <w:numId w:val="21"/>
        </w:numPr>
        <w:tabs>
          <w:tab w:pos="3003" w:val="left" w:leader="none"/>
        </w:tabs>
        <w:spacing w:line="240" w:lineRule="auto" w:before="76" w:after="0"/>
        <w:ind w:left="3002" w:right="0"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w:t>
      </w:r>
    </w:p>
    <w:p>
      <w:pPr>
        <w:spacing w:after="0" w:line="240" w:lineRule="auto"/>
        <w:jc w:val="left"/>
        <w:rPr>
          <w:sz w:val="18"/>
        </w:rPr>
        <w:sectPr>
          <w:type w:val="continuous"/>
          <w:pgSz w:w="11910" w:h="16840"/>
          <w:pgMar w:top="1040" w:bottom="1180" w:left="1020" w:right="760"/>
        </w:sectPr>
      </w:pPr>
    </w:p>
    <w:p>
      <w:pPr>
        <w:pStyle w:val="BodyText"/>
        <w:spacing w:before="3"/>
        <w:rPr>
          <w:sz w:val="20"/>
        </w:rPr>
      </w:pPr>
    </w:p>
    <w:p>
      <w:pPr>
        <w:pStyle w:val="BodyText"/>
        <w:spacing w:before="44"/>
        <w:ind w:left="2942"/>
      </w:pPr>
      <w:r>
        <w:rPr/>
        <w:t>位于受累关节及其邻近部位尤其明显；</w:t>
      </w:r>
    </w:p>
    <w:p>
      <w:pPr>
        <w:pStyle w:val="ListParagraph"/>
        <w:numPr>
          <w:ilvl w:val="0"/>
          <w:numId w:val="21"/>
        </w:numPr>
        <w:tabs>
          <w:tab w:pos="2943" w:val="left" w:leader="none"/>
        </w:tabs>
        <w:spacing w:line="240" w:lineRule="auto" w:before="76" w:after="0"/>
        <w:ind w:left="2942" w:right="0" w:hanging="420"/>
        <w:jc w:val="left"/>
        <w:rPr>
          <w:sz w:val="18"/>
        </w:rPr>
      </w:pPr>
      <w:r>
        <w:rPr>
          <w:spacing w:val="-4"/>
          <w:sz w:val="18"/>
        </w:rPr>
        <w:t>关节的畸形改变至少持续 </w:t>
      </w:r>
      <w:r>
        <w:rPr>
          <w:sz w:val="18"/>
        </w:rPr>
        <w:t>6</w:t>
      </w:r>
      <w:r>
        <w:rPr>
          <w:spacing w:val="-12"/>
          <w:sz w:val="18"/>
        </w:rPr>
        <w:t> 个月。</w:t>
      </w:r>
    </w:p>
    <w:p>
      <w:pPr>
        <w:pStyle w:val="BodyText"/>
        <w:spacing w:line="316" w:lineRule="auto"/>
        <w:ind w:left="2522" w:right="61"/>
      </w:pPr>
      <w:r>
        <w:rPr/>
        <w:t>类风湿性关节炎系指以关节滑膜炎为特征的慢性全身性自身免疫性疾病，诊断必须符合国际认可的该疾病的诊断标准。</w:t>
      </w:r>
    </w:p>
    <w:p>
      <w:pPr>
        <w:pStyle w:val="BodyText"/>
        <w:spacing w:before="9"/>
      </w:pPr>
    </w:p>
    <w:p>
      <w:pPr>
        <w:pStyle w:val="ListParagraph"/>
        <w:numPr>
          <w:ilvl w:val="0"/>
          <w:numId w:val="22"/>
        </w:numPr>
        <w:tabs>
          <w:tab w:pos="525" w:val="left" w:leader="none"/>
          <w:tab w:pos="2522" w:val="left" w:leader="none"/>
        </w:tabs>
        <w:spacing w:line="240" w:lineRule="auto" w:before="0" w:after="0"/>
        <w:ind w:left="2522" w:right="0" w:hanging="2418"/>
        <w:jc w:val="left"/>
        <w:rPr>
          <w:sz w:val="18"/>
        </w:rPr>
      </w:pPr>
      <w:r>
        <w:rPr>
          <w:b/>
          <w:sz w:val="18"/>
        </w:rPr>
        <w:t>肾髓质囊性病</w:t>
        <w:tab/>
      </w:r>
      <w:r>
        <w:rPr>
          <w:sz w:val="18"/>
        </w:rPr>
        <w:t>肾髓质囊性病的诊断必须同时符合下列要求：</w:t>
      </w:r>
    </w:p>
    <w:p>
      <w:pPr>
        <w:pStyle w:val="ListParagraph"/>
        <w:numPr>
          <w:ilvl w:val="1"/>
          <w:numId w:val="22"/>
        </w:numPr>
        <w:tabs>
          <w:tab w:pos="2943" w:val="left" w:leader="none"/>
        </w:tabs>
        <w:spacing w:line="240" w:lineRule="auto" w:before="76" w:after="0"/>
        <w:ind w:left="2942" w:right="0" w:hanging="420"/>
        <w:jc w:val="left"/>
        <w:rPr>
          <w:sz w:val="18"/>
        </w:rPr>
      </w:pPr>
      <w:r>
        <w:rPr>
          <w:sz w:val="18"/>
        </w:rPr>
        <w:t>肾髓质有囊肿、肾小管萎缩及间质纤维化等病理改变；</w:t>
      </w:r>
    </w:p>
    <w:p>
      <w:pPr>
        <w:pStyle w:val="ListParagraph"/>
        <w:numPr>
          <w:ilvl w:val="1"/>
          <w:numId w:val="22"/>
        </w:numPr>
        <w:tabs>
          <w:tab w:pos="2943" w:val="left" w:leader="none"/>
        </w:tabs>
        <w:spacing w:line="240" w:lineRule="auto" w:before="76" w:after="0"/>
        <w:ind w:left="2942" w:right="0" w:hanging="420"/>
        <w:jc w:val="left"/>
        <w:rPr>
          <w:sz w:val="18"/>
        </w:rPr>
      </w:pPr>
      <w:r>
        <w:rPr>
          <w:sz w:val="18"/>
        </w:rPr>
        <w:t>贫血、多尿及肾功能衰竭等临床表现；</w:t>
      </w:r>
    </w:p>
    <w:p>
      <w:pPr>
        <w:pStyle w:val="ListParagraph"/>
        <w:numPr>
          <w:ilvl w:val="1"/>
          <w:numId w:val="22"/>
        </w:numPr>
        <w:tabs>
          <w:tab w:pos="2943" w:val="left" w:leader="none"/>
        </w:tabs>
        <w:spacing w:line="240" w:lineRule="auto" w:before="76" w:after="0"/>
        <w:ind w:left="2942" w:right="0" w:hanging="420"/>
        <w:jc w:val="left"/>
        <w:rPr>
          <w:sz w:val="18"/>
        </w:rPr>
      </w:pPr>
      <w:r>
        <w:rPr>
          <w:sz w:val="18"/>
        </w:rPr>
        <w:t>诊断须由肾组织活检确定。</w:t>
      </w:r>
    </w:p>
    <w:p>
      <w:pPr>
        <w:pStyle w:val="BodyText"/>
        <w:spacing w:before="2"/>
        <w:rPr>
          <w:sz w:val="23"/>
        </w:rPr>
      </w:pPr>
    </w:p>
    <w:p>
      <w:pPr>
        <w:pStyle w:val="ListParagraph"/>
        <w:numPr>
          <w:ilvl w:val="0"/>
          <w:numId w:val="22"/>
        </w:numPr>
        <w:tabs>
          <w:tab w:pos="525" w:val="left" w:leader="none"/>
        </w:tabs>
        <w:spacing w:line="316" w:lineRule="auto" w:before="0" w:after="0"/>
        <w:ind w:left="2522" w:right="11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、磁共振血管检验法（MRA）或血管扫描等检查,并须经我们指定或认可的医疗机构的心血管专科医师确诊。</w:t>
      </w:r>
    </w:p>
    <w:p>
      <w:pPr>
        <w:pStyle w:val="ListParagraph"/>
        <w:numPr>
          <w:ilvl w:val="0"/>
          <w:numId w:val="22"/>
        </w:numPr>
        <w:tabs>
          <w:tab w:pos="525" w:val="left" w:leader="none"/>
          <w:tab w:pos="2522" w:val="left" w:leader="none"/>
        </w:tabs>
        <w:spacing w:line="538" w:lineRule="exact" w:before="25" w:after="0"/>
        <w:ind w:left="224" w:right="980" w:hanging="120"/>
        <w:jc w:val="left"/>
        <w:rPr>
          <w:sz w:val="18"/>
        </w:rPr>
      </w:pPr>
      <w:r>
        <w:rPr>
          <w:b/>
          <w:sz w:val="18"/>
        </w:rPr>
        <w:t>脑动脉瘤开颅手术</w:t>
        <w:tab/>
      </w:r>
      <w:r>
        <w:rPr>
          <w:sz w:val="18"/>
        </w:rPr>
        <w:t>指确已进行开颅手术以夹闭、修复或切除脑动脉瘤。但不包括导管及血管内手术。注：</w:t>
      </w:r>
    </w:p>
    <w:p>
      <w:pPr>
        <w:pStyle w:val="ListParagraph"/>
        <w:numPr>
          <w:ilvl w:val="0"/>
          <w:numId w:val="23"/>
        </w:numPr>
        <w:tabs>
          <w:tab w:pos="644" w:val="left" w:leader="none"/>
          <w:tab w:pos="645" w:val="left" w:leader="none"/>
        </w:tabs>
        <w:spacing w:line="230" w:lineRule="exact" w:before="0"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23"/>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1"/>
          <w:numId w:val="23"/>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1"/>
          <w:numId w:val="23"/>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0"/>
          <w:numId w:val="23"/>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spacing w:val="-8"/>
        </w:rPr>
        <w:t>指肢体的三大关节中的两大关节僵硬，或不能随意识活动。肢体是指包括肩关节的整个上肢或包括髋关节的整个下肢。</w:t>
      </w:r>
    </w:p>
    <w:p>
      <w:pPr>
        <w:pStyle w:val="ListParagraph"/>
        <w:numPr>
          <w:ilvl w:val="0"/>
          <w:numId w:val="23"/>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23"/>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160"/>
      </w:pPr>
      <w:r>
        <w:rPr/>
        <w:t>指无法发出四种语音（包括口唇音、齿舌音、口盖音和喉头音）中的任何三种、或声带全部切除，或因大脑语言中枢受伤害而患失语症。</w:t>
      </w:r>
    </w:p>
    <w:p>
      <w:pPr>
        <w:pStyle w:val="ListParagraph"/>
        <w:numPr>
          <w:ilvl w:val="0"/>
          <w:numId w:val="23"/>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1"/>
          <w:numId w:val="23"/>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0"/>
          <w:numId w:val="23"/>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644"/>
      </w:pPr>
      <w:r>
        <w:rPr/>
        <w:t>指自疾病确诊或意外伤害发生之日起，经过积极治疗 180 天后，仍无法通过现有医疗手段恢复。</w:t>
      </w:r>
    </w:p>
    <w:sectPr>
      <w:pgSz w:w="11910" w:h="16840"/>
      <w:pgMar w:header="877" w:footer="981" w:top="1100" w:bottom="118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017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08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05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12</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73pt;height:11pt;mso-position-horizontal-relative:page;mso-position-vertical-relative:page;z-index:-20224" type="#_x0000_t202" filled="false" stroked="false">
          <v:textbox inset="0,0,0,0">
            <w:txbxContent>
              <w:p>
                <w:pPr>
                  <w:pStyle w:val="BodyText"/>
                  <w:spacing w:line="200" w:lineRule="exact" w:before="0"/>
                  <w:ind w:left="20"/>
                </w:pPr>
                <w:r>
                  <w:rPr/>
                  <w:t>民生附加金康福提前给付重大疾病保险条款</w:t>
                </w:r>
              </w:p>
            </w:txbxContent>
          </v:textbox>
          <w10:wrap type="none"/>
        </v:shape>
      </w:pict>
    </w:r>
    <w:r>
      <w:rPr/>
      <w:pict>
        <v:shape style="position:absolute;margin-left:428.720001pt;margin-top:42.865326pt;width:110pt;height:11pt;mso-position-horizontal-relative:page;mso-position-vertical-relative:page;z-index:-202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152" from="63.720001pt,55.619984pt" to="543.000001pt,55.619984pt" stroked="true" strokeweight=".72003pt" strokecolor="#000000">
          <v:stroke dashstyle="solid"/>
          <w10:wrap type="none"/>
        </v:line>
      </w:pict>
    </w:r>
    <w:r>
      <w:rPr/>
      <w:pict>
        <v:shape style="position:absolute;margin-left:64.220001pt;margin-top:42.865326pt;width:173pt;height:11pt;mso-position-horizontal-relative:page;mso-position-vertical-relative:page;z-index:-20128" type="#_x0000_t202" filled="false" stroked="false">
          <v:textbox inset="0,0,0,0">
            <w:txbxContent>
              <w:p>
                <w:pPr>
                  <w:pStyle w:val="BodyText"/>
                  <w:spacing w:line="200" w:lineRule="exact" w:before="0"/>
                  <w:ind w:left="20"/>
                </w:pPr>
                <w:r>
                  <w:rPr/>
                  <w:t>民生附加金康福提前给付重大疾病保险条款</w:t>
                </w:r>
              </w:p>
            </w:txbxContent>
          </v:textbox>
          <w10:wrap type="none"/>
        </v:shape>
      </w:pict>
    </w:r>
    <w:r>
      <w:rPr/>
      <w:pict>
        <v:shape style="position:absolute;margin-left:428.720001pt;margin-top:42.865326pt;width:110pt;height:11pt;mso-position-horizontal-relative:page;mso-position-vertical-relative:page;z-index:-2010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1"/>
      <w:numFmt w:val="decimal"/>
      <w:lvlText w:val="(%2)"/>
      <w:lvlJc w:val="left"/>
      <w:pPr>
        <w:ind w:left="1064" w:hanging="443"/>
        <w:jc w:val="left"/>
      </w:pPr>
      <w:rPr>
        <w:rFonts w:hint="default" w:ascii="宋体" w:hAnsi="宋体" w:eastAsia="宋体" w:cs="宋体"/>
        <w:spacing w:val="-90"/>
        <w:w w:val="100"/>
        <w:sz w:val="18"/>
        <w:szCs w:val="18"/>
      </w:rPr>
    </w:lvl>
    <w:lvl w:ilvl="2">
      <w:start w:val="0"/>
      <w:numFmt w:val="bullet"/>
      <w:lvlText w:val="•"/>
      <w:lvlJc w:val="left"/>
      <w:pPr>
        <w:ind w:left="2051" w:hanging="443"/>
      </w:pPr>
      <w:rPr>
        <w:rFonts w:hint="default"/>
      </w:rPr>
    </w:lvl>
    <w:lvl w:ilvl="3">
      <w:start w:val="0"/>
      <w:numFmt w:val="bullet"/>
      <w:lvlText w:val="•"/>
      <w:lvlJc w:val="left"/>
      <w:pPr>
        <w:ind w:left="3043" w:hanging="443"/>
      </w:pPr>
      <w:rPr>
        <w:rFonts w:hint="default"/>
      </w:rPr>
    </w:lvl>
    <w:lvl w:ilvl="4">
      <w:start w:val="0"/>
      <w:numFmt w:val="bullet"/>
      <w:lvlText w:val="•"/>
      <w:lvlJc w:val="left"/>
      <w:pPr>
        <w:ind w:left="4034" w:hanging="443"/>
      </w:pPr>
      <w:rPr>
        <w:rFonts w:hint="default"/>
      </w:rPr>
    </w:lvl>
    <w:lvl w:ilvl="5">
      <w:start w:val="0"/>
      <w:numFmt w:val="bullet"/>
      <w:lvlText w:val="•"/>
      <w:lvlJc w:val="left"/>
      <w:pPr>
        <w:ind w:left="5026" w:hanging="443"/>
      </w:pPr>
      <w:rPr>
        <w:rFonts w:hint="default"/>
      </w:rPr>
    </w:lvl>
    <w:lvl w:ilvl="6">
      <w:start w:val="0"/>
      <w:numFmt w:val="bullet"/>
      <w:lvlText w:val="•"/>
      <w:lvlJc w:val="left"/>
      <w:pPr>
        <w:ind w:left="6018" w:hanging="443"/>
      </w:pPr>
      <w:rPr>
        <w:rFonts w:hint="default"/>
      </w:rPr>
    </w:lvl>
    <w:lvl w:ilvl="7">
      <w:start w:val="0"/>
      <w:numFmt w:val="bullet"/>
      <w:lvlText w:val="•"/>
      <w:lvlJc w:val="left"/>
      <w:pPr>
        <w:ind w:left="7009" w:hanging="443"/>
      </w:pPr>
      <w:rPr>
        <w:rFonts w:hint="default"/>
      </w:rPr>
    </w:lvl>
    <w:lvl w:ilvl="8">
      <w:start w:val="0"/>
      <w:numFmt w:val="bullet"/>
      <w:lvlText w:val="•"/>
      <w:lvlJc w:val="left"/>
      <w:pPr>
        <w:ind w:left="8001" w:hanging="443"/>
      </w:pPr>
      <w:rPr>
        <w:rFonts w:hint="default"/>
      </w:rPr>
    </w:lvl>
  </w:abstractNum>
  <w:abstractNum w:abstractNumId="21">
    <w:multiLevelType w:val="hybridMultilevel"/>
    <w:lvl w:ilvl="0">
      <w:start w:val="38"/>
      <w:numFmt w:val="decimal"/>
      <w:lvlText w:val="%1."/>
      <w:lvlJc w:val="left"/>
      <w:pPr>
        <w:ind w:left="2522" w:hanging="420"/>
        <w:jc w:val="left"/>
      </w:pPr>
      <w:rPr>
        <w:rFonts w:hint="default" w:ascii="宋体" w:hAnsi="宋体" w:eastAsia="宋体" w:cs="宋体"/>
        <w:b/>
        <w:bCs/>
        <w:spacing w:val="0"/>
        <w:w w:val="99"/>
        <w:sz w:val="18"/>
        <w:szCs w:val="18"/>
      </w:rPr>
    </w:lvl>
    <w:lvl w:ilvl="1">
      <w:start w:val="1"/>
      <w:numFmt w:val="decimal"/>
      <w:lvlText w:val="(%2)"/>
      <w:lvlJc w:val="left"/>
      <w:pPr>
        <w:ind w:left="2942" w:hanging="420"/>
        <w:jc w:val="left"/>
      </w:pPr>
      <w:rPr>
        <w:rFonts w:hint="default" w:ascii="宋体" w:hAnsi="宋体" w:eastAsia="宋体" w:cs="宋体"/>
        <w:spacing w:val="-31"/>
        <w:w w:val="100"/>
        <w:sz w:val="18"/>
        <w:szCs w:val="18"/>
      </w:rPr>
    </w:lvl>
    <w:lvl w:ilvl="2">
      <w:start w:val="0"/>
      <w:numFmt w:val="bullet"/>
      <w:lvlText w:val="•"/>
      <w:lvlJc w:val="left"/>
      <w:pPr>
        <w:ind w:left="3722" w:hanging="420"/>
      </w:pPr>
      <w:rPr>
        <w:rFonts w:hint="default"/>
      </w:rPr>
    </w:lvl>
    <w:lvl w:ilvl="3">
      <w:start w:val="0"/>
      <w:numFmt w:val="bullet"/>
      <w:lvlText w:val="•"/>
      <w:lvlJc w:val="left"/>
      <w:pPr>
        <w:ind w:left="4505" w:hanging="420"/>
      </w:pPr>
      <w:rPr>
        <w:rFonts w:hint="default"/>
      </w:rPr>
    </w:lvl>
    <w:lvl w:ilvl="4">
      <w:start w:val="0"/>
      <w:numFmt w:val="bullet"/>
      <w:lvlText w:val="•"/>
      <w:lvlJc w:val="left"/>
      <w:pPr>
        <w:ind w:left="5288" w:hanging="420"/>
      </w:pPr>
      <w:rPr>
        <w:rFonts w:hint="default"/>
      </w:rPr>
    </w:lvl>
    <w:lvl w:ilvl="5">
      <w:start w:val="0"/>
      <w:numFmt w:val="bullet"/>
      <w:lvlText w:val="•"/>
      <w:lvlJc w:val="left"/>
      <w:pPr>
        <w:ind w:left="6070" w:hanging="420"/>
      </w:pPr>
      <w:rPr>
        <w:rFonts w:hint="default"/>
      </w:rPr>
    </w:lvl>
    <w:lvl w:ilvl="6">
      <w:start w:val="0"/>
      <w:numFmt w:val="bullet"/>
      <w:lvlText w:val="•"/>
      <w:lvlJc w:val="left"/>
      <w:pPr>
        <w:ind w:left="6853" w:hanging="420"/>
      </w:pPr>
      <w:rPr>
        <w:rFonts w:hint="default"/>
      </w:rPr>
    </w:lvl>
    <w:lvl w:ilvl="7">
      <w:start w:val="0"/>
      <w:numFmt w:val="bullet"/>
      <w:lvlText w:val="•"/>
      <w:lvlJc w:val="left"/>
      <w:pPr>
        <w:ind w:left="7636" w:hanging="420"/>
      </w:pPr>
      <w:rPr>
        <w:rFonts w:hint="default"/>
      </w:rPr>
    </w:lvl>
    <w:lvl w:ilvl="8">
      <w:start w:val="0"/>
      <w:numFmt w:val="bullet"/>
      <w:lvlText w:val="•"/>
      <w:lvlJc w:val="left"/>
      <w:pPr>
        <w:ind w:left="8418" w:hanging="420"/>
      </w:pPr>
      <w:rPr>
        <w:rFonts w:hint="default"/>
      </w:rPr>
    </w:lvl>
  </w:abstractNum>
  <w:abstractNum w:abstractNumId="20">
    <w:multiLevelType w:val="hybridMultilevel"/>
    <w:lvl w:ilvl="0">
      <w:start w:val="2"/>
      <w:numFmt w:val="decimal"/>
      <w:lvlText w:val="(%1)"/>
      <w:lvlJc w:val="left"/>
      <w:pPr>
        <w:ind w:left="3002" w:hanging="420"/>
        <w:jc w:val="left"/>
      </w:pPr>
      <w:rPr>
        <w:rFonts w:hint="default" w:ascii="宋体" w:hAnsi="宋体" w:eastAsia="宋体" w:cs="宋体"/>
        <w:spacing w:val="-46"/>
        <w:w w:val="100"/>
        <w:sz w:val="18"/>
        <w:szCs w:val="18"/>
      </w:rPr>
    </w:lvl>
    <w:lvl w:ilvl="1">
      <w:start w:val="0"/>
      <w:numFmt w:val="bullet"/>
      <w:lvlText w:val="•"/>
      <w:lvlJc w:val="left"/>
      <w:pPr>
        <w:ind w:left="3712" w:hanging="420"/>
      </w:pPr>
      <w:rPr>
        <w:rFonts w:hint="default"/>
      </w:rPr>
    </w:lvl>
    <w:lvl w:ilvl="2">
      <w:start w:val="0"/>
      <w:numFmt w:val="bullet"/>
      <w:lvlText w:val="•"/>
      <w:lvlJc w:val="left"/>
      <w:pPr>
        <w:ind w:left="4424" w:hanging="420"/>
      </w:pPr>
      <w:rPr>
        <w:rFonts w:hint="default"/>
      </w:rPr>
    </w:lvl>
    <w:lvl w:ilvl="3">
      <w:start w:val="0"/>
      <w:numFmt w:val="bullet"/>
      <w:lvlText w:val="•"/>
      <w:lvlJc w:val="left"/>
      <w:pPr>
        <w:ind w:left="5137" w:hanging="420"/>
      </w:pPr>
      <w:rPr>
        <w:rFonts w:hint="default"/>
      </w:rPr>
    </w:lvl>
    <w:lvl w:ilvl="4">
      <w:start w:val="0"/>
      <w:numFmt w:val="bullet"/>
      <w:lvlText w:val="•"/>
      <w:lvlJc w:val="left"/>
      <w:pPr>
        <w:ind w:left="5849" w:hanging="420"/>
      </w:pPr>
      <w:rPr>
        <w:rFonts w:hint="default"/>
      </w:rPr>
    </w:lvl>
    <w:lvl w:ilvl="5">
      <w:start w:val="0"/>
      <w:numFmt w:val="bullet"/>
      <w:lvlText w:val="•"/>
      <w:lvlJc w:val="left"/>
      <w:pPr>
        <w:ind w:left="6562" w:hanging="420"/>
      </w:pPr>
      <w:rPr>
        <w:rFonts w:hint="default"/>
      </w:rPr>
    </w:lvl>
    <w:lvl w:ilvl="6">
      <w:start w:val="0"/>
      <w:numFmt w:val="bullet"/>
      <w:lvlText w:val="•"/>
      <w:lvlJc w:val="left"/>
      <w:pPr>
        <w:ind w:left="7274" w:hanging="420"/>
      </w:pPr>
      <w:rPr>
        <w:rFonts w:hint="default"/>
      </w:rPr>
    </w:lvl>
    <w:lvl w:ilvl="7">
      <w:start w:val="0"/>
      <w:numFmt w:val="bullet"/>
      <w:lvlText w:val="•"/>
      <w:lvlJc w:val="left"/>
      <w:pPr>
        <w:ind w:left="7987" w:hanging="420"/>
      </w:pPr>
      <w:rPr>
        <w:rFonts w:hint="default"/>
      </w:rPr>
    </w:lvl>
    <w:lvl w:ilvl="8">
      <w:start w:val="0"/>
      <w:numFmt w:val="bullet"/>
      <w:lvlText w:val="•"/>
      <w:lvlJc w:val="left"/>
      <w:pPr>
        <w:ind w:left="8699" w:hanging="420"/>
      </w:pPr>
      <w:rPr>
        <w:rFonts w:hint="default"/>
      </w:rPr>
    </w:lvl>
  </w:abstractNum>
  <w:abstractNum w:abstractNumId="19">
    <w:multiLevelType w:val="hybridMultilevel"/>
    <w:lvl w:ilvl="0">
      <w:start w:val="1"/>
      <w:numFmt w:val="decimal"/>
      <w:lvlText w:val="(%1)"/>
      <w:lvlJc w:val="left"/>
      <w:pPr>
        <w:ind w:left="517" w:hanging="420"/>
        <w:jc w:val="left"/>
      </w:pPr>
      <w:rPr>
        <w:rFonts w:hint="default" w:ascii="宋体" w:hAnsi="宋体" w:eastAsia="宋体" w:cs="宋体"/>
        <w:spacing w:val="-31"/>
        <w:w w:val="100"/>
        <w:sz w:val="18"/>
        <w:szCs w:val="18"/>
      </w:rPr>
    </w:lvl>
    <w:lvl w:ilvl="1">
      <w:start w:val="0"/>
      <w:numFmt w:val="bullet"/>
      <w:lvlText w:val="•"/>
      <w:lvlJc w:val="left"/>
      <w:pPr>
        <w:ind w:left="1217" w:hanging="420"/>
      </w:pPr>
      <w:rPr>
        <w:rFonts w:hint="default"/>
      </w:rPr>
    </w:lvl>
    <w:lvl w:ilvl="2">
      <w:start w:val="0"/>
      <w:numFmt w:val="bullet"/>
      <w:lvlText w:val="•"/>
      <w:lvlJc w:val="left"/>
      <w:pPr>
        <w:ind w:left="1915" w:hanging="420"/>
      </w:pPr>
      <w:rPr>
        <w:rFonts w:hint="default"/>
      </w:rPr>
    </w:lvl>
    <w:lvl w:ilvl="3">
      <w:start w:val="0"/>
      <w:numFmt w:val="bullet"/>
      <w:lvlText w:val="•"/>
      <w:lvlJc w:val="left"/>
      <w:pPr>
        <w:ind w:left="2613" w:hanging="420"/>
      </w:pPr>
      <w:rPr>
        <w:rFonts w:hint="default"/>
      </w:rPr>
    </w:lvl>
    <w:lvl w:ilvl="4">
      <w:start w:val="0"/>
      <w:numFmt w:val="bullet"/>
      <w:lvlText w:val="•"/>
      <w:lvlJc w:val="left"/>
      <w:pPr>
        <w:ind w:left="3311" w:hanging="420"/>
      </w:pPr>
      <w:rPr>
        <w:rFonts w:hint="default"/>
      </w:rPr>
    </w:lvl>
    <w:lvl w:ilvl="5">
      <w:start w:val="0"/>
      <w:numFmt w:val="bullet"/>
      <w:lvlText w:val="•"/>
      <w:lvlJc w:val="left"/>
      <w:pPr>
        <w:ind w:left="4009" w:hanging="420"/>
      </w:pPr>
      <w:rPr>
        <w:rFonts w:hint="default"/>
      </w:rPr>
    </w:lvl>
    <w:lvl w:ilvl="6">
      <w:start w:val="0"/>
      <w:numFmt w:val="bullet"/>
      <w:lvlText w:val="•"/>
      <w:lvlJc w:val="left"/>
      <w:pPr>
        <w:ind w:left="4706" w:hanging="420"/>
      </w:pPr>
      <w:rPr>
        <w:rFonts w:hint="default"/>
      </w:rPr>
    </w:lvl>
    <w:lvl w:ilvl="7">
      <w:start w:val="0"/>
      <w:numFmt w:val="bullet"/>
      <w:lvlText w:val="•"/>
      <w:lvlJc w:val="left"/>
      <w:pPr>
        <w:ind w:left="5404" w:hanging="420"/>
      </w:pPr>
      <w:rPr>
        <w:rFonts w:hint="default"/>
      </w:rPr>
    </w:lvl>
    <w:lvl w:ilvl="8">
      <w:start w:val="0"/>
      <w:numFmt w:val="bullet"/>
      <w:lvlText w:val="•"/>
      <w:lvlJc w:val="left"/>
      <w:pPr>
        <w:ind w:left="6102" w:hanging="420"/>
      </w:pPr>
      <w:rPr>
        <w:rFonts w:hint="default"/>
      </w:rPr>
    </w:lvl>
  </w:abstractNum>
  <w:abstractNum w:abstractNumId="18">
    <w:multiLevelType w:val="hybridMultilevel"/>
    <w:lvl w:ilvl="0">
      <w:start w:val="1"/>
      <w:numFmt w:val="decimal"/>
      <w:lvlText w:val="(%1)"/>
      <w:lvlJc w:val="left"/>
      <w:pPr>
        <w:ind w:left="457" w:hanging="360"/>
        <w:jc w:val="left"/>
      </w:pPr>
      <w:rPr>
        <w:rFonts w:hint="default" w:ascii="宋体" w:hAnsi="宋体" w:eastAsia="宋体" w:cs="宋体"/>
        <w:spacing w:val="-46"/>
        <w:w w:val="100"/>
        <w:sz w:val="18"/>
        <w:szCs w:val="18"/>
      </w:rPr>
    </w:lvl>
    <w:lvl w:ilvl="1">
      <w:start w:val="0"/>
      <w:numFmt w:val="bullet"/>
      <w:lvlText w:val="•"/>
      <w:lvlJc w:val="left"/>
      <w:pPr>
        <w:ind w:left="1163" w:hanging="360"/>
      </w:pPr>
      <w:rPr>
        <w:rFonts w:hint="default"/>
      </w:rPr>
    </w:lvl>
    <w:lvl w:ilvl="2">
      <w:start w:val="0"/>
      <w:numFmt w:val="bullet"/>
      <w:lvlText w:val="•"/>
      <w:lvlJc w:val="left"/>
      <w:pPr>
        <w:ind w:left="1867" w:hanging="360"/>
      </w:pPr>
      <w:rPr>
        <w:rFonts w:hint="default"/>
      </w:rPr>
    </w:lvl>
    <w:lvl w:ilvl="3">
      <w:start w:val="0"/>
      <w:numFmt w:val="bullet"/>
      <w:lvlText w:val="•"/>
      <w:lvlJc w:val="left"/>
      <w:pPr>
        <w:ind w:left="2571"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79" w:hanging="360"/>
      </w:pPr>
      <w:rPr>
        <w:rFonts w:hint="default"/>
      </w:rPr>
    </w:lvl>
    <w:lvl w:ilvl="6">
      <w:start w:val="0"/>
      <w:numFmt w:val="bullet"/>
      <w:lvlText w:val="•"/>
      <w:lvlJc w:val="left"/>
      <w:pPr>
        <w:ind w:left="4682" w:hanging="360"/>
      </w:pPr>
      <w:rPr>
        <w:rFonts w:hint="default"/>
      </w:rPr>
    </w:lvl>
    <w:lvl w:ilvl="7">
      <w:start w:val="0"/>
      <w:numFmt w:val="bullet"/>
      <w:lvlText w:val="•"/>
      <w:lvlJc w:val="left"/>
      <w:pPr>
        <w:ind w:left="5386" w:hanging="360"/>
      </w:pPr>
      <w:rPr>
        <w:rFonts w:hint="default"/>
      </w:rPr>
    </w:lvl>
    <w:lvl w:ilvl="8">
      <w:start w:val="0"/>
      <w:numFmt w:val="bullet"/>
      <w:lvlText w:val="•"/>
      <w:lvlJc w:val="left"/>
      <w:pPr>
        <w:ind w:left="6090" w:hanging="360"/>
      </w:pPr>
      <w:rPr>
        <w:rFonts w:hint="default"/>
      </w:rPr>
    </w:lvl>
  </w:abstractNum>
  <w:abstractNum w:abstractNumId="17">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7" w:hanging="420"/>
      </w:pPr>
      <w:rPr>
        <w:rFonts w:hint="default"/>
      </w:rPr>
    </w:lvl>
    <w:lvl w:ilvl="4">
      <w:start w:val="0"/>
      <w:numFmt w:val="bullet"/>
      <w:lvlText w:val="•"/>
      <w:lvlJc w:val="left"/>
      <w:pPr>
        <w:ind w:left="3370"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8" w:hanging="420"/>
      </w:pPr>
      <w:rPr>
        <w:rFonts w:hint="default"/>
      </w:rPr>
    </w:lvl>
    <w:lvl w:ilvl="8">
      <w:start w:val="0"/>
      <w:numFmt w:val="bullet"/>
      <w:lvlText w:val="•"/>
      <w:lvlJc w:val="left"/>
      <w:pPr>
        <w:ind w:left="6221" w:hanging="420"/>
      </w:pPr>
      <w:rPr>
        <w:rFonts w:hint="default"/>
      </w:rPr>
    </w:lvl>
  </w:abstractNum>
  <w:abstractNum w:abstractNumId="16">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7" w:hanging="420"/>
      </w:pPr>
      <w:rPr>
        <w:rFonts w:hint="default"/>
      </w:rPr>
    </w:lvl>
    <w:lvl w:ilvl="4">
      <w:start w:val="0"/>
      <w:numFmt w:val="bullet"/>
      <w:lvlText w:val="•"/>
      <w:lvlJc w:val="left"/>
      <w:pPr>
        <w:ind w:left="3370"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8" w:hanging="420"/>
      </w:pPr>
      <w:rPr>
        <w:rFonts w:hint="default"/>
      </w:rPr>
    </w:lvl>
    <w:lvl w:ilvl="8">
      <w:start w:val="0"/>
      <w:numFmt w:val="bullet"/>
      <w:lvlText w:val="•"/>
      <w:lvlJc w:val="left"/>
      <w:pPr>
        <w:ind w:left="6221" w:hanging="420"/>
      </w:pPr>
      <w:rPr>
        <w:rFonts w:hint="default"/>
      </w:rPr>
    </w:lvl>
  </w:abstractNum>
  <w:abstractNum w:abstractNumId="15">
    <w:multiLevelType w:val="hybridMultilevel"/>
    <w:lvl w:ilvl="0">
      <w:start w:val="1"/>
      <w:numFmt w:val="decimal"/>
      <w:lvlText w:val="(%1)"/>
      <w:lvlJc w:val="left"/>
      <w:pPr>
        <w:ind w:left="444" w:hanging="340"/>
        <w:jc w:val="left"/>
      </w:pPr>
      <w:rPr>
        <w:rFonts w:hint="default" w:ascii="宋体" w:hAnsi="宋体" w:eastAsia="宋体" w:cs="宋体"/>
        <w:w w:val="100"/>
        <w:sz w:val="18"/>
        <w:szCs w:val="18"/>
      </w:rPr>
    </w:lvl>
    <w:lvl w:ilvl="1">
      <w:start w:val="0"/>
      <w:numFmt w:val="bullet"/>
      <w:lvlText w:val="•"/>
      <w:lvlJc w:val="left"/>
      <w:pPr>
        <w:ind w:left="1152" w:hanging="340"/>
      </w:pPr>
      <w:rPr>
        <w:rFonts w:hint="default"/>
      </w:rPr>
    </w:lvl>
    <w:lvl w:ilvl="2">
      <w:start w:val="0"/>
      <w:numFmt w:val="bullet"/>
      <w:lvlText w:val="•"/>
      <w:lvlJc w:val="left"/>
      <w:pPr>
        <w:ind w:left="1865" w:hanging="340"/>
      </w:pPr>
      <w:rPr>
        <w:rFonts w:hint="default"/>
      </w:rPr>
    </w:lvl>
    <w:lvl w:ilvl="3">
      <w:start w:val="0"/>
      <w:numFmt w:val="bullet"/>
      <w:lvlText w:val="•"/>
      <w:lvlJc w:val="left"/>
      <w:pPr>
        <w:ind w:left="2577" w:hanging="340"/>
      </w:pPr>
      <w:rPr>
        <w:rFonts w:hint="default"/>
      </w:rPr>
    </w:lvl>
    <w:lvl w:ilvl="4">
      <w:start w:val="0"/>
      <w:numFmt w:val="bullet"/>
      <w:lvlText w:val="•"/>
      <w:lvlJc w:val="left"/>
      <w:pPr>
        <w:ind w:left="3290" w:hanging="340"/>
      </w:pPr>
      <w:rPr>
        <w:rFonts w:hint="default"/>
      </w:rPr>
    </w:lvl>
    <w:lvl w:ilvl="5">
      <w:start w:val="0"/>
      <w:numFmt w:val="bullet"/>
      <w:lvlText w:val="•"/>
      <w:lvlJc w:val="left"/>
      <w:pPr>
        <w:ind w:left="4003" w:hanging="340"/>
      </w:pPr>
      <w:rPr>
        <w:rFonts w:hint="default"/>
      </w:rPr>
    </w:lvl>
    <w:lvl w:ilvl="6">
      <w:start w:val="0"/>
      <w:numFmt w:val="bullet"/>
      <w:lvlText w:val="•"/>
      <w:lvlJc w:val="left"/>
      <w:pPr>
        <w:ind w:left="4715" w:hanging="340"/>
      </w:pPr>
      <w:rPr>
        <w:rFonts w:hint="default"/>
      </w:rPr>
    </w:lvl>
    <w:lvl w:ilvl="7">
      <w:start w:val="0"/>
      <w:numFmt w:val="bullet"/>
      <w:lvlText w:val="•"/>
      <w:lvlJc w:val="left"/>
      <w:pPr>
        <w:ind w:left="5428" w:hanging="340"/>
      </w:pPr>
      <w:rPr>
        <w:rFonts w:hint="default"/>
      </w:rPr>
    </w:lvl>
    <w:lvl w:ilvl="8">
      <w:start w:val="0"/>
      <w:numFmt w:val="bullet"/>
      <w:lvlText w:val="•"/>
      <w:lvlJc w:val="left"/>
      <w:pPr>
        <w:ind w:left="6141" w:hanging="340"/>
      </w:pPr>
      <w:rPr>
        <w:rFonts w:hint="default"/>
      </w:rPr>
    </w:lvl>
  </w:abstractNum>
  <w:abstractNum w:abstractNumId="14">
    <w:multiLevelType w:val="hybridMultilevel"/>
    <w:lvl w:ilvl="0">
      <w:start w:val="1"/>
      <w:numFmt w:val="decimal"/>
      <w:lvlText w:val="(%1)"/>
      <w:lvlJc w:val="left"/>
      <w:pPr>
        <w:ind w:left="104" w:hanging="340"/>
        <w:jc w:val="left"/>
      </w:pPr>
      <w:rPr>
        <w:rFonts w:hint="default" w:ascii="宋体" w:hAnsi="宋体" w:eastAsia="宋体" w:cs="宋体"/>
        <w:w w:val="100"/>
        <w:sz w:val="18"/>
        <w:szCs w:val="18"/>
      </w:rPr>
    </w:lvl>
    <w:lvl w:ilvl="1">
      <w:start w:val="0"/>
      <w:numFmt w:val="bullet"/>
      <w:lvlText w:val="•"/>
      <w:lvlJc w:val="left"/>
      <w:pPr>
        <w:ind w:left="846" w:hanging="340"/>
      </w:pPr>
      <w:rPr>
        <w:rFonts w:hint="default"/>
      </w:rPr>
    </w:lvl>
    <w:lvl w:ilvl="2">
      <w:start w:val="0"/>
      <w:numFmt w:val="bullet"/>
      <w:lvlText w:val="•"/>
      <w:lvlJc w:val="left"/>
      <w:pPr>
        <w:ind w:left="1593" w:hanging="340"/>
      </w:pPr>
      <w:rPr>
        <w:rFonts w:hint="default"/>
      </w:rPr>
    </w:lvl>
    <w:lvl w:ilvl="3">
      <w:start w:val="0"/>
      <w:numFmt w:val="bullet"/>
      <w:lvlText w:val="•"/>
      <w:lvlJc w:val="left"/>
      <w:pPr>
        <w:ind w:left="2339" w:hanging="340"/>
      </w:pPr>
      <w:rPr>
        <w:rFonts w:hint="default"/>
      </w:rPr>
    </w:lvl>
    <w:lvl w:ilvl="4">
      <w:start w:val="0"/>
      <w:numFmt w:val="bullet"/>
      <w:lvlText w:val="•"/>
      <w:lvlJc w:val="left"/>
      <w:pPr>
        <w:ind w:left="3086" w:hanging="340"/>
      </w:pPr>
      <w:rPr>
        <w:rFonts w:hint="default"/>
      </w:rPr>
    </w:lvl>
    <w:lvl w:ilvl="5">
      <w:start w:val="0"/>
      <w:numFmt w:val="bullet"/>
      <w:lvlText w:val="•"/>
      <w:lvlJc w:val="left"/>
      <w:pPr>
        <w:ind w:left="3833" w:hanging="340"/>
      </w:pPr>
      <w:rPr>
        <w:rFonts w:hint="default"/>
      </w:rPr>
    </w:lvl>
    <w:lvl w:ilvl="6">
      <w:start w:val="0"/>
      <w:numFmt w:val="bullet"/>
      <w:lvlText w:val="•"/>
      <w:lvlJc w:val="left"/>
      <w:pPr>
        <w:ind w:left="4579" w:hanging="340"/>
      </w:pPr>
      <w:rPr>
        <w:rFonts w:hint="default"/>
      </w:rPr>
    </w:lvl>
    <w:lvl w:ilvl="7">
      <w:start w:val="0"/>
      <w:numFmt w:val="bullet"/>
      <w:lvlText w:val="•"/>
      <w:lvlJc w:val="left"/>
      <w:pPr>
        <w:ind w:left="5326" w:hanging="340"/>
      </w:pPr>
      <w:rPr>
        <w:rFonts w:hint="default"/>
      </w:rPr>
    </w:lvl>
    <w:lvl w:ilvl="8">
      <w:start w:val="0"/>
      <w:numFmt w:val="bullet"/>
      <w:lvlText w:val="•"/>
      <w:lvlJc w:val="left"/>
      <w:pPr>
        <w:ind w:left="6073" w:hanging="340"/>
      </w:pPr>
      <w:rPr>
        <w:rFonts w:hint="default"/>
      </w:rPr>
    </w:lvl>
  </w:abstractNum>
  <w:abstractNum w:abstractNumId="13">
    <w:multiLevelType w:val="hybridMultilevel"/>
    <w:lvl w:ilvl="0">
      <w:start w:val="1"/>
      <w:numFmt w:val="decimal"/>
      <w:lvlText w:val="(%1)"/>
      <w:lvlJc w:val="left"/>
      <w:pPr>
        <w:ind w:left="464" w:hanging="360"/>
        <w:jc w:val="left"/>
      </w:pPr>
      <w:rPr>
        <w:rFonts w:hint="default" w:ascii="宋体" w:hAnsi="宋体" w:eastAsia="宋体" w:cs="宋体"/>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5" w:hanging="360"/>
      </w:pPr>
      <w:rPr>
        <w:rFonts w:hint="default"/>
      </w:rPr>
    </w:lvl>
  </w:abstractNum>
  <w:abstractNum w:abstractNumId="12">
    <w:multiLevelType w:val="hybridMultilevel"/>
    <w:lvl w:ilvl="0">
      <w:start w:val="1"/>
      <w:numFmt w:val="decimal"/>
      <w:lvlText w:val="%1."/>
      <w:lvlJc w:val="left"/>
      <w:pPr>
        <w:ind w:left="2522" w:hanging="421"/>
        <w:jc w:val="righ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3000" w:hanging="360"/>
      </w:pPr>
      <w:rPr>
        <w:rFonts w:hint="default"/>
      </w:rPr>
    </w:lvl>
    <w:lvl w:ilvl="6">
      <w:start w:val="0"/>
      <w:numFmt w:val="bullet"/>
      <w:lvlText w:val="•"/>
      <w:lvlJc w:val="left"/>
      <w:pPr>
        <w:ind w:left="4396" w:hanging="360"/>
      </w:pPr>
      <w:rPr>
        <w:rFonts w:hint="default"/>
      </w:rPr>
    </w:lvl>
    <w:lvl w:ilvl="7">
      <w:start w:val="0"/>
      <w:numFmt w:val="bullet"/>
      <w:lvlText w:val="•"/>
      <w:lvlJc w:val="left"/>
      <w:pPr>
        <w:ind w:left="5793" w:hanging="360"/>
      </w:pPr>
      <w:rPr>
        <w:rFonts w:hint="default"/>
      </w:rPr>
    </w:lvl>
    <w:lvl w:ilvl="8">
      <w:start w:val="0"/>
      <w:numFmt w:val="bullet"/>
      <w:lvlText w:val="•"/>
      <w:lvlJc w:val="left"/>
      <w:pPr>
        <w:ind w:left="7190" w:hanging="360"/>
      </w:pPr>
      <w:rPr>
        <w:rFonts w:hint="default"/>
      </w:rPr>
    </w:lvl>
  </w:abstractNum>
  <w:abstractNum w:abstractNumId="11">
    <w:multiLevelType w:val="hybridMultilevel"/>
    <w:lvl w:ilvl="0">
      <w:start w:val="1"/>
      <w:numFmt w:val="decimal"/>
      <w:lvlText w:val="%1."/>
      <w:lvlJc w:val="left"/>
      <w:pPr>
        <w:ind w:left="524" w:hanging="421"/>
        <w:jc w:val="left"/>
      </w:pPr>
      <w:rPr>
        <w:rFonts w:hint="default" w:ascii="宋体" w:hAnsi="宋体" w:eastAsia="宋体" w:cs="宋体"/>
        <w:b/>
        <w:bCs/>
        <w:spacing w:val="0"/>
        <w:w w:val="99"/>
        <w:sz w:val="18"/>
        <w:szCs w:val="18"/>
      </w:rPr>
    </w:lvl>
    <w:lvl w:ilvl="1">
      <w:start w:val="0"/>
      <w:numFmt w:val="bullet"/>
      <w:lvlText w:val="•"/>
      <w:lvlJc w:val="left"/>
      <w:pPr>
        <w:ind w:left="700" w:hanging="421"/>
      </w:pPr>
      <w:rPr>
        <w:rFonts w:hint="default"/>
      </w:rPr>
    </w:lvl>
    <w:lvl w:ilvl="2">
      <w:start w:val="0"/>
      <w:numFmt w:val="bullet"/>
      <w:lvlText w:val="•"/>
      <w:lvlJc w:val="left"/>
      <w:pPr>
        <w:ind w:left="881" w:hanging="421"/>
      </w:pPr>
      <w:rPr>
        <w:rFonts w:hint="default"/>
      </w:rPr>
    </w:lvl>
    <w:lvl w:ilvl="3">
      <w:start w:val="0"/>
      <w:numFmt w:val="bullet"/>
      <w:lvlText w:val="•"/>
      <w:lvlJc w:val="left"/>
      <w:pPr>
        <w:ind w:left="1062" w:hanging="421"/>
      </w:pPr>
      <w:rPr>
        <w:rFonts w:hint="default"/>
      </w:rPr>
    </w:lvl>
    <w:lvl w:ilvl="4">
      <w:start w:val="0"/>
      <w:numFmt w:val="bullet"/>
      <w:lvlText w:val="•"/>
      <w:lvlJc w:val="left"/>
      <w:pPr>
        <w:ind w:left="1242" w:hanging="421"/>
      </w:pPr>
      <w:rPr>
        <w:rFonts w:hint="default"/>
      </w:rPr>
    </w:lvl>
    <w:lvl w:ilvl="5">
      <w:start w:val="0"/>
      <w:numFmt w:val="bullet"/>
      <w:lvlText w:val="•"/>
      <w:lvlJc w:val="left"/>
      <w:pPr>
        <w:ind w:left="1423" w:hanging="421"/>
      </w:pPr>
      <w:rPr>
        <w:rFonts w:hint="default"/>
      </w:rPr>
    </w:lvl>
    <w:lvl w:ilvl="6">
      <w:start w:val="0"/>
      <w:numFmt w:val="bullet"/>
      <w:lvlText w:val="•"/>
      <w:lvlJc w:val="left"/>
      <w:pPr>
        <w:ind w:left="1604" w:hanging="421"/>
      </w:pPr>
      <w:rPr>
        <w:rFonts w:hint="default"/>
      </w:rPr>
    </w:lvl>
    <w:lvl w:ilvl="7">
      <w:start w:val="0"/>
      <w:numFmt w:val="bullet"/>
      <w:lvlText w:val="•"/>
      <w:lvlJc w:val="left"/>
      <w:pPr>
        <w:ind w:left="1784" w:hanging="421"/>
      </w:pPr>
      <w:rPr>
        <w:rFonts w:hint="default"/>
      </w:rPr>
    </w:lvl>
    <w:lvl w:ilvl="8">
      <w:start w:val="0"/>
      <w:numFmt w:val="bullet"/>
      <w:lvlText w:val="•"/>
      <w:lvlJc w:val="left"/>
      <w:pPr>
        <w:ind w:left="1965" w:hanging="421"/>
      </w:pPr>
      <w:rPr>
        <w:rFonts w:hint="default"/>
      </w:rPr>
    </w:lvl>
  </w:abstractNum>
  <w:abstractNum w:abstractNumId="10">
    <w:multiLevelType w:val="hybridMultilevel"/>
    <w:lvl w:ilvl="0">
      <w:start w:val="1"/>
      <w:numFmt w:val="decimal"/>
      <w:lvlText w:val="(%1)"/>
      <w:lvlJc w:val="left"/>
      <w:pPr>
        <w:ind w:left="614" w:hanging="398"/>
        <w:jc w:val="left"/>
      </w:pPr>
      <w:rPr>
        <w:rFonts w:hint="default" w:ascii="宋体" w:hAnsi="宋体" w:eastAsia="宋体" w:cs="宋体"/>
        <w:w w:val="100"/>
        <w:sz w:val="18"/>
        <w:szCs w:val="18"/>
      </w:rPr>
    </w:lvl>
    <w:lvl w:ilvl="1">
      <w:start w:val="0"/>
      <w:numFmt w:val="bullet"/>
      <w:lvlText w:val="•"/>
      <w:lvlJc w:val="left"/>
      <w:pPr>
        <w:ind w:left="1333" w:hanging="398"/>
      </w:pPr>
      <w:rPr>
        <w:rFonts w:hint="default"/>
      </w:rPr>
    </w:lvl>
    <w:lvl w:ilvl="2">
      <w:start w:val="0"/>
      <w:numFmt w:val="bullet"/>
      <w:lvlText w:val="•"/>
      <w:lvlJc w:val="left"/>
      <w:pPr>
        <w:ind w:left="2047" w:hanging="398"/>
      </w:pPr>
      <w:rPr>
        <w:rFonts w:hint="default"/>
      </w:rPr>
    </w:lvl>
    <w:lvl w:ilvl="3">
      <w:start w:val="0"/>
      <w:numFmt w:val="bullet"/>
      <w:lvlText w:val="•"/>
      <w:lvlJc w:val="left"/>
      <w:pPr>
        <w:ind w:left="2761" w:hanging="398"/>
      </w:pPr>
      <w:rPr>
        <w:rFonts w:hint="default"/>
      </w:rPr>
    </w:lvl>
    <w:lvl w:ilvl="4">
      <w:start w:val="0"/>
      <w:numFmt w:val="bullet"/>
      <w:lvlText w:val="•"/>
      <w:lvlJc w:val="left"/>
      <w:pPr>
        <w:ind w:left="3475" w:hanging="398"/>
      </w:pPr>
      <w:rPr>
        <w:rFonts w:hint="default"/>
      </w:rPr>
    </w:lvl>
    <w:lvl w:ilvl="5">
      <w:start w:val="0"/>
      <w:numFmt w:val="bullet"/>
      <w:lvlText w:val="•"/>
      <w:lvlJc w:val="left"/>
      <w:pPr>
        <w:ind w:left="4188" w:hanging="398"/>
      </w:pPr>
      <w:rPr>
        <w:rFonts w:hint="default"/>
      </w:rPr>
    </w:lvl>
    <w:lvl w:ilvl="6">
      <w:start w:val="0"/>
      <w:numFmt w:val="bullet"/>
      <w:lvlText w:val="•"/>
      <w:lvlJc w:val="left"/>
      <w:pPr>
        <w:ind w:left="4902" w:hanging="398"/>
      </w:pPr>
      <w:rPr>
        <w:rFonts w:hint="default"/>
      </w:rPr>
    </w:lvl>
    <w:lvl w:ilvl="7">
      <w:start w:val="0"/>
      <w:numFmt w:val="bullet"/>
      <w:lvlText w:val="•"/>
      <w:lvlJc w:val="left"/>
      <w:pPr>
        <w:ind w:left="5616" w:hanging="398"/>
      </w:pPr>
      <w:rPr>
        <w:rFonts w:hint="default"/>
      </w:rPr>
    </w:lvl>
    <w:lvl w:ilvl="8">
      <w:start w:val="0"/>
      <w:numFmt w:val="bullet"/>
      <w:lvlText w:val="•"/>
      <w:lvlJc w:val="left"/>
      <w:pPr>
        <w:ind w:left="6330" w:hanging="398"/>
      </w:pPr>
      <w:rPr>
        <w:rFonts w:hint="default"/>
      </w:rPr>
    </w:lvl>
  </w:abstractNum>
  <w:abstractNum w:abstractNumId="9">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position w:val="-4"/>
        <w:sz w:val="21"/>
        <w:szCs w:val="21"/>
      </w:rPr>
    </w:lvl>
    <w:lvl w:ilvl="2">
      <w:start w:val="1"/>
      <w:numFmt w:val="decimal"/>
      <w:lvlText w:val="(%3)"/>
      <w:lvlJc w:val="left"/>
      <w:pPr>
        <w:ind w:left="2961" w:hanging="398"/>
        <w:jc w:val="left"/>
      </w:pPr>
      <w:rPr>
        <w:rFonts w:hint="default" w:ascii="宋体" w:hAnsi="宋体" w:eastAsia="宋体" w:cs="宋体"/>
        <w:w w:val="100"/>
        <w:sz w:val="18"/>
        <w:szCs w:val="18"/>
      </w:rPr>
    </w:lvl>
    <w:lvl w:ilvl="3">
      <w:start w:val="0"/>
      <w:numFmt w:val="bullet"/>
      <w:lvlText w:val="•"/>
      <w:lvlJc w:val="left"/>
      <w:pPr>
        <w:ind w:left="4547" w:hanging="398"/>
      </w:pPr>
      <w:rPr>
        <w:rFonts w:hint="default"/>
      </w:rPr>
    </w:lvl>
    <w:lvl w:ilvl="4">
      <w:start w:val="0"/>
      <w:numFmt w:val="bullet"/>
      <w:lvlText w:val="•"/>
      <w:lvlJc w:val="left"/>
      <w:pPr>
        <w:ind w:left="5341" w:hanging="398"/>
      </w:pPr>
      <w:rPr>
        <w:rFonts w:hint="default"/>
      </w:rPr>
    </w:lvl>
    <w:lvl w:ilvl="5">
      <w:start w:val="0"/>
      <w:numFmt w:val="bullet"/>
      <w:lvlText w:val="•"/>
      <w:lvlJc w:val="left"/>
      <w:pPr>
        <w:ind w:left="6135" w:hanging="398"/>
      </w:pPr>
      <w:rPr>
        <w:rFonts w:hint="default"/>
      </w:rPr>
    </w:lvl>
    <w:lvl w:ilvl="6">
      <w:start w:val="0"/>
      <w:numFmt w:val="bullet"/>
      <w:lvlText w:val="•"/>
      <w:lvlJc w:val="left"/>
      <w:pPr>
        <w:ind w:left="6929" w:hanging="398"/>
      </w:pPr>
      <w:rPr>
        <w:rFonts w:hint="default"/>
      </w:rPr>
    </w:lvl>
    <w:lvl w:ilvl="7">
      <w:start w:val="0"/>
      <w:numFmt w:val="bullet"/>
      <w:lvlText w:val="•"/>
      <w:lvlJc w:val="left"/>
      <w:pPr>
        <w:ind w:left="7722" w:hanging="398"/>
      </w:pPr>
      <w:rPr>
        <w:rFonts w:hint="default"/>
      </w:rPr>
    </w:lvl>
    <w:lvl w:ilvl="8">
      <w:start w:val="0"/>
      <w:numFmt w:val="bullet"/>
      <w:lvlText w:val="•"/>
      <w:lvlJc w:val="left"/>
      <w:pPr>
        <w:ind w:left="8516" w:hanging="398"/>
      </w:pPr>
      <w:rPr>
        <w:rFonts w:hint="default"/>
      </w:rPr>
    </w:lvl>
  </w:abstractNum>
  <w:abstractNum w:abstractNumId="8">
    <w:multiLevelType w:val="hybridMultilevel"/>
    <w:lvl w:ilvl="0">
      <w:start w:val="7"/>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spacing w:val="0"/>
        <w:w w:val="99"/>
        <w:sz w:val="21"/>
        <w:szCs w:val="21"/>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7">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0" w:hanging="683"/>
      </w:pPr>
      <w:rPr>
        <w:rFonts w:hint="default"/>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6">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5">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1"/>
      <w:numFmt w:val="decimal"/>
      <w:lvlText w:val="(%3)"/>
      <w:lvlJc w:val="left"/>
      <w:pPr>
        <w:ind w:left="3033" w:hanging="420"/>
        <w:jc w:val="left"/>
      </w:pPr>
      <w:rPr>
        <w:rFonts w:hint="default" w:ascii="宋体" w:hAnsi="宋体" w:eastAsia="宋体" w:cs="宋体"/>
        <w:spacing w:val="-31"/>
        <w:w w:val="100"/>
        <w:sz w:val="18"/>
        <w:szCs w:val="18"/>
      </w:rPr>
    </w:lvl>
    <w:lvl w:ilvl="3">
      <w:start w:val="0"/>
      <w:numFmt w:val="bullet"/>
      <w:lvlText w:val="•"/>
      <w:lvlJc w:val="left"/>
      <w:pPr>
        <w:ind w:left="3923" w:hanging="420"/>
      </w:pPr>
      <w:rPr>
        <w:rFonts w:hint="default"/>
      </w:rPr>
    </w:lvl>
    <w:lvl w:ilvl="4">
      <w:start w:val="0"/>
      <w:numFmt w:val="bullet"/>
      <w:lvlText w:val="•"/>
      <w:lvlJc w:val="left"/>
      <w:pPr>
        <w:ind w:left="4806" w:hanging="420"/>
      </w:pPr>
      <w:rPr>
        <w:rFonts w:hint="default"/>
      </w:rPr>
    </w:lvl>
    <w:lvl w:ilvl="5">
      <w:start w:val="0"/>
      <w:numFmt w:val="bullet"/>
      <w:lvlText w:val="•"/>
      <w:lvlJc w:val="left"/>
      <w:pPr>
        <w:ind w:left="5689" w:hanging="420"/>
      </w:pPr>
      <w:rPr>
        <w:rFonts w:hint="default"/>
      </w:rPr>
    </w:lvl>
    <w:lvl w:ilvl="6">
      <w:start w:val="0"/>
      <w:numFmt w:val="bullet"/>
      <w:lvlText w:val="•"/>
      <w:lvlJc w:val="left"/>
      <w:pPr>
        <w:ind w:left="6572" w:hanging="420"/>
      </w:pPr>
      <w:rPr>
        <w:rFonts w:hint="default"/>
      </w:rPr>
    </w:lvl>
    <w:lvl w:ilvl="7">
      <w:start w:val="0"/>
      <w:numFmt w:val="bullet"/>
      <w:lvlText w:val="•"/>
      <w:lvlJc w:val="left"/>
      <w:pPr>
        <w:ind w:left="7455" w:hanging="420"/>
      </w:pPr>
      <w:rPr>
        <w:rFonts w:hint="default"/>
      </w:rPr>
    </w:lvl>
    <w:lvl w:ilvl="8">
      <w:start w:val="0"/>
      <w:numFmt w:val="bullet"/>
      <w:lvlText w:val="•"/>
      <w:lvlJc w:val="left"/>
      <w:pPr>
        <w:ind w:left="8338" w:hanging="420"/>
      </w:pPr>
      <w:rPr>
        <w:rFonts w:hint="default"/>
      </w:rPr>
    </w:lvl>
  </w:abstractNum>
  <w:abstractNum w:abstractNumId="4">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3451" w:hanging="683"/>
      </w:pPr>
      <w:rPr>
        <w:rFonts w:hint="default"/>
      </w:rPr>
    </w:lvl>
    <w:lvl w:ilvl="3">
      <w:start w:val="0"/>
      <w:numFmt w:val="bullet"/>
      <w:lvlText w:val="•"/>
      <w:lvlJc w:val="left"/>
      <w:pPr>
        <w:ind w:left="4283" w:hanging="683"/>
      </w:pPr>
      <w:rPr>
        <w:rFonts w:hint="default"/>
      </w:rPr>
    </w:lvl>
    <w:lvl w:ilvl="4">
      <w:start w:val="0"/>
      <w:numFmt w:val="bullet"/>
      <w:lvlText w:val="•"/>
      <w:lvlJc w:val="left"/>
      <w:pPr>
        <w:ind w:left="5114" w:hanging="683"/>
      </w:pPr>
      <w:rPr>
        <w:rFonts w:hint="default"/>
      </w:rPr>
    </w:lvl>
    <w:lvl w:ilvl="5">
      <w:start w:val="0"/>
      <w:numFmt w:val="bullet"/>
      <w:lvlText w:val="•"/>
      <w:lvlJc w:val="left"/>
      <w:pPr>
        <w:ind w:left="5946" w:hanging="683"/>
      </w:pPr>
      <w:rPr>
        <w:rFonts w:hint="default"/>
      </w:rPr>
    </w:lvl>
    <w:lvl w:ilvl="6">
      <w:start w:val="0"/>
      <w:numFmt w:val="bullet"/>
      <w:lvlText w:val="•"/>
      <w:lvlJc w:val="left"/>
      <w:pPr>
        <w:ind w:left="6778" w:hanging="683"/>
      </w:pPr>
      <w:rPr>
        <w:rFonts w:hint="default"/>
      </w:rPr>
    </w:lvl>
    <w:lvl w:ilvl="7">
      <w:start w:val="0"/>
      <w:numFmt w:val="bullet"/>
      <w:lvlText w:val="•"/>
      <w:lvlJc w:val="left"/>
      <w:pPr>
        <w:ind w:left="7609" w:hanging="683"/>
      </w:pPr>
      <w:rPr>
        <w:rFonts w:hint="default"/>
      </w:rPr>
    </w:lvl>
    <w:lvl w:ilvl="8">
      <w:start w:val="0"/>
      <w:numFmt w:val="bullet"/>
      <w:lvlText w:val="•"/>
      <w:lvlJc w:val="left"/>
      <w:pPr>
        <w:ind w:left="8441" w:hanging="683"/>
      </w:pPr>
      <w:rPr>
        <w:rFonts w:hint="default"/>
      </w:rPr>
    </w:lvl>
  </w:abstractNum>
  <w:abstractNum w:abstractNumId="3">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2">
    <w:multiLevelType w:val="hybridMultilevel"/>
    <w:lvl w:ilvl="0">
      <w:start w:val="8"/>
      <w:numFmt w:val="decimal"/>
      <w:lvlText w:val="%1"/>
      <w:lvlJc w:val="left"/>
      <w:pPr>
        <w:ind w:left="1113" w:hanging="421"/>
        <w:jc w:val="left"/>
      </w:pPr>
      <w:rPr>
        <w:rFonts w:hint="default"/>
      </w:rPr>
    </w:lvl>
    <w:lvl w:ilvl="1">
      <w:start w:val="6"/>
      <w:numFmt w:val="decimal"/>
      <w:lvlText w:val="%1.%2"/>
      <w:lvlJc w:val="left"/>
      <w:pPr>
        <w:ind w:left="1113" w:hanging="421"/>
        <w:jc w:val="left"/>
      </w:pPr>
      <w:rPr>
        <w:rFonts w:hint="default" w:ascii="宋体" w:hAnsi="宋体" w:eastAsia="宋体" w:cs="宋体"/>
        <w:spacing w:val="-2"/>
        <w:w w:val="100"/>
        <w:sz w:val="21"/>
        <w:szCs w:val="21"/>
      </w:rPr>
    </w:lvl>
    <w:lvl w:ilvl="2">
      <w:start w:val="0"/>
      <w:numFmt w:val="bullet"/>
      <w:lvlText w:val="•"/>
      <w:lvlJc w:val="left"/>
      <w:pPr>
        <w:ind w:left="1677" w:hanging="421"/>
      </w:pPr>
      <w:rPr>
        <w:rFonts w:hint="default"/>
      </w:rPr>
    </w:lvl>
    <w:lvl w:ilvl="3">
      <w:start w:val="0"/>
      <w:numFmt w:val="bullet"/>
      <w:lvlText w:val="•"/>
      <w:lvlJc w:val="left"/>
      <w:pPr>
        <w:ind w:left="1956" w:hanging="421"/>
      </w:pPr>
      <w:rPr>
        <w:rFonts w:hint="default"/>
      </w:rPr>
    </w:lvl>
    <w:lvl w:ilvl="4">
      <w:start w:val="0"/>
      <w:numFmt w:val="bullet"/>
      <w:lvlText w:val="•"/>
      <w:lvlJc w:val="left"/>
      <w:pPr>
        <w:ind w:left="2235" w:hanging="421"/>
      </w:pPr>
      <w:rPr>
        <w:rFonts w:hint="default"/>
      </w:rPr>
    </w:lvl>
    <w:lvl w:ilvl="5">
      <w:start w:val="0"/>
      <w:numFmt w:val="bullet"/>
      <w:lvlText w:val="•"/>
      <w:lvlJc w:val="left"/>
      <w:pPr>
        <w:ind w:left="2514" w:hanging="421"/>
      </w:pPr>
      <w:rPr>
        <w:rFonts w:hint="default"/>
      </w:rPr>
    </w:lvl>
    <w:lvl w:ilvl="6">
      <w:start w:val="0"/>
      <w:numFmt w:val="bullet"/>
      <w:lvlText w:val="•"/>
      <w:lvlJc w:val="left"/>
      <w:pPr>
        <w:ind w:left="2793" w:hanging="421"/>
      </w:pPr>
      <w:rPr>
        <w:rFonts w:hint="default"/>
      </w:rPr>
    </w:lvl>
    <w:lvl w:ilvl="7">
      <w:start w:val="0"/>
      <w:numFmt w:val="bullet"/>
      <w:lvlText w:val="•"/>
      <w:lvlJc w:val="left"/>
      <w:pPr>
        <w:ind w:left="3071" w:hanging="421"/>
      </w:pPr>
      <w:rPr>
        <w:rFonts w:hint="default"/>
      </w:rPr>
    </w:lvl>
    <w:lvl w:ilvl="8">
      <w:start w:val="0"/>
      <w:numFmt w:val="bullet"/>
      <w:lvlText w:val="•"/>
      <w:lvlJc w:val="left"/>
      <w:pPr>
        <w:ind w:left="3350" w:hanging="421"/>
      </w:pPr>
      <w:rPr>
        <w:rFonts w:hint="default"/>
      </w:rPr>
    </w:lvl>
  </w:abstractNum>
  <w:abstractNum w:abstractNumId="1">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699" w:right="2828"/>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692"/>
      <w:outlineLvl w:val="3"/>
    </w:pPr>
    <w:rPr>
      <w:rFonts w:ascii="宋体" w:hAnsi="宋体" w:eastAsia="宋体" w:cs="宋体"/>
      <w:b/>
      <w:bCs/>
      <w:sz w:val="21"/>
      <w:szCs w:val="21"/>
    </w:rPr>
  </w:style>
  <w:style w:styleId="Heading4" w:type="paragraph">
    <w:name w:val="Heading 4"/>
    <w:basedOn w:val="Normal"/>
    <w:uiPriority w:val="1"/>
    <w:qFormat/>
    <w:pPr>
      <w:spacing w:before="44"/>
      <w:ind w:left="52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2018-10-19T23:29:37Z</dcterms:created>
  <dcterms:modified xsi:type="dcterms:W3CDTF">2018-10-19T23:29:37Z</dcterms:modified>
</cp:coreProperties>
</file>