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256713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042 号</w:t>
      </w:r>
    </w:p>
    <w:p>
      <w:pPr>
        <w:pStyle w:val="BodyText"/>
        <w:spacing w:before="0"/>
        <w:rPr>
          <w:sz w:val="20"/>
        </w:rPr>
      </w:pPr>
    </w:p>
    <w:p>
      <w:pPr>
        <w:pStyle w:val="BodyText"/>
        <w:spacing w:before="4"/>
        <w:rPr>
          <w:sz w:val="29"/>
        </w:rPr>
      </w:pPr>
    </w:p>
    <w:p>
      <w:pPr>
        <w:spacing w:after="0"/>
        <w:rPr>
          <w:sz w:val="29"/>
        </w:rPr>
        <w:sectPr>
          <w:type w:val="continuous"/>
          <w:pgSz w:w="11910" w:h="16840"/>
          <w:pgMar w:top="800" w:bottom="280" w:left="880" w:right="260"/>
        </w:sectPr>
      </w:pPr>
    </w:p>
    <w:p>
      <w:pPr>
        <w:pStyle w:val="Heading1"/>
        <w:spacing w:line="220" w:lineRule="auto"/>
        <w:ind w:left="4192" w:hanging="1362"/>
      </w:pPr>
      <w:r>
        <w:rPr/>
        <w:t>泰康附加基本重大疾病保险条款阅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0"/>
        <w:rPr>
          <w:rFonts w:ascii="微软雅黑"/>
          <w:b/>
          <w:sz w:val="18"/>
        </w:rPr>
      </w:pPr>
    </w:p>
    <w:p>
      <w:pPr>
        <w:pStyle w:val="BodyText"/>
        <w:spacing w:before="0"/>
        <w:ind w:left="682"/>
      </w:pPr>
      <w:r>
        <w:rPr/>
        <w:t>请扫描以查询验证条款</w:t>
      </w:r>
    </w:p>
    <w:p>
      <w:pPr>
        <w:spacing w:after="0"/>
        <w:sectPr>
          <w:type w:val="continuous"/>
          <w:pgSz w:w="11910" w:h="16840"/>
          <w:pgMar w:top="800" w:bottom="280" w:left="880" w:right="260"/>
          <w:cols w:num="2" w:equalWidth="0">
            <w:col w:w="7316" w:space="40"/>
            <w:col w:w="3414"/>
          </w:cols>
        </w:sectPr>
      </w:pPr>
    </w:p>
    <w:p>
      <w:pPr>
        <w:pStyle w:val="BodyText"/>
        <w:spacing w:before="10"/>
        <w:rPr>
          <w:sz w:val="14"/>
        </w:rPr>
      </w:pPr>
    </w:p>
    <w:p>
      <w:pPr>
        <w:pStyle w:val="BodyText"/>
        <w:ind w:left="667" w:right="122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609.450pt;mso-position-horizontal-relative:page;mso-position-vertical-relative:paragraph;z-index:-35824" coordorigin="984,36" coordsize="9936,12189">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2215" stroked="true" strokeweight=".48pt" strokecolor="#000000">
              <v:stroke dashstyle="solid"/>
            </v:line>
            <v:rect style="position:absolute;left:984;top:12215;width:10;height:10" filled="true" fillcolor="#000000" stroked="false">
              <v:fill type="solid"/>
            </v:rect>
            <v:line style="position:absolute" from="994,12220" to="10910,12220" stroked="true" strokeweight=".47998pt" strokecolor="#000000">
              <v:stroke dashstyle="solid"/>
            </v:line>
            <v:line style="position:absolute" from="10915,46" to="10915,12215" stroked="true" strokeweight=".47998pt" strokecolor="#000000">
              <v:stroke dashstyle="solid"/>
            </v:line>
            <v:rect style="position:absolute;left:10910;top:12215;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18" w:val="left" w:leader="dot"/>
        </w:tabs>
        <w:spacing w:line="259" w:lineRule="auto" w:before="25" w:after="0"/>
        <w:ind w:left="1237" w:right="1217" w:hanging="387"/>
        <w:jc w:val="left"/>
        <w:rPr>
          <w:sz w:val="21"/>
        </w:rPr>
      </w:pPr>
      <w:r>
        <w:rPr>
          <w:spacing w:val="-3"/>
          <w:sz w:val="21"/>
        </w:rPr>
        <w:t>签</w:t>
      </w:r>
      <w:r>
        <w:rPr>
          <w:sz w:val="21"/>
        </w:rPr>
        <w:t>收</w:t>
      </w:r>
      <w:r>
        <w:rPr>
          <w:spacing w:val="-3"/>
          <w:sz w:val="21"/>
        </w:rPr>
        <w:t>本</w:t>
      </w:r>
      <w:r>
        <w:rPr>
          <w:sz w:val="21"/>
        </w:rPr>
        <w:t>附</w:t>
      </w:r>
      <w:r>
        <w:rPr>
          <w:spacing w:val="-3"/>
          <w:sz w:val="21"/>
        </w:rPr>
        <w:t>加合</w:t>
      </w:r>
      <w:r>
        <w:rPr>
          <w:sz w:val="21"/>
        </w:rPr>
        <w:t>同的次日</w:t>
      </w:r>
      <w:r>
        <w:rPr>
          <w:spacing w:val="-3"/>
          <w:sz w:val="21"/>
        </w:rPr>
        <w:t>零时</w:t>
      </w:r>
      <w:r>
        <w:rPr>
          <w:sz w:val="21"/>
        </w:rPr>
        <w:t>起</w:t>
      </w:r>
      <w:r>
        <w:rPr>
          <w:spacing w:val="-34"/>
          <w:sz w:val="21"/>
        </w:rPr>
        <w:t> </w:t>
      </w:r>
      <w:r>
        <w:rPr>
          <w:sz w:val="21"/>
        </w:rPr>
        <w:t>10</w:t>
      </w:r>
      <w:r>
        <w:rPr>
          <w:spacing w:val="-37"/>
          <w:sz w:val="21"/>
        </w:rPr>
        <w:t> </w:t>
      </w:r>
      <w:r>
        <w:rPr>
          <w:sz w:val="21"/>
        </w:rPr>
        <w:t>日</w:t>
      </w:r>
      <w:r>
        <w:rPr>
          <w:spacing w:val="-3"/>
          <w:sz w:val="21"/>
        </w:rPr>
        <w:t>（即</w:t>
      </w:r>
      <w:r>
        <w:rPr>
          <w:sz w:val="21"/>
        </w:rPr>
        <w:t>犹豫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1.4</w:t>
      </w:r>
    </w:p>
    <w:p>
      <w:pPr>
        <w:pStyle w:val="ListParagraph"/>
        <w:numPr>
          <w:ilvl w:val="0"/>
          <w:numId w:val="1"/>
        </w:numPr>
        <w:tabs>
          <w:tab w:pos="1249" w:val="left" w:leader="none"/>
          <w:tab w:pos="1250" w:val="left" w:leader="none"/>
          <w:tab w:pos="9230" w:val="left" w:leader="dot"/>
        </w:tabs>
        <w:spacing w:line="240" w:lineRule="auto" w:before="20" w:after="0"/>
        <w:ind w:left="1237" w:right="0" w:hanging="387"/>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227" w:val="left" w:leader="dot"/>
        </w:tabs>
        <w:spacing w:line="240" w:lineRule="auto" w:before="22" w:after="0"/>
        <w:ind w:left="1237" w:right="0" w:hanging="387"/>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28" w:val="left" w:leader="dot"/>
        </w:tabs>
        <w:spacing w:line="240" w:lineRule="auto" w:before="26" w:after="0"/>
        <w:ind w:left="1237" w:right="0" w:hanging="387"/>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228" w:val="left" w:leader="dot"/>
        </w:tabs>
        <w:spacing w:line="240" w:lineRule="auto" w:before="21"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228" w:val="left" w:leader="dot"/>
        </w:tabs>
        <w:spacing w:line="240" w:lineRule="auto" w:before="21" w:after="0"/>
        <w:ind w:left="1237" w:right="0" w:hanging="387"/>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230" w:val="left" w:leader="dot"/>
        </w:tabs>
        <w:spacing w:line="240" w:lineRule="auto" w:before="21" w:after="0"/>
        <w:ind w:left="1237" w:right="0" w:hanging="387"/>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233" w:val="left" w:leader="dot"/>
        </w:tabs>
        <w:spacing w:line="240" w:lineRule="auto" w:before="21"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233" w:val="left" w:leader="dot"/>
        </w:tabs>
        <w:spacing w:line="240" w:lineRule="auto" w:before="21"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230" w:val="left" w:leader="dot"/>
        </w:tabs>
        <w:spacing w:line="240" w:lineRule="auto" w:before="21" w:after="0"/>
        <w:ind w:left="1237" w:right="0" w:hanging="387"/>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800" w:bottom="280" w:left="880" w:right="260"/>
        </w:sectPr>
      </w:pPr>
    </w:p>
    <w:p>
      <w:pPr>
        <w:pStyle w:val="ListParagraph"/>
        <w:numPr>
          <w:ilvl w:val="0"/>
          <w:numId w:val="2"/>
        </w:numPr>
        <w:tabs>
          <w:tab w:pos="645" w:val="left" w:leader="none"/>
        </w:tabs>
        <w:spacing w:line="240" w:lineRule="auto" w:before="26" w:after="0"/>
        <w:ind w:left="644" w:right="0" w:hanging="317"/>
        <w:jc w:val="left"/>
        <w:rPr>
          <w:b/>
          <w:sz w:val="21"/>
        </w:rPr>
      </w:pPr>
      <w:r>
        <w:rPr>
          <w:b/>
          <w:sz w:val="21"/>
        </w:rPr>
        <w:t>您与我们订立的合同</w:t>
      </w:r>
    </w:p>
    <w:p>
      <w:pPr>
        <w:pStyle w:val="ListParagraph"/>
        <w:numPr>
          <w:ilvl w:val="1"/>
          <w:numId w:val="2"/>
        </w:numPr>
        <w:tabs>
          <w:tab w:pos="854" w:val="left" w:leader="none"/>
        </w:tabs>
        <w:spacing w:line="240" w:lineRule="auto" w:before="37" w:after="0"/>
        <w:ind w:left="853" w:right="0" w:hanging="421"/>
        <w:jc w:val="left"/>
        <w:rPr>
          <w:sz w:val="21"/>
        </w:rPr>
      </w:pPr>
      <w:r>
        <w:rPr>
          <w:spacing w:val="-2"/>
          <w:sz w:val="21"/>
        </w:rPr>
        <w:t>合同构成</w:t>
      </w:r>
    </w:p>
    <w:p>
      <w:pPr>
        <w:pStyle w:val="ListParagraph"/>
        <w:numPr>
          <w:ilvl w:val="1"/>
          <w:numId w:val="2"/>
        </w:numPr>
        <w:tabs>
          <w:tab w:pos="854" w:val="left" w:leader="none"/>
        </w:tabs>
        <w:spacing w:line="240" w:lineRule="auto" w:before="37" w:after="0"/>
        <w:ind w:left="853" w:right="0" w:hanging="421"/>
        <w:jc w:val="left"/>
        <w:rPr>
          <w:sz w:val="21"/>
        </w:rPr>
      </w:pPr>
      <w:r>
        <w:rPr>
          <w:spacing w:val="-3"/>
          <w:sz w:val="21"/>
        </w:rPr>
        <w:t>合同成立及生效</w:t>
      </w:r>
    </w:p>
    <w:p>
      <w:pPr>
        <w:pStyle w:val="ListParagraph"/>
        <w:numPr>
          <w:ilvl w:val="1"/>
          <w:numId w:val="3"/>
        </w:numPr>
        <w:tabs>
          <w:tab w:pos="750" w:val="left" w:leader="none"/>
        </w:tabs>
        <w:spacing w:line="240" w:lineRule="auto" w:before="26" w:after="0"/>
        <w:ind w:left="749" w:right="0" w:hanging="422"/>
        <w:jc w:val="left"/>
        <w:rPr>
          <w:sz w:val="21"/>
        </w:rPr>
      </w:pPr>
      <w:r>
        <w:rPr>
          <w:spacing w:val="-3"/>
          <w:w w:val="100"/>
          <w:sz w:val="21"/>
        </w:rPr>
        <w:br w:type="column"/>
      </w:r>
      <w:r>
        <w:rPr>
          <w:spacing w:val="-3"/>
          <w:sz w:val="21"/>
        </w:rPr>
        <w:t>现金价值</w:t>
      </w:r>
    </w:p>
    <w:p>
      <w:pPr>
        <w:pStyle w:val="ListParagraph"/>
        <w:numPr>
          <w:ilvl w:val="1"/>
          <w:numId w:val="3"/>
        </w:numPr>
        <w:tabs>
          <w:tab w:pos="748" w:val="left" w:leader="none"/>
        </w:tabs>
        <w:spacing w:line="240" w:lineRule="auto" w:before="37" w:after="0"/>
        <w:ind w:left="747" w:right="0" w:hanging="420"/>
        <w:jc w:val="left"/>
        <w:rPr>
          <w:sz w:val="21"/>
        </w:rPr>
      </w:pPr>
      <w:r>
        <w:rPr>
          <w:spacing w:val="-3"/>
          <w:sz w:val="21"/>
        </w:rPr>
        <w:t>保险费自动垫交</w:t>
      </w:r>
    </w:p>
    <w:p>
      <w:pPr>
        <w:pStyle w:val="ListParagraph"/>
        <w:numPr>
          <w:ilvl w:val="1"/>
          <w:numId w:val="3"/>
        </w:numPr>
        <w:tabs>
          <w:tab w:pos="750" w:val="left" w:leader="none"/>
        </w:tabs>
        <w:spacing w:line="240" w:lineRule="auto" w:before="37" w:after="0"/>
        <w:ind w:left="749" w:right="0" w:hanging="422"/>
        <w:jc w:val="left"/>
        <w:rPr>
          <w:sz w:val="21"/>
        </w:rPr>
      </w:pPr>
      <w:r>
        <w:rPr>
          <w:spacing w:val="-3"/>
          <w:sz w:val="21"/>
        </w:rPr>
        <w:t>减保</w:t>
      </w:r>
    </w:p>
    <w:p>
      <w:pPr>
        <w:pStyle w:val="ListParagraph"/>
        <w:numPr>
          <w:ilvl w:val="1"/>
          <w:numId w:val="4"/>
        </w:numPr>
        <w:tabs>
          <w:tab w:pos="853" w:val="left" w:leader="none"/>
        </w:tabs>
        <w:spacing w:line="240" w:lineRule="auto" w:before="26" w:after="0"/>
        <w:ind w:left="852" w:right="0" w:hanging="525"/>
        <w:jc w:val="left"/>
        <w:rPr>
          <w:sz w:val="21"/>
        </w:rPr>
      </w:pPr>
      <w:r>
        <w:rPr>
          <w:w w:val="100"/>
          <w:sz w:val="21"/>
        </w:rPr>
        <w:br w:type="column"/>
      </w:r>
      <w:r>
        <w:rPr>
          <w:sz w:val="21"/>
        </w:rPr>
        <w:t>毒品</w:t>
      </w:r>
    </w:p>
    <w:p>
      <w:pPr>
        <w:pStyle w:val="ListParagraph"/>
        <w:numPr>
          <w:ilvl w:val="1"/>
          <w:numId w:val="4"/>
        </w:numPr>
        <w:tabs>
          <w:tab w:pos="853" w:val="left" w:leader="none"/>
        </w:tabs>
        <w:spacing w:line="240" w:lineRule="auto" w:before="37" w:after="0"/>
        <w:ind w:left="852" w:right="0" w:hanging="525"/>
        <w:jc w:val="left"/>
        <w:rPr>
          <w:sz w:val="21"/>
        </w:rPr>
      </w:pPr>
      <w:r>
        <w:rPr>
          <w:spacing w:val="-2"/>
          <w:sz w:val="21"/>
        </w:rPr>
        <w:t>酒后驾驶</w:t>
      </w:r>
    </w:p>
    <w:p>
      <w:pPr>
        <w:pStyle w:val="ListParagraph"/>
        <w:numPr>
          <w:ilvl w:val="1"/>
          <w:numId w:val="4"/>
        </w:numPr>
        <w:tabs>
          <w:tab w:pos="959" w:val="left" w:leader="none"/>
        </w:tabs>
        <w:spacing w:line="240" w:lineRule="auto" w:before="37" w:after="0"/>
        <w:ind w:left="958" w:right="0" w:hanging="631"/>
        <w:jc w:val="left"/>
        <w:rPr>
          <w:sz w:val="21"/>
        </w:rPr>
      </w:pPr>
      <w:r>
        <w:rPr>
          <w:spacing w:val="-3"/>
          <w:sz w:val="21"/>
        </w:rPr>
        <w:t>无合法有效驾驶证驾驶</w:t>
      </w:r>
    </w:p>
    <w:p>
      <w:pPr>
        <w:spacing w:after="0" w:line="240" w:lineRule="auto"/>
        <w:jc w:val="left"/>
        <w:rPr>
          <w:sz w:val="21"/>
        </w:rPr>
        <w:sectPr>
          <w:type w:val="continuous"/>
          <w:pgSz w:w="11910" w:h="16840"/>
          <w:pgMar w:top="800" w:bottom="280" w:left="880" w:right="260"/>
          <w:cols w:num="3" w:equalWidth="0">
            <w:col w:w="2546" w:space="640"/>
            <w:col w:w="2219" w:space="932"/>
            <w:col w:w="4433"/>
          </w:cols>
        </w:sectPr>
      </w:pPr>
    </w:p>
    <w:p>
      <w:pPr>
        <w:pStyle w:val="BodyText"/>
        <w:spacing w:before="9"/>
        <w:rPr>
          <w:sz w:val="7"/>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3689"/>
        <w:gridCol w:w="763"/>
        <w:gridCol w:w="2595"/>
      </w:tblGrid>
      <w:tr>
        <w:trPr>
          <w:trHeight w:val="261" w:hRule="atLeast"/>
        </w:trPr>
        <w:tc>
          <w:tcPr>
            <w:tcW w:w="2488" w:type="dxa"/>
          </w:tcPr>
          <w:p>
            <w:pPr>
              <w:pStyle w:val="TableParagraph"/>
              <w:spacing w:line="211" w:lineRule="exact"/>
              <w:ind w:left="155"/>
              <w:rPr>
                <w:sz w:val="21"/>
              </w:rPr>
            </w:pPr>
            <w:r>
              <w:rPr>
                <w:sz w:val="21"/>
              </w:rPr>
              <w:t>1.3 投保年龄</w:t>
            </w:r>
          </w:p>
        </w:tc>
        <w:tc>
          <w:tcPr>
            <w:tcW w:w="3689" w:type="dxa"/>
          </w:tcPr>
          <w:p>
            <w:pPr>
              <w:pStyle w:val="TableParagraph"/>
              <w:spacing w:line="211" w:lineRule="exact"/>
              <w:ind w:left="642"/>
              <w:rPr>
                <w:b/>
                <w:sz w:val="21"/>
              </w:rPr>
            </w:pPr>
            <w:r>
              <w:rPr>
                <w:b/>
                <w:sz w:val="21"/>
              </w:rPr>
              <w:t>6. 合同效力的中止及恢复</w:t>
            </w:r>
          </w:p>
        </w:tc>
        <w:tc>
          <w:tcPr>
            <w:tcW w:w="763" w:type="dxa"/>
          </w:tcPr>
          <w:p>
            <w:pPr>
              <w:pStyle w:val="TableParagraph"/>
              <w:spacing w:line="211" w:lineRule="exact"/>
              <w:ind w:right="22"/>
              <w:jc w:val="right"/>
              <w:rPr>
                <w:sz w:val="21"/>
              </w:rPr>
            </w:pPr>
            <w:r>
              <w:rPr>
                <w:sz w:val="21"/>
              </w:rPr>
              <w:t>10.11</w:t>
            </w:r>
          </w:p>
        </w:tc>
        <w:tc>
          <w:tcPr>
            <w:tcW w:w="2595" w:type="dxa"/>
          </w:tcPr>
          <w:p>
            <w:pPr>
              <w:pStyle w:val="TableParagraph"/>
              <w:spacing w:line="211" w:lineRule="exact"/>
              <w:ind w:left="78"/>
              <w:rPr>
                <w:sz w:val="21"/>
              </w:rPr>
            </w:pPr>
            <w:r>
              <w:rPr>
                <w:sz w:val="21"/>
              </w:rPr>
              <w:t>无有效行驶证</w:t>
            </w:r>
          </w:p>
        </w:tc>
      </w:tr>
      <w:tr>
        <w:trPr>
          <w:trHeight w:val="311" w:hRule="atLeast"/>
        </w:trPr>
        <w:tc>
          <w:tcPr>
            <w:tcW w:w="2488" w:type="dxa"/>
          </w:tcPr>
          <w:p>
            <w:pPr>
              <w:pStyle w:val="TableParagraph"/>
              <w:spacing w:line="261" w:lineRule="exact"/>
              <w:ind w:left="155"/>
              <w:rPr>
                <w:sz w:val="21"/>
              </w:rPr>
            </w:pPr>
            <w:r>
              <w:rPr>
                <w:sz w:val="21"/>
              </w:rPr>
              <w:t>1.4 犹豫期</w:t>
            </w:r>
          </w:p>
        </w:tc>
        <w:tc>
          <w:tcPr>
            <w:tcW w:w="3689" w:type="dxa"/>
          </w:tcPr>
          <w:p>
            <w:pPr>
              <w:pStyle w:val="TableParagraph"/>
              <w:spacing w:line="261" w:lineRule="exact"/>
              <w:ind w:left="747"/>
              <w:rPr>
                <w:sz w:val="21"/>
              </w:rPr>
            </w:pPr>
            <w:r>
              <w:rPr>
                <w:sz w:val="21"/>
              </w:rPr>
              <w:t>6.1 效力中止</w:t>
            </w:r>
          </w:p>
        </w:tc>
        <w:tc>
          <w:tcPr>
            <w:tcW w:w="763" w:type="dxa"/>
          </w:tcPr>
          <w:p>
            <w:pPr>
              <w:pStyle w:val="TableParagraph"/>
              <w:spacing w:line="261" w:lineRule="exact"/>
              <w:ind w:right="22"/>
              <w:jc w:val="right"/>
              <w:rPr>
                <w:sz w:val="21"/>
              </w:rPr>
            </w:pPr>
            <w:r>
              <w:rPr>
                <w:sz w:val="21"/>
              </w:rPr>
              <w:t>10.12</w:t>
            </w:r>
          </w:p>
        </w:tc>
        <w:tc>
          <w:tcPr>
            <w:tcW w:w="2595" w:type="dxa"/>
          </w:tcPr>
          <w:p>
            <w:pPr>
              <w:pStyle w:val="TableParagraph"/>
              <w:spacing w:line="261" w:lineRule="exact"/>
              <w:ind w:left="78"/>
              <w:rPr>
                <w:sz w:val="21"/>
              </w:rPr>
            </w:pPr>
            <w:r>
              <w:rPr>
                <w:sz w:val="21"/>
              </w:rPr>
              <w:t>机动车</w:t>
            </w:r>
          </w:p>
        </w:tc>
      </w:tr>
      <w:tr>
        <w:trPr>
          <w:trHeight w:val="312" w:hRule="atLeast"/>
        </w:trPr>
        <w:tc>
          <w:tcPr>
            <w:tcW w:w="2488" w:type="dxa"/>
          </w:tcPr>
          <w:p>
            <w:pPr>
              <w:pStyle w:val="TableParagraph"/>
              <w:spacing w:line="261" w:lineRule="exact"/>
              <w:ind w:left="50"/>
              <w:rPr>
                <w:b/>
                <w:sz w:val="21"/>
              </w:rPr>
            </w:pPr>
            <w:r>
              <w:rPr>
                <w:b/>
                <w:sz w:val="21"/>
              </w:rPr>
              <w:t>2. 我们提供的保障</w:t>
            </w:r>
          </w:p>
        </w:tc>
        <w:tc>
          <w:tcPr>
            <w:tcW w:w="3689" w:type="dxa"/>
          </w:tcPr>
          <w:p>
            <w:pPr>
              <w:pStyle w:val="TableParagraph"/>
              <w:spacing w:line="261" w:lineRule="exact"/>
              <w:ind w:left="747"/>
              <w:rPr>
                <w:sz w:val="21"/>
              </w:rPr>
            </w:pPr>
            <w:r>
              <w:rPr>
                <w:sz w:val="21"/>
              </w:rPr>
              <w:t>6.2 效力恢复</w:t>
            </w:r>
          </w:p>
        </w:tc>
        <w:tc>
          <w:tcPr>
            <w:tcW w:w="763" w:type="dxa"/>
          </w:tcPr>
          <w:p>
            <w:pPr>
              <w:pStyle w:val="TableParagraph"/>
              <w:spacing w:line="261" w:lineRule="exact"/>
              <w:ind w:right="22"/>
              <w:jc w:val="right"/>
              <w:rPr>
                <w:sz w:val="21"/>
              </w:rPr>
            </w:pPr>
            <w:r>
              <w:rPr>
                <w:sz w:val="21"/>
              </w:rPr>
              <w:t>10.13</w:t>
            </w:r>
          </w:p>
        </w:tc>
        <w:tc>
          <w:tcPr>
            <w:tcW w:w="2595" w:type="dxa"/>
          </w:tcPr>
          <w:p>
            <w:pPr>
              <w:pStyle w:val="TableParagraph"/>
              <w:spacing w:line="261" w:lineRule="exact"/>
              <w:ind w:left="78"/>
              <w:rPr>
                <w:sz w:val="21"/>
              </w:rPr>
            </w:pPr>
            <w:r>
              <w:rPr>
                <w:sz w:val="21"/>
              </w:rPr>
              <w:t>感染艾滋病病毒或者患艾</w:t>
            </w:r>
          </w:p>
        </w:tc>
      </w:tr>
      <w:tr>
        <w:trPr>
          <w:trHeight w:val="312" w:hRule="atLeast"/>
        </w:trPr>
        <w:tc>
          <w:tcPr>
            <w:tcW w:w="2488" w:type="dxa"/>
          </w:tcPr>
          <w:p>
            <w:pPr>
              <w:pStyle w:val="TableParagraph"/>
              <w:spacing w:line="261" w:lineRule="exact"/>
              <w:ind w:left="155"/>
              <w:rPr>
                <w:sz w:val="21"/>
              </w:rPr>
            </w:pPr>
            <w:r>
              <w:rPr>
                <w:sz w:val="21"/>
              </w:rPr>
              <w:t>2.1 保险金额</w:t>
            </w:r>
          </w:p>
        </w:tc>
        <w:tc>
          <w:tcPr>
            <w:tcW w:w="3689" w:type="dxa"/>
          </w:tcPr>
          <w:p>
            <w:pPr>
              <w:pStyle w:val="TableParagraph"/>
              <w:spacing w:line="261" w:lineRule="exact"/>
              <w:ind w:left="642"/>
              <w:rPr>
                <w:b/>
                <w:sz w:val="21"/>
              </w:rPr>
            </w:pPr>
            <w:r>
              <w:rPr>
                <w:b/>
                <w:sz w:val="21"/>
              </w:rPr>
              <w:t>7. 合同解除</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滋病</w:t>
            </w:r>
          </w:p>
        </w:tc>
      </w:tr>
      <w:tr>
        <w:trPr>
          <w:trHeight w:val="311" w:hRule="atLeast"/>
        </w:trPr>
        <w:tc>
          <w:tcPr>
            <w:tcW w:w="2488" w:type="dxa"/>
          </w:tcPr>
          <w:p>
            <w:pPr>
              <w:pStyle w:val="TableParagraph"/>
              <w:spacing w:line="261" w:lineRule="exact"/>
              <w:ind w:left="155"/>
              <w:rPr>
                <w:sz w:val="21"/>
              </w:rPr>
            </w:pPr>
            <w:r>
              <w:rPr>
                <w:sz w:val="21"/>
              </w:rPr>
              <w:t>2.2 保险期间</w:t>
            </w:r>
          </w:p>
        </w:tc>
        <w:tc>
          <w:tcPr>
            <w:tcW w:w="3689" w:type="dxa"/>
          </w:tcPr>
          <w:p>
            <w:pPr>
              <w:pStyle w:val="TableParagraph"/>
              <w:spacing w:line="261" w:lineRule="exact"/>
              <w:ind w:left="747"/>
              <w:rPr>
                <w:sz w:val="21"/>
              </w:rPr>
            </w:pPr>
            <w:r>
              <w:rPr>
                <w:sz w:val="21"/>
              </w:rPr>
              <w:t>7.1 您解除合同的手续及风险</w:t>
            </w:r>
          </w:p>
        </w:tc>
        <w:tc>
          <w:tcPr>
            <w:tcW w:w="763" w:type="dxa"/>
          </w:tcPr>
          <w:p>
            <w:pPr>
              <w:pStyle w:val="TableParagraph"/>
              <w:spacing w:line="261" w:lineRule="exact"/>
              <w:ind w:right="22"/>
              <w:jc w:val="right"/>
              <w:rPr>
                <w:sz w:val="21"/>
              </w:rPr>
            </w:pPr>
            <w:r>
              <w:rPr>
                <w:sz w:val="21"/>
              </w:rPr>
              <w:t>10.14</w:t>
            </w:r>
          </w:p>
        </w:tc>
        <w:tc>
          <w:tcPr>
            <w:tcW w:w="2595" w:type="dxa"/>
          </w:tcPr>
          <w:p>
            <w:pPr>
              <w:pStyle w:val="TableParagraph"/>
              <w:spacing w:line="261" w:lineRule="exact"/>
              <w:ind w:left="78"/>
              <w:rPr>
                <w:sz w:val="21"/>
              </w:rPr>
            </w:pPr>
            <w:r>
              <w:rPr>
                <w:sz w:val="21"/>
              </w:rPr>
              <w:t>遗传性疾病</w:t>
            </w:r>
          </w:p>
        </w:tc>
      </w:tr>
      <w:tr>
        <w:trPr>
          <w:trHeight w:val="312" w:hRule="atLeast"/>
        </w:trPr>
        <w:tc>
          <w:tcPr>
            <w:tcW w:w="2488" w:type="dxa"/>
          </w:tcPr>
          <w:p>
            <w:pPr>
              <w:pStyle w:val="TableParagraph"/>
              <w:spacing w:line="261" w:lineRule="exact"/>
              <w:ind w:left="155"/>
              <w:rPr>
                <w:sz w:val="21"/>
              </w:rPr>
            </w:pPr>
            <w:r>
              <w:rPr>
                <w:sz w:val="21"/>
              </w:rPr>
              <w:t>2.3 保险责任</w:t>
            </w:r>
          </w:p>
        </w:tc>
        <w:tc>
          <w:tcPr>
            <w:tcW w:w="3689" w:type="dxa"/>
          </w:tcPr>
          <w:p>
            <w:pPr>
              <w:pStyle w:val="TableParagraph"/>
              <w:spacing w:line="261" w:lineRule="exact"/>
              <w:ind w:left="642"/>
              <w:rPr>
                <w:b/>
                <w:sz w:val="21"/>
              </w:rPr>
            </w:pPr>
            <w:r>
              <w:rPr>
                <w:b/>
                <w:sz w:val="21"/>
              </w:rPr>
              <w:t>8. 其它需要关注的事项</w:t>
            </w:r>
          </w:p>
        </w:tc>
        <w:tc>
          <w:tcPr>
            <w:tcW w:w="763" w:type="dxa"/>
          </w:tcPr>
          <w:p>
            <w:pPr>
              <w:pStyle w:val="TableParagraph"/>
              <w:spacing w:line="261" w:lineRule="exact"/>
              <w:ind w:right="22"/>
              <w:jc w:val="right"/>
              <w:rPr>
                <w:sz w:val="21"/>
              </w:rPr>
            </w:pPr>
            <w:r>
              <w:rPr>
                <w:sz w:val="21"/>
              </w:rPr>
              <w:t>10.15</w:t>
            </w:r>
          </w:p>
        </w:tc>
        <w:tc>
          <w:tcPr>
            <w:tcW w:w="2595" w:type="dxa"/>
          </w:tcPr>
          <w:p>
            <w:pPr>
              <w:pStyle w:val="TableParagraph"/>
              <w:spacing w:line="261" w:lineRule="exact"/>
              <w:ind w:left="78"/>
              <w:rPr>
                <w:sz w:val="21"/>
              </w:rPr>
            </w:pPr>
            <w:r>
              <w:rPr>
                <w:sz w:val="21"/>
              </w:rPr>
              <w:t>先天性畸形、变形或者染</w:t>
            </w:r>
          </w:p>
        </w:tc>
      </w:tr>
      <w:tr>
        <w:trPr>
          <w:trHeight w:val="311" w:hRule="atLeast"/>
        </w:trPr>
        <w:tc>
          <w:tcPr>
            <w:tcW w:w="2488" w:type="dxa"/>
          </w:tcPr>
          <w:p>
            <w:pPr>
              <w:pStyle w:val="TableParagraph"/>
              <w:spacing w:line="261" w:lineRule="exact"/>
              <w:ind w:left="155"/>
              <w:rPr>
                <w:sz w:val="21"/>
              </w:rPr>
            </w:pPr>
            <w:r>
              <w:rPr>
                <w:sz w:val="21"/>
              </w:rPr>
              <w:t>2.4 责任免除</w:t>
            </w:r>
          </w:p>
        </w:tc>
        <w:tc>
          <w:tcPr>
            <w:tcW w:w="3689" w:type="dxa"/>
          </w:tcPr>
          <w:p>
            <w:pPr>
              <w:pStyle w:val="TableParagraph"/>
              <w:spacing w:line="261" w:lineRule="exact"/>
              <w:ind w:left="747"/>
              <w:rPr>
                <w:sz w:val="21"/>
              </w:rPr>
            </w:pPr>
            <w:r>
              <w:rPr>
                <w:sz w:val="21"/>
              </w:rPr>
              <w:t>8.1 效力终止</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色体异常</w:t>
            </w:r>
          </w:p>
        </w:tc>
      </w:tr>
      <w:tr>
        <w:trPr>
          <w:trHeight w:val="311" w:hRule="atLeast"/>
        </w:trPr>
        <w:tc>
          <w:tcPr>
            <w:tcW w:w="2488" w:type="dxa"/>
          </w:tcPr>
          <w:p>
            <w:pPr>
              <w:pStyle w:val="TableParagraph"/>
              <w:spacing w:line="261" w:lineRule="exact"/>
              <w:ind w:left="50"/>
              <w:rPr>
                <w:b/>
                <w:sz w:val="21"/>
              </w:rPr>
            </w:pPr>
            <w:r>
              <w:rPr>
                <w:b/>
                <w:sz w:val="21"/>
              </w:rPr>
              <w:t>3. 保险金的申请</w:t>
            </w:r>
          </w:p>
        </w:tc>
        <w:tc>
          <w:tcPr>
            <w:tcW w:w="3689" w:type="dxa"/>
          </w:tcPr>
          <w:p>
            <w:pPr>
              <w:pStyle w:val="TableParagraph"/>
              <w:spacing w:line="261" w:lineRule="exact"/>
              <w:ind w:left="747"/>
              <w:rPr>
                <w:sz w:val="21"/>
              </w:rPr>
            </w:pPr>
            <w:r>
              <w:rPr>
                <w:sz w:val="21"/>
              </w:rPr>
              <w:t>8.2 适用主合同条款</w:t>
            </w:r>
          </w:p>
        </w:tc>
        <w:tc>
          <w:tcPr>
            <w:tcW w:w="763" w:type="dxa"/>
          </w:tcPr>
          <w:p>
            <w:pPr>
              <w:pStyle w:val="TableParagraph"/>
              <w:spacing w:line="261" w:lineRule="exact"/>
              <w:ind w:right="22"/>
              <w:jc w:val="right"/>
              <w:rPr>
                <w:sz w:val="21"/>
              </w:rPr>
            </w:pPr>
            <w:r>
              <w:rPr>
                <w:sz w:val="21"/>
              </w:rPr>
              <w:t>10.16</w:t>
            </w:r>
          </w:p>
        </w:tc>
        <w:tc>
          <w:tcPr>
            <w:tcW w:w="2595" w:type="dxa"/>
          </w:tcPr>
          <w:p>
            <w:pPr>
              <w:pStyle w:val="TableParagraph"/>
              <w:spacing w:line="261" w:lineRule="exact"/>
              <w:ind w:left="78"/>
              <w:rPr>
                <w:sz w:val="21"/>
              </w:rPr>
            </w:pPr>
            <w:r>
              <w:rPr>
                <w:sz w:val="21"/>
              </w:rPr>
              <w:t>现金价值</w:t>
            </w:r>
          </w:p>
        </w:tc>
      </w:tr>
      <w:tr>
        <w:trPr>
          <w:trHeight w:val="312" w:hRule="atLeast"/>
        </w:trPr>
        <w:tc>
          <w:tcPr>
            <w:tcW w:w="2488" w:type="dxa"/>
          </w:tcPr>
          <w:p>
            <w:pPr>
              <w:pStyle w:val="TableParagraph"/>
              <w:spacing w:line="261" w:lineRule="exact"/>
              <w:ind w:left="155"/>
              <w:rPr>
                <w:sz w:val="21"/>
              </w:rPr>
            </w:pPr>
            <w:r>
              <w:rPr>
                <w:sz w:val="21"/>
              </w:rPr>
              <w:t>3.1 受益人</w:t>
            </w:r>
          </w:p>
        </w:tc>
        <w:tc>
          <w:tcPr>
            <w:tcW w:w="3689" w:type="dxa"/>
          </w:tcPr>
          <w:p>
            <w:pPr>
              <w:pStyle w:val="TableParagraph"/>
              <w:spacing w:line="261" w:lineRule="exact"/>
              <w:ind w:left="642"/>
              <w:rPr>
                <w:b/>
                <w:sz w:val="21"/>
              </w:rPr>
            </w:pPr>
            <w:r>
              <w:rPr>
                <w:b/>
                <w:sz w:val="21"/>
              </w:rPr>
              <w:t>9. 重大疾病定义</w:t>
            </w:r>
          </w:p>
        </w:tc>
        <w:tc>
          <w:tcPr>
            <w:tcW w:w="763" w:type="dxa"/>
          </w:tcPr>
          <w:p>
            <w:pPr>
              <w:pStyle w:val="TableParagraph"/>
              <w:spacing w:line="261" w:lineRule="exact"/>
              <w:ind w:right="22"/>
              <w:jc w:val="right"/>
              <w:rPr>
                <w:sz w:val="21"/>
              </w:rPr>
            </w:pPr>
            <w:r>
              <w:rPr>
                <w:sz w:val="21"/>
              </w:rPr>
              <w:t>10.17</w:t>
            </w:r>
          </w:p>
        </w:tc>
        <w:tc>
          <w:tcPr>
            <w:tcW w:w="2595" w:type="dxa"/>
          </w:tcPr>
          <w:p>
            <w:pPr>
              <w:pStyle w:val="TableParagraph"/>
              <w:spacing w:line="261" w:lineRule="exact"/>
              <w:ind w:left="78"/>
              <w:rPr>
                <w:sz w:val="21"/>
              </w:rPr>
            </w:pPr>
            <w:r>
              <w:rPr>
                <w:sz w:val="21"/>
              </w:rPr>
              <w:t>专科医生</w:t>
            </w:r>
          </w:p>
        </w:tc>
      </w:tr>
      <w:tr>
        <w:trPr>
          <w:trHeight w:val="312" w:hRule="atLeast"/>
        </w:trPr>
        <w:tc>
          <w:tcPr>
            <w:tcW w:w="2488" w:type="dxa"/>
          </w:tcPr>
          <w:p>
            <w:pPr>
              <w:pStyle w:val="TableParagraph"/>
              <w:spacing w:line="262" w:lineRule="exact"/>
              <w:ind w:left="155"/>
              <w:rPr>
                <w:sz w:val="21"/>
              </w:rPr>
            </w:pPr>
            <w:r>
              <w:rPr>
                <w:sz w:val="21"/>
              </w:rPr>
              <w:t>3.2 保险事故通知</w:t>
            </w:r>
          </w:p>
        </w:tc>
        <w:tc>
          <w:tcPr>
            <w:tcW w:w="3689" w:type="dxa"/>
          </w:tcPr>
          <w:p>
            <w:pPr>
              <w:pStyle w:val="TableParagraph"/>
              <w:spacing w:line="262" w:lineRule="exact"/>
              <w:ind w:left="642"/>
              <w:rPr>
                <w:b/>
                <w:sz w:val="21"/>
              </w:rPr>
            </w:pPr>
            <w:r>
              <w:rPr>
                <w:b/>
                <w:sz w:val="21"/>
              </w:rPr>
              <w:t>10. 释义</w:t>
            </w:r>
          </w:p>
        </w:tc>
        <w:tc>
          <w:tcPr>
            <w:tcW w:w="763" w:type="dxa"/>
          </w:tcPr>
          <w:p>
            <w:pPr>
              <w:pStyle w:val="TableParagraph"/>
              <w:spacing w:line="262" w:lineRule="exact"/>
              <w:ind w:right="22"/>
              <w:jc w:val="right"/>
              <w:rPr>
                <w:sz w:val="21"/>
              </w:rPr>
            </w:pPr>
            <w:r>
              <w:rPr>
                <w:sz w:val="21"/>
              </w:rPr>
              <w:t>10.18</w:t>
            </w:r>
          </w:p>
        </w:tc>
        <w:tc>
          <w:tcPr>
            <w:tcW w:w="2595" w:type="dxa"/>
          </w:tcPr>
          <w:p>
            <w:pPr>
              <w:pStyle w:val="TableParagraph"/>
              <w:spacing w:line="262" w:lineRule="exact"/>
              <w:ind w:left="78"/>
              <w:rPr>
                <w:sz w:val="21"/>
              </w:rPr>
            </w:pPr>
            <w:r>
              <w:rPr>
                <w:sz w:val="21"/>
              </w:rPr>
              <w:t>利息</w:t>
            </w:r>
          </w:p>
        </w:tc>
      </w:tr>
      <w:tr>
        <w:trPr>
          <w:trHeight w:val="311" w:hRule="atLeast"/>
        </w:trPr>
        <w:tc>
          <w:tcPr>
            <w:tcW w:w="2488" w:type="dxa"/>
          </w:tcPr>
          <w:p>
            <w:pPr>
              <w:pStyle w:val="TableParagraph"/>
              <w:spacing w:line="261" w:lineRule="exact"/>
              <w:ind w:left="155"/>
              <w:rPr>
                <w:sz w:val="21"/>
              </w:rPr>
            </w:pPr>
            <w:r>
              <w:rPr>
                <w:sz w:val="21"/>
              </w:rPr>
              <w:t>3.3 保险金申请</w:t>
            </w:r>
          </w:p>
        </w:tc>
        <w:tc>
          <w:tcPr>
            <w:tcW w:w="3689" w:type="dxa"/>
          </w:tcPr>
          <w:p>
            <w:pPr>
              <w:pStyle w:val="TableParagraph"/>
              <w:spacing w:line="261" w:lineRule="exact"/>
              <w:ind w:left="747"/>
              <w:rPr>
                <w:sz w:val="21"/>
              </w:rPr>
            </w:pPr>
            <w:r>
              <w:rPr>
                <w:sz w:val="21"/>
              </w:rPr>
              <w:t>10.1 保单年度</w:t>
            </w:r>
          </w:p>
        </w:tc>
        <w:tc>
          <w:tcPr>
            <w:tcW w:w="763" w:type="dxa"/>
          </w:tcPr>
          <w:p>
            <w:pPr>
              <w:pStyle w:val="TableParagraph"/>
              <w:spacing w:line="261" w:lineRule="exact"/>
              <w:ind w:right="24"/>
              <w:jc w:val="right"/>
              <w:rPr>
                <w:sz w:val="21"/>
              </w:rPr>
            </w:pPr>
            <w:r>
              <w:rPr>
                <w:sz w:val="21"/>
              </w:rPr>
              <w:t>10.19</w:t>
            </w:r>
          </w:p>
        </w:tc>
        <w:tc>
          <w:tcPr>
            <w:tcW w:w="2595" w:type="dxa"/>
          </w:tcPr>
          <w:p>
            <w:pPr>
              <w:pStyle w:val="TableParagraph"/>
              <w:spacing w:line="261" w:lineRule="exact"/>
              <w:ind w:left="25"/>
              <w:rPr>
                <w:sz w:val="21"/>
              </w:rPr>
            </w:pPr>
            <w:r>
              <w:rPr>
                <w:sz w:val="21"/>
              </w:rPr>
              <w:t>与保险金额减少部分相对应</w:t>
            </w:r>
          </w:p>
        </w:tc>
      </w:tr>
      <w:tr>
        <w:trPr>
          <w:trHeight w:val="312" w:hRule="atLeast"/>
        </w:trPr>
        <w:tc>
          <w:tcPr>
            <w:tcW w:w="2488" w:type="dxa"/>
          </w:tcPr>
          <w:p>
            <w:pPr>
              <w:pStyle w:val="TableParagraph"/>
              <w:spacing w:line="261" w:lineRule="exact"/>
              <w:ind w:left="155"/>
              <w:rPr>
                <w:sz w:val="21"/>
              </w:rPr>
            </w:pPr>
            <w:r>
              <w:rPr>
                <w:sz w:val="21"/>
              </w:rPr>
              <w:t>3.4 保险金给付</w:t>
            </w:r>
          </w:p>
        </w:tc>
        <w:tc>
          <w:tcPr>
            <w:tcW w:w="3689" w:type="dxa"/>
          </w:tcPr>
          <w:p>
            <w:pPr>
              <w:pStyle w:val="TableParagraph"/>
              <w:spacing w:line="261" w:lineRule="exact"/>
              <w:ind w:left="747"/>
              <w:rPr>
                <w:sz w:val="21"/>
              </w:rPr>
            </w:pPr>
            <w:r>
              <w:rPr>
                <w:sz w:val="21"/>
              </w:rPr>
              <w:t>10.2 保险费约定交纳日</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的现金价值</w:t>
            </w:r>
          </w:p>
        </w:tc>
      </w:tr>
      <w:tr>
        <w:trPr>
          <w:trHeight w:val="311" w:hRule="atLeast"/>
        </w:trPr>
        <w:tc>
          <w:tcPr>
            <w:tcW w:w="2488" w:type="dxa"/>
          </w:tcPr>
          <w:p>
            <w:pPr>
              <w:pStyle w:val="TableParagraph"/>
              <w:spacing w:line="261" w:lineRule="exact"/>
              <w:ind w:left="155"/>
              <w:rPr>
                <w:sz w:val="21"/>
              </w:rPr>
            </w:pPr>
            <w:r>
              <w:rPr>
                <w:sz w:val="21"/>
              </w:rPr>
              <w:t>3.5 诉讼时效</w:t>
            </w:r>
          </w:p>
        </w:tc>
        <w:tc>
          <w:tcPr>
            <w:tcW w:w="3689" w:type="dxa"/>
          </w:tcPr>
          <w:p>
            <w:pPr>
              <w:pStyle w:val="TableParagraph"/>
              <w:spacing w:line="261" w:lineRule="exact"/>
              <w:ind w:left="747"/>
              <w:rPr>
                <w:sz w:val="21"/>
              </w:rPr>
            </w:pPr>
            <w:r>
              <w:rPr>
                <w:sz w:val="21"/>
              </w:rPr>
              <w:t>10.3 周岁</w:t>
            </w:r>
          </w:p>
        </w:tc>
        <w:tc>
          <w:tcPr>
            <w:tcW w:w="763" w:type="dxa"/>
          </w:tcPr>
          <w:p>
            <w:pPr>
              <w:pStyle w:val="TableParagraph"/>
              <w:spacing w:line="261" w:lineRule="exact"/>
              <w:ind w:right="22"/>
              <w:jc w:val="right"/>
              <w:rPr>
                <w:sz w:val="21"/>
              </w:rPr>
            </w:pPr>
            <w:r>
              <w:rPr>
                <w:sz w:val="21"/>
              </w:rPr>
              <w:t>10.20</w:t>
            </w:r>
          </w:p>
        </w:tc>
        <w:tc>
          <w:tcPr>
            <w:tcW w:w="2595" w:type="dxa"/>
          </w:tcPr>
          <w:p>
            <w:pPr>
              <w:pStyle w:val="TableParagraph"/>
              <w:spacing w:line="261" w:lineRule="exact"/>
              <w:ind w:left="78"/>
              <w:rPr>
                <w:sz w:val="21"/>
              </w:rPr>
            </w:pPr>
            <w:r>
              <w:rPr>
                <w:sz w:val="21"/>
              </w:rPr>
              <w:t>肢体机能完全丧失</w:t>
            </w:r>
          </w:p>
        </w:tc>
      </w:tr>
      <w:tr>
        <w:trPr>
          <w:trHeight w:val="311" w:hRule="atLeast"/>
        </w:trPr>
        <w:tc>
          <w:tcPr>
            <w:tcW w:w="2488" w:type="dxa"/>
          </w:tcPr>
          <w:p>
            <w:pPr>
              <w:pStyle w:val="TableParagraph"/>
              <w:spacing w:line="261" w:lineRule="exact"/>
              <w:ind w:left="50"/>
              <w:rPr>
                <w:b/>
                <w:sz w:val="21"/>
              </w:rPr>
            </w:pPr>
            <w:r>
              <w:rPr>
                <w:b/>
                <w:sz w:val="21"/>
              </w:rPr>
              <w:t>4. 保险费的交纳</w:t>
            </w:r>
          </w:p>
        </w:tc>
        <w:tc>
          <w:tcPr>
            <w:tcW w:w="3689" w:type="dxa"/>
          </w:tcPr>
          <w:p>
            <w:pPr>
              <w:pStyle w:val="TableParagraph"/>
              <w:spacing w:line="261" w:lineRule="exact"/>
              <w:ind w:left="747"/>
              <w:rPr>
                <w:sz w:val="21"/>
              </w:rPr>
            </w:pPr>
            <w:r>
              <w:rPr>
                <w:sz w:val="21"/>
              </w:rPr>
              <w:t>10.4 有效身份证件</w:t>
            </w:r>
          </w:p>
        </w:tc>
        <w:tc>
          <w:tcPr>
            <w:tcW w:w="763" w:type="dxa"/>
          </w:tcPr>
          <w:p>
            <w:pPr>
              <w:pStyle w:val="TableParagraph"/>
              <w:spacing w:line="261" w:lineRule="exact"/>
              <w:ind w:right="22"/>
              <w:jc w:val="right"/>
              <w:rPr>
                <w:sz w:val="21"/>
              </w:rPr>
            </w:pPr>
            <w:r>
              <w:rPr>
                <w:sz w:val="21"/>
              </w:rPr>
              <w:t>10.21</w:t>
            </w:r>
          </w:p>
        </w:tc>
        <w:tc>
          <w:tcPr>
            <w:tcW w:w="2595" w:type="dxa"/>
          </w:tcPr>
          <w:p>
            <w:pPr>
              <w:pStyle w:val="TableParagraph"/>
              <w:spacing w:line="261" w:lineRule="exact"/>
              <w:ind w:left="78"/>
              <w:rPr>
                <w:sz w:val="21"/>
              </w:rPr>
            </w:pPr>
            <w:r>
              <w:rPr>
                <w:sz w:val="21"/>
              </w:rPr>
              <w:t>语言能力或咀嚼吞咽能</w:t>
            </w:r>
          </w:p>
        </w:tc>
      </w:tr>
      <w:tr>
        <w:trPr>
          <w:trHeight w:val="311" w:hRule="atLeast"/>
        </w:trPr>
        <w:tc>
          <w:tcPr>
            <w:tcW w:w="2488" w:type="dxa"/>
          </w:tcPr>
          <w:p>
            <w:pPr>
              <w:pStyle w:val="TableParagraph"/>
              <w:spacing w:line="261" w:lineRule="exact"/>
              <w:ind w:left="155"/>
              <w:rPr>
                <w:sz w:val="21"/>
              </w:rPr>
            </w:pPr>
            <w:r>
              <w:rPr>
                <w:sz w:val="21"/>
              </w:rPr>
              <w:t>4.1 保险费的交纳</w:t>
            </w:r>
          </w:p>
        </w:tc>
        <w:tc>
          <w:tcPr>
            <w:tcW w:w="3689" w:type="dxa"/>
          </w:tcPr>
          <w:p>
            <w:pPr>
              <w:pStyle w:val="TableParagraph"/>
              <w:spacing w:line="261" w:lineRule="exact"/>
              <w:ind w:left="747"/>
              <w:rPr>
                <w:sz w:val="21"/>
              </w:rPr>
            </w:pPr>
            <w:r>
              <w:rPr>
                <w:sz w:val="21"/>
              </w:rPr>
              <w:t>10.5 医院</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力完全丧失</w:t>
            </w:r>
          </w:p>
        </w:tc>
      </w:tr>
      <w:tr>
        <w:trPr>
          <w:trHeight w:val="311" w:hRule="atLeast"/>
        </w:trPr>
        <w:tc>
          <w:tcPr>
            <w:tcW w:w="2488" w:type="dxa"/>
          </w:tcPr>
          <w:p>
            <w:pPr>
              <w:pStyle w:val="TableParagraph"/>
              <w:spacing w:line="261" w:lineRule="exact"/>
              <w:ind w:left="155"/>
              <w:rPr>
                <w:sz w:val="21"/>
              </w:rPr>
            </w:pPr>
            <w:r>
              <w:rPr>
                <w:sz w:val="21"/>
              </w:rPr>
              <w:t>4.2 宽限期</w:t>
            </w:r>
          </w:p>
        </w:tc>
        <w:tc>
          <w:tcPr>
            <w:tcW w:w="3689" w:type="dxa"/>
          </w:tcPr>
          <w:p>
            <w:pPr>
              <w:pStyle w:val="TableParagraph"/>
              <w:spacing w:line="261" w:lineRule="exact"/>
              <w:ind w:left="747"/>
              <w:rPr>
                <w:sz w:val="21"/>
              </w:rPr>
            </w:pPr>
            <w:r>
              <w:rPr>
                <w:sz w:val="21"/>
              </w:rPr>
              <w:t>10.6 初次确诊</w:t>
            </w:r>
          </w:p>
        </w:tc>
        <w:tc>
          <w:tcPr>
            <w:tcW w:w="763" w:type="dxa"/>
          </w:tcPr>
          <w:p>
            <w:pPr>
              <w:pStyle w:val="TableParagraph"/>
              <w:spacing w:line="261" w:lineRule="exact"/>
              <w:ind w:right="22"/>
              <w:jc w:val="right"/>
              <w:rPr>
                <w:sz w:val="21"/>
              </w:rPr>
            </w:pPr>
            <w:r>
              <w:rPr>
                <w:sz w:val="21"/>
              </w:rPr>
              <w:t>10.22</w:t>
            </w:r>
          </w:p>
        </w:tc>
        <w:tc>
          <w:tcPr>
            <w:tcW w:w="2595" w:type="dxa"/>
          </w:tcPr>
          <w:p>
            <w:pPr>
              <w:pStyle w:val="TableParagraph"/>
              <w:spacing w:line="261" w:lineRule="exact"/>
              <w:ind w:left="78"/>
              <w:rPr>
                <w:sz w:val="21"/>
              </w:rPr>
            </w:pPr>
            <w:r>
              <w:rPr>
                <w:sz w:val="21"/>
              </w:rPr>
              <w:t>六项基本日常生活活动</w:t>
            </w:r>
          </w:p>
        </w:tc>
      </w:tr>
      <w:tr>
        <w:trPr>
          <w:trHeight w:val="315" w:hRule="atLeast"/>
        </w:trPr>
        <w:tc>
          <w:tcPr>
            <w:tcW w:w="2488" w:type="dxa"/>
          </w:tcPr>
          <w:p>
            <w:pPr>
              <w:pStyle w:val="TableParagraph"/>
              <w:spacing w:line="261" w:lineRule="exact"/>
              <w:ind w:left="50"/>
              <w:rPr>
                <w:b/>
                <w:sz w:val="21"/>
              </w:rPr>
            </w:pPr>
            <w:r>
              <w:rPr>
                <w:b/>
                <w:sz w:val="21"/>
              </w:rPr>
              <w:t>5. 现金价值权益</w:t>
            </w:r>
          </w:p>
        </w:tc>
        <w:tc>
          <w:tcPr>
            <w:tcW w:w="3689" w:type="dxa"/>
          </w:tcPr>
          <w:p>
            <w:pPr>
              <w:pStyle w:val="TableParagraph"/>
              <w:spacing w:line="261" w:lineRule="exact"/>
              <w:ind w:left="747"/>
              <w:rPr>
                <w:sz w:val="21"/>
              </w:rPr>
            </w:pPr>
            <w:r>
              <w:rPr>
                <w:sz w:val="21"/>
              </w:rPr>
              <w:t>10.7 意外伤害</w:t>
            </w:r>
          </w:p>
        </w:tc>
        <w:tc>
          <w:tcPr>
            <w:tcW w:w="763" w:type="dxa"/>
          </w:tcPr>
          <w:p>
            <w:pPr>
              <w:pStyle w:val="TableParagraph"/>
              <w:spacing w:line="261" w:lineRule="exact"/>
              <w:ind w:right="22"/>
              <w:jc w:val="right"/>
              <w:rPr>
                <w:sz w:val="21"/>
              </w:rPr>
            </w:pPr>
            <w:r>
              <w:rPr>
                <w:sz w:val="21"/>
              </w:rPr>
              <w:t>10.23</w:t>
            </w:r>
          </w:p>
        </w:tc>
        <w:tc>
          <w:tcPr>
            <w:tcW w:w="2595" w:type="dxa"/>
          </w:tcPr>
          <w:p>
            <w:pPr>
              <w:pStyle w:val="TableParagraph"/>
              <w:spacing w:line="261" w:lineRule="exact"/>
              <w:ind w:left="78"/>
              <w:rPr>
                <w:sz w:val="21"/>
              </w:rPr>
            </w:pPr>
            <w:r>
              <w:rPr>
                <w:sz w:val="21"/>
              </w:rPr>
              <w:t>永久不可逆</w:t>
            </w:r>
          </w:p>
        </w:tc>
      </w:tr>
    </w:tbl>
    <w:p>
      <w:pPr>
        <w:spacing w:after="0" w:line="261" w:lineRule="exact"/>
        <w:rPr>
          <w:sz w:val="21"/>
        </w:rPr>
        <w:sectPr>
          <w:type w:val="continuous"/>
          <w:pgSz w:w="11910" w:h="16840"/>
          <w:pgMar w:top="800" w:bottom="280" w:left="880" w:right="260"/>
        </w:sectPr>
      </w:pPr>
    </w:p>
    <w:p>
      <w:pPr>
        <w:pStyle w:val="Heading1"/>
        <w:spacing w:line="478" w:lineRule="exact"/>
        <w:ind w:left="3110"/>
      </w:pPr>
      <w:r>
        <w:rPr/>
        <w:t>泰康人寿保险股份有限公司</w:t>
      </w:r>
    </w:p>
    <w:p>
      <w:pPr>
        <w:spacing w:before="71"/>
        <w:ind w:left="2790" w:right="0" w:firstLine="0"/>
        <w:jc w:val="left"/>
        <w:rPr>
          <w:rFonts w:ascii="微软雅黑" w:eastAsia="微软雅黑" w:hint="eastAsia"/>
          <w:b/>
          <w:sz w:val="32"/>
        </w:rPr>
      </w:pPr>
      <w:r>
        <w:rPr>
          <w:rFonts w:ascii="微软雅黑" w:eastAsia="微软雅黑" w:hint="eastAsia"/>
          <w:b/>
          <w:w w:val="95"/>
          <w:sz w:val="32"/>
        </w:rPr>
        <w:t>泰康附加基本重大疾病保险条款</w:t>
      </w:r>
    </w:p>
    <w:p>
      <w:pPr>
        <w:pStyle w:val="BodyText"/>
        <w:spacing w:before="107"/>
        <w:ind w:left="2747"/>
      </w:pPr>
      <w:r>
        <w:rPr/>
        <w:t>（2011 年 12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3"/>
          <w:w w:val="100"/>
        </w:rPr>
        <w:t>的分公司，“本附加合同”指您与我们之间订立的“泰康附加基本重大疾病保险合同”，“被保险人”指</w:t>
      </w:r>
      <w:r>
        <w:rPr>
          <w:spacing w:val="-3"/>
        </w:rPr>
        <w:t>本附加合同的被保险人，投保人、被保险人的姓名在保险单上载明。</w:t>
      </w:r>
    </w:p>
    <w:p>
      <w:pPr>
        <w:pStyle w:val="BodyText"/>
        <w:spacing w:before="0"/>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3"/>
              <w:jc w:val="both"/>
              <w:rPr>
                <w:sz w:val="21"/>
              </w:rPr>
            </w:pPr>
            <w:r>
              <w:rPr>
                <w:spacing w:val="-5"/>
                <w:w w:val="100"/>
                <w:sz w:val="21"/>
              </w:rPr>
              <w:t>本附加合同由主保险合同</w:t>
            </w:r>
            <w:r>
              <w:rPr>
                <w:w w:val="100"/>
                <w:sz w:val="21"/>
              </w:rPr>
              <w:t>（</w:t>
            </w:r>
            <w:r>
              <w:rPr>
                <w:spacing w:val="-17"/>
                <w:w w:val="100"/>
                <w:sz w:val="21"/>
              </w:rPr>
              <w:t>以下简称“主合同”）</w:t>
            </w:r>
            <w:r>
              <w:rPr>
                <w:spacing w:val="-6"/>
                <w:w w:val="100"/>
                <w:sz w:val="21"/>
              </w:rPr>
              <w:t>的投保人申请，经我们同意，附</w:t>
            </w:r>
            <w:r>
              <w:rPr>
                <w:spacing w:val="-4"/>
                <w:sz w:val="21"/>
              </w:rPr>
              <w:t>加于主合同。</w:t>
            </w:r>
          </w:p>
          <w:p>
            <w:pPr>
              <w:pStyle w:val="TableParagraph"/>
              <w:spacing w:line="273" w:lineRule="auto" w:before="89"/>
              <w:ind w:left="131"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29"/>
              <w:rPr>
                <w:b/>
                <w:sz w:val="21"/>
              </w:rPr>
            </w:pPr>
            <w:r>
              <w:rPr>
                <w:b/>
                <w:sz w:val="21"/>
              </w:rPr>
              <w:t>合同成立及生效</w:t>
            </w:r>
          </w:p>
        </w:tc>
        <w:tc>
          <w:tcPr>
            <w:tcW w:w="7624" w:type="dxa"/>
          </w:tcPr>
          <w:p>
            <w:pPr>
              <w:pStyle w:val="TableParagraph"/>
              <w:spacing w:line="273" w:lineRule="auto" w:before="110"/>
              <w:ind w:left="131" w:right="103"/>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1"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1"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ind w:left="131"/>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1"/>
              <w:ind w:left="107"/>
              <w:rPr>
                <w:b/>
                <w:sz w:val="21"/>
              </w:rPr>
            </w:pPr>
            <w:r>
              <w:rPr>
                <w:b/>
                <w:sz w:val="21"/>
              </w:rPr>
              <w:t>1.4</w:t>
            </w:r>
          </w:p>
        </w:tc>
        <w:tc>
          <w:tcPr>
            <w:tcW w:w="1638" w:type="dxa"/>
          </w:tcPr>
          <w:p>
            <w:pPr>
              <w:pStyle w:val="TableParagraph"/>
              <w:spacing w:before="111"/>
              <w:ind w:left="238"/>
              <w:rPr>
                <w:b/>
                <w:sz w:val="21"/>
              </w:rPr>
            </w:pPr>
            <w:r>
              <w:rPr>
                <w:b/>
                <w:sz w:val="21"/>
              </w:rPr>
              <w:t>犹豫期</w:t>
            </w:r>
          </w:p>
        </w:tc>
        <w:tc>
          <w:tcPr>
            <w:tcW w:w="7624" w:type="dxa"/>
          </w:tcPr>
          <w:p>
            <w:pPr>
              <w:pStyle w:val="TableParagraph"/>
              <w:spacing w:line="271" w:lineRule="auto" w:before="111"/>
              <w:ind w:left="131" w:right="103"/>
              <w:jc w:val="both"/>
              <w:rPr>
                <w:sz w:val="21"/>
              </w:rPr>
            </w:pPr>
            <w:r>
              <w:rPr>
                <w:spacing w:val="-7"/>
                <w:sz w:val="21"/>
              </w:rPr>
              <w:t>自您签收本附加合同的次日零时起，有 </w:t>
            </w:r>
            <w:r>
              <w:rPr>
                <w:sz w:val="21"/>
              </w:rPr>
              <w:t>10</w:t>
            </w:r>
            <w:r>
              <w:rPr>
                <w:spacing w:val="-12"/>
                <w:sz w:val="21"/>
              </w:rPr>
              <w:t> 日的犹豫期。在此期间，请您认真审视</w:t>
            </w:r>
            <w:r>
              <w:rPr>
                <w:spacing w:val="-11"/>
                <w:sz w:val="21"/>
              </w:rPr>
              <w:t>本附加合同，如果您认为本附加合同与您的需求不相符，您可以在此期间提出解</w:t>
            </w:r>
            <w:r>
              <w:rPr>
                <w:spacing w:val="-6"/>
                <w:sz w:val="21"/>
              </w:rPr>
              <w:t>除本附加合同，我们将向您无息退还保险费。</w:t>
            </w:r>
          </w:p>
          <w:p>
            <w:pPr>
              <w:pStyle w:val="TableParagraph"/>
              <w:spacing w:line="273" w:lineRule="auto" w:before="88"/>
              <w:ind w:left="131"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2.</w:t>
            </w:r>
          </w:p>
        </w:tc>
        <w:tc>
          <w:tcPr>
            <w:tcW w:w="9262" w:type="dxa"/>
            <w:gridSpan w:val="2"/>
            <w:tcBorders>
              <w:bottom w:val="single" w:sz="8" w:space="0" w:color="000000"/>
            </w:tcBorders>
          </w:tcPr>
          <w:p>
            <w:pPr>
              <w:pStyle w:val="TableParagraph"/>
              <w:spacing w:before="135"/>
              <w:ind w:left="238"/>
              <w:rPr>
                <w:b/>
                <w:sz w:val="24"/>
              </w:rPr>
            </w:pPr>
            <w:r>
              <w:rPr>
                <w:b/>
                <w:w w:val="95"/>
                <w:sz w:val="24"/>
              </w:rPr>
              <w:t>我们提供的保障</w:t>
            </w:r>
          </w:p>
        </w:tc>
      </w:tr>
      <w:tr>
        <w:trPr>
          <w:trHeight w:val="665" w:hRule="atLeast"/>
        </w:trPr>
        <w:tc>
          <w:tcPr>
            <w:tcW w:w="664" w:type="dxa"/>
            <w:tcBorders>
              <w:top w:val="single" w:sz="8" w:space="0" w:color="000000"/>
            </w:tcBorders>
          </w:tcPr>
          <w:p>
            <w:pPr>
              <w:pStyle w:val="TableParagraph"/>
              <w:spacing w:before="5"/>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5"/>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5"/>
              <w:rPr>
                <w:sz w:val="16"/>
              </w:rPr>
            </w:pPr>
          </w:p>
          <w:p>
            <w:pPr>
              <w:pStyle w:val="TableParagraph"/>
              <w:ind w:left="131"/>
              <w:rPr>
                <w:sz w:val="21"/>
              </w:rPr>
            </w:pPr>
            <w:r>
              <w:rPr>
                <w:sz w:val="21"/>
              </w:rPr>
              <w:t>本附加合同的保险金额由您在投保时与我们约定，并在保险单上载明。</w:t>
            </w:r>
          </w:p>
        </w:tc>
      </w:tr>
      <w:tr>
        <w:trPr>
          <w:trHeight w:val="871"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保险期间</w:t>
            </w:r>
          </w:p>
        </w:tc>
        <w:tc>
          <w:tcPr>
            <w:tcW w:w="7624" w:type="dxa"/>
          </w:tcPr>
          <w:p>
            <w:pPr>
              <w:pStyle w:val="TableParagraph"/>
              <w:spacing w:line="271" w:lineRule="auto" w:before="111"/>
              <w:ind w:left="131" w:right="103"/>
              <w:rPr>
                <w:sz w:val="21"/>
              </w:rPr>
            </w:pPr>
            <w:r>
              <w:rPr>
                <w:sz w:val="21"/>
              </w:rPr>
              <w:t>本附加合同的保险期间自本附加合同生效日零时开始，至保险单上载明的保险期间期满日的 24 时止。</w:t>
            </w:r>
          </w:p>
        </w:tc>
      </w:tr>
      <w:tr>
        <w:trPr>
          <w:trHeight w:val="476"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ind w:left="131"/>
              <w:rPr>
                <w:sz w:val="21"/>
              </w:rPr>
            </w:pPr>
            <w:r>
              <w:rPr>
                <w:sz w:val="21"/>
              </w:rPr>
              <w:t>在本附加合同保险期间内，我们承担下列保险责任：</w:t>
            </w:r>
          </w:p>
        </w:tc>
      </w:tr>
      <w:tr>
        <w:trPr>
          <w:trHeight w:val="1234"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71" w:lineRule="auto" w:before="26"/>
              <w:ind w:left="131" w:right="103"/>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7"/>
                <w:sz w:val="21"/>
              </w:rPr>
              <w:t>之日起 </w:t>
            </w:r>
            <w:r>
              <w:rPr>
                <w:sz w:val="21"/>
              </w:rPr>
              <w:t>180 日内经</w:t>
            </w:r>
            <w:r>
              <w:rPr>
                <w:b/>
                <w:sz w:val="21"/>
              </w:rPr>
              <w:t>医院</w:t>
            </w:r>
            <w:r>
              <w:rPr>
                <w:sz w:val="21"/>
              </w:rPr>
              <w:t>（</w:t>
            </w:r>
            <w:r>
              <w:rPr>
                <w:spacing w:val="-15"/>
                <w:sz w:val="21"/>
              </w:rPr>
              <w:t>见 </w:t>
            </w:r>
            <w:r>
              <w:rPr>
                <w:sz w:val="21"/>
              </w:rPr>
              <w:t>10.5）</w:t>
            </w:r>
            <w:r>
              <w:rPr>
                <w:b/>
                <w:sz w:val="21"/>
              </w:rPr>
              <w:t>初次确诊</w:t>
            </w:r>
            <w:r>
              <w:rPr>
                <w:sz w:val="21"/>
              </w:rPr>
              <w:t>（</w:t>
            </w:r>
            <w:r>
              <w:rPr>
                <w:spacing w:val="-13"/>
                <w:sz w:val="21"/>
              </w:rPr>
              <w:t>见 </w:t>
            </w:r>
            <w:r>
              <w:rPr>
                <w:sz w:val="21"/>
              </w:rPr>
              <w:t>10.6）</w:t>
            </w:r>
            <w:r>
              <w:rPr>
                <w:spacing w:val="-2"/>
                <w:sz w:val="21"/>
              </w:rPr>
              <w:t>非因</w:t>
            </w:r>
            <w:r>
              <w:rPr>
                <w:b/>
                <w:spacing w:val="-2"/>
                <w:sz w:val="21"/>
              </w:rPr>
              <w:t>意外伤害</w:t>
            </w:r>
            <w:r>
              <w:rPr>
                <w:sz w:val="21"/>
              </w:rPr>
              <w:t>（</w:t>
            </w:r>
            <w:r>
              <w:rPr>
                <w:spacing w:val="-13"/>
                <w:sz w:val="21"/>
              </w:rPr>
              <w:t>见 </w:t>
            </w:r>
            <w:r>
              <w:rPr>
                <w:sz w:val="21"/>
              </w:rPr>
              <w:t>10.7）</w:t>
            </w:r>
            <w:r>
              <w:rPr>
                <w:spacing w:val="-3"/>
                <w:sz w:val="21"/>
              </w:rPr>
              <w:t>导致罹患</w:t>
            </w:r>
            <w:r>
              <w:rPr>
                <w:spacing w:val="-2"/>
                <w:sz w:val="21"/>
              </w:rPr>
              <w:t>本附加合同所定义的重大疾病</w:t>
            </w:r>
            <w:r>
              <w:rPr>
                <w:sz w:val="21"/>
              </w:rPr>
              <w:t>（</w:t>
            </w:r>
            <w:r>
              <w:rPr>
                <w:spacing w:val="-1"/>
                <w:sz w:val="21"/>
              </w:rPr>
              <w:t>无论一种或者多种</w:t>
            </w:r>
            <w:r>
              <w:rPr>
                <w:sz w:val="21"/>
              </w:rPr>
              <w:t>），</w:t>
            </w:r>
            <w:r>
              <w:rPr>
                <w:spacing w:val="-1"/>
                <w:sz w:val="21"/>
              </w:rPr>
              <w:t>我们按您已交纳的本附加</w:t>
            </w:r>
          </w:p>
          <w:p>
            <w:pPr>
              <w:pStyle w:val="TableParagraph"/>
              <w:spacing w:line="255" w:lineRule="exact" w:before="9"/>
              <w:ind w:left="131"/>
              <w:jc w:val="both"/>
              <w:rPr>
                <w:sz w:val="21"/>
              </w:rPr>
            </w:pPr>
            <w:r>
              <w:rPr>
                <w:sz w:val="21"/>
              </w:rPr>
              <w:t>合同的保险费数额向重大疾病保险金受益人给付重大疾病保险金，本附加合同终</w:t>
            </w:r>
          </w:p>
        </w:tc>
      </w:tr>
    </w:tbl>
    <w:p>
      <w:pPr>
        <w:spacing w:after="0" w:line="255"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27"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11" w:lineRule="exact"/>
              <w:ind w:left="131"/>
              <w:rPr>
                <w:sz w:val="21"/>
              </w:rPr>
            </w:pPr>
            <w:r>
              <w:rPr>
                <w:sz w:val="21"/>
              </w:rPr>
              <w:t>止。</w:t>
            </w:r>
          </w:p>
          <w:p>
            <w:pPr>
              <w:pStyle w:val="TableParagraph"/>
              <w:spacing w:line="266" w:lineRule="auto" w:before="116"/>
              <w:ind w:left="131" w:right="101"/>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8"/>
                <w:sz w:val="21"/>
              </w:rPr>
              <w:t>之日起 </w:t>
            </w:r>
            <w:r>
              <w:rPr>
                <w:rFonts w:ascii="Times New Roman" w:eastAsia="Times New Roman"/>
                <w:sz w:val="21"/>
              </w:rPr>
              <w:t>180 </w:t>
            </w:r>
            <w:r>
              <w:rPr>
                <w:spacing w:val="-2"/>
                <w:sz w:val="21"/>
              </w:rPr>
              <w:t>日内经医院初次确诊因意外伤害导致罹患本附加合同所定义的重大疾病</w:t>
            </w:r>
            <w:r>
              <w:rPr>
                <w:sz w:val="21"/>
              </w:rPr>
              <w:t>（</w:t>
            </w:r>
            <w:r>
              <w:rPr>
                <w:spacing w:val="-2"/>
                <w:sz w:val="21"/>
              </w:rPr>
              <w:t>无论一</w:t>
            </w:r>
            <w:r>
              <w:rPr>
                <w:spacing w:val="-3"/>
                <w:w w:val="100"/>
                <w:sz w:val="21"/>
              </w:rPr>
              <w:t>种或者多种</w:t>
            </w:r>
            <w:r>
              <w:rPr>
                <w:spacing w:val="-106"/>
                <w:w w:val="100"/>
                <w:sz w:val="21"/>
              </w:rPr>
              <w:t>）</w:t>
            </w:r>
            <w:r>
              <w:rPr>
                <w:spacing w:val="-8"/>
                <w:w w:val="100"/>
                <w:sz w:val="21"/>
              </w:rPr>
              <w:t>，或者于本附加合同生效</w:t>
            </w:r>
            <w:r>
              <w:rPr>
                <w:w w:val="100"/>
                <w:sz w:val="21"/>
              </w:rPr>
              <w:t>（</w:t>
            </w:r>
            <w:r>
              <w:rPr>
                <w:spacing w:val="-6"/>
                <w:w w:val="100"/>
                <w:sz w:val="21"/>
              </w:rPr>
              <w:t>若曾复效，则自本附加合同最后复效</w:t>
            </w:r>
            <w:r>
              <w:rPr>
                <w:spacing w:val="-20"/>
                <w:w w:val="100"/>
                <w:sz w:val="21"/>
              </w:rPr>
              <w:t>）</w:t>
            </w:r>
            <w:r>
              <w:rPr>
                <w:w w:val="100"/>
                <w:sz w:val="21"/>
              </w:rPr>
              <w:t>之</w:t>
            </w:r>
            <w:r>
              <w:rPr>
                <w:spacing w:val="-8"/>
                <w:sz w:val="21"/>
              </w:rPr>
              <w:t>日起 </w:t>
            </w:r>
            <w:r>
              <w:rPr>
                <w:rFonts w:ascii="Times New Roman" w:eastAsia="Times New Roman"/>
                <w:sz w:val="21"/>
              </w:rPr>
              <w:t>180 </w:t>
            </w:r>
            <w:r>
              <w:rPr>
                <w:spacing w:val="-3"/>
                <w:sz w:val="21"/>
              </w:rPr>
              <w:t>日后经医院初次确诊罹患本附加合同所定义的重大疾病（无论一种或者多种</w:t>
            </w:r>
            <w:r>
              <w:rPr>
                <w:spacing w:val="-72"/>
                <w:sz w:val="21"/>
              </w:rPr>
              <w:t>）</w:t>
            </w:r>
            <w:r>
              <w:rPr>
                <w:spacing w:val="-11"/>
                <w:sz w:val="21"/>
              </w:rPr>
              <w:t>，我们按保险金额向重大疾病保险金受益人给付重大疾病保险金，本附加合</w:t>
            </w:r>
            <w:r>
              <w:rPr>
                <w:spacing w:val="-7"/>
                <w:sz w:val="21"/>
              </w:rPr>
              <w:t>同终止。</w:t>
            </w:r>
          </w:p>
          <w:p>
            <w:pPr>
              <w:pStyle w:val="TableParagraph"/>
              <w:spacing w:before="93"/>
              <w:ind w:left="131"/>
              <w:jc w:val="both"/>
              <w:rPr>
                <w:rFonts w:ascii="黑体" w:hAnsi="黑体" w:eastAsia="黑体" w:hint="eastAsia"/>
                <w:sz w:val="21"/>
              </w:rPr>
            </w:pPr>
            <w:r>
              <w:rPr>
                <w:rFonts w:ascii="黑体" w:hAnsi="黑体" w:eastAsia="黑体" w:hint="eastAsia"/>
                <w:sz w:val="21"/>
              </w:rPr>
              <w:t>本附加合同定义的重大疾病载明于本附加合同“9.重大疾病定义”。</w:t>
            </w:r>
          </w:p>
        </w:tc>
      </w:tr>
      <w:tr>
        <w:trPr>
          <w:trHeight w:val="6369" w:hRule="atLeast"/>
        </w:trPr>
        <w:tc>
          <w:tcPr>
            <w:tcW w:w="664" w:type="dxa"/>
          </w:tcPr>
          <w:p>
            <w:pPr>
              <w:pStyle w:val="TableParagraph"/>
              <w:spacing w:before="110"/>
              <w:ind w:left="107"/>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624" w:type="dxa"/>
          </w:tcPr>
          <w:p>
            <w:pPr>
              <w:pStyle w:val="TableParagraph"/>
              <w:spacing w:line="273" w:lineRule="auto" w:before="110"/>
              <w:ind w:left="131" w:right="103"/>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103"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 w:pos="867" w:val="left" w:leader="none"/>
              </w:tabs>
              <w:spacing w:line="273" w:lineRule="auto" w:before="114" w:after="0"/>
              <w:ind w:left="867" w:right="103" w:hanging="735"/>
              <w:jc w:val="left"/>
              <w:rPr>
                <w:rFonts w:ascii="黑体" w:eastAsia="黑体" w:hint="eastAsia"/>
                <w:sz w:val="21"/>
              </w:rPr>
            </w:pPr>
            <w:r>
              <w:rPr>
                <w:rFonts w:ascii="黑体" w:eastAsia="黑体" w:hint="eastAsia"/>
                <w:b/>
                <w:sz w:val="21"/>
              </w:rPr>
              <w:t>遗传性疾病</w:t>
            </w:r>
            <w:r>
              <w:rPr>
                <w:rFonts w:ascii="黑体" w:eastAsia="黑体" w:hint="eastAsia"/>
                <w:spacing w:val="-15"/>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4"/>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1" w:lineRule="auto" w:before="87"/>
              <w:ind w:left="131"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9"/>
              <w:ind w:left="131"/>
              <w:rPr>
                <w:rFonts w:ascii="黑体" w:eastAsia="黑体" w:hint="eastAsia"/>
                <w:sz w:val="21"/>
              </w:rPr>
            </w:pPr>
            <w:r>
              <w:rPr>
                <w:rFonts w:ascii="黑体" w:eastAsia="黑体" w:hint="eastAsia"/>
                <w:sz w:val="21"/>
              </w:rPr>
              <w:t>10.16)。</w:t>
            </w:r>
          </w:p>
          <w:p>
            <w:pPr>
              <w:pStyle w:val="TableParagraph"/>
              <w:spacing w:line="273" w:lineRule="auto" w:before="116"/>
              <w:ind w:left="131"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left="131"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12"/>
                <w:sz w:val="21"/>
              </w:rPr>
              <w:t>未及时通知，致使保险事故的性质、原因、损失程度等难以确定的，我们对无法</w:t>
            </w:r>
            <w:r>
              <w:rPr>
                <w:rFonts w:ascii="黑体" w:eastAsia="黑体" w:hint="eastAsia"/>
                <w:spacing w:val="-11"/>
                <w:sz w:val="21"/>
              </w:rPr>
              <w:t>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6"/>
                <w:sz w:val="21"/>
              </w:rPr>
              <w:t>原因、损失程度的除外。</w:t>
            </w:r>
          </w:p>
        </w:tc>
      </w:tr>
      <w:tr>
        <w:trPr>
          <w:trHeight w:val="2178"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4" w:type="dxa"/>
          </w:tcPr>
          <w:p>
            <w:pPr>
              <w:pStyle w:val="TableParagraph"/>
              <w:spacing w:line="273" w:lineRule="auto" w:before="110"/>
              <w:ind w:left="131" w:right="103"/>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6"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310" w:lineRule="atLeast" w:before="80" w:after="0"/>
              <w:ind w:left="852" w:right="101" w:hanging="720"/>
              <w:jc w:val="left"/>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p>
        </w:tc>
      </w:tr>
    </w:tbl>
    <w:p>
      <w:pPr>
        <w:spacing w:after="0" w:line="310" w:lineRule="atLeas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97"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11" w:lineRule="exact"/>
              <w:ind w:left="852"/>
              <w:rPr>
                <w:sz w:val="21"/>
              </w:rPr>
            </w:pPr>
            <w:r>
              <w:rPr>
                <w:sz w:val="21"/>
              </w:rPr>
              <w:t>学方法检验报告；</w:t>
            </w:r>
          </w:p>
          <w:p>
            <w:pPr>
              <w:pStyle w:val="TableParagraph"/>
              <w:tabs>
                <w:tab w:pos="869" w:val="left" w:leader="none"/>
              </w:tabs>
              <w:spacing w:before="116"/>
              <w:ind w:left="131"/>
              <w:rPr>
                <w:sz w:val="21"/>
              </w:rPr>
            </w:pPr>
            <w:r>
              <w:rPr>
                <w:sz w:val="21"/>
              </w:rPr>
              <w:t>（4）</w:t>
              <w:tab/>
            </w:r>
            <w:r>
              <w:rPr>
                <w:spacing w:val="-3"/>
                <w:sz w:val="21"/>
              </w:rPr>
              <w:t>所能提供的与确认保险事故的性质、原因等有关的其他证明和资料。</w:t>
            </w:r>
          </w:p>
          <w:p>
            <w:pPr>
              <w:pStyle w:val="TableParagraph"/>
              <w:spacing w:line="271" w:lineRule="auto" w:before="116"/>
              <w:ind w:left="131" w:right="104"/>
              <w:jc w:val="both"/>
              <w:rPr>
                <w:sz w:val="21"/>
              </w:rPr>
            </w:pPr>
            <w:r>
              <w:rPr>
                <w:sz w:val="21"/>
              </w:rPr>
              <w:t>以上证明和资料不完整的，我们将及时一次性通知受益人补充提供有关的证明和资料。</w:t>
            </w:r>
          </w:p>
          <w:p>
            <w:pPr>
              <w:pStyle w:val="TableParagraph"/>
              <w:spacing w:line="273" w:lineRule="auto" w:before="88"/>
              <w:ind w:left="131" w:right="104"/>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left="131" w:right="104"/>
              <w:jc w:val="both"/>
              <w:rPr>
                <w:sz w:val="21"/>
              </w:rPr>
            </w:pPr>
            <w:r>
              <w:rPr>
                <w:sz w:val="21"/>
              </w:rPr>
              <w:t>保险金作为被保险人遗产时，继承人还必须提供可证明其合法继承权的相关权利文件。</w:t>
            </w:r>
          </w:p>
          <w:p>
            <w:pPr>
              <w:pStyle w:val="TableParagraph"/>
              <w:spacing w:line="273" w:lineRule="auto" w:before="88"/>
              <w:ind w:left="131" w:right="103"/>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3915"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ind w:left="131"/>
              <w:rPr>
                <w:sz w:val="21"/>
              </w:rPr>
            </w:pPr>
            <w:r>
              <w:rPr>
                <w:sz w:val="21"/>
              </w:rPr>
              <w:t>我们在收到领取保险金申请书及本附加合同约定的证明和资料后，将在 5 日内作</w:t>
            </w:r>
          </w:p>
          <w:p>
            <w:pPr>
              <w:pStyle w:val="TableParagraph"/>
              <w:spacing w:before="35"/>
              <w:ind w:left="131"/>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ind w:left="131"/>
              <w:rPr>
                <w:sz w:val="21"/>
              </w:rPr>
            </w:pPr>
            <w:r>
              <w:rPr>
                <w:sz w:val="21"/>
              </w:rPr>
              <w:t>达成给付保险金的协议后 10 日内，履行给付保险金义务。</w:t>
            </w:r>
          </w:p>
          <w:p>
            <w:pPr>
              <w:pStyle w:val="TableParagraph"/>
              <w:spacing w:line="273" w:lineRule="auto" w:before="116"/>
              <w:ind w:left="131" w:right="104"/>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7"/>
              <w:ind w:left="131" w:right="101"/>
              <w:jc w:val="both"/>
              <w:rPr>
                <w:sz w:val="21"/>
              </w:rPr>
            </w:pPr>
            <w:r>
              <w:rPr>
                <w:spacing w:val="-4"/>
                <w:sz w:val="21"/>
              </w:rPr>
              <w:t>对不属于保险责任的，我们自作出核定之日起 </w:t>
            </w:r>
            <w:r>
              <w:rPr>
                <w:sz w:val="21"/>
              </w:rPr>
              <w:t>3</w:t>
            </w:r>
            <w:r>
              <w:rPr>
                <w:spacing w:val="-5"/>
                <w:sz w:val="21"/>
              </w:rPr>
              <w:t> 日内向受益人发出拒绝给付保险</w:t>
            </w:r>
            <w:r>
              <w:rPr>
                <w:spacing w:val="-4"/>
                <w:sz w:val="21"/>
              </w:rPr>
              <w:t>金通知书并说明理由。</w:t>
            </w:r>
          </w:p>
          <w:p>
            <w:pPr>
              <w:pStyle w:val="TableParagraph"/>
              <w:spacing w:line="273" w:lineRule="auto" w:before="89"/>
              <w:ind w:left="131"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r>
              <w:rPr>
                <w:spacing w:val="-6"/>
                <w:sz w:val="21"/>
              </w:rPr>
              <w:t>给付保险金的数额后，将支付相应的差额。</w:t>
            </w:r>
          </w:p>
        </w:tc>
      </w:tr>
      <w:tr>
        <w:trPr>
          <w:trHeight w:val="907"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left="131" w:right="29"/>
              <w:rPr>
                <w:sz w:val="21"/>
              </w:rPr>
            </w:pPr>
            <w:r>
              <w:rPr>
                <w:sz w:val="21"/>
              </w:rPr>
              <w:t>受益人向我们申请给付保险金的诉讼时效期间为 2 年，自其知道或者应当知道保险事故发生之日起计算。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pacing w:val="-6"/>
                <w:sz w:val="21"/>
              </w:rPr>
              <w:t>本附加合同的交费方式和交费期间由您在投保时与我们约定，并在保险单上载明。</w:t>
            </w:r>
          </w:p>
          <w:p>
            <w:pPr>
              <w:pStyle w:val="TableParagraph"/>
              <w:spacing w:line="271" w:lineRule="auto" w:before="116"/>
              <w:ind w:left="131" w:right="104"/>
              <w:rPr>
                <w:sz w:val="21"/>
              </w:rPr>
            </w:pPr>
            <w:r>
              <w:rPr>
                <w:sz w:val="21"/>
              </w:rPr>
              <w:t>分期支付保险费的，在交纳首期保险费后，您应当在每个保险费约定交纳日交纳其余各期的保险费。</w:t>
            </w:r>
          </w:p>
        </w:tc>
      </w:tr>
      <w:tr>
        <w:trPr>
          <w:trHeight w:val="1922"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left="131" w:right="103"/>
              <w:jc w:val="both"/>
              <w:rPr>
                <w:sz w:val="21"/>
              </w:rPr>
            </w:pPr>
            <w:r>
              <w:rPr>
                <w:spacing w:val="-10"/>
                <w:sz w:val="21"/>
              </w:rPr>
              <w:t>如果您到期未交纳保险费，自保险费约定交纳日的次日零时起 </w:t>
            </w:r>
            <w:r>
              <w:rPr>
                <w:sz w:val="21"/>
              </w:rPr>
              <w:t>60</w:t>
            </w:r>
            <w:r>
              <w:rPr>
                <w:spacing w:val="-7"/>
                <w:sz w:val="21"/>
              </w:rPr>
              <w:t> 日为保险费交纳的宽限期。宽限期内发生的保险事故，我们仍承担保险责任，但在给付保险金时</w:t>
            </w:r>
            <w:r>
              <w:rPr>
                <w:spacing w:val="-5"/>
                <w:sz w:val="21"/>
              </w:rPr>
              <w:t>会扣除您欠交的保险费，其数额以保险单中载明的每期保险费数额为准。</w:t>
            </w:r>
          </w:p>
          <w:p>
            <w:pPr>
              <w:pStyle w:val="TableParagraph"/>
              <w:spacing w:line="273" w:lineRule="auto" w:before="89"/>
              <w:ind w:left="131" w:right="104"/>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4" w:space="0" w:color="000000"/>
            </w:tcBorders>
          </w:tcPr>
          <w:p>
            <w:pPr>
              <w:pStyle w:val="TableParagraph"/>
              <w:spacing w:before="136"/>
              <w:ind w:left="107"/>
              <w:rPr>
                <w:b/>
                <w:sz w:val="24"/>
              </w:rPr>
            </w:pPr>
            <w:r>
              <w:rPr>
                <w:b/>
                <w:sz w:val="24"/>
              </w:rPr>
              <w:t>5.</w:t>
            </w:r>
          </w:p>
        </w:tc>
        <w:tc>
          <w:tcPr>
            <w:tcW w:w="1638" w:type="dxa"/>
            <w:tcBorders>
              <w:bottom w:val="single" w:sz="4" w:space="0" w:color="000000"/>
            </w:tcBorders>
          </w:tcPr>
          <w:p>
            <w:pPr>
              <w:pStyle w:val="TableParagraph"/>
              <w:spacing w:before="136"/>
              <w:ind w:left="238"/>
              <w:rPr>
                <w:b/>
                <w:sz w:val="24"/>
              </w:rPr>
            </w:pPr>
            <w:r>
              <w:rPr>
                <w:b/>
                <w:w w:val="95"/>
                <w:sz w:val="24"/>
              </w:rPr>
              <w:t>现金价值权</w:t>
            </w:r>
          </w:p>
        </w:tc>
        <w:tc>
          <w:tcPr>
            <w:tcW w:w="7624" w:type="dxa"/>
            <w:tcBorders>
              <w:bottom w:val="single" w:sz="4" w:space="0" w:color="000000"/>
            </w:tcBorders>
          </w:tcPr>
          <w:p>
            <w:pPr>
              <w:pStyle w:val="TableParagraph"/>
              <w:spacing w:before="136"/>
              <w:ind w:left="-195"/>
              <w:rPr>
                <w:b/>
                <w:sz w:val="24"/>
              </w:rPr>
            </w:pPr>
            <w:r>
              <w:rPr>
                <w:b/>
                <w:w w:val="99"/>
                <w:sz w:val="24"/>
              </w:rPr>
              <w:t>益</w:t>
            </w:r>
          </w:p>
        </w:tc>
      </w:tr>
      <w:tr>
        <w:trPr>
          <w:trHeight w:val="676" w:hRule="atLeast"/>
        </w:trPr>
        <w:tc>
          <w:tcPr>
            <w:tcW w:w="664" w:type="dxa"/>
            <w:tcBorders>
              <w:top w:val="single" w:sz="4" w:space="0" w:color="000000"/>
            </w:tcBorders>
          </w:tcPr>
          <w:p>
            <w:pPr>
              <w:pStyle w:val="TableParagraph"/>
              <w:spacing w:before="4"/>
              <w:rPr>
                <w:sz w:val="17"/>
              </w:rPr>
            </w:pPr>
          </w:p>
          <w:p>
            <w:pPr>
              <w:pStyle w:val="TableParagraph"/>
              <w:ind w:left="107"/>
              <w:rPr>
                <w:b/>
                <w:sz w:val="21"/>
              </w:rPr>
            </w:pPr>
            <w:r>
              <w:rPr>
                <w:b/>
                <w:sz w:val="21"/>
              </w:rPr>
              <w:t>5.1</w:t>
            </w:r>
          </w:p>
        </w:tc>
        <w:tc>
          <w:tcPr>
            <w:tcW w:w="1638" w:type="dxa"/>
            <w:tcBorders>
              <w:top w:val="single" w:sz="4" w:space="0" w:color="000000"/>
            </w:tcBorders>
          </w:tcPr>
          <w:p>
            <w:pPr>
              <w:pStyle w:val="TableParagraph"/>
              <w:spacing w:before="4"/>
              <w:rPr>
                <w:sz w:val="17"/>
              </w:rPr>
            </w:pPr>
          </w:p>
          <w:p>
            <w:pPr>
              <w:pStyle w:val="TableParagraph"/>
              <w:ind w:left="238"/>
              <w:rPr>
                <w:b/>
                <w:sz w:val="21"/>
              </w:rPr>
            </w:pPr>
            <w:r>
              <w:rPr>
                <w:b/>
                <w:sz w:val="21"/>
              </w:rPr>
              <w:t>现金价值</w:t>
            </w:r>
          </w:p>
        </w:tc>
        <w:tc>
          <w:tcPr>
            <w:tcW w:w="7624" w:type="dxa"/>
            <w:tcBorders>
              <w:top w:val="single" w:sz="4" w:space="0" w:color="000000"/>
            </w:tcBorders>
          </w:tcPr>
          <w:p>
            <w:pPr>
              <w:pStyle w:val="TableParagraph"/>
              <w:spacing w:before="4"/>
              <w:rPr>
                <w:sz w:val="17"/>
              </w:rPr>
            </w:pPr>
          </w:p>
          <w:p>
            <w:pPr>
              <w:pStyle w:val="TableParagraph"/>
              <w:ind w:left="131"/>
              <w:rPr>
                <w:sz w:val="21"/>
              </w:rPr>
            </w:pPr>
            <w:r>
              <w:rPr>
                <w:sz w:val="21"/>
              </w:rPr>
              <w:t>本附加合同的现金价值在保险单上载明。</w:t>
            </w:r>
          </w:p>
        </w:tc>
      </w:tr>
      <w:tr>
        <w:trPr>
          <w:trHeight w:val="385" w:hRule="atLeast"/>
        </w:trPr>
        <w:tc>
          <w:tcPr>
            <w:tcW w:w="664" w:type="dxa"/>
          </w:tcPr>
          <w:p>
            <w:pPr>
              <w:pStyle w:val="TableParagraph"/>
              <w:spacing w:line="255" w:lineRule="exact" w:before="110"/>
              <w:ind w:left="107"/>
              <w:rPr>
                <w:b/>
                <w:sz w:val="21"/>
              </w:rPr>
            </w:pPr>
            <w:r>
              <w:rPr>
                <w:b/>
                <w:sz w:val="21"/>
              </w:rPr>
              <w:t>5.2</w:t>
            </w:r>
          </w:p>
        </w:tc>
        <w:tc>
          <w:tcPr>
            <w:tcW w:w="1638" w:type="dxa"/>
          </w:tcPr>
          <w:p>
            <w:pPr>
              <w:pStyle w:val="TableParagraph"/>
              <w:spacing w:line="255" w:lineRule="exact" w:before="110"/>
              <w:ind w:left="238"/>
              <w:rPr>
                <w:b/>
                <w:sz w:val="21"/>
              </w:rPr>
            </w:pPr>
            <w:r>
              <w:rPr>
                <w:b/>
                <w:sz w:val="21"/>
              </w:rPr>
              <w:t>保险费自动垫</w:t>
            </w:r>
          </w:p>
        </w:tc>
        <w:tc>
          <w:tcPr>
            <w:tcW w:w="7624" w:type="dxa"/>
          </w:tcPr>
          <w:p>
            <w:pPr>
              <w:pStyle w:val="TableParagraph"/>
              <w:spacing w:line="255" w:lineRule="exact" w:before="110"/>
              <w:ind w:left="131"/>
              <w:rPr>
                <w:sz w:val="21"/>
              </w:rPr>
            </w:pPr>
            <w:r>
              <w:rPr>
                <w:sz w:val="21"/>
              </w:rPr>
              <w:t>您可以选择保险费自动垫交功能，即如果您在宽限期结束时仍未交纳保险费，我</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714" w:hRule="atLeast"/>
        </w:trPr>
        <w:tc>
          <w:tcPr>
            <w:tcW w:w="664" w:type="dxa"/>
          </w:tcPr>
          <w:p>
            <w:pPr>
              <w:pStyle w:val="TableParagraph"/>
              <w:rPr>
                <w:rFonts w:ascii="Times New Roman"/>
                <w:sz w:val="20"/>
              </w:rPr>
            </w:pPr>
          </w:p>
        </w:tc>
        <w:tc>
          <w:tcPr>
            <w:tcW w:w="1638" w:type="dxa"/>
          </w:tcPr>
          <w:p>
            <w:pPr>
              <w:pStyle w:val="TableParagraph"/>
              <w:spacing w:line="211" w:lineRule="exact"/>
              <w:ind w:left="238"/>
              <w:rPr>
                <w:b/>
                <w:sz w:val="21"/>
              </w:rPr>
            </w:pPr>
            <w:r>
              <w:rPr>
                <w:b/>
                <w:w w:val="100"/>
                <w:sz w:val="21"/>
              </w:rPr>
              <w:t>交</w:t>
            </w:r>
          </w:p>
        </w:tc>
        <w:tc>
          <w:tcPr>
            <w:tcW w:w="7624" w:type="dxa"/>
          </w:tcPr>
          <w:p>
            <w:pPr>
              <w:pStyle w:val="TableParagraph"/>
              <w:spacing w:line="211" w:lineRule="exact"/>
              <w:ind w:left="131"/>
              <w:rPr>
                <w:sz w:val="21"/>
              </w:rPr>
            </w:pPr>
            <w:r>
              <w:rPr>
                <w:sz w:val="21"/>
              </w:rPr>
              <w:t>们将以本附加合同的现金价值扣除各项欠款及应付利息后的余额自动垫交到期应</w:t>
            </w:r>
          </w:p>
          <w:p>
            <w:pPr>
              <w:pStyle w:val="TableParagraph"/>
              <w:spacing w:before="37"/>
              <w:ind w:left="131"/>
              <w:rPr>
                <w:sz w:val="21"/>
              </w:rPr>
            </w:pPr>
            <w:r>
              <w:rPr>
                <w:sz w:val="21"/>
              </w:rPr>
              <w:t>交的保险费，本附加合同继续有效。我们将对自动垫交的保险费计收</w:t>
            </w:r>
            <w:r>
              <w:rPr>
                <w:b/>
                <w:sz w:val="21"/>
              </w:rPr>
              <w:t>利息</w:t>
            </w:r>
            <w:r>
              <w:rPr>
                <w:sz w:val="21"/>
              </w:rPr>
              <w:t>(见</w:t>
            </w:r>
          </w:p>
          <w:p>
            <w:pPr>
              <w:pStyle w:val="TableParagraph"/>
              <w:spacing w:before="37"/>
              <w:ind w:left="131"/>
              <w:rPr>
                <w:sz w:val="21"/>
              </w:rPr>
            </w:pPr>
            <w:r>
              <w:rPr>
                <w:sz w:val="21"/>
              </w:rPr>
              <w:t>10.18)。</w:t>
            </w:r>
          </w:p>
          <w:p>
            <w:pPr>
              <w:pStyle w:val="TableParagraph"/>
              <w:spacing w:line="273" w:lineRule="auto" w:before="116"/>
              <w:ind w:left="131" w:right="104"/>
              <w:rPr>
                <w:sz w:val="21"/>
              </w:rPr>
            </w:pPr>
            <w:r>
              <w:rPr>
                <w:sz w:val="21"/>
              </w:rPr>
              <w:t>如果本附加合同的现金价值扣除各项欠款及应付利息后的余额不足以全额垫交到期应交的保险费，则本附加合同自宽限期满的次日零时起效力中止。</w:t>
            </w:r>
          </w:p>
        </w:tc>
      </w:tr>
      <w:tr>
        <w:trPr>
          <w:trHeight w:val="1610" w:hRule="atLeast"/>
        </w:trPr>
        <w:tc>
          <w:tcPr>
            <w:tcW w:w="664" w:type="dxa"/>
          </w:tcPr>
          <w:p>
            <w:pPr>
              <w:pStyle w:val="TableParagraph"/>
              <w:spacing w:before="111"/>
              <w:ind w:left="107"/>
              <w:rPr>
                <w:b/>
                <w:sz w:val="21"/>
              </w:rPr>
            </w:pPr>
            <w:r>
              <w:rPr>
                <w:b/>
                <w:sz w:val="21"/>
              </w:rPr>
              <w:t>5.3</w:t>
            </w:r>
          </w:p>
        </w:tc>
        <w:tc>
          <w:tcPr>
            <w:tcW w:w="1638" w:type="dxa"/>
          </w:tcPr>
          <w:p>
            <w:pPr>
              <w:pStyle w:val="TableParagraph"/>
              <w:spacing w:before="111"/>
              <w:ind w:left="238"/>
              <w:rPr>
                <w:b/>
                <w:sz w:val="21"/>
              </w:rPr>
            </w:pPr>
            <w:r>
              <w:rPr>
                <w:b/>
                <w:sz w:val="21"/>
              </w:rPr>
              <w:t>减保</w:t>
            </w:r>
          </w:p>
        </w:tc>
        <w:tc>
          <w:tcPr>
            <w:tcW w:w="7624" w:type="dxa"/>
          </w:tcPr>
          <w:p>
            <w:pPr>
              <w:pStyle w:val="TableParagraph"/>
              <w:spacing w:line="271" w:lineRule="auto" w:before="111"/>
              <w:ind w:left="131" w:right="103"/>
              <w:jc w:val="both"/>
              <w:rPr>
                <w:sz w:val="21"/>
              </w:rPr>
            </w:pPr>
            <w:r>
              <w:rPr>
                <w:spacing w:val="-3"/>
                <w:sz w:val="21"/>
              </w:rPr>
              <w:t>如果被保险人未发生保险事故，您在犹豫期后可以申请减保，将保险金额和保险</w:t>
            </w:r>
            <w:r>
              <w:rPr>
                <w:spacing w:val="-5"/>
                <w:w w:val="100"/>
                <w:sz w:val="21"/>
              </w:rPr>
              <w:t>费按比例减少，并领取</w:t>
            </w:r>
            <w:r>
              <w:rPr>
                <w:b/>
                <w:spacing w:val="-3"/>
                <w:w w:val="100"/>
                <w:sz w:val="21"/>
              </w:rPr>
              <w:t>与保险金额减少部分相对应的现金价值</w:t>
            </w:r>
            <w:r>
              <w:rPr>
                <w:spacing w:val="-3"/>
                <w:w w:val="100"/>
                <w:sz w:val="21"/>
              </w:rPr>
              <w:t>（</w:t>
            </w:r>
            <w:r>
              <w:rPr>
                <w:w w:val="100"/>
                <w:sz w:val="21"/>
              </w:rPr>
              <w:t>见</w:t>
            </w:r>
            <w:r>
              <w:rPr>
                <w:spacing w:val="-52"/>
                <w:sz w:val="21"/>
              </w:rPr>
              <w:t> </w:t>
            </w:r>
            <w:r>
              <w:rPr>
                <w:w w:val="100"/>
                <w:sz w:val="21"/>
              </w:rPr>
              <w:t>10</w:t>
            </w:r>
            <w:r>
              <w:rPr>
                <w:spacing w:val="-3"/>
                <w:w w:val="100"/>
                <w:sz w:val="21"/>
              </w:rPr>
              <w:t>.</w:t>
            </w:r>
            <w:r>
              <w:rPr>
                <w:w w:val="100"/>
                <w:sz w:val="21"/>
              </w:rPr>
              <w:t>19</w:t>
            </w:r>
            <w:r>
              <w:rPr>
                <w:spacing w:val="-106"/>
                <w:w w:val="100"/>
                <w:sz w:val="21"/>
              </w:rPr>
              <w:t>）</w:t>
            </w:r>
            <w:r>
              <w:rPr>
                <w:spacing w:val="-6"/>
                <w:w w:val="100"/>
                <w:sz w:val="21"/>
              </w:rPr>
              <w:t>。减保</w:t>
            </w:r>
            <w:r>
              <w:rPr>
                <w:spacing w:val="-4"/>
                <w:sz w:val="21"/>
              </w:rPr>
              <w:t>后，保险金额和保险费需符合我们的规定。</w:t>
            </w:r>
          </w:p>
          <w:p>
            <w:pPr>
              <w:pStyle w:val="TableParagraph"/>
              <w:spacing w:before="88"/>
              <w:ind w:left="131"/>
              <w:jc w:val="both"/>
              <w:rPr>
                <w:sz w:val="21"/>
              </w:rPr>
            </w:pPr>
            <w:r>
              <w:rPr>
                <w:sz w:val="21"/>
              </w:rPr>
              <w:t>本附加合同第 2.3 条约定的保险责任根据减保后的保险金额和保险费进行计算。</w:t>
            </w:r>
          </w:p>
        </w:tc>
      </w:tr>
      <w:tr>
        <w:trPr>
          <w:trHeight w:val="575" w:hRule="atLeast"/>
        </w:trPr>
        <w:tc>
          <w:tcPr>
            <w:tcW w:w="664" w:type="dxa"/>
            <w:tcBorders>
              <w:bottom w:val="single" w:sz="4" w:space="0" w:color="000000"/>
            </w:tcBorders>
          </w:tcPr>
          <w:p>
            <w:pPr>
              <w:pStyle w:val="TableParagraph"/>
              <w:spacing w:before="136"/>
              <w:ind w:left="107"/>
              <w:rPr>
                <w:b/>
                <w:sz w:val="24"/>
              </w:rPr>
            </w:pPr>
            <w:r>
              <w:rPr>
                <w:b/>
                <w:sz w:val="24"/>
              </w:rPr>
              <w:t>6.</w:t>
            </w:r>
          </w:p>
        </w:tc>
        <w:tc>
          <w:tcPr>
            <w:tcW w:w="9262" w:type="dxa"/>
            <w:gridSpan w:val="2"/>
            <w:tcBorders>
              <w:bottom w:val="single" w:sz="4" w:space="0" w:color="000000"/>
            </w:tcBorders>
          </w:tcPr>
          <w:p>
            <w:pPr>
              <w:pStyle w:val="TableParagraph"/>
              <w:spacing w:before="136"/>
              <w:ind w:left="238"/>
              <w:rPr>
                <w:b/>
                <w:sz w:val="24"/>
              </w:rPr>
            </w:pPr>
            <w:r>
              <w:rPr>
                <w:b/>
                <w:w w:val="95"/>
                <w:sz w:val="24"/>
              </w:rPr>
              <w:t>合同效力的中止及恢复</w:t>
            </w:r>
          </w:p>
        </w:tc>
      </w:tr>
      <w:tr>
        <w:trPr>
          <w:trHeight w:val="676" w:hRule="atLeast"/>
        </w:trPr>
        <w:tc>
          <w:tcPr>
            <w:tcW w:w="664" w:type="dxa"/>
            <w:tcBorders>
              <w:top w:val="single" w:sz="4" w:space="0" w:color="000000"/>
            </w:tcBorders>
          </w:tcPr>
          <w:p>
            <w:pPr>
              <w:pStyle w:val="TableParagraph"/>
              <w:spacing w:before="4"/>
              <w:rPr>
                <w:sz w:val="17"/>
              </w:rPr>
            </w:pPr>
          </w:p>
          <w:p>
            <w:pPr>
              <w:pStyle w:val="TableParagraph"/>
              <w:spacing w:before="1"/>
              <w:ind w:left="107"/>
              <w:rPr>
                <w:b/>
                <w:sz w:val="21"/>
              </w:rPr>
            </w:pPr>
            <w:r>
              <w:rPr>
                <w:b/>
                <w:sz w:val="21"/>
              </w:rPr>
              <w:t>6.1</w:t>
            </w:r>
          </w:p>
        </w:tc>
        <w:tc>
          <w:tcPr>
            <w:tcW w:w="1638" w:type="dxa"/>
            <w:tcBorders>
              <w:top w:val="single" w:sz="4" w:space="0" w:color="000000"/>
            </w:tcBorders>
          </w:tcPr>
          <w:p>
            <w:pPr>
              <w:pStyle w:val="TableParagraph"/>
              <w:spacing w:before="4"/>
              <w:rPr>
                <w:sz w:val="17"/>
              </w:rPr>
            </w:pPr>
          </w:p>
          <w:p>
            <w:pPr>
              <w:pStyle w:val="TableParagraph"/>
              <w:spacing w:before="1"/>
              <w:ind w:left="238"/>
              <w:rPr>
                <w:b/>
                <w:sz w:val="21"/>
              </w:rPr>
            </w:pPr>
            <w:r>
              <w:rPr>
                <w:b/>
                <w:sz w:val="21"/>
              </w:rPr>
              <w:t>效力中止</w:t>
            </w:r>
          </w:p>
        </w:tc>
        <w:tc>
          <w:tcPr>
            <w:tcW w:w="7624" w:type="dxa"/>
            <w:tcBorders>
              <w:top w:val="single" w:sz="4" w:space="0" w:color="000000"/>
            </w:tcBorders>
          </w:tcPr>
          <w:p>
            <w:pPr>
              <w:pStyle w:val="TableParagraph"/>
              <w:spacing w:before="4"/>
              <w:rPr>
                <w:sz w:val="17"/>
              </w:rPr>
            </w:pPr>
          </w:p>
          <w:p>
            <w:pPr>
              <w:pStyle w:val="TableParagraph"/>
              <w:spacing w:before="1"/>
              <w:ind w:left="131"/>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left="131" w:right="101"/>
              <w:jc w:val="both"/>
              <w:rPr>
                <w:sz w:val="21"/>
              </w:rPr>
            </w:pPr>
            <w:r>
              <w:rPr>
                <w:spacing w:val="-5"/>
                <w:sz w:val="21"/>
              </w:rPr>
              <w:t>本附加合同效力中止之日起 </w:t>
            </w:r>
            <w:r>
              <w:rPr>
                <w:sz w:val="21"/>
              </w:rPr>
              <w:t>2</w:t>
            </w:r>
            <w:r>
              <w:rPr>
                <w:spacing w:val="-6"/>
                <w:sz w:val="21"/>
              </w:rPr>
              <w:t> 年内，您可以申请恢复合同效力。经您与我们协商</w:t>
            </w:r>
            <w:r>
              <w:rPr>
                <w:spacing w:val="-4"/>
                <w:sz w:val="21"/>
              </w:rPr>
              <w:t>并达成协议，自您补交保险费之日起，本附加合同效力恢复。</w:t>
            </w:r>
          </w:p>
          <w:p>
            <w:pPr>
              <w:pStyle w:val="TableParagraph"/>
              <w:spacing w:line="271" w:lineRule="auto" w:before="86"/>
              <w:ind w:left="131" w:right="101"/>
              <w:jc w:val="both"/>
              <w:rPr>
                <w:sz w:val="21"/>
              </w:rPr>
            </w:pPr>
            <w:r>
              <w:rPr>
                <w:spacing w:val="-5"/>
                <w:sz w:val="21"/>
              </w:rPr>
              <w:t>自本附加合同效力中止之日起满 </w:t>
            </w:r>
            <w:r>
              <w:rPr>
                <w:sz w:val="21"/>
              </w:rPr>
              <w:t>2</w:t>
            </w:r>
            <w:r>
              <w:rPr>
                <w:spacing w:val="-5"/>
                <w:sz w:val="21"/>
              </w:rPr>
              <w:t> 年您和我们未达成协议的，我们有权解除本附加合同，本附加合同自解除之日起终止。我们解除合同的，我们向您退还本附加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rPr>
                <w:rFonts w:ascii="Times New Roman"/>
                <w:sz w:val="20"/>
              </w:rPr>
            </w:pPr>
          </w:p>
        </w:tc>
      </w:tr>
      <w:tr>
        <w:trPr>
          <w:trHeight w:val="288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rPr>
                <w:sz w:val="16"/>
              </w:rPr>
            </w:pPr>
          </w:p>
          <w:p>
            <w:pPr>
              <w:pStyle w:val="TableParagraph"/>
              <w:spacing w:line="271"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left="131" w:right="104"/>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ind w:left="131"/>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5"/>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5"/>
              <w:rPr>
                <w:sz w:val="16"/>
              </w:rPr>
            </w:pPr>
          </w:p>
          <w:p>
            <w:pPr>
              <w:pStyle w:val="TableParagraph"/>
              <w:ind w:left="131"/>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2335"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1" w:lineRule="auto" w:before="111"/>
              <w:ind w:left="238" w:right="129"/>
              <w:rPr>
                <w:b/>
                <w:sz w:val="21"/>
              </w:rPr>
            </w:pPr>
            <w:r>
              <w:rPr>
                <w:b/>
                <w:sz w:val="21"/>
              </w:rPr>
              <w:t>适用主合同条款</w:t>
            </w:r>
          </w:p>
        </w:tc>
        <w:tc>
          <w:tcPr>
            <w:tcW w:w="7624" w:type="dxa"/>
          </w:tcPr>
          <w:p>
            <w:pPr>
              <w:pStyle w:val="TableParagraph"/>
              <w:spacing w:before="111"/>
              <w:ind w:left="131"/>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55" w:lineRule="exact" w:before="113" w:after="0"/>
              <w:ind w:left="869" w:right="0" w:hanging="737"/>
              <w:jc w:val="left"/>
              <w:rPr>
                <w:sz w:val="21"/>
              </w:rPr>
            </w:pPr>
            <w:r>
              <w:rPr>
                <w:spacing w:val="-3"/>
                <w:sz w:val="21"/>
              </w:rPr>
              <w:t>合同内容变更；</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1202" w:hRule="atLeast"/>
        </w:trPr>
        <w:tc>
          <w:tcPr>
            <w:tcW w:w="664" w:type="dxa"/>
          </w:tcPr>
          <w:p>
            <w:pPr>
              <w:pStyle w:val="TableParagraph"/>
              <w:rPr>
                <w:rFonts w:ascii="Times New Roman"/>
                <w:sz w:val="20"/>
              </w:rPr>
            </w:pPr>
          </w:p>
        </w:tc>
        <w:tc>
          <w:tcPr>
            <w:tcW w:w="1667" w:type="dxa"/>
          </w:tcPr>
          <w:p>
            <w:pPr>
              <w:pStyle w:val="TableParagraph"/>
              <w:rPr>
                <w:rFonts w:ascii="Times New Roman"/>
                <w:sz w:val="20"/>
              </w:rPr>
            </w:pPr>
          </w:p>
        </w:tc>
        <w:tc>
          <w:tcPr>
            <w:tcW w:w="7595" w:type="dxa"/>
          </w:tcPr>
          <w:p>
            <w:pPr>
              <w:pStyle w:val="TableParagraph"/>
              <w:numPr>
                <w:ilvl w:val="0"/>
                <w:numId w:val="10"/>
              </w:numPr>
              <w:tabs>
                <w:tab w:pos="840" w:val="left" w:leader="none"/>
                <w:tab w:pos="841" w:val="left" w:leader="none"/>
              </w:tabs>
              <w:spacing w:line="211" w:lineRule="exact" w:before="0" w:after="0"/>
              <w:ind w:left="840" w:right="0" w:hanging="737"/>
              <w:jc w:val="left"/>
              <w:rPr>
                <w:sz w:val="21"/>
              </w:rPr>
            </w:pPr>
            <w:r>
              <w:rPr>
                <w:spacing w:val="-3"/>
                <w:sz w:val="21"/>
              </w:rPr>
              <w:t>联系方式变更；</w:t>
            </w:r>
          </w:p>
          <w:p>
            <w:pPr>
              <w:pStyle w:val="TableParagraph"/>
              <w:numPr>
                <w:ilvl w:val="0"/>
                <w:numId w:val="10"/>
              </w:numPr>
              <w:tabs>
                <w:tab w:pos="840" w:val="left" w:leader="none"/>
                <w:tab w:pos="841" w:val="left" w:leader="none"/>
              </w:tabs>
              <w:spacing w:line="240" w:lineRule="auto" w:before="116" w:after="0"/>
              <w:ind w:left="840" w:right="0" w:hanging="737"/>
              <w:jc w:val="left"/>
              <w:rPr>
                <w:sz w:val="21"/>
              </w:rPr>
            </w:pPr>
            <w:r>
              <w:rPr>
                <w:spacing w:val="-3"/>
                <w:sz w:val="21"/>
              </w:rPr>
              <w:t>争议处理；</w:t>
            </w:r>
          </w:p>
          <w:p>
            <w:pPr>
              <w:pStyle w:val="TableParagraph"/>
              <w:numPr>
                <w:ilvl w:val="0"/>
                <w:numId w:val="10"/>
              </w:numPr>
              <w:tabs>
                <w:tab w:pos="840" w:val="left" w:leader="none"/>
                <w:tab w:pos="841" w:val="left" w:leader="none"/>
              </w:tabs>
              <w:spacing w:line="240" w:lineRule="auto" w:before="114" w:after="0"/>
              <w:ind w:left="840" w:right="0" w:hanging="737"/>
              <w:jc w:val="left"/>
              <w:rPr>
                <w:sz w:val="21"/>
              </w:rPr>
            </w:pPr>
            <w:r>
              <w:rPr>
                <w:spacing w:val="-3"/>
                <w:sz w:val="21"/>
              </w:rPr>
              <w:t>保险事故鉴定。</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9.</w:t>
            </w:r>
          </w:p>
        </w:tc>
        <w:tc>
          <w:tcPr>
            <w:tcW w:w="1667" w:type="dxa"/>
            <w:tcBorders>
              <w:bottom w:val="single" w:sz="8" w:space="0" w:color="000000"/>
            </w:tcBorders>
          </w:tcPr>
          <w:p>
            <w:pPr>
              <w:pStyle w:val="TableParagraph"/>
              <w:spacing w:before="136"/>
              <w:ind w:left="238" w:right="-29"/>
              <w:rPr>
                <w:b/>
                <w:sz w:val="24"/>
              </w:rPr>
            </w:pPr>
            <w:r>
              <w:rPr>
                <w:b/>
                <w:w w:val="95"/>
                <w:sz w:val="24"/>
              </w:rPr>
              <w:t>重大疾病定义</w:t>
            </w:r>
          </w:p>
        </w:tc>
        <w:tc>
          <w:tcPr>
            <w:tcW w:w="7595" w:type="dxa"/>
            <w:tcBorders>
              <w:bottom w:val="single" w:sz="8" w:space="0" w:color="000000"/>
            </w:tcBorders>
          </w:tcPr>
          <w:p>
            <w:pPr>
              <w:pStyle w:val="TableParagraph"/>
              <w:rPr>
                <w:rFonts w:ascii="Times New Roman"/>
                <w:sz w:val="20"/>
              </w:rPr>
            </w:pPr>
          </w:p>
        </w:tc>
      </w:tr>
      <w:tr>
        <w:trPr>
          <w:trHeight w:val="1601" w:hRule="atLeast"/>
        </w:trPr>
        <w:tc>
          <w:tcPr>
            <w:tcW w:w="664" w:type="dxa"/>
            <w:tcBorders>
              <w:top w:val="single" w:sz="8" w:space="0" w:color="000000"/>
            </w:tcBorders>
          </w:tcPr>
          <w:p>
            <w:pPr>
              <w:pStyle w:val="TableParagraph"/>
              <w:rPr>
                <w:rFonts w:ascii="Times New Roman"/>
                <w:sz w:val="20"/>
              </w:rPr>
            </w:pPr>
          </w:p>
        </w:tc>
        <w:tc>
          <w:tcPr>
            <w:tcW w:w="1667" w:type="dxa"/>
            <w:tcBorders>
              <w:top w:val="single" w:sz="8" w:space="0" w:color="000000"/>
            </w:tcBorders>
          </w:tcPr>
          <w:p>
            <w:pPr>
              <w:pStyle w:val="TableParagraph"/>
              <w:rPr>
                <w:rFonts w:ascii="Times New Roman"/>
                <w:sz w:val="20"/>
              </w:rPr>
            </w:pPr>
          </w:p>
        </w:tc>
        <w:tc>
          <w:tcPr>
            <w:tcW w:w="7595" w:type="dxa"/>
            <w:tcBorders>
              <w:top w:val="single" w:sz="8" w:space="0" w:color="000000"/>
            </w:tcBorders>
          </w:tcPr>
          <w:p>
            <w:pPr>
              <w:pStyle w:val="TableParagraph"/>
              <w:spacing w:before="8"/>
              <w:rPr>
                <w:sz w:val="16"/>
              </w:rPr>
            </w:pPr>
          </w:p>
          <w:p>
            <w:pPr>
              <w:pStyle w:val="TableParagraph"/>
              <w:spacing w:line="271" w:lineRule="auto"/>
              <w:ind w:left="103" w:right="101"/>
              <w:jc w:val="both"/>
              <w:rPr>
                <w:sz w:val="21"/>
              </w:rPr>
            </w:pPr>
            <w:r>
              <w:rPr>
                <w:spacing w:val="-6"/>
                <w:sz w:val="21"/>
              </w:rPr>
              <w:t>本附加合同所定义的重大疾病共有 </w:t>
            </w:r>
            <w:r>
              <w:rPr>
                <w:sz w:val="21"/>
              </w:rPr>
              <w:t>32</w:t>
            </w:r>
            <w:r>
              <w:rPr>
                <w:spacing w:val="-15"/>
                <w:sz w:val="21"/>
              </w:rPr>
              <w:t> 种，其中第 </w:t>
            </w:r>
            <w:r>
              <w:rPr>
                <w:sz w:val="21"/>
              </w:rPr>
              <w:t>1</w:t>
            </w:r>
            <w:r>
              <w:rPr>
                <w:spacing w:val="-29"/>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25"/>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spacing w:before="111"/>
              <w:ind w:left="107"/>
              <w:rPr>
                <w:b/>
                <w:sz w:val="21"/>
              </w:rPr>
            </w:pPr>
            <w:r>
              <w:rPr>
                <w:b/>
                <w:sz w:val="21"/>
              </w:rPr>
              <w:t>9.1</w:t>
            </w:r>
          </w:p>
        </w:tc>
        <w:tc>
          <w:tcPr>
            <w:tcW w:w="1667" w:type="dxa"/>
          </w:tcPr>
          <w:p>
            <w:pPr>
              <w:pStyle w:val="TableParagraph"/>
              <w:spacing w:before="111"/>
              <w:ind w:left="238"/>
              <w:rPr>
                <w:b/>
                <w:sz w:val="21"/>
              </w:rPr>
            </w:pPr>
            <w:r>
              <w:rPr>
                <w:b/>
                <w:sz w:val="21"/>
              </w:rPr>
              <w:t>恶性肿瘤</w:t>
            </w:r>
          </w:p>
        </w:tc>
        <w:tc>
          <w:tcPr>
            <w:tcW w:w="7595" w:type="dxa"/>
          </w:tcPr>
          <w:p>
            <w:pPr>
              <w:pStyle w:val="TableParagraph"/>
              <w:spacing w:line="273" w:lineRule="auto" w:before="111"/>
              <w:ind w:left="103"/>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ind w:left="103"/>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1"/>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1"/>
              </w:numPr>
              <w:tabs>
                <w:tab w:pos="840" w:val="left" w:leader="none"/>
                <w:tab w:pos="841" w:val="left" w:leader="none"/>
              </w:tabs>
              <w:spacing w:line="240" w:lineRule="auto" w:before="114" w:after="0"/>
              <w:ind w:left="840"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1"/>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1"/>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664" w:type="dxa"/>
          </w:tcPr>
          <w:p>
            <w:pPr>
              <w:pStyle w:val="TableParagraph"/>
              <w:spacing w:before="110"/>
              <w:ind w:left="107"/>
              <w:rPr>
                <w:b/>
                <w:sz w:val="21"/>
              </w:rPr>
            </w:pPr>
            <w:r>
              <w:rPr>
                <w:b/>
                <w:sz w:val="21"/>
              </w:rPr>
              <w:t>9.2</w:t>
            </w:r>
          </w:p>
        </w:tc>
        <w:tc>
          <w:tcPr>
            <w:tcW w:w="1667" w:type="dxa"/>
          </w:tcPr>
          <w:p>
            <w:pPr>
              <w:pStyle w:val="TableParagraph"/>
              <w:spacing w:before="110"/>
              <w:ind w:left="238"/>
              <w:rPr>
                <w:b/>
                <w:sz w:val="21"/>
              </w:rPr>
            </w:pPr>
            <w:r>
              <w:rPr>
                <w:b/>
                <w:sz w:val="21"/>
              </w:rPr>
              <w:t>急性心肌梗塞</w:t>
            </w:r>
          </w:p>
        </w:tc>
        <w:tc>
          <w:tcPr>
            <w:tcW w:w="7595" w:type="dxa"/>
          </w:tcPr>
          <w:p>
            <w:pPr>
              <w:pStyle w:val="TableParagraph"/>
              <w:spacing w:line="273" w:lineRule="auto" w:before="110"/>
              <w:ind w:left="103" w:right="104"/>
              <w:rPr>
                <w:sz w:val="21"/>
              </w:rPr>
            </w:pPr>
            <w:r>
              <w:rPr>
                <w:sz w:val="21"/>
              </w:rPr>
              <w:t>指因冠状动脉阻塞导致的相应区域供血不足造成部分心肌坏死。须满足下列至少三项条件：</w:t>
            </w:r>
          </w:p>
          <w:p>
            <w:pPr>
              <w:pStyle w:val="TableParagraph"/>
              <w:numPr>
                <w:ilvl w:val="0"/>
                <w:numId w:val="12"/>
              </w:numPr>
              <w:tabs>
                <w:tab w:pos="840" w:val="left" w:leader="none"/>
                <w:tab w:pos="841" w:val="left" w:leader="none"/>
              </w:tabs>
              <w:spacing w:line="240" w:lineRule="auto" w:before="86" w:after="0"/>
              <w:ind w:left="823" w:right="0" w:hanging="720"/>
              <w:jc w:val="left"/>
              <w:rPr>
                <w:sz w:val="21"/>
              </w:rPr>
            </w:pPr>
            <w:r>
              <w:rPr>
                <w:spacing w:val="-3"/>
                <w:sz w:val="21"/>
              </w:rPr>
              <w:t>典型临床表现，例如急性胸痛等；</w:t>
            </w:r>
          </w:p>
          <w:p>
            <w:pPr>
              <w:pStyle w:val="TableParagraph"/>
              <w:numPr>
                <w:ilvl w:val="0"/>
                <w:numId w:val="12"/>
              </w:numPr>
              <w:tabs>
                <w:tab w:pos="840" w:val="left" w:leader="none"/>
                <w:tab w:pos="841" w:val="left" w:leader="none"/>
              </w:tabs>
              <w:spacing w:line="240" w:lineRule="auto" w:before="113" w:after="0"/>
              <w:ind w:left="823" w:right="0" w:hanging="720"/>
              <w:jc w:val="left"/>
              <w:rPr>
                <w:sz w:val="21"/>
              </w:rPr>
            </w:pPr>
            <w:r>
              <w:rPr>
                <w:spacing w:val="-3"/>
                <w:sz w:val="21"/>
              </w:rPr>
              <w:t>新近的心电图改变提示急性心肌梗塞；</w:t>
            </w:r>
          </w:p>
          <w:p>
            <w:pPr>
              <w:pStyle w:val="TableParagraph"/>
              <w:numPr>
                <w:ilvl w:val="0"/>
                <w:numId w:val="12"/>
              </w:numPr>
              <w:tabs>
                <w:tab w:pos="805" w:val="left" w:leader="none"/>
              </w:tabs>
              <w:spacing w:line="271" w:lineRule="auto" w:before="116" w:after="0"/>
              <w:ind w:left="823" w:right="103" w:hanging="720"/>
              <w:jc w:val="left"/>
              <w:rPr>
                <w:sz w:val="21"/>
              </w:rPr>
            </w:pPr>
            <w:r>
              <w:rPr>
                <w:spacing w:val="-5"/>
                <w:sz w:val="21"/>
              </w:rPr>
              <w:t>心肌酶或肌钙蛋白有诊断意义的升高，或呈符合急性心肌梗塞的动态性变化；</w:t>
            </w:r>
          </w:p>
          <w:p>
            <w:pPr>
              <w:pStyle w:val="TableParagraph"/>
              <w:numPr>
                <w:ilvl w:val="0"/>
                <w:numId w:val="12"/>
              </w:numPr>
              <w:tabs>
                <w:tab w:pos="833" w:val="left" w:leader="none"/>
                <w:tab w:pos="834" w:val="left" w:leader="none"/>
              </w:tabs>
              <w:spacing w:line="240" w:lineRule="auto" w:before="89" w:after="0"/>
              <w:ind w:left="833"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664" w:type="dxa"/>
          </w:tcPr>
          <w:p>
            <w:pPr>
              <w:pStyle w:val="TableParagraph"/>
              <w:spacing w:before="110"/>
              <w:ind w:left="107"/>
              <w:rPr>
                <w:b/>
                <w:sz w:val="21"/>
              </w:rPr>
            </w:pPr>
            <w:r>
              <w:rPr>
                <w:b/>
                <w:sz w:val="21"/>
              </w:rPr>
              <w:t>9.3</w:t>
            </w:r>
          </w:p>
        </w:tc>
        <w:tc>
          <w:tcPr>
            <w:tcW w:w="1667" w:type="dxa"/>
          </w:tcPr>
          <w:p>
            <w:pPr>
              <w:pStyle w:val="TableParagraph"/>
              <w:spacing w:before="110"/>
              <w:ind w:left="238"/>
              <w:rPr>
                <w:b/>
                <w:sz w:val="21"/>
              </w:rPr>
            </w:pPr>
            <w:r>
              <w:rPr>
                <w:b/>
                <w:sz w:val="21"/>
              </w:rPr>
              <w:t>脑中风后遗症</w:t>
            </w:r>
          </w:p>
        </w:tc>
        <w:tc>
          <w:tcPr>
            <w:tcW w:w="7595" w:type="dxa"/>
          </w:tcPr>
          <w:p>
            <w:pPr>
              <w:pStyle w:val="TableParagraph"/>
              <w:spacing w:line="273" w:lineRule="auto" w:before="110"/>
              <w:ind w:left="103" w:right="101"/>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6"/>
                <w:sz w:val="21"/>
              </w:rPr>
              <w:t> 天后，仍遗留下列一种</w:t>
            </w:r>
            <w:r>
              <w:rPr>
                <w:spacing w:val="-4"/>
                <w:sz w:val="21"/>
              </w:rPr>
              <w:t>或一种以上障碍：</w:t>
            </w:r>
          </w:p>
          <w:p>
            <w:pPr>
              <w:pStyle w:val="TableParagraph"/>
              <w:numPr>
                <w:ilvl w:val="0"/>
                <w:numId w:val="13"/>
              </w:numPr>
              <w:tabs>
                <w:tab w:pos="840" w:val="left" w:leader="none"/>
                <w:tab w:pos="841" w:val="left" w:leader="none"/>
              </w:tabs>
              <w:spacing w:line="240" w:lineRule="auto" w:before="86" w:after="0"/>
              <w:ind w:left="823" w:right="0" w:hanging="720"/>
              <w:jc w:val="left"/>
              <w:rPr>
                <w:sz w:val="21"/>
              </w:rPr>
            </w:pPr>
            <w:r>
              <w:rPr>
                <w:spacing w:val="-3"/>
                <w:sz w:val="21"/>
              </w:rPr>
              <w:t>一肢或一肢以上</w:t>
            </w:r>
            <w:r>
              <w:rPr>
                <w:b/>
                <w:sz w:val="21"/>
              </w:rPr>
              <w:t>肢体机能完全丧失</w:t>
            </w:r>
            <w:r>
              <w:rPr>
                <w:spacing w:val="-16"/>
                <w:sz w:val="21"/>
              </w:rPr>
              <w:t>(见 </w:t>
            </w:r>
            <w:r>
              <w:rPr>
                <w:sz w:val="21"/>
              </w:rPr>
              <w:t>10.20)；</w:t>
            </w:r>
          </w:p>
          <w:p>
            <w:pPr>
              <w:pStyle w:val="TableParagraph"/>
              <w:numPr>
                <w:ilvl w:val="0"/>
                <w:numId w:val="13"/>
              </w:numPr>
              <w:tabs>
                <w:tab w:pos="837" w:val="left" w:leader="none"/>
                <w:tab w:pos="838" w:val="left" w:leader="none"/>
              </w:tabs>
              <w:spacing w:line="240" w:lineRule="auto" w:before="114" w:after="0"/>
              <w:ind w:left="838" w:right="0" w:hanging="735"/>
              <w:jc w:val="left"/>
              <w:rPr>
                <w:sz w:val="21"/>
              </w:rPr>
            </w:pPr>
            <w:r>
              <w:rPr>
                <w:b/>
                <w:spacing w:val="-1"/>
                <w:sz w:val="21"/>
              </w:rPr>
              <w:t>语言能力或咀嚼吞咽能力完全丧失</w:t>
            </w:r>
            <w:r>
              <w:rPr>
                <w:spacing w:val="-18"/>
                <w:sz w:val="21"/>
              </w:rPr>
              <w:t>(见 </w:t>
            </w:r>
            <w:r>
              <w:rPr>
                <w:sz w:val="21"/>
              </w:rPr>
              <w:t>10.21)；</w:t>
            </w:r>
          </w:p>
          <w:p>
            <w:pPr>
              <w:pStyle w:val="TableParagraph"/>
              <w:numPr>
                <w:ilvl w:val="0"/>
                <w:numId w:val="13"/>
              </w:numPr>
              <w:tabs>
                <w:tab w:pos="826" w:val="left" w:leader="none"/>
              </w:tabs>
              <w:spacing w:line="271" w:lineRule="auto" w:before="116" w:after="0"/>
              <w:ind w:left="823"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10.22) </w:t>
            </w:r>
            <w:r>
              <w:rPr>
                <w:spacing w:val="-3"/>
                <w:sz w:val="21"/>
              </w:rPr>
              <w:t>中的三项或三项以上。</w:t>
            </w:r>
          </w:p>
        </w:tc>
      </w:tr>
      <w:tr>
        <w:trPr>
          <w:trHeight w:val="1089" w:hRule="atLeast"/>
        </w:trPr>
        <w:tc>
          <w:tcPr>
            <w:tcW w:w="664" w:type="dxa"/>
          </w:tcPr>
          <w:p>
            <w:pPr>
              <w:pStyle w:val="TableParagraph"/>
              <w:spacing w:before="111"/>
              <w:ind w:left="107"/>
              <w:rPr>
                <w:b/>
                <w:sz w:val="21"/>
              </w:rPr>
            </w:pPr>
            <w:r>
              <w:rPr>
                <w:b/>
                <w:sz w:val="21"/>
              </w:rPr>
              <w:t>9.4</w:t>
            </w:r>
          </w:p>
        </w:tc>
        <w:tc>
          <w:tcPr>
            <w:tcW w:w="1667" w:type="dxa"/>
          </w:tcPr>
          <w:p>
            <w:pPr>
              <w:pStyle w:val="TableParagraph"/>
              <w:spacing w:line="273" w:lineRule="auto" w:before="111"/>
              <w:ind w:left="238" w:right="101"/>
              <w:jc w:val="both"/>
              <w:rPr>
                <w:b/>
                <w:sz w:val="21"/>
              </w:rPr>
            </w:pPr>
            <w:r>
              <w:rPr>
                <w:b/>
                <w:sz w:val="21"/>
              </w:rPr>
              <w:t>重大器官移植术或造血干细胞移植术</w:t>
            </w:r>
          </w:p>
        </w:tc>
        <w:tc>
          <w:tcPr>
            <w:tcW w:w="7595" w:type="dxa"/>
          </w:tcPr>
          <w:p>
            <w:pPr>
              <w:pStyle w:val="TableParagraph"/>
              <w:spacing w:line="273" w:lineRule="auto" w:before="111"/>
              <w:ind w:left="103" w:right="104"/>
              <w:rPr>
                <w:sz w:val="21"/>
              </w:rPr>
            </w:pPr>
            <w:r>
              <w:rPr>
                <w:sz w:val="21"/>
              </w:rPr>
              <w:t>重大器官移植术，指因相应器官功能衰竭，已经实施了肾脏、肝脏、心脏或肺脏的异体移植手术。</w:t>
            </w:r>
          </w:p>
          <w:p>
            <w:pPr>
              <w:pStyle w:val="TableParagraph"/>
              <w:spacing w:line="255" w:lineRule="exact" w:before="86"/>
              <w:ind w:left="103"/>
              <w:rPr>
                <w:sz w:val="21"/>
              </w:rPr>
            </w:pPr>
            <w:r>
              <w:rPr>
                <w:sz w:val="21"/>
              </w:rPr>
              <w:t>造血干细胞移植术，指因造血功能损害或造血系统恶性肿瘤，已经实施了造血干</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42"/>
        <w:gridCol w:w="7766"/>
      </w:tblGrid>
      <w:tr>
        <w:trPr>
          <w:trHeight w:val="698" w:hRule="atLeast"/>
        </w:trPr>
        <w:tc>
          <w:tcPr>
            <w:tcW w:w="809" w:type="dxa"/>
          </w:tcPr>
          <w:p>
            <w:pPr>
              <w:pStyle w:val="TableParagraph"/>
              <w:rPr>
                <w:rFonts w:ascii="Times New Roman"/>
                <w:sz w:val="20"/>
              </w:rPr>
            </w:pPr>
          </w:p>
        </w:tc>
        <w:tc>
          <w:tcPr>
            <w:tcW w:w="1642" w:type="dxa"/>
          </w:tcPr>
          <w:p>
            <w:pPr>
              <w:pStyle w:val="TableParagraph"/>
              <w:rPr>
                <w:rFonts w:ascii="Times New Roman"/>
                <w:sz w:val="20"/>
              </w:rPr>
            </w:pPr>
          </w:p>
        </w:tc>
        <w:tc>
          <w:tcPr>
            <w:tcW w:w="7766" w:type="dxa"/>
          </w:tcPr>
          <w:p>
            <w:pPr>
              <w:pStyle w:val="TableParagraph"/>
              <w:spacing w:line="211" w:lineRule="exact"/>
              <w:ind w:left="75"/>
              <w:rPr>
                <w:sz w:val="21"/>
              </w:rPr>
            </w:pPr>
            <w:r>
              <w:rPr>
                <w:sz w:val="21"/>
              </w:rPr>
              <w:t>细胞（包括骨髓造血干细胞、外周血造血干细胞和脐血造血干细胞）的异体移植</w:t>
            </w:r>
          </w:p>
          <w:p>
            <w:pPr>
              <w:pStyle w:val="TableParagraph"/>
              <w:spacing w:before="37"/>
              <w:ind w:left="75"/>
              <w:rPr>
                <w:sz w:val="21"/>
              </w:rPr>
            </w:pPr>
            <w:r>
              <w:rPr>
                <w:sz w:val="21"/>
              </w:rPr>
              <w:t>手术。</w:t>
            </w:r>
          </w:p>
        </w:tc>
      </w:tr>
      <w:tr>
        <w:trPr>
          <w:trHeight w:val="1497" w:hRule="atLeast"/>
        </w:trPr>
        <w:tc>
          <w:tcPr>
            <w:tcW w:w="809" w:type="dxa"/>
          </w:tcPr>
          <w:p>
            <w:pPr>
              <w:pStyle w:val="TableParagraph"/>
              <w:spacing w:before="111"/>
              <w:ind w:left="200"/>
              <w:rPr>
                <w:b/>
                <w:sz w:val="21"/>
              </w:rPr>
            </w:pPr>
            <w:r>
              <w:rPr>
                <w:b/>
                <w:sz w:val="21"/>
              </w:rPr>
              <w:t>9.5</w:t>
            </w:r>
          </w:p>
        </w:tc>
        <w:tc>
          <w:tcPr>
            <w:tcW w:w="1642" w:type="dxa"/>
          </w:tcPr>
          <w:p>
            <w:pPr>
              <w:pStyle w:val="TableParagraph"/>
              <w:spacing w:line="273" w:lineRule="auto" w:before="111"/>
              <w:ind w:left="185" w:right="129"/>
              <w:jc w:val="both"/>
              <w:rPr>
                <w:b/>
                <w:sz w:val="21"/>
              </w:rPr>
            </w:pPr>
            <w:r>
              <w:rPr>
                <w:b/>
                <w:sz w:val="21"/>
              </w:rPr>
              <w:t>冠状动脉搭桥术（或称冠状动脉旁路移植术）</w:t>
            </w:r>
          </w:p>
        </w:tc>
        <w:tc>
          <w:tcPr>
            <w:tcW w:w="7766" w:type="dxa"/>
          </w:tcPr>
          <w:p>
            <w:pPr>
              <w:pStyle w:val="TableParagraph"/>
              <w:spacing w:before="111"/>
              <w:ind w:left="75"/>
              <w:rPr>
                <w:sz w:val="21"/>
              </w:rPr>
            </w:pPr>
            <w:r>
              <w:rPr>
                <w:sz w:val="21"/>
              </w:rPr>
              <w:t>指为治疗严重的冠心病，实际实施了开胸进行的冠状动脉血管旁路移植的手术。</w:t>
            </w:r>
          </w:p>
          <w:p>
            <w:pPr>
              <w:pStyle w:val="TableParagraph"/>
              <w:spacing w:line="271" w:lineRule="auto" w:before="115"/>
              <w:ind w:left="75"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spacing w:before="111"/>
              <w:ind w:left="200"/>
              <w:rPr>
                <w:b/>
                <w:sz w:val="21"/>
              </w:rPr>
            </w:pPr>
            <w:r>
              <w:rPr>
                <w:b/>
                <w:sz w:val="21"/>
              </w:rPr>
              <w:t>9.6</w:t>
            </w:r>
          </w:p>
        </w:tc>
        <w:tc>
          <w:tcPr>
            <w:tcW w:w="1642" w:type="dxa"/>
          </w:tcPr>
          <w:p>
            <w:pPr>
              <w:pStyle w:val="TableParagraph"/>
              <w:spacing w:before="111"/>
              <w:ind w:left="185"/>
              <w:rPr>
                <w:b/>
                <w:sz w:val="21"/>
              </w:rPr>
            </w:pPr>
            <w:r>
              <w:rPr>
                <w:b/>
                <w:sz w:val="21"/>
              </w:rPr>
              <w:t>终末期肾病 </w:t>
            </w:r>
          </w:p>
          <w:p>
            <w:pPr>
              <w:pStyle w:val="TableParagraph"/>
              <w:spacing w:line="273" w:lineRule="auto" w:before="34"/>
              <w:ind w:left="185" w:right="129"/>
              <w:jc w:val="both"/>
              <w:rPr>
                <w:b/>
                <w:sz w:val="21"/>
              </w:rPr>
            </w:pPr>
            <w:r>
              <w:rPr>
                <w:b/>
                <w:sz w:val="21"/>
              </w:rPr>
              <w:t>（或称慢性肾功能衰竭尿毒症期）</w:t>
            </w:r>
          </w:p>
        </w:tc>
        <w:tc>
          <w:tcPr>
            <w:tcW w:w="7766" w:type="dxa"/>
          </w:tcPr>
          <w:p>
            <w:pPr>
              <w:pStyle w:val="TableParagraph"/>
              <w:spacing w:line="271" w:lineRule="auto" w:before="111"/>
              <w:ind w:left="75"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642" w:type="dxa"/>
          </w:tcPr>
          <w:p>
            <w:pPr>
              <w:pStyle w:val="TableParagraph"/>
              <w:spacing w:before="111"/>
              <w:ind w:left="185"/>
              <w:rPr>
                <w:b/>
                <w:sz w:val="21"/>
              </w:rPr>
            </w:pPr>
            <w:r>
              <w:rPr>
                <w:b/>
                <w:sz w:val="21"/>
              </w:rPr>
              <w:t>多个肢体缺失</w:t>
            </w:r>
          </w:p>
        </w:tc>
        <w:tc>
          <w:tcPr>
            <w:tcW w:w="7766" w:type="dxa"/>
          </w:tcPr>
          <w:p>
            <w:pPr>
              <w:pStyle w:val="TableParagraph"/>
              <w:spacing w:line="271" w:lineRule="auto" w:before="111"/>
              <w:ind w:left="75" w:right="303"/>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642" w:type="dxa"/>
          </w:tcPr>
          <w:p>
            <w:pPr>
              <w:pStyle w:val="TableParagraph"/>
              <w:spacing w:line="273" w:lineRule="auto" w:before="111"/>
              <w:ind w:left="185" w:right="129"/>
              <w:rPr>
                <w:b/>
                <w:sz w:val="21"/>
              </w:rPr>
            </w:pPr>
            <w:r>
              <w:rPr>
                <w:b/>
                <w:sz w:val="21"/>
              </w:rPr>
              <w:t>急性或亚急性重症肝炎</w:t>
            </w:r>
          </w:p>
        </w:tc>
        <w:tc>
          <w:tcPr>
            <w:tcW w:w="7766" w:type="dxa"/>
          </w:tcPr>
          <w:p>
            <w:pPr>
              <w:pStyle w:val="TableParagraph"/>
              <w:spacing w:line="273" w:lineRule="auto" w:before="111"/>
              <w:ind w:left="75" w:right="3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4"/>
              </w:numPr>
              <w:tabs>
                <w:tab w:pos="812" w:val="left" w:leader="none"/>
                <w:tab w:pos="813" w:val="left" w:leader="none"/>
              </w:tabs>
              <w:spacing w:line="240" w:lineRule="auto" w:before="86" w:after="0"/>
              <w:ind w:left="812" w:right="0" w:hanging="737"/>
              <w:jc w:val="left"/>
              <w:rPr>
                <w:sz w:val="21"/>
              </w:rPr>
            </w:pPr>
            <w:r>
              <w:rPr>
                <w:spacing w:val="-3"/>
                <w:sz w:val="21"/>
              </w:rPr>
              <w:t>重度黄疸或黄疸迅速加重；</w:t>
            </w:r>
          </w:p>
          <w:p>
            <w:pPr>
              <w:pStyle w:val="TableParagraph"/>
              <w:numPr>
                <w:ilvl w:val="0"/>
                <w:numId w:val="14"/>
              </w:numPr>
              <w:tabs>
                <w:tab w:pos="812" w:val="left" w:leader="none"/>
                <w:tab w:pos="813" w:val="left" w:leader="none"/>
              </w:tabs>
              <w:spacing w:line="240" w:lineRule="auto" w:before="113" w:after="0"/>
              <w:ind w:left="812" w:right="0" w:hanging="737"/>
              <w:jc w:val="left"/>
              <w:rPr>
                <w:sz w:val="21"/>
              </w:rPr>
            </w:pPr>
            <w:r>
              <w:rPr>
                <w:spacing w:val="-3"/>
                <w:sz w:val="21"/>
              </w:rPr>
              <w:t>肝性脑病；</w:t>
            </w:r>
          </w:p>
          <w:p>
            <w:pPr>
              <w:pStyle w:val="TableParagraph"/>
              <w:numPr>
                <w:ilvl w:val="0"/>
                <w:numId w:val="14"/>
              </w:numPr>
              <w:tabs>
                <w:tab w:pos="812" w:val="left" w:leader="none"/>
                <w:tab w:pos="813" w:val="left" w:leader="none"/>
              </w:tabs>
              <w:spacing w:line="240" w:lineRule="auto" w:before="115" w:after="0"/>
              <w:ind w:left="812" w:right="0" w:hanging="737"/>
              <w:jc w:val="left"/>
              <w:rPr>
                <w:sz w:val="21"/>
              </w:rPr>
            </w:pPr>
            <w:r>
              <w:rPr>
                <w:sz w:val="21"/>
              </w:rPr>
              <w:t>B</w:t>
            </w:r>
            <w:r>
              <w:rPr>
                <w:spacing w:val="-7"/>
                <w:sz w:val="21"/>
              </w:rPr>
              <w:t> 超或其它影像学检查显示肝脏体积急速萎缩；</w:t>
            </w:r>
          </w:p>
          <w:p>
            <w:pPr>
              <w:pStyle w:val="TableParagraph"/>
              <w:numPr>
                <w:ilvl w:val="0"/>
                <w:numId w:val="14"/>
              </w:numPr>
              <w:tabs>
                <w:tab w:pos="812" w:val="left" w:leader="none"/>
                <w:tab w:pos="813" w:val="left" w:leader="none"/>
              </w:tabs>
              <w:spacing w:line="240" w:lineRule="auto" w:before="113" w:after="0"/>
              <w:ind w:left="812"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1"/>
              <w:ind w:left="200"/>
              <w:rPr>
                <w:b/>
                <w:sz w:val="21"/>
              </w:rPr>
            </w:pPr>
            <w:r>
              <w:rPr>
                <w:b/>
                <w:sz w:val="21"/>
              </w:rPr>
              <w:t>9.9</w:t>
            </w:r>
          </w:p>
        </w:tc>
        <w:tc>
          <w:tcPr>
            <w:tcW w:w="1642" w:type="dxa"/>
          </w:tcPr>
          <w:p>
            <w:pPr>
              <w:pStyle w:val="TableParagraph"/>
              <w:spacing w:before="111"/>
              <w:ind w:left="185"/>
              <w:rPr>
                <w:b/>
                <w:sz w:val="21"/>
              </w:rPr>
            </w:pPr>
            <w:r>
              <w:rPr>
                <w:b/>
                <w:sz w:val="21"/>
              </w:rPr>
              <w:t>良性脑肿瘤</w:t>
            </w:r>
          </w:p>
        </w:tc>
        <w:tc>
          <w:tcPr>
            <w:tcW w:w="7766" w:type="dxa"/>
          </w:tcPr>
          <w:p>
            <w:pPr>
              <w:pStyle w:val="TableParagraph"/>
              <w:spacing w:line="271" w:lineRule="auto" w:before="111"/>
              <w:ind w:left="75"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5"/>
              </w:numPr>
              <w:tabs>
                <w:tab w:pos="813" w:val="left" w:leader="none"/>
              </w:tabs>
              <w:spacing w:line="240" w:lineRule="auto" w:before="89" w:after="0"/>
              <w:ind w:left="812" w:right="0" w:hanging="737"/>
              <w:jc w:val="both"/>
              <w:rPr>
                <w:sz w:val="21"/>
              </w:rPr>
            </w:pPr>
            <w:r>
              <w:rPr>
                <w:spacing w:val="-3"/>
                <w:sz w:val="21"/>
              </w:rPr>
              <w:t>实际实施了开颅进行的脑肿瘤完全切除或部分切除的手术；</w:t>
            </w:r>
          </w:p>
          <w:p>
            <w:pPr>
              <w:pStyle w:val="TableParagraph"/>
              <w:numPr>
                <w:ilvl w:val="0"/>
                <w:numId w:val="15"/>
              </w:numPr>
              <w:tabs>
                <w:tab w:pos="813" w:val="left" w:leader="none"/>
              </w:tabs>
              <w:spacing w:line="240" w:lineRule="auto" w:before="116" w:after="0"/>
              <w:ind w:left="812" w:right="0" w:hanging="737"/>
              <w:jc w:val="both"/>
              <w:rPr>
                <w:sz w:val="21"/>
              </w:rPr>
            </w:pPr>
            <w:r>
              <w:rPr>
                <w:spacing w:val="-3"/>
                <w:sz w:val="21"/>
              </w:rPr>
              <w:t>实际实施了对脑肿瘤进行的放射治疗。</w:t>
            </w:r>
          </w:p>
          <w:p>
            <w:pPr>
              <w:pStyle w:val="TableParagraph"/>
              <w:spacing w:before="113"/>
              <w:ind w:left="75"/>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642" w:type="dxa"/>
          </w:tcPr>
          <w:p>
            <w:pPr>
              <w:pStyle w:val="TableParagraph"/>
              <w:spacing w:line="273" w:lineRule="auto" w:before="110"/>
              <w:ind w:left="185" w:right="129"/>
              <w:rPr>
                <w:b/>
                <w:sz w:val="21"/>
              </w:rPr>
            </w:pPr>
            <w:r>
              <w:rPr>
                <w:b/>
                <w:sz w:val="21"/>
              </w:rPr>
              <w:t>慢性肝功能衰竭失代偿期</w:t>
            </w:r>
          </w:p>
        </w:tc>
        <w:tc>
          <w:tcPr>
            <w:tcW w:w="7766" w:type="dxa"/>
          </w:tcPr>
          <w:p>
            <w:pPr>
              <w:pStyle w:val="TableParagraph"/>
              <w:spacing w:before="110"/>
              <w:ind w:left="75"/>
              <w:rPr>
                <w:sz w:val="21"/>
              </w:rPr>
            </w:pPr>
            <w:r>
              <w:rPr>
                <w:sz w:val="21"/>
              </w:rPr>
              <w:t>指因慢性肝脏疾病导致肝功能衰竭。须满足下列全部条件：</w:t>
            </w:r>
          </w:p>
          <w:p>
            <w:pPr>
              <w:pStyle w:val="TableParagraph"/>
              <w:numPr>
                <w:ilvl w:val="0"/>
                <w:numId w:val="16"/>
              </w:numPr>
              <w:tabs>
                <w:tab w:pos="812" w:val="left" w:leader="none"/>
                <w:tab w:pos="813" w:val="left" w:leader="none"/>
              </w:tabs>
              <w:spacing w:line="240" w:lineRule="auto" w:before="116" w:after="0"/>
              <w:ind w:left="812" w:right="0" w:hanging="737"/>
              <w:jc w:val="left"/>
              <w:rPr>
                <w:sz w:val="21"/>
              </w:rPr>
            </w:pPr>
            <w:r>
              <w:rPr>
                <w:spacing w:val="-3"/>
                <w:sz w:val="21"/>
              </w:rPr>
              <w:t>持续性黄疸；</w:t>
            </w:r>
          </w:p>
          <w:p>
            <w:pPr>
              <w:pStyle w:val="TableParagraph"/>
              <w:numPr>
                <w:ilvl w:val="0"/>
                <w:numId w:val="16"/>
              </w:numPr>
              <w:tabs>
                <w:tab w:pos="812" w:val="left" w:leader="none"/>
                <w:tab w:pos="813" w:val="left" w:leader="none"/>
              </w:tabs>
              <w:spacing w:line="240" w:lineRule="auto" w:before="114" w:after="0"/>
              <w:ind w:left="812" w:right="0" w:hanging="737"/>
              <w:jc w:val="left"/>
              <w:rPr>
                <w:sz w:val="21"/>
              </w:rPr>
            </w:pPr>
            <w:r>
              <w:rPr>
                <w:spacing w:val="-2"/>
                <w:sz w:val="21"/>
              </w:rPr>
              <w:t>腹水；</w:t>
            </w:r>
          </w:p>
          <w:p>
            <w:pPr>
              <w:pStyle w:val="TableParagraph"/>
              <w:numPr>
                <w:ilvl w:val="0"/>
                <w:numId w:val="16"/>
              </w:numPr>
              <w:tabs>
                <w:tab w:pos="812" w:val="left" w:leader="none"/>
                <w:tab w:pos="813" w:val="left" w:leader="none"/>
              </w:tabs>
              <w:spacing w:line="240" w:lineRule="auto" w:before="116" w:after="0"/>
              <w:ind w:left="812" w:right="0" w:hanging="737"/>
              <w:jc w:val="left"/>
              <w:rPr>
                <w:sz w:val="21"/>
              </w:rPr>
            </w:pPr>
            <w:r>
              <w:rPr>
                <w:spacing w:val="-3"/>
                <w:sz w:val="21"/>
              </w:rPr>
              <w:t>肝性脑病；</w:t>
            </w:r>
          </w:p>
          <w:p>
            <w:pPr>
              <w:pStyle w:val="TableParagraph"/>
              <w:numPr>
                <w:ilvl w:val="0"/>
                <w:numId w:val="16"/>
              </w:numPr>
              <w:tabs>
                <w:tab w:pos="812" w:val="left" w:leader="none"/>
                <w:tab w:pos="813" w:val="left" w:leader="none"/>
              </w:tabs>
              <w:spacing w:line="240" w:lineRule="auto" w:before="113" w:after="0"/>
              <w:ind w:left="812" w:right="0" w:hanging="737"/>
              <w:jc w:val="left"/>
              <w:rPr>
                <w:sz w:val="21"/>
              </w:rPr>
            </w:pPr>
            <w:r>
              <w:rPr>
                <w:spacing w:val="-3"/>
                <w:sz w:val="21"/>
              </w:rPr>
              <w:t>充血性脾肿大伴脾功能亢进或食管胃底静脉曲张。</w:t>
            </w:r>
          </w:p>
          <w:p>
            <w:pPr>
              <w:pStyle w:val="TableParagraph"/>
              <w:spacing w:before="116"/>
              <w:ind w:left="75"/>
              <w:rPr>
                <w:sz w:val="21"/>
              </w:rPr>
            </w:pPr>
            <w:r>
              <w:rPr>
                <w:rFonts w:ascii="黑体" w:eastAsia="黑体" w:hint="eastAsia"/>
                <w:sz w:val="21"/>
              </w:rPr>
              <w:t>因酗酒或药物滥用导致的肝功能衰竭不在保障范围内</w:t>
            </w:r>
            <w:r>
              <w:rPr>
                <w:sz w:val="21"/>
              </w:rPr>
              <w:t>。</w:t>
            </w:r>
          </w:p>
        </w:tc>
      </w:tr>
      <w:tr>
        <w:trPr>
          <w:trHeight w:val="2178" w:hRule="atLeast"/>
        </w:trPr>
        <w:tc>
          <w:tcPr>
            <w:tcW w:w="809" w:type="dxa"/>
          </w:tcPr>
          <w:p>
            <w:pPr>
              <w:pStyle w:val="TableParagraph"/>
              <w:spacing w:before="110"/>
              <w:ind w:left="200"/>
              <w:rPr>
                <w:b/>
                <w:sz w:val="21"/>
              </w:rPr>
            </w:pPr>
            <w:r>
              <w:rPr>
                <w:b/>
                <w:sz w:val="21"/>
              </w:rPr>
              <w:t>9.11</w:t>
            </w:r>
          </w:p>
        </w:tc>
        <w:tc>
          <w:tcPr>
            <w:tcW w:w="1642" w:type="dxa"/>
          </w:tcPr>
          <w:p>
            <w:pPr>
              <w:pStyle w:val="TableParagraph"/>
              <w:spacing w:line="273" w:lineRule="auto" w:before="110"/>
              <w:ind w:left="185" w:right="129"/>
              <w:rPr>
                <w:b/>
                <w:sz w:val="21"/>
              </w:rPr>
            </w:pPr>
            <w:r>
              <w:rPr>
                <w:b/>
                <w:sz w:val="21"/>
              </w:rPr>
              <w:t>脑炎后遗症或脑膜炎后遗症</w:t>
            </w:r>
          </w:p>
        </w:tc>
        <w:tc>
          <w:tcPr>
            <w:tcW w:w="7766" w:type="dxa"/>
          </w:tcPr>
          <w:p>
            <w:pPr>
              <w:pStyle w:val="TableParagraph"/>
              <w:spacing w:line="273" w:lineRule="auto" w:before="110"/>
              <w:ind w:left="75" w:right="303"/>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812" w:val="left" w:leader="none"/>
                <w:tab w:pos="813" w:val="left" w:leader="none"/>
              </w:tabs>
              <w:spacing w:line="240" w:lineRule="auto" w:before="86" w:after="0"/>
              <w:ind w:left="795" w:right="0" w:hanging="720"/>
              <w:jc w:val="left"/>
              <w:rPr>
                <w:sz w:val="21"/>
              </w:rPr>
            </w:pPr>
            <w:r>
              <w:rPr>
                <w:spacing w:val="-3"/>
                <w:sz w:val="21"/>
              </w:rPr>
              <w:t>一肢或一肢以上肢体机能完全丧失；</w:t>
            </w:r>
          </w:p>
          <w:p>
            <w:pPr>
              <w:pStyle w:val="TableParagraph"/>
              <w:numPr>
                <w:ilvl w:val="0"/>
                <w:numId w:val="17"/>
              </w:numPr>
              <w:tabs>
                <w:tab w:pos="812" w:val="left" w:leader="none"/>
                <w:tab w:pos="813" w:val="left" w:leader="none"/>
              </w:tabs>
              <w:spacing w:line="240" w:lineRule="auto" w:before="113" w:after="0"/>
              <w:ind w:left="795" w:right="0" w:hanging="720"/>
              <w:jc w:val="left"/>
              <w:rPr>
                <w:sz w:val="21"/>
              </w:rPr>
            </w:pPr>
            <w:r>
              <w:rPr>
                <w:spacing w:val="-3"/>
                <w:sz w:val="21"/>
              </w:rPr>
              <w:t>语言能力或咀嚼吞咽能力完全丧失；</w:t>
            </w:r>
          </w:p>
          <w:p>
            <w:pPr>
              <w:pStyle w:val="TableParagraph"/>
              <w:numPr>
                <w:ilvl w:val="0"/>
                <w:numId w:val="17"/>
              </w:numPr>
              <w:tabs>
                <w:tab w:pos="777" w:val="left" w:leader="none"/>
              </w:tabs>
              <w:spacing w:line="310" w:lineRule="atLeast" w:before="80" w:after="0"/>
              <w:ind w:left="795" w:right="302"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1400" w:hRule="atLeast"/>
        </w:trPr>
        <w:tc>
          <w:tcPr>
            <w:tcW w:w="809" w:type="dxa"/>
          </w:tcPr>
          <w:p>
            <w:pPr>
              <w:pStyle w:val="TableParagraph"/>
              <w:spacing w:line="211" w:lineRule="exact"/>
              <w:ind w:left="200"/>
              <w:rPr>
                <w:b/>
                <w:sz w:val="21"/>
              </w:rPr>
            </w:pPr>
            <w:r>
              <w:rPr>
                <w:b/>
                <w:sz w:val="21"/>
              </w:rPr>
              <w:t>9.12</w:t>
            </w:r>
          </w:p>
        </w:tc>
        <w:tc>
          <w:tcPr>
            <w:tcW w:w="1614" w:type="dxa"/>
          </w:tcPr>
          <w:p>
            <w:pPr>
              <w:pStyle w:val="TableParagraph"/>
              <w:spacing w:line="211" w:lineRule="exact"/>
              <w:ind w:left="185"/>
              <w:rPr>
                <w:b/>
                <w:sz w:val="21"/>
              </w:rPr>
            </w:pPr>
            <w:r>
              <w:rPr>
                <w:b/>
                <w:sz w:val="21"/>
              </w:rPr>
              <w:t>深度昏迷</w:t>
            </w:r>
          </w:p>
        </w:tc>
        <w:tc>
          <w:tcPr>
            <w:tcW w:w="7795" w:type="dxa"/>
          </w:tcPr>
          <w:p>
            <w:pPr>
              <w:pStyle w:val="TableParagraph"/>
              <w:spacing w:line="211" w:lineRule="exact"/>
              <w:ind w:left="102"/>
              <w:rPr>
                <w:sz w:val="21"/>
              </w:rPr>
            </w:pPr>
            <w:r>
              <w:rPr>
                <w:sz w:val="21"/>
              </w:rPr>
              <w:t>指因疾病或意外伤害导致意识丧失，对外界刺激和体内需求均无反应，昏迷程度</w:t>
            </w:r>
          </w:p>
          <w:p>
            <w:pPr>
              <w:pStyle w:val="TableParagraph"/>
              <w:spacing w:line="273" w:lineRule="auto" w:before="37"/>
              <w:ind w:left="102" w:right="305"/>
              <w:rPr>
                <w:sz w:val="21"/>
              </w:rPr>
            </w:pPr>
            <w:r>
              <w:rPr>
                <w:spacing w:val="-3"/>
                <w:sz w:val="21"/>
              </w:rPr>
              <w:t>按照格拉斯哥昏迷分级</w:t>
            </w:r>
            <w:r>
              <w:rPr>
                <w:sz w:val="21"/>
              </w:rPr>
              <w:t>（Glasgow coma scale）</w:t>
            </w:r>
            <w:r>
              <w:rPr>
                <w:spacing w:val="-13"/>
                <w:sz w:val="21"/>
              </w:rPr>
              <w:t>结果为 </w:t>
            </w:r>
            <w:r>
              <w:rPr>
                <w:sz w:val="21"/>
              </w:rPr>
              <w:t>5</w:t>
            </w:r>
            <w:r>
              <w:rPr>
                <w:spacing w:val="-21"/>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7"/>
              <w:ind w:left="102"/>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614" w:type="dxa"/>
          </w:tcPr>
          <w:p>
            <w:pPr>
              <w:pStyle w:val="TableParagraph"/>
              <w:spacing w:before="110"/>
              <w:ind w:left="185"/>
              <w:rPr>
                <w:b/>
                <w:sz w:val="21"/>
              </w:rPr>
            </w:pPr>
            <w:r>
              <w:rPr>
                <w:b/>
                <w:sz w:val="21"/>
              </w:rPr>
              <w:t>双耳失聪</w:t>
            </w:r>
          </w:p>
        </w:tc>
        <w:tc>
          <w:tcPr>
            <w:tcW w:w="7795" w:type="dxa"/>
          </w:tcPr>
          <w:p>
            <w:pPr>
              <w:pStyle w:val="TableParagraph"/>
              <w:spacing w:before="110"/>
              <w:ind w:left="102"/>
              <w:rPr>
                <w:sz w:val="21"/>
              </w:rPr>
            </w:pPr>
            <w:r>
              <w:rPr>
                <w:sz w:val="21"/>
              </w:rPr>
              <w:t>指因疾病或意外伤害导致双耳听力</w:t>
            </w:r>
            <w:r>
              <w:rPr>
                <w:b/>
                <w:sz w:val="21"/>
              </w:rPr>
              <w:t>永久不可逆</w:t>
            </w:r>
            <w:r>
              <w:rPr>
                <w:sz w:val="21"/>
              </w:rPr>
              <w:t>(见 10.23)性丧失，在 500 赫兹、</w:t>
            </w:r>
          </w:p>
          <w:p>
            <w:pPr>
              <w:pStyle w:val="TableParagraph"/>
              <w:spacing w:line="273" w:lineRule="auto" w:before="37"/>
              <w:ind w:left="102"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3" w:hRule="atLeast"/>
        </w:trPr>
        <w:tc>
          <w:tcPr>
            <w:tcW w:w="809" w:type="dxa"/>
          </w:tcPr>
          <w:p>
            <w:pPr>
              <w:pStyle w:val="TableParagraph"/>
              <w:spacing w:before="111"/>
              <w:ind w:left="200"/>
              <w:rPr>
                <w:b/>
                <w:sz w:val="21"/>
              </w:rPr>
            </w:pPr>
            <w:r>
              <w:rPr>
                <w:b/>
                <w:sz w:val="21"/>
              </w:rPr>
              <w:t>9.14</w:t>
            </w:r>
          </w:p>
        </w:tc>
        <w:tc>
          <w:tcPr>
            <w:tcW w:w="1614" w:type="dxa"/>
          </w:tcPr>
          <w:p>
            <w:pPr>
              <w:pStyle w:val="TableParagraph"/>
              <w:spacing w:before="111"/>
              <w:ind w:left="185"/>
              <w:rPr>
                <w:b/>
                <w:sz w:val="21"/>
              </w:rPr>
            </w:pPr>
            <w:r>
              <w:rPr>
                <w:b/>
                <w:sz w:val="21"/>
              </w:rPr>
              <w:t>双目失明</w:t>
            </w:r>
          </w:p>
        </w:tc>
        <w:tc>
          <w:tcPr>
            <w:tcW w:w="7795" w:type="dxa"/>
          </w:tcPr>
          <w:p>
            <w:pPr>
              <w:pStyle w:val="TableParagraph"/>
              <w:spacing w:line="271" w:lineRule="auto" w:before="111"/>
              <w:ind w:left="102" w:right="303"/>
              <w:rPr>
                <w:sz w:val="21"/>
              </w:rPr>
            </w:pPr>
            <w:r>
              <w:rPr>
                <w:sz w:val="21"/>
              </w:rPr>
              <w:t>指因疾病或意外伤害导致双眼视力永久不可逆性丧失，双眼中较好眼须满足下列至少一项条件：</w:t>
            </w:r>
          </w:p>
          <w:p>
            <w:pPr>
              <w:pStyle w:val="TableParagraph"/>
              <w:numPr>
                <w:ilvl w:val="0"/>
                <w:numId w:val="18"/>
              </w:numPr>
              <w:tabs>
                <w:tab w:pos="840" w:val="left" w:leader="none"/>
                <w:tab w:pos="841" w:val="left" w:leader="none"/>
              </w:tabs>
              <w:spacing w:line="240" w:lineRule="auto" w:before="88" w:after="0"/>
              <w:ind w:left="823" w:right="0" w:hanging="720"/>
              <w:jc w:val="left"/>
              <w:rPr>
                <w:sz w:val="21"/>
              </w:rPr>
            </w:pPr>
            <w:r>
              <w:rPr>
                <w:spacing w:val="-3"/>
                <w:sz w:val="21"/>
              </w:rPr>
              <w:t>眼球缺失或摘除；</w:t>
            </w:r>
          </w:p>
          <w:p>
            <w:pPr>
              <w:pStyle w:val="TableParagraph"/>
              <w:numPr>
                <w:ilvl w:val="0"/>
                <w:numId w:val="18"/>
              </w:numPr>
              <w:tabs>
                <w:tab w:pos="842" w:val="left" w:leader="none"/>
                <w:tab w:pos="843" w:val="left" w:leader="none"/>
              </w:tabs>
              <w:spacing w:line="271" w:lineRule="auto" w:before="115" w:after="0"/>
              <w:ind w:left="823" w:right="304" w:hanging="720"/>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18"/>
              </w:numPr>
              <w:tabs>
                <w:tab w:pos="840" w:val="left" w:leader="none"/>
                <w:tab w:pos="841" w:val="left" w:leader="none"/>
              </w:tabs>
              <w:spacing w:line="240" w:lineRule="auto" w:before="89" w:after="0"/>
              <w:ind w:left="823"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9.15</w:t>
            </w:r>
          </w:p>
        </w:tc>
        <w:tc>
          <w:tcPr>
            <w:tcW w:w="1614" w:type="dxa"/>
          </w:tcPr>
          <w:p>
            <w:pPr>
              <w:pStyle w:val="TableParagraph"/>
              <w:spacing w:before="110"/>
              <w:ind w:left="185"/>
              <w:rPr>
                <w:b/>
                <w:sz w:val="21"/>
              </w:rPr>
            </w:pPr>
            <w:r>
              <w:rPr>
                <w:b/>
                <w:sz w:val="21"/>
              </w:rPr>
              <w:t>瘫痪</w:t>
            </w:r>
          </w:p>
        </w:tc>
        <w:tc>
          <w:tcPr>
            <w:tcW w:w="7795" w:type="dxa"/>
          </w:tcPr>
          <w:p>
            <w:pPr>
              <w:pStyle w:val="TableParagraph"/>
              <w:spacing w:line="273" w:lineRule="auto" w:before="110"/>
              <w:ind w:left="102" w:right="303"/>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614" w:type="dxa"/>
          </w:tcPr>
          <w:p>
            <w:pPr>
              <w:pStyle w:val="TableParagraph"/>
              <w:spacing w:before="111"/>
              <w:ind w:left="185"/>
              <w:rPr>
                <w:b/>
                <w:sz w:val="21"/>
              </w:rPr>
            </w:pPr>
            <w:r>
              <w:rPr>
                <w:b/>
                <w:sz w:val="21"/>
              </w:rPr>
              <w:t>心脏瓣膜手术</w:t>
            </w:r>
          </w:p>
        </w:tc>
        <w:tc>
          <w:tcPr>
            <w:tcW w:w="7795" w:type="dxa"/>
          </w:tcPr>
          <w:p>
            <w:pPr>
              <w:pStyle w:val="TableParagraph"/>
              <w:spacing w:before="111"/>
              <w:ind w:left="102"/>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10"/>
              <w:ind w:left="200"/>
              <w:rPr>
                <w:b/>
                <w:sz w:val="21"/>
              </w:rPr>
            </w:pPr>
            <w:r>
              <w:rPr>
                <w:b/>
                <w:sz w:val="21"/>
              </w:rPr>
              <w:t>9.17</w:t>
            </w:r>
          </w:p>
        </w:tc>
        <w:tc>
          <w:tcPr>
            <w:tcW w:w="1614" w:type="dxa"/>
          </w:tcPr>
          <w:p>
            <w:pPr>
              <w:pStyle w:val="TableParagraph"/>
              <w:spacing w:line="273" w:lineRule="auto" w:before="110"/>
              <w:ind w:left="185" w:right="101"/>
              <w:rPr>
                <w:b/>
                <w:sz w:val="21"/>
              </w:rPr>
            </w:pPr>
            <w:r>
              <w:rPr>
                <w:b/>
                <w:sz w:val="21"/>
              </w:rPr>
              <w:t>严重阿尔茨海默病</w:t>
            </w:r>
          </w:p>
        </w:tc>
        <w:tc>
          <w:tcPr>
            <w:tcW w:w="7795" w:type="dxa"/>
          </w:tcPr>
          <w:p>
            <w:pPr>
              <w:pStyle w:val="TableParagraph"/>
              <w:spacing w:line="273" w:lineRule="auto" w:before="110"/>
              <w:ind w:left="102"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ind w:left="102"/>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ind w:left="102"/>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50" w:hRule="atLeast"/>
        </w:trPr>
        <w:tc>
          <w:tcPr>
            <w:tcW w:w="809" w:type="dxa"/>
          </w:tcPr>
          <w:p>
            <w:pPr>
              <w:pStyle w:val="TableParagraph"/>
              <w:spacing w:before="82"/>
              <w:ind w:left="200"/>
              <w:rPr>
                <w:b/>
                <w:sz w:val="21"/>
              </w:rPr>
            </w:pPr>
            <w:r>
              <w:rPr>
                <w:b/>
                <w:sz w:val="21"/>
              </w:rPr>
              <w:t>9.18</w:t>
            </w:r>
          </w:p>
        </w:tc>
        <w:tc>
          <w:tcPr>
            <w:tcW w:w="1614" w:type="dxa"/>
          </w:tcPr>
          <w:p>
            <w:pPr>
              <w:pStyle w:val="TableParagraph"/>
              <w:spacing w:before="82"/>
              <w:ind w:left="185"/>
              <w:rPr>
                <w:b/>
                <w:sz w:val="21"/>
              </w:rPr>
            </w:pPr>
            <w:r>
              <w:rPr>
                <w:b/>
                <w:sz w:val="21"/>
              </w:rPr>
              <w:t>严重脑损伤</w:t>
            </w:r>
          </w:p>
        </w:tc>
        <w:tc>
          <w:tcPr>
            <w:tcW w:w="7795" w:type="dxa"/>
          </w:tcPr>
          <w:p>
            <w:pPr>
              <w:pStyle w:val="TableParagraph"/>
              <w:spacing w:line="271" w:lineRule="auto" w:before="82"/>
              <w:ind w:left="102"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19"/>
              </w:numPr>
              <w:tabs>
                <w:tab w:pos="840" w:val="left" w:leader="none"/>
                <w:tab w:pos="841" w:val="left" w:leader="none"/>
              </w:tabs>
              <w:spacing w:line="240" w:lineRule="auto" w:before="88" w:after="0"/>
              <w:ind w:left="823" w:right="0" w:hanging="720"/>
              <w:jc w:val="left"/>
              <w:rPr>
                <w:sz w:val="21"/>
              </w:rPr>
            </w:pPr>
            <w:r>
              <w:rPr>
                <w:spacing w:val="-3"/>
                <w:sz w:val="21"/>
              </w:rPr>
              <w:t>一肢或一肢以上肢体机能完全丧失；</w:t>
            </w:r>
          </w:p>
          <w:p>
            <w:pPr>
              <w:pStyle w:val="TableParagraph"/>
              <w:numPr>
                <w:ilvl w:val="0"/>
                <w:numId w:val="19"/>
              </w:numPr>
              <w:tabs>
                <w:tab w:pos="840" w:val="left" w:leader="none"/>
                <w:tab w:pos="841" w:val="left" w:leader="none"/>
              </w:tabs>
              <w:spacing w:line="240" w:lineRule="auto" w:before="116" w:after="0"/>
              <w:ind w:left="823" w:right="0" w:hanging="720"/>
              <w:jc w:val="left"/>
              <w:rPr>
                <w:sz w:val="21"/>
              </w:rPr>
            </w:pPr>
            <w:r>
              <w:rPr>
                <w:spacing w:val="-3"/>
                <w:sz w:val="21"/>
              </w:rPr>
              <w:t>语言能力或咀嚼吞咽能力完全丧失；</w:t>
            </w:r>
          </w:p>
          <w:p>
            <w:pPr>
              <w:pStyle w:val="TableParagraph"/>
              <w:numPr>
                <w:ilvl w:val="0"/>
                <w:numId w:val="19"/>
              </w:numPr>
              <w:tabs>
                <w:tab w:pos="805" w:val="left" w:leader="none"/>
              </w:tabs>
              <w:spacing w:line="273" w:lineRule="auto" w:before="114"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179" w:hRule="atLeast"/>
        </w:trPr>
        <w:tc>
          <w:tcPr>
            <w:tcW w:w="809" w:type="dxa"/>
          </w:tcPr>
          <w:p>
            <w:pPr>
              <w:pStyle w:val="TableParagraph"/>
              <w:spacing w:before="111"/>
              <w:ind w:left="200"/>
              <w:rPr>
                <w:b/>
                <w:sz w:val="21"/>
              </w:rPr>
            </w:pPr>
            <w:r>
              <w:rPr>
                <w:b/>
                <w:sz w:val="21"/>
              </w:rPr>
              <w:t>9.19</w:t>
            </w:r>
          </w:p>
        </w:tc>
        <w:tc>
          <w:tcPr>
            <w:tcW w:w="1614" w:type="dxa"/>
          </w:tcPr>
          <w:p>
            <w:pPr>
              <w:pStyle w:val="TableParagraph"/>
              <w:spacing w:before="111"/>
              <w:ind w:left="185"/>
              <w:rPr>
                <w:b/>
                <w:sz w:val="21"/>
              </w:rPr>
            </w:pPr>
            <w:r>
              <w:rPr>
                <w:b/>
                <w:sz w:val="21"/>
              </w:rPr>
              <w:t>严重帕金森病</w:t>
            </w:r>
          </w:p>
        </w:tc>
        <w:tc>
          <w:tcPr>
            <w:tcW w:w="7795" w:type="dxa"/>
          </w:tcPr>
          <w:p>
            <w:pPr>
              <w:pStyle w:val="TableParagraph"/>
              <w:spacing w:line="271" w:lineRule="auto" w:before="111"/>
              <w:ind w:left="102" w:right="304"/>
              <w:rPr>
                <w:sz w:val="21"/>
              </w:rPr>
            </w:pPr>
            <w:r>
              <w:rPr>
                <w:sz w:val="21"/>
              </w:rPr>
              <w:t>是一种中枢神经系统的退行性疾病，临床表现为震颤麻痹、共济失调等。须满足下列全部条件：</w:t>
            </w:r>
          </w:p>
          <w:p>
            <w:pPr>
              <w:pStyle w:val="TableParagraph"/>
              <w:numPr>
                <w:ilvl w:val="0"/>
                <w:numId w:val="20"/>
              </w:numPr>
              <w:tabs>
                <w:tab w:pos="840" w:val="left" w:leader="none"/>
                <w:tab w:pos="841" w:val="left" w:leader="none"/>
              </w:tabs>
              <w:spacing w:line="240" w:lineRule="auto" w:before="88" w:after="0"/>
              <w:ind w:left="823" w:right="0" w:hanging="720"/>
              <w:jc w:val="left"/>
              <w:rPr>
                <w:sz w:val="21"/>
              </w:rPr>
            </w:pPr>
            <w:r>
              <w:rPr>
                <w:spacing w:val="-3"/>
                <w:sz w:val="21"/>
              </w:rPr>
              <w:t>药物治疗无法控制病情；</w:t>
            </w:r>
          </w:p>
          <w:p>
            <w:pPr>
              <w:pStyle w:val="TableParagraph"/>
              <w:numPr>
                <w:ilvl w:val="0"/>
                <w:numId w:val="20"/>
              </w:numPr>
              <w:tabs>
                <w:tab w:pos="805" w:val="left" w:leader="none"/>
              </w:tabs>
              <w:spacing w:line="271" w:lineRule="auto" w:before="115"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line="255" w:lineRule="exact" w:before="88"/>
              <w:ind w:left="102"/>
              <w:rPr>
                <w:rFonts w:ascii="黑体" w:eastAsia="黑体" w:hint="eastAsia"/>
                <w:sz w:val="21"/>
              </w:rPr>
            </w:pPr>
            <w:r>
              <w:rPr>
                <w:rFonts w:ascii="黑体" w:eastAsia="黑体" w:hint="eastAsia"/>
                <w:sz w:val="21"/>
              </w:rPr>
              <w:t>继发性帕金森综合征不在保障范围内。</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386" w:hRule="atLeast"/>
        </w:trPr>
        <w:tc>
          <w:tcPr>
            <w:tcW w:w="809" w:type="dxa"/>
          </w:tcPr>
          <w:p>
            <w:pPr>
              <w:pStyle w:val="TableParagraph"/>
              <w:rPr>
                <w:rFonts w:ascii="Times New Roman"/>
                <w:sz w:val="20"/>
              </w:rPr>
            </w:pPr>
          </w:p>
        </w:tc>
        <w:tc>
          <w:tcPr>
            <w:tcW w:w="1614" w:type="dxa"/>
          </w:tcPr>
          <w:p>
            <w:pPr>
              <w:pStyle w:val="TableParagraph"/>
              <w:rPr>
                <w:rFonts w:ascii="Times New Roman"/>
                <w:sz w:val="20"/>
              </w:rPr>
            </w:pPr>
          </w:p>
        </w:tc>
        <w:tc>
          <w:tcPr>
            <w:tcW w:w="7795" w:type="dxa"/>
          </w:tcPr>
          <w:p>
            <w:pPr>
              <w:pStyle w:val="TableParagraph"/>
              <w:spacing w:line="211" w:lineRule="exact"/>
              <w:ind w:left="102"/>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1"/>
              <w:ind w:left="200"/>
              <w:rPr>
                <w:b/>
                <w:sz w:val="21"/>
              </w:rPr>
            </w:pPr>
            <w:r>
              <w:rPr>
                <w:b/>
                <w:sz w:val="21"/>
              </w:rPr>
              <w:t>9.20</w:t>
            </w:r>
          </w:p>
        </w:tc>
        <w:tc>
          <w:tcPr>
            <w:tcW w:w="1614" w:type="dxa"/>
          </w:tcPr>
          <w:p>
            <w:pPr>
              <w:pStyle w:val="TableParagraph"/>
              <w:spacing w:before="111"/>
              <w:ind w:left="185"/>
              <w:rPr>
                <w:b/>
                <w:sz w:val="21"/>
              </w:rPr>
            </w:pPr>
            <w:r>
              <w:rPr>
                <w:b/>
                <w:sz w:val="21"/>
              </w:rPr>
              <w:t>严重Ⅲ度烧伤</w:t>
            </w:r>
          </w:p>
        </w:tc>
        <w:tc>
          <w:tcPr>
            <w:tcW w:w="7795" w:type="dxa"/>
          </w:tcPr>
          <w:p>
            <w:pPr>
              <w:pStyle w:val="TableParagraph"/>
              <w:spacing w:line="271" w:lineRule="auto" w:before="111"/>
              <w:ind w:left="102"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1"/>
              <w:ind w:left="200"/>
              <w:rPr>
                <w:b/>
                <w:sz w:val="21"/>
              </w:rPr>
            </w:pPr>
            <w:r>
              <w:rPr>
                <w:b/>
                <w:sz w:val="21"/>
              </w:rPr>
              <w:t>9.21</w:t>
            </w:r>
          </w:p>
        </w:tc>
        <w:tc>
          <w:tcPr>
            <w:tcW w:w="1614" w:type="dxa"/>
          </w:tcPr>
          <w:p>
            <w:pPr>
              <w:pStyle w:val="TableParagraph"/>
              <w:spacing w:line="273" w:lineRule="auto" w:before="111"/>
              <w:ind w:left="185" w:right="101"/>
              <w:rPr>
                <w:b/>
                <w:sz w:val="21"/>
              </w:rPr>
            </w:pPr>
            <w:r>
              <w:rPr>
                <w:b/>
                <w:sz w:val="21"/>
              </w:rPr>
              <w:t>严重原发性肺动脉高压</w:t>
            </w:r>
          </w:p>
        </w:tc>
        <w:tc>
          <w:tcPr>
            <w:tcW w:w="7795" w:type="dxa"/>
          </w:tcPr>
          <w:p>
            <w:pPr>
              <w:pStyle w:val="TableParagraph"/>
              <w:spacing w:line="273" w:lineRule="auto" w:before="111"/>
              <w:ind w:left="102"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spacing w:before="110"/>
              <w:ind w:left="200"/>
              <w:rPr>
                <w:b/>
                <w:sz w:val="21"/>
              </w:rPr>
            </w:pPr>
            <w:r>
              <w:rPr>
                <w:b/>
                <w:sz w:val="21"/>
              </w:rPr>
              <w:t>9.22</w:t>
            </w:r>
          </w:p>
        </w:tc>
        <w:tc>
          <w:tcPr>
            <w:tcW w:w="1614" w:type="dxa"/>
          </w:tcPr>
          <w:p>
            <w:pPr>
              <w:pStyle w:val="TableParagraph"/>
              <w:spacing w:line="273" w:lineRule="auto" w:before="110"/>
              <w:ind w:left="185" w:right="101"/>
              <w:rPr>
                <w:b/>
                <w:sz w:val="21"/>
              </w:rPr>
            </w:pPr>
            <w:r>
              <w:rPr>
                <w:b/>
                <w:sz w:val="21"/>
              </w:rPr>
              <w:t>严重运动神经元病</w:t>
            </w:r>
          </w:p>
        </w:tc>
        <w:tc>
          <w:tcPr>
            <w:tcW w:w="7795" w:type="dxa"/>
          </w:tcPr>
          <w:p>
            <w:pPr>
              <w:pStyle w:val="TableParagraph"/>
              <w:spacing w:line="273" w:lineRule="auto" w:before="110"/>
              <w:ind w:left="102"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1"/>
              <w:ind w:left="200"/>
              <w:rPr>
                <w:b/>
                <w:sz w:val="21"/>
              </w:rPr>
            </w:pPr>
            <w:r>
              <w:rPr>
                <w:b/>
                <w:sz w:val="21"/>
              </w:rPr>
              <w:t>9.23</w:t>
            </w:r>
          </w:p>
        </w:tc>
        <w:tc>
          <w:tcPr>
            <w:tcW w:w="1614" w:type="dxa"/>
          </w:tcPr>
          <w:p>
            <w:pPr>
              <w:pStyle w:val="TableParagraph"/>
              <w:spacing w:before="111"/>
              <w:ind w:left="185"/>
              <w:rPr>
                <w:b/>
                <w:sz w:val="21"/>
              </w:rPr>
            </w:pPr>
            <w:r>
              <w:rPr>
                <w:b/>
                <w:sz w:val="21"/>
              </w:rPr>
              <w:t>语言能力丧失</w:t>
            </w:r>
          </w:p>
        </w:tc>
        <w:tc>
          <w:tcPr>
            <w:tcW w:w="7795" w:type="dxa"/>
          </w:tcPr>
          <w:p>
            <w:pPr>
              <w:pStyle w:val="TableParagraph"/>
              <w:spacing w:line="271" w:lineRule="auto" w:before="111"/>
              <w:ind w:left="102"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9"/>
              <w:ind w:left="102"/>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1"/>
              <w:ind w:left="200"/>
              <w:rPr>
                <w:b/>
                <w:sz w:val="21"/>
              </w:rPr>
            </w:pPr>
            <w:r>
              <w:rPr>
                <w:b/>
                <w:sz w:val="21"/>
              </w:rPr>
              <w:t>9.24</w:t>
            </w:r>
          </w:p>
        </w:tc>
        <w:tc>
          <w:tcPr>
            <w:tcW w:w="1614" w:type="dxa"/>
          </w:tcPr>
          <w:p>
            <w:pPr>
              <w:pStyle w:val="TableParagraph"/>
              <w:spacing w:line="271" w:lineRule="auto" w:before="111"/>
              <w:ind w:left="185" w:right="101"/>
              <w:rPr>
                <w:b/>
                <w:sz w:val="21"/>
              </w:rPr>
            </w:pPr>
            <w:r>
              <w:rPr>
                <w:b/>
                <w:sz w:val="21"/>
              </w:rPr>
              <w:t>重型再生障碍性贫血</w:t>
            </w:r>
          </w:p>
        </w:tc>
        <w:tc>
          <w:tcPr>
            <w:tcW w:w="7795" w:type="dxa"/>
          </w:tcPr>
          <w:p>
            <w:pPr>
              <w:pStyle w:val="TableParagraph"/>
              <w:spacing w:line="271" w:lineRule="auto" w:before="111"/>
              <w:ind w:left="102" w:right="304"/>
              <w:rPr>
                <w:sz w:val="21"/>
              </w:rPr>
            </w:pPr>
            <w:r>
              <w:rPr>
                <w:sz w:val="21"/>
              </w:rPr>
              <w:t>指因骨髓造血功能慢性持续性衰竭导致的贫血、中性粒细胞减少及血小板减少。须满足下列全部条件：</w:t>
            </w:r>
          </w:p>
          <w:p>
            <w:pPr>
              <w:pStyle w:val="TableParagraph"/>
              <w:numPr>
                <w:ilvl w:val="0"/>
                <w:numId w:val="21"/>
              </w:numPr>
              <w:tabs>
                <w:tab w:pos="840" w:val="left" w:leader="none"/>
                <w:tab w:pos="841" w:val="left" w:leader="none"/>
              </w:tabs>
              <w:spacing w:line="240" w:lineRule="auto" w:before="88" w:after="0"/>
              <w:ind w:left="840" w:right="0" w:hanging="737"/>
              <w:jc w:val="left"/>
              <w:rPr>
                <w:sz w:val="21"/>
              </w:rPr>
            </w:pPr>
            <w:r>
              <w:rPr>
                <w:spacing w:val="-3"/>
                <w:sz w:val="21"/>
              </w:rPr>
              <w:t>骨髓穿刺检查或骨髓活检结果支持诊断；</w:t>
            </w:r>
          </w:p>
          <w:p>
            <w:pPr>
              <w:pStyle w:val="TableParagraph"/>
              <w:numPr>
                <w:ilvl w:val="0"/>
                <w:numId w:val="21"/>
              </w:numPr>
              <w:tabs>
                <w:tab w:pos="840" w:val="left" w:leader="none"/>
                <w:tab w:pos="841" w:val="left" w:leader="none"/>
              </w:tabs>
              <w:spacing w:line="240" w:lineRule="auto" w:before="115" w:after="0"/>
              <w:ind w:left="840" w:right="0" w:hanging="737"/>
              <w:jc w:val="left"/>
              <w:rPr>
                <w:sz w:val="21"/>
              </w:rPr>
            </w:pPr>
            <w:r>
              <w:rPr>
                <w:spacing w:val="-3"/>
                <w:sz w:val="21"/>
              </w:rPr>
              <w:t>外周血象须具备以下三项条件：</w:t>
            </w:r>
          </w:p>
          <w:p>
            <w:pPr>
              <w:pStyle w:val="TableParagraph"/>
              <w:spacing w:before="113"/>
              <w:ind w:left="816"/>
              <w:rPr>
                <w:sz w:val="21"/>
              </w:rPr>
            </w:pPr>
            <w:r>
              <w:rPr>
                <w:sz w:val="21"/>
              </w:rPr>
              <w:t>① 中性粒细胞绝对值≤0.5×10</w:t>
            </w:r>
            <w:r>
              <w:rPr>
                <w:position w:val="11"/>
                <w:sz w:val="11"/>
              </w:rPr>
              <w:t>9</w:t>
            </w:r>
            <w:r>
              <w:rPr>
                <w:sz w:val="21"/>
              </w:rPr>
              <w:t>/L；</w:t>
            </w:r>
          </w:p>
          <w:p>
            <w:pPr>
              <w:pStyle w:val="TableParagraph"/>
              <w:spacing w:before="116"/>
              <w:ind w:left="816"/>
              <w:rPr>
                <w:sz w:val="21"/>
              </w:rPr>
            </w:pPr>
            <w:r>
              <w:rPr>
                <w:sz w:val="21"/>
              </w:rPr>
              <w:t>② 网织红细胞＜1%；</w:t>
            </w:r>
          </w:p>
          <w:p>
            <w:pPr>
              <w:pStyle w:val="TableParagraph"/>
              <w:spacing w:before="114"/>
              <w:ind w:left="816"/>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614" w:type="dxa"/>
          </w:tcPr>
          <w:p>
            <w:pPr>
              <w:pStyle w:val="TableParagraph"/>
              <w:spacing w:before="110"/>
              <w:ind w:left="185"/>
              <w:rPr>
                <w:b/>
                <w:sz w:val="21"/>
              </w:rPr>
            </w:pPr>
            <w:r>
              <w:rPr>
                <w:b/>
                <w:sz w:val="21"/>
              </w:rPr>
              <w:t>主动脉手术</w:t>
            </w:r>
          </w:p>
        </w:tc>
        <w:tc>
          <w:tcPr>
            <w:tcW w:w="7795" w:type="dxa"/>
          </w:tcPr>
          <w:p>
            <w:pPr>
              <w:pStyle w:val="TableParagraph"/>
              <w:spacing w:line="273" w:lineRule="auto" w:before="110"/>
              <w:ind w:left="102"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ind w:left="102"/>
              <w:jc w:val="both"/>
              <w:rPr>
                <w:sz w:val="21"/>
              </w:rPr>
            </w:pPr>
            <w:r>
              <w:rPr>
                <w:rFonts w:ascii="黑体" w:eastAsia="黑体" w:hint="eastAsia"/>
                <w:sz w:val="21"/>
              </w:rPr>
              <w:t>动脉内血管成形术不在保障范围内</w:t>
            </w:r>
            <w:r>
              <w:rPr>
                <w:sz w:val="21"/>
              </w:rPr>
              <w:t>。</w:t>
            </w:r>
          </w:p>
        </w:tc>
      </w:tr>
      <w:tr>
        <w:trPr>
          <w:trHeight w:val="1816" w:hRule="atLeast"/>
        </w:trPr>
        <w:tc>
          <w:tcPr>
            <w:tcW w:w="809" w:type="dxa"/>
          </w:tcPr>
          <w:p>
            <w:pPr>
              <w:pStyle w:val="TableParagraph"/>
              <w:spacing w:before="110"/>
              <w:ind w:left="200"/>
              <w:rPr>
                <w:b/>
                <w:sz w:val="21"/>
              </w:rPr>
            </w:pPr>
            <w:r>
              <w:rPr>
                <w:b/>
                <w:sz w:val="21"/>
              </w:rPr>
              <w:t>9.26</w:t>
            </w:r>
          </w:p>
        </w:tc>
        <w:tc>
          <w:tcPr>
            <w:tcW w:w="1614" w:type="dxa"/>
          </w:tcPr>
          <w:p>
            <w:pPr>
              <w:pStyle w:val="TableParagraph"/>
              <w:spacing w:before="110"/>
              <w:ind w:left="185"/>
              <w:rPr>
                <w:b/>
                <w:sz w:val="21"/>
              </w:rPr>
            </w:pPr>
            <w:r>
              <w:rPr>
                <w:b/>
                <w:sz w:val="21"/>
              </w:rPr>
              <w:t>多发性硬化</w:t>
            </w:r>
          </w:p>
        </w:tc>
        <w:tc>
          <w:tcPr>
            <w:tcW w:w="7795" w:type="dxa"/>
          </w:tcPr>
          <w:p>
            <w:pPr>
              <w:pStyle w:val="TableParagraph"/>
              <w:spacing w:line="273" w:lineRule="auto" w:before="110"/>
              <w:ind w:left="102"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9"/>
                <w:sz w:val="21"/>
              </w:rPr>
              <w:t>少 </w:t>
            </w:r>
            <w:r>
              <w:rPr>
                <w:sz w:val="21"/>
              </w:rPr>
              <w:t>6</w:t>
            </w:r>
            <w:r>
              <w:rPr>
                <w:spacing w:val="-5"/>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7"/>
              <w:ind w:left="102"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3" w:hRule="atLeast"/>
        </w:trPr>
        <w:tc>
          <w:tcPr>
            <w:tcW w:w="809" w:type="dxa"/>
          </w:tcPr>
          <w:p>
            <w:pPr>
              <w:pStyle w:val="TableParagraph"/>
              <w:spacing w:before="103"/>
              <w:ind w:left="200"/>
              <w:rPr>
                <w:b/>
                <w:sz w:val="21"/>
              </w:rPr>
            </w:pPr>
            <w:r>
              <w:rPr>
                <w:b/>
                <w:sz w:val="21"/>
              </w:rPr>
              <w:t>9.27</w:t>
            </w:r>
          </w:p>
        </w:tc>
        <w:tc>
          <w:tcPr>
            <w:tcW w:w="1614" w:type="dxa"/>
          </w:tcPr>
          <w:p>
            <w:pPr>
              <w:pStyle w:val="TableParagraph"/>
              <w:spacing w:before="103"/>
              <w:ind w:left="185"/>
              <w:rPr>
                <w:b/>
                <w:sz w:val="21"/>
              </w:rPr>
            </w:pPr>
            <w:r>
              <w:rPr>
                <w:b/>
                <w:sz w:val="21"/>
              </w:rPr>
              <w:t>终末期肺病</w:t>
            </w:r>
          </w:p>
        </w:tc>
        <w:tc>
          <w:tcPr>
            <w:tcW w:w="7795" w:type="dxa"/>
          </w:tcPr>
          <w:p>
            <w:pPr>
              <w:pStyle w:val="TableParagraph"/>
              <w:spacing w:before="103"/>
              <w:ind w:left="102"/>
              <w:rPr>
                <w:sz w:val="21"/>
              </w:rPr>
            </w:pPr>
            <w:r>
              <w:rPr>
                <w:sz w:val="21"/>
              </w:rPr>
              <w:t>被保险人患有终末期肺病而出现慢性呼吸功能衰竭，须满足下列全部条件：</w:t>
            </w:r>
          </w:p>
          <w:p>
            <w:pPr>
              <w:pStyle w:val="TableParagraph"/>
              <w:numPr>
                <w:ilvl w:val="0"/>
                <w:numId w:val="22"/>
              </w:numPr>
              <w:tabs>
                <w:tab w:pos="840" w:val="left" w:leader="none"/>
                <w:tab w:pos="841" w:val="left" w:leader="none"/>
              </w:tabs>
              <w:spacing w:line="240" w:lineRule="auto" w:before="113" w:after="0"/>
              <w:ind w:left="840"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2"/>
              </w:numPr>
              <w:tabs>
                <w:tab w:pos="840" w:val="left" w:leader="none"/>
                <w:tab w:pos="841" w:val="left" w:leader="none"/>
              </w:tabs>
              <w:spacing w:line="240" w:lineRule="auto" w:before="116" w:after="0"/>
              <w:ind w:left="840" w:right="0" w:hanging="737"/>
              <w:jc w:val="left"/>
              <w:rPr>
                <w:sz w:val="21"/>
              </w:rPr>
            </w:pPr>
            <w:r>
              <w:rPr>
                <w:spacing w:val="-3"/>
                <w:sz w:val="21"/>
              </w:rPr>
              <w:t>病人缺氧必须广泛而持续地进行输氧治疗；</w:t>
            </w:r>
          </w:p>
          <w:p>
            <w:pPr>
              <w:pStyle w:val="TableParagraph"/>
              <w:numPr>
                <w:ilvl w:val="0"/>
                <w:numId w:val="22"/>
              </w:numPr>
              <w:tabs>
                <w:tab w:pos="840" w:val="left" w:leader="none"/>
                <w:tab w:pos="841" w:val="left" w:leader="none"/>
              </w:tabs>
              <w:spacing w:line="240" w:lineRule="auto" w:before="113" w:after="0"/>
              <w:ind w:left="840" w:right="0" w:hanging="737"/>
              <w:jc w:val="left"/>
              <w:rPr>
                <w:sz w:val="21"/>
              </w:rPr>
            </w:pPr>
            <w:r>
              <w:rPr>
                <w:spacing w:val="-7"/>
                <w:sz w:val="21"/>
              </w:rPr>
              <w:t>动脉血气分析氧分压低于 </w:t>
            </w:r>
            <w:r>
              <w:rPr>
                <w:sz w:val="21"/>
              </w:rPr>
              <w:t>55mmHg。</w:t>
            </w:r>
          </w:p>
          <w:p>
            <w:pPr>
              <w:pStyle w:val="TableParagraph"/>
              <w:spacing w:before="116"/>
              <w:ind w:left="102"/>
              <w:rPr>
                <w:sz w:val="21"/>
              </w:rPr>
            </w:pPr>
            <w:r>
              <w:rPr>
                <w:sz w:val="21"/>
              </w:rPr>
              <w:t>理赔时必须提供以上三项相应的证明文件或检查报告。</w:t>
            </w:r>
          </w:p>
        </w:tc>
      </w:tr>
      <w:tr>
        <w:trPr>
          <w:trHeight w:val="1085" w:hRule="atLeast"/>
        </w:trPr>
        <w:tc>
          <w:tcPr>
            <w:tcW w:w="809" w:type="dxa"/>
          </w:tcPr>
          <w:p>
            <w:pPr>
              <w:pStyle w:val="TableParagraph"/>
              <w:spacing w:before="110"/>
              <w:ind w:left="200"/>
              <w:rPr>
                <w:b/>
                <w:sz w:val="21"/>
              </w:rPr>
            </w:pPr>
            <w:r>
              <w:rPr>
                <w:b/>
                <w:sz w:val="21"/>
              </w:rPr>
              <w:t>9.28</w:t>
            </w:r>
          </w:p>
        </w:tc>
        <w:tc>
          <w:tcPr>
            <w:tcW w:w="1614" w:type="dxa"/>
          </w:tcPr>
          <w:p>
            <w:pPr>
              <w:pStyle w:val="TableParagraph"/>
              <w:spacing w:before="110"/>
              <w:ind w:left="185"/>
              <w:rPr>
                <w:b/>
                <w:sz w:val="21"/>
              </w:rPr>
            </w:pPr>
            <w:r>
              <w:rPr>
                <w:b/>
                <w:sz w:val="21"/>
              </w:rPr>
              <w:t>颅脑手术</w:t>
            </w:r>
          </w:p>
        </w:tc>
        <w:tc>
          <w:tcPr>
            <w:tcW w:w="7795" w:type="dxa"/>
          </w:tcPr>
          <w:p>
            <w:pPr>
              <w:pStyle w:val="TableParagraph"/>
              <w:spacing w:line="271" w:lineRule="auto" w:before="110"/>
              <w:ind w:left="102" w:right="314"/>
              <w:rPr>
                <w:sz w:val="21"/>
              </w:rPr>
            </w:pPr>
            <w:r>
              <w:rPr>
                <w:spacing w:val="2"/>
                <w:sz w:val="21"/>
              </w:rPr>
              <w:t>被保险人确已实施全麻下的开颅手术</w:t>
            </w:r>
            <w:r>
              <w:rPr>
                <w:spacing w:val="5"/>
                <w:sz w:val="21"/>
              </w:rPr>
              <w:t>（</w:t>
            </w:r>
            <w:r>
              <w:rPr>
                <w:spacing w:val="1"/>
                <w:sz w:val="21"/>
              </w:rPr>
              <w:t>不包括颅骨钻孔手术和经鼻蝶窦入颅手术</w:t>
            </w:r>
            <w:r>
              <w:rPr>
                <w:spacing w:val="-106"/>
                <w:sz w:val="21"/>
              </w:rPr>
              <w:t>）</w:t>
            </w:r>
            <w:r>
              <w:rPr>
                <w:sz w:val="21"/>
              </w:rPr>
              <w:t>。</w:t>
            </w:r>
          </w:p>
          <w:p>
            <w:pPr>
              <w:pStyle w:val="TableParagraph"/>
              <w:spacing w:line="255" w:lineRule="exact" w:before="89"/>
              <w:ind w:left="102"/>
              <w:rPr>
                <w:rFonts w:ascii="黑体" w:eastAsia="黑体" w:hint="eastAsia"/>
                <w:sz w:val="21"/>
              </w:rPr>
            </w:pPr>
            <w:r>
              <w:rPr>
                <w:rFonts w:ascii="黑体" w:eastAsia="黑体" w:hint="eastAsia"/>
                <w:sz w:val="21"/>
              </w:rPr>
              <w:t>因外伤而实施的脑外科手术不在保障范围之内。</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614"/>
        <w:gridCol w:w="7595"/>
      </w:tblGrid>
      <w:tr>
        <w:trPr>
          <w:trHeight w:val="386" w:hRule="atLeast"/>
        </w:trPr>
        <w:tc>
          <w:tcPr>
            <w:tcW w:w="717" w:type="dxa"/>
          </w:tcPr>
          <w:p>
            <w:pPr>
              <w:pStyle w:val="TableParagraph"/>
              <w:rPr>
                <w:rFonts w:ascii="Times New Roman"/>
                <w:sz w:val="20"/>
              </w:rPr>
            </w:pPr>
          </w:p>
        </w:tc>
        <w:tc>
          <w:tcPr>
            <w:tcW w:w="1614" w:type="dxa"/>
          </w:tcPr>
          <w:p>
            <w:pPr>
              <w:pStyle w:val="TableParagraph"/>
              <w:rPr>
                <w:rFonts w:ascii="Times New Roman"/>
                <w:sz w:val="20"/>
              </w:rPr>
            </w:pPr>
          </w:p>
        </w:tc>
        <w:tc>
          <w:tcPr>
            <w:tcW w:w="7595" w:type="dxa"/>
          </w:tcPr>
          <w:p>
            <w:pPr>
              <w:pStyle w:val="TableParagraph"/>
              <w:spacing w:line="211" w:lineRule="exact"/>
              <w:ind w:left="102"/>
              <w:rPr>
                <w:sz w:val="21"/>
              </w:rPr>
            </w:pPr>
            <w:r>
              <w:rPr>
                <w:sz w:val="21"/>
              </w:rPr>
              <w:t>理赔时必须提供由神经外科医生出具的诊断书及手术报告。</w:t>
            </w:r>
          </w:p>
        </w:tc>
      </w:tr>
      <w:tr>
        <w:trPr>
          <w:trHeight w:val="1574" w:hRule="atLeast"/>
        </w:trPr>
        <w:tc>
          <w:tcPr>
            <w:tcW w:w="717" w:type="dxa"/>
          </w:tcPr>
          <w:p>
            <w:pPr>
              <w:pStyle w:val="TableParagraph"/>
              <w:spacing w:before="111"/>
              <w:ind w:left="107"/>
              <w:rPr>
                <w:b/>
                <w:sz w:val="21"/>
              </w:rPr>
            </w:pPr>
            <w:r>
              <w:rPr>
                <w:b/>
                <w:sz w:val="21"/>
              </w:rPr>
              <w:t>9.29</w:t>
            </w:r>
          </w:p>
        </w:tc>
        <w:tc>
          <w:tcPr>
            <w:tcW w:w="1614" w:type="dxa"/>
          </w:tcPr>
          <w:p>
            <w:pPr>
              <w:pStyle w:val="TableParagraph"/>
              <w:spacing w:before="111"/>
              <w:ind w:left="185"/>
              <w:rPr>
                <w:b/>
                <w:sz w:val="21"/>
              </w:rPr>
            </w:pPr>
            <w:r>
              <w:rPr>
                <w:b/>
                <w:sz w:val="21"/>
              </w:rPr>
              <w:t>脊髓灰质炎</w:t>
            </w:r>
          </w:p>
        </w:tc>
        <w:tc>
          <w:tcPr>
            <w:tcW w:w="7595" w:type="dxa"/>
          </w:tcPr>
          <w:p>
            <w:pPr>
              <w:pStyle w:val="TableParagraph"/>
              <w:spacing w:line="271" w:lineRule="auto" w:before="111"/>
              <w:ind w:left="102" w:right="104"/>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left="102" w:right="104"/>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614" w:type="dxa"/>
          </w:tcPr>
          <w:p>
            <w:pPr>
              <w:pStyle w:val="TableParagraph"/>
              <w:spacing w:line="271" w:lineRule="auto" w:before="111"/>
              <w:ind w:left="185" w:right="101"/>
              <w:rPr>
                <w:b/>
                <w:sz w:val="21"/>
              </w:rPr>
            </w:pPr>
            <w:r>
              <w:rPr>
                <w:b/>
                <w:sz w:val="21"/>
              </w:rPr>
              <w:t>严重肌营养不良症</w:t>
            </w:r>
          </w:p>
        </w:tc>
        <w:tc>
          <w:tcPr>
            <w:tcW w:w="7595" w:type="dxa"/>
          </w:tcPr>
          <w:p>
            <w:pPr>
              <w:pStyle w:val="TableParagraph"/>
              <w:spacing w:line="271" w:lineRule="auto" w:before="111"/>
              <w:ind w:left="102" w:right="104"/>
              <w:rPr>
                <w:sz w:val="21"/>
              </w:rPr>
            </w:pPr>
            <w:r>
              <w:rPr>
                <w:sz w:val="21"/>
              </w:rPr>
              <w:t>指一组原发于肌肉的遗传性疾病，临床表现为与神经系统无关的肌肉无力和肌肉萎缩。须满足下列全部条件：</w:t>
            </w:r>
          </w:p>
          <w:p>
            <w:pPr>
              <w:pStyle w:val="TableParagraph"/>
              <w:numPr>
                <w:ilvl w:val="0"/>
                <w:numId w:val="23"/>
              </w:numPr>
              <w:tabs>
                <w:tab w:pos="840" w:val="left" w:leader="none"/>
                <w:tab w:pos="841" w:val="left" w:leader="none"/>
              </w:tabs>
              <w:spacing w:line="240" w:lineRule="auto" w:before="88" w:after="0"/>
              <w:ind w:left="823" w:right="0" w:hanging="720"/>
              <w:jc w:val="left"/>
              <w:rPr>
                <w:sz w:val="21"/>
              </w:rPr>
            </w:pPr>
            <w:r>
              <w:rPr>
                <w:spacing w:val="-3"/>
                <w:sz w:val="21"/>
              </w:rPr>
              <w:t>肌肉组织活检结果满足肌营养不良症的肌肉细胞变性、坏死等阳性改变；</w:t>
            </w:r>
          </w:p>
          <w:p>
            <w:pPr>
              <w:pStyle w:val="TableParagraph"/>
              <w:numPr>
                <w:ilvl w:val="0"/>
                <w:numId w:val="23"/>
              </w:numPr>
              <w:tabs>
                <w:tab w:pos="805" w:val="left" w:leader="none"/>
              </w:tabs>
              <w:spacing w:line="271" w:lineRule="auto" w:before="115" w:after="0"/>
              <w:ind w:left="823"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614" w:type="dxa"/>
          </w:tcPr>
          <w:p>
            <w:pPr>
              <w:pStyle w:val="TableParagraph"/>
              <w:spacing w:line="271" w:lineRule="auto" w:before="111"/>
              <w:ind w:left="185" w:right="101"/>
              <w:rPr>
                <w:b/>
                <w:sz w:val="21"/>
              </w:rPr>
            </w:pPr>
            <w:r>
              <w:rPr>
                <w:b/>
                <w:sz w:val="21"/>
              </w:rPr>
              <w:t>急性出血坏死性胰腺炎</w:t>
            </w:r>
          </w:p>
        </w:tc>
        <w:tc>
          <w:tcPr>
            <w:tcW w:w="7595" w:type="dxa"/>
          </w:tcPr>
          <w:p>
            <w:pPr>
              <w:pStyle w:val="TableParagraph"/>
              <w:spacing w:line="271" w:lineRule="auto" w:before="111"/>
              <w:ind w:left="102" w:right="104"/>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1" w:hRule="atLeast"/>
        </w:trPr>
        <w:tc>
          <w:tcPr>
            <w:tcW w:w="717" w:type="dxa"/>
          </w:tcPr>
          <w:p>
            <w:pPr>
              <w:pStyle w:val="TableParagraph"/>
              <w:spacing w:before="111"/>
              <w:ind w:left="107"/>
              <w:rPr>
                <w:b/>
                <w:sz w:val="21"/>
              </w:rPr>
            </w:pPr>
            <w:r>
              <w:rPr>
                <w:b/>
                <w:sz w:val="21"/>
              </w:rPr>
              <w:t>9.32</w:t>
            </w:r>
          </w:p>
        </w:tc>
        <w:tc>
          <w:tcPr>
            <w:tcW w:w="1614" w:type="dxa"/>
          </w:tcPr>
          <w:p>
            <w:pPr>
              <w:pStyle w:val="TableParagraph"/>
              <w:spacing w:before="111"/>
              <w:ind w:left="185"/>
              <w:rPr>
                <w:b/>
                <w:sz w:val="21"/>
              </w:rPr>
            </w:pPr>
            <w:r>
              <w:rPr>
                <w:b/>
                <w:sz w:val="21"/>
              </w:rPr>
              <w:t>侵蚀性葡萄胎</w:t>
            </w:r>
          </w:p>
          <w:p>
            <w:pPr>
              <w:pStyle w:val="TableParagraph"/>
              <w:spacing w:line="273" w:lineRule="auto" w:before="36"/>
              <w:ind w:left="185" w:right="101"/>
              <w:rPr>
                <w:b/>
                <w:sz w:val="21"/>
              </w:rPr>
            </w:pPr>
            <w:r>
              <w:rPr>
                <w:b/>
                <w:sz w:val="21"/>
              </w:rPr>
              <w:t>（或称恶性葡萄胎）</w:t>
            </w:r>
          </w:p>
        </w:tc>
        <w:tc>
          <w:tcPr>
            <w:tcW w:w="7595" w:type="dxa"/>
          </w:tcPr>
          <w:p>
            <w:pPr>
              <w:pStyle w:val="TableParagraph"/>
              <w:spacing w:line="273" w:lineRule="auto" w:before="111"/>
              <w:ind w:left="102" w:right="104"/>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614" w:type="dxa"/>
            <w:tcBorders>
              <w:bottom w:val="single" w:sz="8" w:space="0" w:color="000000"/>
            </w:tcBorders>
          </w:tcPr>
          <w:p>
            <w:pPr>
              <w:pStyle w:val="TableParagraph"/>
              <w:spacing w:before="136"/>
              <w:ind w:left="185"/>
              <w:rPr>
                <w:b/>
                <w:sz w:val="24"/>
              </w:rPr>
            </w:pPr>
            <w:r>
              <w:rPr>
                <w:b/>
                <w:sz w:val="24"/>
              </w:rPr>
              <w:t>释义</w:t>
            </w:r>
          </w:p>
        </w:tc>
        <w:tc>
          <w:tcPr>
            <w:tcW w:w="7595" w:type="dxa"/>
            <w:tcBorders>
              <w:bottom w:val="single" w:sz="8" w:space="0" w:color="000000"/>
            </w:tcBorders>
          </w:tcPr>
          <w:p>
            <w:pPr>
              <w:pStyle w:val="TableParagraph"/>
              <w:rPr>
                <w:rFonts w:ascii="Times New Roman"/>
                <w:sz w:val="20"/>
              </w:rPr>
            </w:pPr>
          </w:p>
        </w:tc>
      </w:tr>
      <w:tr>
        <w:trPr>
          <w:trHeight w:val="977" w:hRule="atLeast"/>
        </w:trPr>
        <w:tc>
          <w:tcPr>
            <w:tcW w:w="717" w:type="dxa"/>
            <w:tcBorders>
              <w:top w:val="single" w:sz="8" w:space="0" w:color="000000"/>
            </w:tcBorders>
          </w:tcPr>
          <w:p>
            <w:pPr>
              <w:pStyle w:val="TableParagraph"/>
              <w:spacing w:before="8"/>
              <w:rPr>
                <w:sz w:val="16"/>
              </w:rPr>
            </w:pPr>
          </w:p>
          <w:p>
            <w:pPr>
              <w:pStyle w:val="TableParagraph"/>
              <w:ind w:left="107"/>
              <w:rPr>
                <w:b/>
                <w:sz w:val="21"/>
              </w:rPr>
            </w:pPr>
            <w:r>
              <w:rPr>
                <w:b/>
                <w:sz w:val="21"/>
              </w:rPr>
              <w:t>10.1</w:t>
            </w:r>
          </w:p>
        </w:tc>
        <w:tc>
          <w:tcPr>
            <w:tcW w:w="1614" w:type="dxa"/>
            <w:tcBorders>
              <w:top w:val="single" w:sz="8" w:space="0" w:color="000000"/>
            </w:tcBorders>
          </w:tcPr>
          <w:p>
            <w:pPr>
              <w:pStyle w:val="TableParagraph"/>
              <w:spacing w:before="8"/>
              <w:rPr>
                <w:sz w:val="16"/>
              </w:rPr>
            </w:pPr>
          </w:p>
          <w:p>
            <w:pPr>
              <w:pStyle w:val="TableParagraph"/>
              <w:ind w:left="185"/>
              <w:rPr>
                <w:b/>
                <w:sz w:val="21"/>
              </w:rPr>
            </w:pPr>
            <w:r>
              <w:rPr>
                <w:b/>
                <w:sz w:val="21"/>
              </w:rPr>
              <w:t>保单年度</w:t>
            </w:r>
          </w:p>
        </w:tc>
        <w:tc>
          <w:tcPr>
            <w:tcW w:w="7595" w:type="dxa"/>
            <w:tcBorders>
              <w:top w:val="single" w:sz="8" w:space="0" w:color="000000"/>
            </w:tcBorders>
          </w:tcPr>
          <w:p>
            <w:pPr>
              <w:pStyle w:val="TableParagraph"/>
              <w:spacing w:before="8"/>
              <w:rPr>
                <w:sz w:val="16"/>
              </w:rPr>
            </w:pPr>
          </w:p>
          <w:p>
            <w:pPr>
              <w:pStyle w:val="TableParagraph"/>
              <w:spacing w:line="271" w:lineRule="auto"/>
              <w:ind w:left="102" w:right="104"/>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2" w:hRule="atLeast"/>
        </w:trPr>
        <w:tc>
          <w:tcPr>
            <w:tcW w:w="717" w:type="dxa"/>
          </w:tcPr>
          <w:p>
            <w:pPr>
              <w:pStyle w:val="TableParagraph"/>
              <w:spacing w:before="111"/>
              <w:ind w:left="107"/>
              <w:rPr>
                <w:b/>
                <w:sz w:val="21"/>
              </w:rPr>
            </w:pPr>
            <w:r>
              <w:rPr>
                <w:b/>
                <w:sz w:val="21"/>
              </w:rPr>
              <w:t>10.2</w:t>
            </w:r>
          </w:p>
        </w:tc>
        <w:tc>
          <w:tcPr>
            <w:tcW w:w="1614" w:type="dxa"/>
          </w:tcPr>
          <w:p>
            <w:pPr>
              <w:pStyle w:val="TableParagraph"/>
              <w:spacing w:line="273" w:lineRule="auto" w:before="111"/>
              <w:ind w:left="185" w:right="101"/>
              <w:rPr>
                <w:b/>
                <w:sz w:val="21"/>
              </w:rPr>
            </w:pPr>
            <w:r>
              <w:rPr>
                <w:b/>
                <w:sz w:val="21"/>
              </w:rPr>
              <w:t>保险费约定交纳日</w:t>
            </w:r>
          </w:p>
        </w:tc>
        <w:tc>
          <w:tcPr>
            <w:tcW w:w="7595" w:type="dxa"/>
          </w:tcPr>
          <w:p>
            <w:pPr>
              <w:pStyle w:val="TableParagraph"/>
              <w:spacing w:line="273" w:lineRule="auto" w:before="111"/>
              <w:ind w:left="102"/>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96" w:hRule="atLeast"/>
        </w:trPr>
        <w:tc>
          <w:tcPr>
            <w:tcW w:w="717" w:type="dxa"/>
          </w:tcPr>
          <w:p>
            <w:pPr>
              <w:pStyle w:val="TableParagraph"/>
              <w:spacing w:before="110"/>
              <w:ind w:left="107"/>
              <w:rPr>
                <w:b/>
                <w:sz w:val="21"/>
              </w:rPr>
            </w:pPr>
            <w:r>
              <w:rPr>
                <w:b/>
                <w:sz w:val="21"/>
              </w:rPr>
              <w:t>10.3</w:t>
            </w:r>
          </w:p>
        </w:tc>
        <w:tc>
          <w:tcPr>
            <w:tcW w:w="1614" w:type="dxa"/>
          </w:tcPr>
          <w:p>
            <w:pPr>
              <w:pStyle w:val="TableParagraph"/>
              <w:spacing w:before="110"/>
              <w:ind w:left="185"/>
              <w:rPr>
                <w:b/>
                <w:sz w:val="21"/>
              </w:rPr>
            </w:pPr>
            <w:r>
              <w:rPr>
                <w:b/>
                <w:sz w:val="21"/>
              </w:rPr>
              <w:t>周岁</w:t>
            </w:r>
          </w:p>
        </w:tc>
        <w:tc>
          <w:tcPr>
            <w:tcW w:w="7595" w:type="dxa"/>
          </w:tcPr>
          <w:p>
            <w:pPr>
              <w:pStyle w:val="TableParagraph"/>
              <w:spacing w:line="273" w:lineRule="auto" w:before="110"/>
              <w:ind w:left="102" w:right="104"/>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ind w:left="102"/>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ind w:left="102"/>
              <w:rPr>
                <w:sz w:val="21"/>
              </w:rPr>
            </w:pPr>
            <w:r>
              <w:rPr>
                <w:sz w:val="21"/>
              </w:rPr>
              <w:t>8 月 31 日期间为 1 周岁，依此类推。</w:t>
            </w:r>
          </w:p>
        </w:tc>
      </w:tr>
      <w:tr>
        <w:trPr>
          <w:trHeight w:val="871" w:hRule="atLeast"/>
        </w:trPr>
        <w:tc>
          <w:tcPr>
            <w:tcW w:w="717" w:type="dxa"/>
          </w:tcPr>
          <w:p>
            <w:pPr>
              <w:pStyle w:val="TableParagraph"/>
              <w:spacing w:before="111"/>
              <w:ind w:left="107"/>
              <w:rPr>
                <w:b/>
                <w:sz w:val="21"/>
              </w:rPr>
            </w:pPr>
            <w:r>
              <w:rPr>
                <w:b/>
                <w:sz w:val="21"/>
              </w:rPr>
              <w:t>10.4</w:t>
            </w:r>
          </w:p>
        </w:tc>
        <w:tc>
          <w:tcPr>
            <w:tcW w:w="1614" w:type="dxa"/>
          </w:tcPr>
          <w:p>
            <w:pPr>
              <w:pStyle w:val="TableParagraph"/>
              <w:spacing w:before="111"/>
              <w:ind w:left="185"/>
              <w:rPr>
                <w:b/>
                <w:sz w:val="21"/>
              </w:rPr>
            </w:pPr>
            <w:r>
              <w:rPr>
                <w:b/>
                <w:sz w:val="21"/>
              </w:rPr>
              <w:t>有效身份证件</w:t>
            </w:r>
          </w:p>
        </w:tc>
        <w:tc>
          <w:tcPr>
            <w:tcW w:w="7595" w:type="dxa"/>
          </w:tcPr>
          <w:p>
            <w:pPr>
              <w:pStyle w:val="TableParagraph"/>
              <w:spacing w:line="271" w:lineRule="auto" w:before="111"/>
              <w:ind w:left="102" w:right="104"/>
              <w:rPr>
                <w:sz w:val="21"/>
              </w:rPr>
            </w:pPr>
            <w:r>
              <w:rPr>
                <w:sz w:val="21"/>
              </w:rPr>
              <w:t>指由政府主管部门规定的证明其身份的证件，如：居民身份证、按规定可使用的有效护照、军官证、警官证、士兵证、户口簿等证件。</w:t>
            </w:r>
          </w:p>
        </w:tc>
      </w:tr>
      <w:tr>
        <w:trPr>
          <w:trHeight w:val="872" w:hRule="atLeast"/>
        </w:trPr>
        <w:tc>
          <w:tcPr>
            <w:tcW w:w="717" w:type="dxa"/>
          </w:tcPr>
          <w:p>
            <w:pPr>
              <w:pStyle w:val="TableParagraph"/>
              <w:spacing w:before="111"/>
              <w:ind w:left="107"/>
              <w:rPr>
                <w:b/>
                <w:sz w:val="21"/>
              </w:rPr>
            </w:pPr>
            <w:r>
              <w:rPr>
                <w:b/>
                <w:sz w:val="21"/>
              </w:rPr>
              <w:t>10.5</w:t>
            </w:r>
          </w:p>
        </w:tc>
        <w:tc>
          <w:tcPr>
            <w:tcW w:w="1614" w:type="dxa"/>
          </w:tcPr>
          <w:p>
            <w:pPr>
              <w:pStyle w:val="TableParagraph"/>
              <w:spacing w:before="111"/>
              <w:ind w:left="185"/>
              <w:rPr>
                <w:b/>
                <w:sz w:val="21"/>
              </w:rPr>
            </w:pPr>
            <w:r>
              <w:rPr>
                <w:b/>
                <w:sz w:val="21"/>
              </w:rPr>
              <w:t>医院</w:t>
            </w:r>
          </w:p>
        </w:tc>
        <w:tc>
          <w:tcPr>
            <w:tcW w:w="7595" w:type="dxa"/>
          </w:tcPr>
          <w:p>
            <w:pPr>
              <w:pStyle w:val="TableParagraph"/>
              <w:spacing w:before="111"/>
              <w:ind w:left="102"/>
              <w:rPr>
                <w:sz w:val="21"/>
              </w:rPr>
            </w:pPr>
            <w:r>
              <w:rPr>
                <w:sz w:val="21"/>
              </w:rPr>
              <w:t>指中华人民共和国卫生部医院等级分类中的二级合格或者二级合格以上的医院，</w:t>
            </w:r>
          </w:p>
          <w:p>
            <w:pPr>
              <w:pStyle w:val="TableParagraph"/>
              <w:spacing w:before="36"/>
              <w:ind w:left="102"/>
              <w:rPr>
                <w:rFonts w:ascii="黑体" w:eastAsia="黑体" w:hint="eastAsia"/>
                <w:sz w:val="21"/>
              </w:rPr>
            </w:pPr>
            <w:r>
              <w:rPr>
                <w:rFonts w:ascii="黑体" w:eastAsia="黑体" w:hint="eastAsia"/>
                <w:sz w:val="21"/>
              </w:rPr>
              <w:t>不包括主要作为康复、护理、疗养、戒酒、戒毒或者相类似的医疗机构。</w:t>
            </w:r>
          </w:p>
        </w:tc>
      </w:tr>
      <w:tr>
        <w:trPr>
          <w:trHeight w:val="2334" w:hRule="atLeast"/>
        </w:trPr>
        <w:tc>
          <w:tcPr>
            <w:tcW w:w="717" w:type="dxa"/>
          </w:tcPr>
          <w:p>
            <w:pPr>
              <w:pStyle w:val="TableParagraph"/>
              <w:spacing w:before="110"/>
              <w:ind w:left="107"/>
              <w:rPr>
                <w:b/>
                <w:sz w:val="21"/>
              </w:rPr>
            </w:pPr>
            <w:r>
              <w:rPr>
                <w:b/>
                <w:sz w:val="21"/>
              </w:rPr>
              <w:t>10.6</w:t>
            </w:r>
          </w:p>
        </w:tc>
        <w:tc>
          <w:tcPr>
            <w:tcW w:w="1614" w:type="dxa"/>
          </w:tcPr>
          <w:p>
            <w:pPr>
              <w:pStyle w:val="TableParagraph"/>
              <w:spacing w:before="110"/>
              <w:ind w:left="185"/>
              <w:rPr>
                <w:b/>
                <w:sz w:val="21"/>
              </w:rPr>
            </w:pPr>
            <w:r>
              <w:rPr>
                <w:b/>
                <w:sz w:val="21"/>
              </w:rPr>
              <w:t>初次确诊</w:t>
            </w:r>
          </w:p>
        </w:tc>
        <w:tc>
          <w:tcPr>
            <w:tcW w:w="7595" w:type="dxa"/>
          </w:tcPr>
          <w:p>
            <w:pPr>
              <w:pStyle w:val="TableParagraph"/>
              <w:spacing w:line="273" w:lineRule="auto" w:before="110"/>
              <w:ind w:left="102" w:right="101"/>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1"/>
                <w:sz w:val="21"/>
              </w:rPr>
              <w:t> 月 </w:t>
            </w:r>
            <w:r>
              <w:rPr>
                <w:sz w:val="21"/>
              </w:rPr>
              <w:t>1</w:t>
            </w:r>
            <w:r>
              <w:rPr>
                <w:spacing w:val="-12"/>
                <w:sz w:val="21"/>
              </w:rPr>
              <w:t> 日本附</w:t>
            </w:r>
            <w:r>
              <w:rPr>
                <w:spacing w:val="-3"/>
                <w:sz w:val="21"/>
              </w:rPr>
              <w:t>加合同经首次投保后生效，若：</w:t>
            </w:r>
          </w:p>
          <w:p>
            <w:pPr>
              <w:pStyle w:val="TableParagraph"/>
              <w:spacing w:before="86"/>
              <w:ind w:left="138"/>
              <w:rPr>
                <w:sz w:val="21"/>
              </w:rPr>
            </w:pPr>
            <w:r>
              <w:rPr>
                <w:w w:val="100"/>
                <w:sz w:val="21"/>
              </w:rPr>
              <w:t>（1）</w:t>
            </w:r>
            <w:r>
              <w:rPr>
                <w:spacing w:val="-9"/>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59"/>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310" w:lineRule="atLeast" w:before="1"/>
              <w:ind w:left="859" w:right="101"/>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3974" w:hRule="atLeast"/>
        </w:trPr>
        <w:tc>
          <w:tcPr>
            <w:tcW w:w="862" w:type="dxa"/>
          </w:tcPr>
          <w:p>
            <w:pPr>
              <w:pStyle w:val="TableParagraph"/>
              <w:rPr>
                <w:rFonts w:ascii="Times New Roman"/>
                <w:sz w:val="20"/>
              </w:rPr>
            </w:pPr>
          </w:p>
        </w:tc>
        <w:tc>
          <w:tcPr>
            <w:tcW w:w="1561" w:type="dxa"/>
          </w:tcPr>
          <w:p>
            <w:pPr>
              <w:pStyle w:val="TableParagraph"/>
              <w:rPr>
                <w:rFonts w:ascii="Times New Roman"/>
                <w:sz w:val="20"/>
              </w:rPr>
            </w:pPr>
          </w:p>
        </w:tc>
        <w:tc>
          <w:tcPr>
            <w:tcW w:w="7795" w:type="dxa"/>
          </w:tcPr>
          <w:p>
            <w:pPr>
              <w:pStyle w:val="TableParagraph"/>
              <w:spacing w:line="211" w:lineRule="exact"/>
              <w:ind w:left="859"/>
              <w:jc w:val="both"/>
              <w:rPr>
                <w:sz w:val="21"/>
              </w:rPr>
            </w:pPr>
            <w:r>
              <w:rPr>
                <w:sz w:val="21"/>
              </w:rPr>
              <w:t>承担给付重大疾病保险金的责任；</w:t>
            </w:r>
          </w:p>
          <w:p>
            <w:pPr>
              <w:pStyle w:val="TableParagraph"/>
              <w:numPr>
                <w:ilvl w:val="0"/>
                <w:numId w:val="24"/>
              </w:numPr>
              <w:tabs>
                <w:tab w:pos="860" w:val="left" w:leader="none"/>
              </w:tabs>
              <w:spacing w:line="240" w:lineRule="auto" w:before="116" w:after="0"/>
              <w:ind w:left="859" w:right="0" w:hanging="720"/>
              <w:jc w:val="left"/>
              <w:rPr>
                <w:sz w:val="21"/>
              </w:rPr>
            </w:pPr>
            <w:r>
              <w:rPr>
                <w:sz w:val="21"/>
              </w:rPr>
              <w:t>2010</w:t>
            </w:r>
            <w:r>
              <w:rPr>
                <w:spacing w:val="-24"/>
                <w:sz w:val="21"/>
              </w:rPr>
              <w:t> 年 </w:t>
            </w:r>
            <w:r>
              <w:rPr>
                <w:sz w:val="21"/>
              </w:rPr>
              <w:t>2</w:t>
            </w:r>
            <w:r>
              <w:rPr>
                <w:spacing w:val="-25"/>
                <w:sz w:val="21"/>
              </w:rPr>
              <w:t> 月 </w:t>
            </w:r>
            <w:r>
              <w:rPr>
                <w:sz w:val="21"/>
              </w:rPr>
              <w:t>2</w:t>
            </w:r>
            <w:r>
              <w:rPr>
                <w:spacing w:val="-7"/>
                <w:sz w:val="21"/>
              </w:rPr>
              <w:t> 日被保险人自出生后第一次经医院确诊非因意外伤害罹患</w:t>
            </w:r>
          </w:p>
          <w:p>
            <w:pPr>
              <w:pStyle w:val="TableParagraph"/>
              <w:spacing w:before="37"/>
              <w:ind w:left="859"/>
              <w:jc w:val="both"/>
              <w:rPr>
                <w:sz w:val="21"/>
              </w:rPr>
            </w:pPr>
            <w:r>
              <w:rPr>
                <w:spacing w:val="-32"/>
                <w:w w:val="100"/>
                <w:sz w:val="21"/>
              </w:rPr>
              <w:t>“恶性肿瘤”，</w:t>
            </w:r>
            <w:r>
              <w:rPr>
                <w:w w:val="100"/>
                <w:sz w:val="21"/>
              </w:rPr>
              <w:t>2</w:t>
            </w:r>
            <w:r>
              <w:rPr>
                <w:spacing w:val="-3"/>
                <w:w w:val="100"/>
                <w:sz w:val="21"/>
              </w:rPr>
              <w:t>0</w:t>
            </w:r>
            <w:r>
              <w:rPr>
                <w:spacing w:val="-1"/>
                <w:w w:val="100"/>
                <w:sz w:val="21"/>
              </w:rPr>
              <w:t>1</w:t>
            </w:r>
            <w:r>
              <w:rPr>
                <w:w w:val="100"/>
                <w:sz w:val="21"/>
              </w:rPr>
              <w:t>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59"/>
              <w:jc w:val="both"/>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7"/>
              <w:ind w:left="859" w:right="305"/>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日内，我们按您已交</w:t>
            </w:r>
            <w:r>
              <w:rPr>
                <w:spacing w:val="-4"/>
                <w:sz w:val="21"/>
              </w:rPr>
              <w:t>纳的本附加合同的保险费数额向重大疾病保险金受益人给付重大疾病保</w:t>
            </w:r>
            <w:r>
              <w:rPr>
                <w:spacing w:val="-3"/>
                <w:sz w:val="21"/>
              </w:rPr>
              <w:t>险金，本附加合同终止；</w:t>
            </w:r>
          </w:p>
          <w:p>
            <w:pPr>
              <w:pStyle w:val="TableParagraph"/>
              <w:numPr>
                <w:ilvl w:val="0"/>
                <w:numId w:val="24"/>
              </w:numPr>
              <w:tabs>
                <w:tab w:pos="860" w:val="left" w:leader="none"/>
              </w:tabs>
              <w:spacing w:line="240" w:lineRule="auto" w:before="95" w:after="0"/>
              <w:ind w:left="859"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59"/>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6"/>
              <w:ind w:left="859" w:right="301"/>
              <w:jc w:val="both"/>
              <w:rPr>
                <w:sz w:val="21"/>
              </w:rPr>
            </w:pPr>
            <w:r>
              <w:rPr>
                <w:spacing w:val="-12"/>
                <w:sz w:val="21"/>
              </w:rPr>
              <w:t>由于“初次确诊”发生在本附加合同生效之日起 </w:t>
            </w:r>
            <w:r>
              <w:rPr>
                <w:sz w:val="21"/>
              </w:rPr>
              <w:t>180</w:t>
            </w:r>
            <w:r>
              <w:rPr>
                <w:spacing w:val="-10"/>
                <w:sz w:val="21"/>
              </w:rPr>
              <w:t> 日后，我们按本附加</w:t>
            </w:r>
            <w:r>
              <w:rPr>
                <w:spacing w:val="-9"/>
                <w:sz w:val="21"/>
              </w:rPr>
              <w:t>合同的保险金额向重大疾病保险金受益人给付重大疾病保险金，本附加合</w:t>
            </w:r>
            <w:r>
              <w:rPr>
                <w:spacing w:val="-6"/>
                <w:sz w:val="21"/>
              </w:rPr>
              <w:t>同终止。</w:t>
            </w:r>
          </w:p>
        </w:tc>
      </w:tr>
      <w:tr>
        <w:trPr>
          <w:trHeight w:val="1186" w:hRule="atLeast"/>
        </w:trPr>
        <w:tc>
          <w:tcPr>
            <w:tcW w:w="862" w:type="dxa"/>
          </w:tcPr>
          <w:p>
            <w:pPr>
              <w:pStyle w:val="TableParagraph"/>
              <w:spacing w:before="111"/>
              <w:ind w:left="200"/>
              <w:rPr>
                <w:b/>
                <w:sz w:val="21"/>
              </w:rPr>
            </w:pPr>
            <w:r>
              <w:rPr>
                <w:b/>
                <w:sz w:val="21"/>
              </w:rPr>
              <w:t>10.7</w:t>
            </w:r>
          </w:p>
        </w:tc>
        <w:tc>
          <w:tcPr>
            <w:tcW w:w="1561" w:type="dxa"/>
          </w:tcPr>
          <w:p>
            <w:pPr>
              <w:pStyle w:val="TableParagraph"/>
              <w:spacing w:before="111"/>
              <w:ind w:left="132"/>
              <w:rPr>
                <w:b/>
                <w:sz w:val="21"/>
              </w:rPr>
            </w:pPr>
            <w:r>
              <w:rPr>
                <w:b/>
                <w:sz w:val="21"/>
              </w:rPr>
              <w:t>意外伤害</w:t>
            </w:r>
          </w:p>
        </w:tc>
        <w:tc>
          <w:tcPr>
            <w:tcW w:w="7795" w:type="dxa"/>
          </w:tcPr>
          <w:p>
            <w:pPr>
              <w:pStyle w:val="TableParagraph"/>
              <w:spacing w:line="273" w:lineRule="auto" w:before="111"/>
              <w:ind w:left="102" w:right="30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tc>
      </w:tr>
      <w:tr>
        <w:trPr>
          <w:trHeight w:val="1183" w:hRule="atLeast"/>
        </w:trPr>
        <w:tc>
          <w:tcPr>
            <w:tcW w:w="862" w:type="dxa"/>
          </w:tcPr>
          <w:p>
            <w:pPr>
              <w:pStyle w:val="TableParagraph"/>
              <w:spacing w:before="111"/>
              <w:ind w:left="200"/>
              <w:rPr>
                <w:b/>
                <w:sz w:val="21"/>
              </w:rPr>
            </w:pPr>
            <w:r>
              <w:rPr>
                <w:b/>
                <w:sz w:val="21"/>
              </w:rPr>
              <w:t>10.8</w:t>
            </w:r>
          </w:p>
        </w:tc>
        <w:tc>
          <w:tcPr>
            <w:tcW w:w="1561" w:type="dxa"/>
          </w:tcPr>
          <w:p>
            <w:pPr>
              <w:pStyle w:val="TableParagraph"/>
              <w:spacing w:before="111"/>
              <w:ind w:left="132"/>
              <w:rPr>
                <w:b/>
                <w:sz w:val="21"/>
              </w:rPr>
            </w:pPr>
            <w:r>
              <w:rPr>
                <w:b/>
                <w:sz w:val="21"/>
              </w:rPr>
              <w:t>毒品</w:t>
            </w:r>
          </w:p>
        </w:tc>
        <w:tc>
          <w:tcPr>
            <w:tcW w:w="7795" w:type="dxa"/>
          </w:tcPr>
          <w:p>
            <w:pPr>
              <w:pStyle w:val="TableParagraph"/>
              <w:spacing w:line="271" w:lineRule="auto" w:before="111"/>
              <w:ind w:left="102"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62" w:type="dxa"/>
          </w:tcPr>
          <w:p>
            <w:pPr>
              <w:pStyle w:val="TableParagraph"/>
              <w:spacing w:before="111"/>
              <w:ind w:left="200"/>
              <w:rPr>
                <w:b/>
                <w:sz w:val="21"/>
              </w:rPr>
            </w:pPr>
            <w:r>
              <w:rPr>
                <w:b/>
                <w:sz w:val="21"/>
              </w:rPr>
              <w:t>10.9</w:t>
            </w:r>
          </w:p>
        </w:tc>
        <w:tc>
          <w:tcPr>
            <w:tcW w:w="1561" w:type="dxa"/>
          </w:tcPr>
          <w:p>
            <w:pPr>
              <w:pStyle w:val="TableParagraph"/>
              <w:spacing w:before="111"/>
              <w:ind w:left="132"/>
              <w:rPr>
                <w:b/>
                <w:sz w:val="21"/>
              </w:rPr>
            </w:pPr>
            <w:r>
              <w:rPr>
                <w:b/>
                <w:sz w:val="21"/>
              </w:rPr>
              <w:t>酒后驾驶</w:t>
            </w:r>
          </w:p>
        </w:tc>
        <w:tc>
          <w:tcPr>
            <w:tcW w:w="7795" w:type="dxa"/>
          </w:tcPr>
          <w:p>
            <w:pPr>
              <w:pStyle w:val="TableParagraph"/>
              <w:spacing w:line="271" w:lineRule="auto" w:before="111"/>
              <w:ind w:left="102" w:right="303"/>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3525" w:hRule="atLeast"/>
        </w:trPr>
        <w:tc>
          <w:tcPr>
            <w:tcW w:w="862" w:type="dxa"/>
          </w:tcPr>
          <w:p>
            <w:pPr>
              <w:pStyle w:val="TableParagraph"/>
              <w:spacing w:before="111"/>
              <w:ind w:left="200"/>
              <w:rPr>
                <w:b/>
                <w:sz w:val="21"/>
              </w:rPr>
            </w:pPr>
            <w:r>
              <w:rPr>
                <w:b/>
                <w:sz w:val="21"/>
              </w:rPr>
              <w:t>10.10</w:t>
            </w:r>
          </w:p>
        </w:tc>
        <w:tc>
          <w:tcPr>
            <w:tcW w:w="1561" w:type="dxa"/>
          </w:tcPr>
          <w:p>
            <w:pPr>
              <w:pStyle w:val="TableParagraph"/>
              <w:spacing w:line="273" w:lineRule="auto" w:before="111"/>
              <w:ind w:left="132" w:right="101"/>
              <w:rPr>
                <w:b/>
                <w:sz w:val="21"/>
              </w:rPr>
            </w:pPr>
            <w:r>
              <w:rPr>
                <w:b/>
                <w:sz w:val="21"/>
              </w:rPr>
              <w:t>无合法有效驾驶证驾驶</w:t>
            </w:r>
          </w:p>
        </w:tc>
        <w:tc>
          <w:tcPr>
            <w:tcW w:w="7795" w:type="dxa"/>
          </w:tcPr>
          <w:p>
            <w:pPr>
              <w:pStyle w:val="TableParagraph"/>
              <w:spacing w:before="111"/>
              <w:ind w:left="102"/>
              <w:rPr>
                <w:sz w:val="21"/>
              </w:rPr>
            </w:pPr>
            <w:r>
              <w:rPr>
                <w:sz w:val="21"/>
              </w:rPr>
              <w:t>指下列情形之一：</w:t>
            </w:r>
          </w:p>
          <w:p>
            <w:pPr>
              <w:pStyle w:val="TableParagraph"/>
              <w:numPr>
                <w:ilvl w:val="0"/>
                <w:numId w:val="25"/>
              </w:numPr>
              <w:tabs>
                <w:tab w:pos="837" w:val="left" w:leader="none"/>
                <w:tab w:pos="838" w:val="left" w:leader="none"/>
              </w:tabs>
              <w:spacing w:line="240" w:lineRule="auto" w:before="116" w:after="0"/>
              <w:ind w:left="838" w:right="0" w:hanging="735"/>
              <w:jc w:val="left"/>
              <w:rPr>
                <w:sz w:val="21"/>
              </w:rPr>
            </w:pPr>
            <w:r>
              <w:rPr>
                <w:spacing w:val="-3"/>
                <w:sz w:val="21"/>
              </w:rPr>
              <w:t>没有取得驾驶资格；</w:t>
            </w:r>
          </w:p>
          <w:p>
            <w:pPr>
              <w:pStyle w:val="TableParagraph"/>
              <w:numPr>
                <w:ilvl w:val="0"/>
                <w:numId w:val="25"/>
              </w:numPr>
              <w:tabs>
                <w:tab w:pos="837" w:val="left" w:leader="none"/>
                <w:tab w:pos="838" w:val="left" w:leader="none"/>
              </w:tabs>
              <w:spacing w:line="240" w:lineRule="auto" w:before="113" w:after="0"/>
              <w:ind w:left="838" w:right="0" w:hanging="735"/>
              <w:jc w:val="left"/>
              <w:rPr>
                <w:sz w:val="21"/>
              </w:rPr>
            </w:pPr>
            <w:r>
              <w:rPr>
                <w:spacing w:val="-3"/>
                <w:sz w:val="21"/>
              </w:rPr>
              <w:t>驾驶与驾驶证准驾车型不相符合的车辆；</w:t>
            </w:r>
          </w:p>
          <w:p>
            <w:pPr>
              <w:pStyle w:val="TableParagraph"/>
              <w:numPr>
                <w:ilvl w:val="0"/>
                <w:numId w:val="25"/>
              </w:numPr>
              <w:tabs>
                <w:tab w:pos="837" w:val="left" w:leader="none"/>
                <w:tab w:pos="838" w:val="left" w:leader="none"/>
              </w:tabs>
              <w:spacing w:line="240" w:lineRule="auto" w:before="115" w:after="0"/>
              <w:ind w:left="838" w:right="0" w:hanging="735"/>
              <w:jc w:val="left"/>
              <w:rPr>
                <w:sz w:val="21"/>
              </w:rPr>
            </w:pPr>
            <w:r>
              <w:rPr>
                <w:spacing w:val="-3"/>
                <w:sz w:val="21"/>
              </w:rPr>
              <w:t>持审验不合格的驾驶证驾驶；</w:t>
            </w:r>
          </w:p>
          <w:p>
            <w:pPr>
              <w:pStyle w:val="TableParagraph"/>
              <w:numPr>
                <w:ilvl w:val="0"/>
                <w:numId w:val="25"/>
              </w:numPr>
              <w:tabs>
                <w:tab w:pos="837" w:val="left" w:leader="none"/>
                <w:tab w:pos="838" w:val="left" w:leader="none"/>
              </w:tabs>
              <w:spacing w:line="273" w:lineRule="auto" w:before="113" w:after="0"/>
              <w:ind w:left="838" w:right="300" w:hanging="735"/>
              <w:jc w:val="left"/>
              <w:rPr>
                <w:sz w:val="21"/>
              </w:rPr>
            </w:pPr>
            <w:r>
              <w:rPr>
                <w:spacing w:val="-8"/>
                <w:sz w:val="21"/>
              </w:rPr>
              <w:t>在驾驶证有效期内未按照法律、行政法规的规定，定期对机动车驾驶证实</w:t>
            </w:r>
            <w:r>
              <w:rPr>
                <w:spacing w:val="-5"/>
                <w:sz w:val="21"/>
              </w:rPr>
              <w:t>施审验的；</w:t>
            </w:r>
          </w:p>
          <w:p>
            <w:pPr>
              <w:pStyle w:val="TableParagraph"/>
              <w:numPr>
                <w:ilvl w:val="0"/>
                <w:numId w:val="25"/>
              </w:numPr>
              <w:tabs>
                <w:tab w:pos="837" w:val="left" w:leader="none"/>
                <w:tab w:pos="838" w:val="left" w:leader="none"/>
              </w:tabs>
              <w:spacing w:line="240" w:lineRule="auto" w:before="86" w:after="0"/>
              <w:ind w:left="838" w:right="0" w:hanging="735"/>
              <w:jc w:val="left"/>
              <w:rPr>
                <w:sz w:val="21"/>
              </w:rPr>
            </w:pPr>
            <w:r>
              <w:rPr>
                <w:spacing w:val="-3"/>
                <w:sz w:val="21"/>
              </w:rPr>
              <w:t>驾驶证已过有效期的；</w:t>
            </w:r>
          </w:p>
          <w:p>
            <w:pPr>
              <w:pStyle w:val="TableParagraph"/>
              <w:numPr>
                <w:ilvl w:val="0"/>
                <w:numId w:val="25"/>
              </w:numPr>
              <w:tabs>
                <w:tab w:pos="837" w:val="left" w:leader="none"/>
                <w:tab w:pos="838" w:val="left" w:leader="none"/>
              </w:tabs>
              <w:spacing w:line="273" w:lineRule="auto" w:before="113" w:after="0"/>
              <w:ind w:left="838" w:right="303" w:hanging="735"/>
              <w:jc w:val="left"/>
              <w:rPr>
                <w:sz w:val="21"/>
              </w:rPr>
            </w:pPr>
            <w:r>
              <w:rPr>
                <w:spacing w:val="-8"/>
                <w:sz w:val="21"/>
              </w:rPr>
              <w:t>持学习驾驶证学习驾车时，无教练员随车指导，或者不按指定时间、路线</w:t>
            </w:r>
            <w:r>
              <w:rPr>
                <w:spacing w:val="-2"/>
                <w:sz w:val="21"/>
              </w:rPr>
              <w:t>学习驾车。</w:t>
            </w:r>
          </w:p>
        </w:tc>
      </w:tr>
      <w:tr>
        <w:trPr>
          <w:trHeight w:val="2353" w:hRule="atLeast"/>
        </w:trPr>
        <w:tc>
          <w:tcPr>
            <w:tcW w:w="862" w:type="dxa"/>
          </w:tcPr>
          <w:p>
            <w:pPr>
              <w:pStyle w:val="TableParagraph"/>
              <w:spacing w:before="111"/>
              <w:ind w:left="200"/>
              <w:rPr>
                <w:b/>
                <w:sz w:val="21"/>
              </w:rPr>
            </w:pPr>
            <w:r>
              <w:rPr>
                <w:b/>
                <w:sz w:val="21"/>
              </w:rPr>
              <w:t>10.11</w:t>
            </w:r>
          </w:p>
        </w:tc>
        <w:tc>
          <w:tcPr>
            <w:tcW w:w="1561" w:type="dxa"/>
          </w:tcPr>
          <w:p>
            <w:pPr>
              <w:pStyle w:val="TableParagraph"/>
              <w:spacing w:before="111"/>
              <w:ind w:left="132"/>
              <w:rPr>
                <w:b/>
                <w:sz w:val="21"/>
              </w:rPr>
            </w:pPr>
            <w:r>
              <w:rPr>
                <w:b/>
                <w:sz w:val="21"/>
              </w:rPr>
              <w:t>无有效行驶证</w:t>
            </w:r>
          </w:p>
        </w:tc>
        <w:tc>
          <w:tcPr>
            <w:tcW w:w="7795" w:type="dxa"/>
          </w:tcPr>
          <w:p>
            <w:pPr>
              <w:pStyle w:val="TableParagraph"/>
              <w:spacing w:line="271" w:lineRule="auto" w:before="111"/>
              <w:ind w:left="102"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6"/>
              </w:numPr>
              <w:tabs>
                <w:tab w:pos="837" w:val="left" w:leader="none"/>
                <w:tab w:pos="838" w:val="left" w:leader="none"/>
              </w:tabs>
              <w:spacing w:line="240" w:lineRule="auto" w:before="89" w:after="0"/>
              <w:ind w:left="838" w:right="0" w:hanging="735"/>
              <w:jc w:val="left"/>
              <w:rPr>
                <w:sz w:val="21"/>
              </w:rPr>
            </w:pPr>
            <w:r>
              <w:rPr>
                <w:spacing w:val="-3"/>
                <w:sz w:val="21"/>
              </w:rPr>
              <w:t>行驶证在申办过程中的；</w:t>
            </w:r>
          </w:p>
          <w:p>
            <w:pPr>
              <w:pStyle w:val="TableParagraph"/>
              <w:numPr>
                <w:ilvl w:val="0"/>
                <w:numId w:val="26"/>
              </w:numPr>
              <w:tabs>
                <w:tab w:pos="837" w:val="left" w:leader="none"/>
                <w:tab w:pos="838" w:val="left" w:leader="none"/>
              </w:tabs>
              <w:spacing w:line="240" w:lineRule="auto" w:before="116" w:after="0"/>
              <w:ind w:left="838" w:right="0" w:hanging="735"/>
              <w:jc w:val="left"/>
              <w:rPr>
                <w:sz w:val="21"/>
              </w:rPr>
            </w:pPr>
            <w:r>
              <w:rPr>
                <w:spacing w:val="-3"/>
                <w:sz w:val="21"/>
              </w:rPr>
              <w:t>机动车行驶证被依法注销登记的；</w:t>
            </w:r>
          </w:p>
          <w:p>
            <w:pPr>
              <w:pStyle w:val="TableParagraph"/>
              <w:numPr>
                <w:ilvl w:val="0"/>
                <w:numId w:val="26"/>
              </w:numPr>
              <w:tabs>
                <w:tab w:pos="837" w:val="left" w:leader="none"/>
                <w:tab w:pos="838" w:val="left" w:leader="none"/>
              </w:tabs>
              <w:spacing w:line="273" w:lineRule="auto" w:before="114" w:after="0"/>
              <w:ind w:left="838" w:right="305" w:hanging="735"/>
              <w:jc w:val="left"/>
              <w:rPr>
                <w:sz w:val="21"/>
              </w:rPr>
            </w:pPr>
            <w:r>
              <w:rPr>
                <w:sz w:val="21"/>
              </w:rPr>
              <w:t>未在行驶证检验有效期内依法按时进行或者未通过机动车安全技术检验的。</w:t>
            </w:r>
          </w:p>
        </w:tc>
      </w:tr>
      <w:tr>
        <w:trPr>
          <w:trHeight w:val="697" w:hRule="atLeast"/>
        </w:trPr>
        <w:tc>
          <w:tcPr>
            <w:tcW w:w="862" w:type="dxa"/>
          </w:tcPr>
          <w:p>
            <w:pPr>
              <w:pStyle w:val="TableParagraph"/>
              <w:spacing w:before="110"/>
              <w:ind w:left="200"/>
              <w:rPr>
                <w:b/>
                <w:sz w:val="21"/>
              </w:rPr>
            </w:pPr>
            <w:r>
              <w:rPr>
                <w:b/>
                <w:sz w:val="21"/>
              </w:rPr>
              <w:t>10.12</w:t>
            </w:r>
          </w:p>
        </w:tc>
        <w:tc>
          <w:tcPr>
            <w:tcW w:w="1561" w:type="dxa"/>
          </w:tcPr>
          <w:p>
            <w:pPr>
              <w:pStyle w:val="TableParagraph"/>
              <w:spacing w:before="110"/>
              <w:ind w:left="132"/>
              <w:rPr>
                <w:b/>
                <w:sz w:val="21"/>
              </w:rPr>
            </w:pPr>
            <w:r>
              <w:rPr>
                <w:b/>
                <w:sz w:val="21"/>
              </w:rPr>
              <w:t>机动车</w:t>
            </w:r>
          </w:p>
        </w:tc>
        <w:tc>
          <w:tcPr>
            <w:tcW w:w="7795" w:type="dxa"/>
          </w:tcPr>
          <w:p>
            <w:pPr>
              <w:pStyle w:val="TableParagraph"/>
              <w:spacing w:line="310" w:lineRule="atLeast" w:before="75"/>
              <w:ind w:left="102" w:right="304"/>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38"/>
        <w:gridCol w:w="7771"/>
      </w:tblGrid>
      <w:tr>
        <w:trPr>
          <w:trHeight w:val="1711" w:hRule="atLeast"/>
        </w:trPr>
        <w:tc>
          <w:tcPr>
            <w:tcW w:w="809" w:type="dxa"/>
          </w:tcPr>
          <w:p>
            <w:pPr>
              <w:pStyle w:val="TableParagraph"/>
              <w:spacing w:line="211" w:lineRule="exact"/>
              <w:ind w:right="78"/>
              <w:jc w:val="right"/>
              <w:rPr>
                <w:b/>
                <w:sz w:val="21"/>
              </w:rPr>
            </w:pPr>
            <w:r>
              <w:rPr>
                <w:b/>
                <w:sz w:val="21"/>
              </w:rPr>
              <w:t>10.13</w:t>
            </w:r>
          </w:p>
        </w:tc>
        <w:tc>
          <w:tcPr>
            <w:tcW w:w="1638" w:type="dxa"/>
          </w:tcPr>
          <w:p>
            <w:pPr>
              <w:pStyle w:val="TableParagraph"/>
              <w:spacing w:line="211" w:lineRule="exact"/>
              <w:ind w:left="185"/>
              <w:rPr>
                <w:b/>
                <w:sz w:val="21"/>
              </w:rPr>
            </w:pPr>
            <w:r>
              <w:rPr>
                <w:b/>
                <w:sz w:val="21"/>
              </w:rPr>
              <w:t>感染艾滋病病</w:t>
            </w:r>
          </w:p>
          <w:p>
            <w:pPr>
              <w:pStyle w:val="TableParagraph"/>
              <w:spacing w:line="273" w:lineRule="auto" w:before="37"/>
              <w:ind w:left="185" w:right="125"/>
              <w:rPr>
                <w:b/>
                <w:sz w:val="21"/>
              </w:rPr>
            </w:pPr>
            <w:r>
              <w:rPr>
                <w:b/>
                <w:sz w:val="21"/>
              </w:rPr>
              <w:t>毒或者患艾滋病</w:t>
            </w:r>
          </w:p>
        </w:tc>
        <w:tc>
          <w:tcPr>
            <w:tcW w:w="7771" w:type="dxa"/>
          </w:tcPr>
          <w:p>
            <w:pPr>
              <w:pStyle w:val="TableParagraph"/>
              <w:spacing w:line="211" w:lineRule="exact"/>
              <w:ind w:left="78"/>
              <w:rPr>
                <w:sz w:val="21"/>
              </w:rPr>
            </w:pPr>
            <w:r>
              <w:rPr>
                <w:sz w:val="21"/>
              </w:rPr>
              <w:t>艾滋病病毒指人类免疫缺陷病毒，英文缩写为 HIV。艾滋病指人类免疫缺陷病毒</w:t>
            </w:r>
          </w:p>
          <w:p>
            <w:pPr>
              <w:pStyle w:val="TableParagraph"/>
              <w:spacing w:before="37"/>
              <w:ind w:left="78"/>
              <w:rPr>
                <w:sz w:val="21"/>
              </w:rPr>
            </w:pPr>
            <w:r>
              <w:rPr>
                <w:sz w:val="21"/>
              </w:rPr>
              <w:t>引起的获得性免疫缺陷综合征，英文缩写为 AIDS。</w:t>
            </w:r>
          </w:p>
          <w:p>
            <w:pPr>
              <w:pStyle w:val="TableParagraph"/>
              <w:spacing w:line="271" w:lineRule="auto" w:before="116"/>
              <w:ind w:left="78"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3" w:hRule="atLeast"/>
        </w:trPr>
        <w:tc>
          <w:tcPr>
            <w:tcW w:w="809" w:type="dxa"/>
          </w:tcPr>
          <w:p>
            <w:pPr>
              <w:pStyle w:val="TableParagraph"/>
              <w:spacing w:before="111"/>
              <w:ind w:right="78"/>
              <w:jc w:val="right"/>
              <w:rPr>
                <w:b/>
                <w:sz w:val="21"/>
              </w:rPr>
            </w:pPr>
            <w:r>
              <w:rPr>
                <w:b/>
                <w:sz w:val="21"/>
              </w:rPr>
              <w:t>10.14</w:t>
            </w:r>
          </w:p>
        </w:tc>
        <w:tc>
          <w:tcPr>
            <w:tcW w:w="1638" w:type="dxa"/>
          </w:tcPr>
          <w:p>
            <w:pPr>
              <w:pStyle w:val="TableParagraph"/>
              <w:spacing w:before="111"/>
              <w:ind w:left="185"/>
              <w:rPr>
                <w:b/>
                <w:sz w:val="21"/>
              </w:rPr>
            </w:pPr>
            <w:r>
              <w:rPr>
                <w:b/>
                <w:sz w:val="21"/>
              </w:rPr>
              <w:t>遗传性疾病</w:t>
            </w:r>
          </w:p>
        </w:tc>
        <w:tc>
          <w:tcPr>
            <w:tcW w:w="7771" w:type="dxa"/>
          </w:tcPr>
          <w:p>
            <w:pPr>
              <w:pStyle w:val="TableParagraph"/>
              <w:spacing w:line="273" w:lineRule="auto" w:before="111"/>
              <w:ind w:left="78" w:right="303"/>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09" w:type="dxa"/>
          </w:tcPr>
          <w:p>
            <w:pPr>
              <w:pStyle w:val="TableParagraph"/>
              <w:spacing w:before="111"/>
              <w:ind w:right="78"/>
              <w:jc w:val="right"/>
              <w:rPr>
                <w:b/>
                <w:sz w:val="21"/>
              </w:rPr>
            </w:pPr>
            <w:r>
              <w:rPr>
                <w:b/>
                <w:w w:val="95"/>
                <w:sz w:val="21"/>
              </w:rPr>
              <w:t>10.15</w:t>
            </w:r>
          </w:p>
        </w:tc>
        <w:tc>
          <w:tcPr>
            <w:tcW w:w="1638" w:type="dxa"/>
          </w:tcPr>
          <w:p>
            <w:pPr>
              <w:pStyle w:val="TableParagraph"/>
              <w:spacing w:line="271" w:lineRule="auto" w:before="111"/>
              <w:ind w:left="185" w:right="125"/>
              <w:jc w:val="both"/>
              <w:rPr>
                <w:b/>
                <w:sz w:val="21"/>
              </w:rPr>
            </w:pPr>
            <w:r>
              <w:rPr>
                <w:b/>
                <w:sz w:val="21"/>
              </w:rPr>
              <w:t>先天性畸形、变形或者染色体异常</w:t>
            </w:r>
          </w:p>
        </w:tc>
        <w:tc>
          <w:tcPr>
            <w:tcW w:w="7771" w:type="dxa"/>
          </w:tcPr>
          <w:p>
            <w:pPr>
              <w:pStyle w:val="TableParagraph"/>
              <w:spacing w:line="271" w:lineRule="auto" w:before="111"/>
              <w:ind w:left="78"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871" w:hRule="atLeast"/>
        </w:trPr>
        <w:tc>
          <w:tcPr>
            <w:tcW w:w="809" w:type="dxa"/>
          </w:tcPr>
          <w:p>
            <w:pPr>
              <w:pStyle w:val="TableParagraph"/>
              <w:spacing w:before="111"/>
              <w:ind w:right="78"/>
              <w:jc w:val="right"/>
              <w:rPr>
                <w:b/>
                <w:sz w:val="21"/>
              </w:rPr>
            </w:pPr>
            <w:r>
              <w:rPr>
                <w:b/>
                <w:sz w:val="21"/>
              </w:rPr>
              <w:t>10.16</w:t>
            </w:r>
          </w:p>
        </w:tc>
        <w:tc>
          <w:tcPr>
            <w:tcW w:w="1638" w:type="dxa"/>
          </w:tcPr>
          <w:p>
            <w:pPr>
              <w:pStyle w:val="TableParagraph"/>
              <w:spacing w:before="111"/>
              <w:ind w:left="185"/>
              <w:rPr>
                <w:b/>
                <w:sz w:val="21"/>
              </w:rPr>
            </w:pPr>
            <w:r>
              <w:rPr>
                <w:b/>
                <w:sz w:val="21"/>
              </w:rPr>
              <w:t>现金价值</w:t>
            </w:r>
          </w:p>
        </w:tc>
        <w:tc>
          <w:tcPr>
            <w:tcW w:w="7771" w:type="dxa"/>
          </w:tcPr>
          <w:p>
            <w:pPr>
              <w:pStyle w:val="TableParagraph"/>
              <w:spacing w:line="271" w:lineRule="auto" w:before="111"/>
              <w:ind w:left="78" w:right="304"/>
              <w:rPr>
                <w:sz w:val="21"/>
              </w:rPr>
            </w:pPr>
            <w:r>
              <w:rPr>
                <w:sz w:val="21"/>
              </w:rPr>
              <w:t>指保险合同所具有的价值，通常体现为解除合同时，根据精算原理计算的，由我们退还的那部分金额。</w:t>
            </w:r>
          </w:p>
        </w:tc>
      </w:tr>
      <w:tr>
        <w:trPr>
          <w:trHeight w:val="2745" w:hRule="atLeast"/>
        </w:trPr>
        <w:tc>
          <w:tcPr>
            <w:tcW w:w="809" w:type="dxa"/>
          </w:tcPr>
          <w:p>
            <w:pPr>
              <w:pStyle w:val="TableParagraph"/>
              <w:spacing w:before="111"/>
              <w:ind w:right="78"/>
              <w:jc w:val="right"/>
              <w:rPr>
                <w:b/>
                <w:sz w:val="21"/>
              </w:rPr>
            </w:pPr>
            <w:r>
              <w:rPr>
                <w:b/>
                <w:w w:val="95"/>
                <w:sz w:val="21"/>
              </w:rPr>
              <w:t>10.17</w:t>
            </w:r>
          </w:p>
        </w:tc>
        <w:tc>
          <w:tcPr>
            <w:tcW w:w="1638" w:type="dxa"/>
          </w:tcPr>
          <w:p>
            <w:pPr>
              <w:pStyle w:val="TableParagraph"/>
              <w:spacing w:before="111"/>
              <w:ind w:left="185"/>
              <w:rPr>
                <w:b/>
                <w:sz w:val="21"/>
              </w:rPr>
            </w:pPr>
            <w:r>
              <w:rPr>
                <w:b/>
                <w:sz w:val="21"/>
              </w:rPr>
              <w:t>专科医生</w:t>
            </w:r>
          </w:p>
        </w:tc>
        <w:tc>
          <w:tcPr>
            <w:tcW w:w="7771" w:type="dxa"/>
          </w:tcPr>
          <w:p>
            <w:pPr>
              <w:pStyle w:val="TableParagraph"/>
              <w:spacing w:before="111"/>
              <w:ind w:left="78"/>
              <w:rPr>
                <w:sz w:val="21"/>
              </w:rPr>
            </w:pPr>
            <w:r>
              <w:rPr>
                <w:sz w:val="21"/>
              </w:rPr>
              <w:t>专科医生应当同时满足以下四项资格条件：</w:t>
            </w:r>
          </w:p>
          <w:p>
            <w:pPr>
              <w:pStyle w:val="TableParagraph"/>
              <w:numPr>
                <w:ilvl w:val="0"/>
                <w:numId w:val="27"/>
              </w:numPr>
              <w:tabs>
                <w:tab w:pos="816" w:val="left" w:leader="none"/>
                <w:tab w:pos="817" w:val="left" w:leader="none"/>
              </w:tabs>
              <w:spacing w:line="240" w:lineRule="auto" w:before="116" w:after="0"/>
              <w:ind w:left="799" w:right="0" w:hanging="720"/>
              <w:jc w:val="left"/>
              <w:rPr>
                <w:sz w:val="21"/>
              </w:rPr>
            </w:pPr>
            <w:r>
              <w:rPr>
                <w:spacing w:val="-9"/>
                <w:sz w:val="21"/>
              </w:rPr>
              <w:t>具有有效的中华人民共和国《医师资格证书》；</w:t>
            </w:r>
          </w:p>
          <w:p>
            <w:pPr>
              <w:pStyle w:val="TableParagraph"/>
              <w:numPr>
                <w:ilvl w:val="0"/>
                <w:numId w:val="27"/>
              </w:numPr>
              <w:tabs>
                <w:tab w:pos="818" w:val="left" w:leader="none"/>
                <w:tab w:pos="819" w:val="left" w:leader="none"/>
              </w:tabs>
              <w:spacing w:line="273" w:lineRule="auto" w:before="114" w:after="0"/>
              <w:ind w:left="799" w:right="304" w:hanging="720"/>
              <w:jc w:val="left"/>
              <w:rPr>
                <w:sz w:val="21"/>
              </w:rPr>
            </w:pPr>
            <w:r>
              <w:rPr>
                <w:spacing w:val="-8"/>
                <w:sz w:val="21"/>
              </w:rPr>
              <w:t>具有有效的中华人民共和国《医师执业证书》，并按期到相关部门登记注册；</w:t>
            </w:r>
          </w:p>
          <w:p>
            <w:pPr>
              <w:pStyle w:val="TableParagraph"/>
              <w:numPr>
                <w:ilvl w:val="0"/>
                <w:numId w:val="27"/>
              </w:numPr>
              <w:tabs>
                <w:tab w:pos="781" w:val="left" w:leader="none"/>
              </w:tabs>
              <w:spacing w:line="271" w:lineRule="auto" w:before="87" w:after="0"/>
              <w:ind w:left="799" w:right="303"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7"/>
              </w:numPr>
              <w:tabs>
                <w:tab w:pos="816" w:val="left" w:leader="none"/>
                <w:tab w:pos="817" w:val="left" w:leader="none"/>
              </w:tabs>
              <w:spacing w:line="240" w:lineRule="auto" w:before="89" w:after="0"/>
              <w:ind w:left="799" w:right="0" w:hanging="720"/>
              <w:jc w:val="left"/>
              <w:rPr>
                <w:sz w:val="21"/>
              </w:rPr>
            </w:pPr>
            <w:r>
              <w:rPr>
                <w:spacing w:val="-3"/>
                <w:sz w:val="21"/>
              </w:rPr>
              <w:t>在二级或者二级以上医院的相应科室从事临床工作三年以上。</w:t>
            </w:r>
          </w:p>
        </w:tc>
      </w:tr>
      <w:tr>
        <w:trPr>
          <w:trHeight w:val="1183" w:hRule="atLeast"/>
        </w:trPr>
        <w:tc>
          <w:tcPr>
            <w:tcW w:w="809" w:type="dxa"/>
          </w:tcPr>
          <w:p>
            <w:pPr>
              <w:pStyle w:val="TableParagraph"/>
              <w:spacing w:before="111"/>
              <w:ind w:right="78"/>
              <w:jc w:val="right"/>
              <w:rPr>
                <w:b/>
                <w:sz w:val="21"/>
              </w:rPr>
            </w:pPr>
            <w:r>
              <w:rPr>
                <w:b/>
                <w:sz w:val="21"/>
              </w:rPr>
              <w:t>10.18</w:t>
            </w:r>
          </w:p>
        </w:tc>
        <w:tc>
          <w:tcPr>
            <w:tcW w:w="1638" w:type="dxa"/>
          </w:tcPr>
          <w:p>
            <w:pPr>
              <w:pStyle w:val="TableParagraph"/>
              <w:spacing w:before="111"/>
              <w:ind w:left="185"/>
              <w:rPr>
                <w:b/>
                <w:sz w:val="21"/>
              </w:rPr>
            </w:pPr>
            <w:r>
              <w:rPr>
                <w:b/>
                <w:sz w:val="21"/>
              </w:rPr>
              <w:t>利息</w:t>
            </w:r>
          </w:p>
        </w:tc>
        <w:tc>
          <w:tcPr>
            <w:tcW w:w="7771" w:type="dxa"/>
          </w:tcPr>
          <w:p>
            <w:pPr>
              <w:pStyle w:val="TableParagraph"/>
              <w:spacing w:line="271" w:lineRule="auto" w:before="111"/>
              <w:ind w:left="78" w:right="303"/>
              <w:jc w:val="both"/>
              <w:rPr>
                <w:sz w:val="21"/>
              </w:rPr>
            </w:pPr>
            <w:r>
              <w:rPr>
                <w:spacing w:val="-3"/>
                <w:sz w:val="21"/>
              </w:rPr>
              <w:t>涉及垫交或者补交保险费的利息，以垫交或者补交的保险费数额为基数，按“同期中国人民银行两年期居民定期储蓄存款利率</w:t>
            </w:r>
            <w:r>
              <w:rPr>
                <w:spacing w:val="-11"/>
                <w:sz w:val="21"/>
              </w:rPr>
              <w:t>+2</w:t>
            </w:r>
            <w:r>
              <w:rPr>
                <w:spacing w:val="-9"/>
                <w:sz w:val="21"/>
              </w:rPr>
              <w:t>%”的年复利计算。如果没有中国</w:t>
            </w:r>
            <w:r>
              <w:rPr>
                <w:spacing w:val="-5"/>
                <w:sz w:val="21"/>
              </w:rPr>
              <w:t>人民银行相应存款利率作为参照，我们将按照国家相关法律法规确定适用利率。</w:t>
            </w:r>
          </w:p>
        </w:tc>
      </w:tr>
      <w:tr>
        <w:trPr>
          <w:trHeight w:val="1495" w:hRule="atLeast"/>
        </w:trPr>
        <w:tc>
          <w:tcPr>
            <w:tcW w:w="809" w:type="dxa"/>
          </w:tcPr>
          <w:p>
            <w:pPr>
              <w:pStyle w:val="TableParagraph"/>
              <w:spacing w:before="111"/>
              <w:ind w:right="78"/>
              <w:jc w:val="right"/>
              <w:rPr>
                <w:b/>
                <w:sz w:val="21"/>
              </w:rPr>
            </w:pPr>
            <w:r>
              <w:rPr>
                <w:b/>
                <w:sz w:val="21"/>
              </w:rPr>
              <w:t>10.19</w:t>
            </w:r>
          </w:p>
        </w:tc>
        <w:tc>
          <w:tcPr>
            <w:tcW w:w="1638" w:type="dxa"/>
          </w:tcPr>
          <w:p>
            <w:pPr>
              <w:pStyle w:val="TableParagraph"/>
              <w:spacing w:line="271" w:lineRule="auto" w:before="111"/>
              <w:ind w:left="80" w:right="77"/>
              <w:jc w:val="both"/>
              <w:rPr>
                <w:b/>
                <w:sz w:val="21"/>
              </w:rPr>
            </w:pPr>
            <w:r>
              <w:rPr>
                <w:b/>
                <w:sz w:val="21"/>
              </w:rPr>
              <w:t>与保险金额减少部分相对应的现金价值</w:t>
            </w:r>
          </w:p>
        </w:tc>
        <w:tc>
          <w:tcPr>
            <w:tcW w:w="7771" w:type="dxa"/>
          </w:tcPr>
          <w:p>
            <w:pPr>
              <w:pStyle w:val="TableParagraph"/>
              <w:spacing w:line="271" w:lineRule="auto" w:before="111"/>
              <w:ind w:left="78" w:right="303"/>
              <w:jc w:val="both"/>
              <w:rPr>
                <w:sz w:val="21"/>
              </w:rPr>
            </w:pPr>
            <w:r>
              <w:rPr>
                <w:spacing w:val="-3"/>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5"/>
                <w:sz w:val="21"/>
              </w:rPr>
              <w:t>万元，那么保险金额减少部分相对应的现金价值为 </w:t>
            </w:r>
            <w:r>
              <w:rPr>
                <w:sz w:val="21"/>
              </w:rPr>
              <w:t>8*[(10-6)/10]=3.2</w:t>
            </w:r>
            <w:r>
              <w:rPr>
                <w:spacing w:val="-12"/>
                <w:sz w:val="21"/>
              </w:rPr>
              <w:t> 万元。</w:t>
            </w:r>
          </w:p>
        </w:tc>
      </w:tr>
      <w:tr>
        <w:trPr>
          <w:trHeight w:val="873" w:hRule="atLeast"/>
        </w:trPr>
        <w:tc>
          <w:tcPr>
            <w:tcW w:w="809" w:type="dxa"/>
          </w:tcPr>
          <w:p>
            <w:pPr>
              <w:pStyle w:val="TableParagraph"/>
              <w:spacing w:before="111"/>
              <w:ind w:right="78"/>
              <w:jc w:val="right"/>
              <w:rPr>
                <w:b/>
                <w:sz w:val="21"/>
              </w:rPr>
            </w:pPr>
            <w:r>
              <w:rPr>
                <w:b/>
                <w:sz w:val="21"/>
              </w:rPr>
              <w:t>10.20</w:t>
            </w:r>
          </w:p>
        </w:tc>
        <w:tc>
          <w:tcPr>
            <w:tcW w:w="1638" w:type="dxa"/>
          </w:tcPr>
          <w:p>
            <w:pPr>
              <w:pStyle w:val="TableParagraph"/>
              <w:spacing w:line="273" w:lineRule="auto" w:before="111"/>
              <w:ind w:left="185" w:right="125"/>
              <w:rPr>
                <w:b/>
                <w:sz w:val="21"/>
              </w:rPr>
            </w:pPr>
            <w:r>
              <w:rPr>
                <w:b/>
                <w:sz w:val="21"/>
              </w:rPr>
              <w:t>肢体机能完全丧失</w:t>
            </w:r>
          </w:p>
        </w:tc>
        <w:tc>
          <w:tcPr>
            <w:tcW w:w="7771" w:type="dxa"/>
          </w:tcPr>
          <w:p>
            <w:pPr>
              <w:pStyle w:val="TableParagraph"/>
              <w:spacing w:line="273" w:lineRule="auto" w:before="111"/>
              <w:ind w:left="78" w:right="30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09" w:type="dxa"/>
          </w:tcPr>
          <w:p>
            <w:pPr>
              <w:pStyle w:val="TableParagraph"/>
              <w:spacing w:before="111"/>
              <w:ind w:right="78"/>
              <w:jc w:val="right"/>
              <w:rPr>
                <w:b/>
                <w:sz w:val="21"/>
              </w:rPr>
            </w:pPr>
            <w:r>
              <w:rPr>
                <w:b/>
                <w:sz w:val="21"/>
              </w:rPr>
              <w:t>10.21</w:t>
            </w:r>
          </w:p>
        </w:tc>
        <w:tc>
          <w:tcPr>
            <w:tcW w:w="1638" w:type="dxa"/>
          </w:tcPr>
          <w:p>
            <w:pPr>
              <w:pStyle w:val="TableParagraph"/>
              <w:spacing w:line="271" w:lineRule="auto" w:before="111"/>
              <w:ind w:left="185" w:right="125"/>
              <w:jc w:val="both"/>
              <w:rPr>
                <w:b/>
                <w:sz w:val="21"/>
              </w:rPr>
            </w:pPr>
            <w:r>
              <w:rPr>
                <w:b/>
                <w:sz w:val="21"/>
              </w:rPr>
              <w:t>语言能力或咀嚼吞咽能力完全丧失</w:t>
            </w:r>
          </w:p>
        </w:tc>
        <w:tc>
          <w:tcPr>
            <w:tcW w:w="7771" w:type="dxa"/>
          </w:tcPr>
          <w:p>
            <w:pPr>
              <w:pStyle w:val="TableParagraph"/>
              <w:spacing w:line="271" w:lineRule="auto" w:before="111"/>
              <w:ind w:left="78" w:right="198"/>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8"/>
                <w:sz w:val="21"/>
              </w:rPr>
              <w:t>中的任何三种、或者声带全部切除，或者因大脑语言中枢受伤害而患失语症。咀嚼吞咽能力完全丧失，指因牙齿以外的原因导致器质障碍或者机能障碍，以致</w:t>
            </w:r>
            <w:r>
              <w:rPr>
                <w:spacing w:val="-5"/>
                <w:sz w:val="21"/>
              </w:rPr>
              <w:t>不能作咀嚼吞咽运动，除流质食物外不能摄取或者吞咽的状态。</w:t>
            </w:r>
          </w:p>
        </w:tc>
      </w:tr>
      <w:tr>
        <w:trPr>
          <w:trHeight w:val="1946" w:hRule="atLeast"/>
        </w:trPr>
        <w:tc>
          <w:tcPr>
            <w:tcW w:w="809" w:type="dxa"/>
          </w:tcPr>
          <w:p>
            <w:pPr>
              <w:pStyle w:val="TableParagraph"/>
              <w:spacing w:before="111"/>
              <w:ind w:right="78"/>
              <w:jc w:val="right"/>
              <w:rPr>
                <w:b/>
                <w:sz w:val="21"/>
              </w:rPr>
            </w:pPr>
            <w:r>
              <w:rPr>
                <w:b/>
                <w:sz w:val="21"/>
              </w:rPr>
              <w:t>10.22</w:t>
            </w:r>
          </w:p>
        </w:tc>
        <w:tc>
          <w:tcPr>
            <w:tcW w:w="1638" w:type="dxa"/>
          </w:tcPr>
          <w:p>
            <w:pPr>
              <w:pStyle w:val="TableParagraph"/>
              <w:spacing w:line="271" w:lineRule="auto" w:before="111"/>
              <w:ind w:left="185" w:right="125"/>
              <w:rPr>
                <w:b/>
                <w:sz w:val="21"/>
              </w:rPr>
            </w:pPr>
            <w:r>
              <w:rPr>
                <w:b/>
                <w:sz w:val="21"/>
              </w:rPr>
              <w:t>六项基本日常生活活动</w:t>
            </w:r>
          </w:p>
        </w:tc>
        <w:tc>
          <w:tcPr>
            <w:tcW w:w="7771" w:type="dxa"/>
          </w:tcPr>
          <w:p>
            <w:pPr>
              <w:pStyle w:val="TableParagraph"/>
              <w:spacing w:before="111"/>
              <w:ind w:left="78"/>
              <w:rPr>
                <w:sz w:val="21"/>
              </w:rPr>
            </w:pPr>
            <w:r>
              <w:rPr>
                <w:sz w:val="21"/>
              </w:rPr>
              <w:t>六项基本日常生活活动是指：</w:t>
            </w:r>
          </w:p>
          <w:p>
            <w:pPr>
              <w:pStyle w:val="TableParagraph"/>
              <w:numPr>
                <w:ilvl w:val="0"/>
                <w:numId w:val="28"/>
              </w:numPr>
              <w:tabs>
                <w:tab w:pos="816" w:val="left" w:leader="none"/>
                <w:tab w:pos="817" w:val="left" w:leader="none"/>
              </w:tabs>
              <w:spacing w:line="240" w:lineRule="auto" w:before="113" w:after="0"/>
              <w:ind w:left="816" w:right="0" w:hanging="737"/>
              <w:jc w:val="left"/>
              <w:rPr>
                <w:sz w:val="21"/>
              </w:rPr>
            </w:pPr>
            <w:r>
              <w:rPr>
                <w:spacing w:val="-3"/>
                <w:sz w:val="21"/>
              </w:rPr>
              <w:t>穿衣：自己能够穿衣及脱衣；</w:t>
            </w:r>
          </w:p>
          <w:p>
            <w:pPr>
              <w:pStyle w:val="TableParagraph"/>
              <w:numPr>
                <w:ilvl w:val="0"/>
                <w:numId w:val="28"/>
              </w:numPr>
              <w:tabs>
                <w:tab w:pos="816" w:val="left" w:leader="none"/>
                <w:tab w:pos="817" w:val="left" w:leader="none"/>
              </w:tabs>
              <w:spacing w:line="240" w:lineRule="auto" w:before="116" w:after="0"/>
              <w:ind w:left="816" w:right="0" w:hanging="737"/>
              <w:jc w:val="left"/>
              <w:rPr>
                <w:sz w:val="21"/>
              </w:rPr>
            </w:pPr>
            <w:r>
              <w:rPr>
                <w:spacing w:val="-3"/>
                <w:sz w:val="21"/>
              </w:rPr>
              <w:t>移动：自己从一个房间到另一个房间；</w:t>
            </w:r>
          </w:p>
          <w:p>
            <w:pPr>
              <w:pStyle w:val="TableParagraph"/>
              <w:numPr>
                <w:ilvl w:val="0"/>
                <w:numId w:val="28"/>
              </w:numPr>
              <w:tabs>
                <w:tab w:pos="816" w:val="left" w:leader="none"/>
                <w:tab w:pos="817" w:val="left" w:leader="none"/>
              </w:tabs>
              <w:spacing w:line="240" w:lineRule="auto" w:before="114" w:after="0"/>
              <w:ind w:left="816" w:right="0" w:hanging="737"/>
              <w:jc w:val="left"/>
              <w:rPr>
                <w:sz w:val="21"/>
              </w:rPr>
            </w:pPr>
            <w:r>
              <w:rPr>
                <w:spacing w:val="-3"/>
                <w:sz w:val="21"/>
              </w:rPr>
              <w:t>行动：自己上下床或者上下轮椅；</w:t>
            </w:r>
          </w:p>
          <w:p>
            <w:pPr>
              <w:pStyle w:val="TableParagraph"/>
              <w:numPr>
                <w:ilvl w:val="0"/>
                <w:numId w:val="28"/>
              </w:numPr>
              <w:tabs>
                <w:tab w:pos="816" w:val="left" w:leader="none"/>
                <w:tab w:pos="817" w:val="left" w:leader="none"/>
              </w:tabs>
              <w:spacing w:line="255" w:lineRule="exact" w:before="116" w:after="0"/>
              <w:ind w:left="816" w:right="0" w:hanging="737"/>
              <w:jc w:val="left"/>
              <w:rPr>
                <w:sz w:val="21"/>
              </w:rPr>
            </w:pPr>
            <w:r>
              <w:rPr>
                <w:spacing w:val="-3"/>
                <w:sz w:val="21"/>
              </w:rPr>
              <w:t>如厕：自己控制进行大小便；</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826"/>
      </w:tblGrid>
      <w:tr>
        <w:trPr>
          <w:trHeight w:val="776" w:hRule="atLeast"/>
        </w:trPr>
        <w:tc>
          <w:tcPr>
            <w:tcW w:w="862" w:type="dxa"/>
          </w:tcPr>
          <w:p>
            <w:pPr>
              <w:pStyle w:val="TableParagraph"/>
              <w:rPr>
                <w:rFonts w:ascii="Times New Roman"/>
                <w:sz w:val="20"/>
              </w:rPr>
            </w:pPr>
          </w:p>
        </w:tc>
        <w:tc>
          <w:tcPr>
            <w:tcW w:w="1427" w:type="dxa"/>
          </w:tcPr>
          <w:p>
            <w:pPr>
              <w:pStyle w:val="TableParagraph"/>
              <w:rPr>
                <w:rFonts w:ascii="Times New Roman"/>
                <w:sz w:val="20"/>
              </w:rPr>
            </w:pPr>
          </w:p>
        </w:tc>
        <w:tc>
          <w:tcPr>
            <w:tcW w:w="7826" w:type="dxa"/>
          </w:tcPr>
          <w:p>
            <w:pPr>
              <w:pStyle w:val="TableParagraph"/>
              <w:numPr>
                <w:ilvl w:val="0"/>
                <w:numId w:val="29"/>
              </w:numPr>
              <w:tabs>
                <w:tab w:pos="974" w:val="left" w:leader="none"/>
                <w:tab w:pos="975" w:val="left" w:leader="none"/>
              </w:tabs>
              <w:spacing w:line="211" w:lineRule="exact" w:before="0" w:after="0"/>
              <w:ind w:left="974" w:right="0" w:hanging="737"/>
              <w:jc w:val="left"/>
              <w:rPr>
                <w:sz w:val="21"/>
              </w:rPr>
            </w:pPr>
            <w:r>
              <w:rPr>
                <w:spacing w:val="-3"/>
                <w:sz w:val="21"/>
              </w:rPr>
              <w:t>进食：自己从已准备好的碗或者碟中取食物放入口中；</w:t>
            </w:r>
          </w:p>
          <w:p>
            <w:pPr>
              <w:pStyle w:val="TableParagraph"/>
              <w:numPr>
                <w:ilvl w:val="0"/>
                <w:numId w:val="29"/>
              </w:numPr>
              <w:tabs>
                <w:tab w:pos="974" w:val="left" w:leader="none"/>
                <w:tab w:pos="975" w:val="left" w:leader="none"/>
              </w:tabs>
              <w:spacing w:line="240" w:lineRule="auto" w:before="116" w:after="0"/>
              <w:ind w:left="974"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left="200"/>
              <w:rPr>
                <w:b/>
                <w:sz w:val="21"/>
              </w:rPr>
            </w:pPr>
            <w:r>
              <w:rPr>
                <w:b/>
                <w:sz w:val="21"/>
              </w:rPr>
              <w:t>10.23</w:t>
            </w:r>
          </w:p>
        </w:tc>
        <w:tc>
          <w:tcPr>
            <w:tcW w:w="1427" w:type="dxa"/>
          </w:tcPr>
          <w:p>
            <w:pPr>
              <w:pStyle w:val="TableParagraph"/>
              <w:spacing w:before="110"/>
              <w:ind w:left="132"/>
              <w:rPr>
                <w:b/>
                <w:sz w:val="21"/>
              </w:rPr>
            </w:pPr>
            <w:r>
              <w:rPr>
                <w:b/>
                <w:sz w:val="21"/>
              </w:rPr>
              <w:t>永久不可逆</w:t>
            </w:r>
          </w:p>
        </w:tc>
        <w:tc>
          <w:tcPr>
            <w:tcW w:w="7826" w:type="dxa"/>
          </w:tcPr>
          <w:p>
            <w:pPr>
              <w:pStyle w:val="TableParagraph"/>
              <w:spacing w:line="310" w:lineRule="atLeast" w:before="75"/>
              <w:ind w:left="236" w:right="126"/>
              <w:rPr>
                <w:sz w:val="21"/>
              </w:rPr>
            </w:pPr>
            <w:r>
              <w:rPr>
                <w:sz w:val="21"/>
              </w:rPr>
              <w:t>指自疾病确诊或者意外伤害发生之日起，经过积极治疗 180 天后，仍无法通过现有医疗手段恢复。</w:t>
            </w:r>
          </w:p>
        </w:tc>
      </w:tr>
    </w:tbl>
    <w:sectPr>
      <w:pgSz w:w="11910" w:h="16840"/>
      <w:pgMar w:top="1240" w:bottom="280" w:left="8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5"/>
      <w:numFmt w:val="decimal"/>
      <w:lvlText w:val="（%1）"/>
      <w:lvlJc w:val="left"/>
      <w:pPr>
        <w:ind w:left="974" w:hanging="738"/>
        <w:jc w:val="left"/>
      </w:pPr>
      <w:rPr>
        <w:rFonts w:hint="default" w:ascii="宋体" w:hAnsi="宋体" w:eastAsia="宋体" w:cs="宋体"/>
        <w:w w:val="100"/>
        <w:sz w:val="21"/>
        <w:szCs w:val="21"/>
      </w:rPr>
    </w:lvl>
    <w:lvl w:ilvl="1">
      <w:start w:val="0"/>
      <w:numFmt w:val="bullet"/>
      <w:lvlText w:val="•"/>
      <w:lvlJc w:val="left"/>
      <w:pPr>
        <w:ind w:left="1664" w:hanging="738"/>
      </w:pPr>
      <w:rPr>
        <w:rFonts w:hint="default"/>
      </w:rPr>
    </w:lvl>
    <w:lvl w:ilvl="2">
      <w:start w:val="0"/>
      <w:numFmt w:val="bullet"/>
      <w:lvlText w:val="•"/>
      <w:lvlJc w:val="left"/>
      <w:pPr>
        <w:ind w:left="2349" w:hanging="738"/>
      </w:pPr>
      <w:rPr>
        <w:rFonts w:hint="default"/>
      </w:rPr>
    </w:lvl>
    <w:lvl w:ilvl="3">
      <w:start w:val="0"/>
      <w:numFmt w:val="bullet"/>
      <w:lvlText w:val="•"/>
      <w:lvlJc w:val="left"/>
      <w:pPr>
        <w:ind w:left="3033" w:hanging="738"/>
      </w:pPr>
      <w:rPr>
        <w:rFonts w:hint="default"/>
      </w:rPr>
    </w:lvl>
    <w:lvl w:ilvl="4">
      <w:start w:val="0"/>
      <w:numFmt w:val="bullet"/>
      <w:lvlText w:val="•"/>
      <w:lvlJc w:val="left"/>
      <w:pPr>
        <w:ind w:left="3718" w:hanging="738"/>
      </w:pPr>
      <w:rPr>
        <w:rFonts w:hint="default"/>
      </w:rPr>
    </w:lvl>
    <w:lvl w:ilvl="5">
      <w:start w:val="0"/>
      <w:numFmt w:val="bullet"/>
      <w:lvlText w:val="•"/>
      <w:lvlJc w:val="left"/>
      <w:pPr>
        <w:ind w:left="4403" w:hanging="738"/>
      </w:pPr>
      <w:rPr>
        <w:rFonts w:hint="default"/>
      </w:rPr>
    </w:lvl>
    <w:lvl w:ilvl="6">
      <w:start w:val="0"/>
      <w:numFmt w:val="bullet"/>
      <w:lvlText w:val="•"/>
      <w:lvlJc w:val="left"/>
      <w:pPr>
        <w:ind w:left="5087" w:hanging="738"/>
      </w:pPr>
      <w:rPr>
        <w:rFonts w:hint="default"/>
      </w:rPr>
    </w:lvl>
    <w:lvl w:ilvl="7">
      <w:start w:val="0"/>
      <w:numFmt w:val="bullet"/>
      <w:lvlText w:val="•"/>
      <w:lvlJc w:val="left"/>
      <w:pPr>
        <w:ind w:left="5772" w:hanging="738"/>
      </w:pPr>
      <w:rPr>
        <w:rFonts w:hint="default"/>
      </w:rPr>
    </w:lvl>
    <w:lvl w:ilvl="8">
      <w:start w:val="0"/>
      <w:numFmt w:val="bullet"/>
      <w:lvlText w:val="•"/>
      <w:lvlJc w:val="left"/>
      <w:pPr>
        <w:ind w:left="6456" w:hanging="738"/>
      </w:pPr>
      <w:rPr>
        <w:rFonts w:hint="default"/>
      </w:rPr>
    </w:lvl>
  </w:abstractNum>
  <w:abstractNum w:abstractNumId="27">
    <w:multiLevelType w:val="hybridMultilevel"/>
    <w:lvl w:ilvl="0">
      <w:start w:val="1"/>
      <w:numFmt w:val="decimal"/>
      <w:lvlText w:val="（%1）"/>
      <w:lvlJc w:val="left"/>
      <w:pPr>
        <w:ind w:left="816"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21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600" w:hanging="738"/>
      </w:pPr>
      <w:rPr>
        <w:rFonts w:hint="default"/>
      </w:rPr>
    </w:lvl>
    <w:lvl w:ilvl="5">
      <w:start w:val="0"/>
      <w:numFmt w:val="bullet"/>
      <w:lvlText w:val="•"/>
      <w:lvlJc w:val="left"/>
      <w:pPr>
        <w:ind w:left="4295" w:hanging="738"/>
      </w:pPr>
      <w:rPr>
        <w:rFonts w:hint="default"/>
      </w:rPr>
    </w:lvl>
    <w:lvl w:ilvl="6">
      <w:start w:val="0"/>
      <w:numFmt w:val="bullet"/>
      <w:lvlText w:val="•"/>
      <w:lvlJc w:val="left"/>
      <w:pPr>
        <w:ind w:left="4990" w:hanging="738"/>
      </w:pPr>
      <w:rPr>
        <w:rFonts w:hint="default"/>
      </w:rPr>
    </w:lvl>
    <w:lvl w:ilvl="7">
      <w:start w:val="0"/>
      <w:numFmt w:val="bullet"/>
      <w:lvlText w:val="•"/>
      <w:lvlJc w:val="left"/>
      <w:pPr>
        <w:ind w:left="5685" w:hanging="738"/>
      </w:pPr>
      <w:rPr>
        <w:rFonts w:hint="default"/>
      </w:rPr>
    </w:lvl>
    <w:lvl w:ilvl="8">
      <w:start w:val="0"/>
      <w:numFmt w:val="bullet"/>
      <w:lvlText w:val="•"/>
      <w:lvlJc w:val="left"/>
      <w:pPr>
        <w:ind w:left="6380" w:hanging="738"/>
      </w:pPr>
      <w:rPr>
        <w:rFonts w:hint="default"/>
      </w:rPr>
    </w:lvl>
  </w:abstractNum>
  <w:abstractNum w:abstractNumId="26">
    <w:multiLevelType w:val="hybridMultilevel"/>
    <w:lvl w:ilvl="0">
      <w:start w:val="1"/>
      <w:numFmt w:val="decimal"/>
      <w:lvlText w:val="（%1）"/>
      <w:lvlJc w:val="left"/>
      <w:pPr>
        <w:ind w:left="799"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94" w:hanging="738"/>
      </w:pPr>
      <w:rPr>
        <w:rFonts w:hint="default"/>
      </w:rPr>
    </w:lvl>
    <w:lvl w:ilvl="3">
      <w:start w:val="0"/>
      <w:numFmt w:val="bullet"/>
      <w:lvlText w:val="•"/>
      <w:lvlJc w:val="left"/>
      <w:pPr>
        <w:ind w:left="2891" w:hanging="738"/>
      </w:pPr>
      <w:rPr>
        <w:rFonts w:hint="default"/>
      </w:rPr>
    </w:lvl>
    <w:lvl w:ilvl="4">
      <w:start w:val="0"/>
      <w:numFmt w:val="bullet"/>
      <w:lvlText w:val="•"/>
      <w:lvlJc w:val="left"/>
      <w:pPr>
        <w:ind w:left="3588" w:hanging="738"/>
      </w:pPr>
      <w:rPr>
        <w:rFonts w:hint="default"/>
      </w:rPr>
    </w:lvl>
    <w:lvl w:ilvl="5">
      <w:start w:val="0"/>
      <w:numFmt w:val="bullet"/>
      <w:lvlText w:val="•"/>
      <w:lvlJc w:val="left"/>
      <w:pPr>
        <w:ind w:left="4285" w:hanging="738"/>
      </w:pPr>
      <w:rPr>
        <w:rFonts w:hint="default"/>
      </w:rPr>
    </w:lvl>
    <w:lvl w:ilvl="6">
      <w:start w:val="0"/>
      <w:numFmt w:val="bullet"/>
      <w:lvlText w:val="•"/>
      <w:lvlJc w:val="left"/>
      <w:pPr>
        <w:ind w:left="4982" w:hanging="738"/>
      </w:pPr>
      <w:rPr>
        <w:rFonts w:hint="default"/>
      </w:rPr>
    </w:lvl>
    <w:lvl w:ilvl="7">
      <w:start w:val="0"/>
      <w:numFmt w:val="bullet"/>
      <w:lvlText w:val="•"/>
      <w:lvlJc w:val="left"/>
      <w:pPr>
        <w:ind w:left="5679" w:hanging="738"/>
      </w:pPr>
      <w:rPr>
        <w:rFonts w:hint="default"/>
      </w:rPr>
    </w:lvl>
    <w:lvl w:ilvl="8">
      <w:start w:val="0"/>
      <w:numFmt w:val="bullet"/>
      <w:lvlText w:val="•"/>
      <w:lvlJc w:val="left"/>
      <w:pPr>
        <w:ind w:left="6376" w:hanging="738"/>
      </w:pPr>
      <w:rPr>
        <w:rFonts w:hint="default"/>
      </w:rPr>
    </w:lvl>
  </w:abstractNum>
  <w:abstractNum w:abstractNumId="25">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3">
    <w:multiLevelType w:val="hybridMultilevel"/>
    <w:lvl w:ilvl="0">
      <w:start w:val="2"/>
      <w:numFmt w:val="decimal"/>
      <w:lvlText w:val="（%1）"/>
      <w:lvlJc w:val="left"/>
      <w:pPr>
        <w:ind w:left="859" w:hanging="721"/>
        <w:jc w:val="left"/>
      </w:pPr>
      <w:rPr>
        <w:rFonts w:hint="default" w:ascii="宋体" w:hAnsi="宋体" w:eastAsia="宋体" w:cs="宋体"/>
        <w:w w:val="100"/>
        <w:sz w:val="21"/>
        <w:szCs w:val="21"/>
      </w:rPr>
    </w:lvl>
    <w:lvl w:ilvl="1">
      <w:start w:val="0"/>
      <w:numFmt w:val="bullet"/>
      <w:lvlText w:val="•"/>
      <w:lvlJc w:val="left"/>
      <w:pPr>
        <w:ind w:left="1553" w:hanging="721"/>
      </w:pPr>
      <w:rPr>
        <w:rFonts w:hint="default"/>
      </w:rPr>
    </w:lvl>
    <w:lvl w:ilvl="2">
      <w:start w:val="0"/>
      <w:numFmt w:val="bullet"/>
      <w:lvlText w:val="•"/>
      <w:lvlJc w:val="left"/>
      <w:pPr>
        <w:ind w:left="2247" w:hanging="721"/>
      </w:pPr>
      <w:rPr>
        <w:rFonts w:hint="default"/>
      </w:rPr>
    </w:lvl>
    <w:lvl w:ilvl="3">
      <w:start w:val="0"/>
      <w:numFmt w:val="bullet"/>
      <w:lvlText w:val="•"/>
      <w:lvlJc w:val="left"/>
      <w:pPr>
        <w:ind w:left="2940" w:hanging="721"/>
      </w:pPr>
      <w:rPr>
        <w:rFonts w:hint="default"/>
      </w:rPr>
    </w:lvl>
    <w:lvl w:ilvl="4">
      <w:start w:val="0"/>
      <w:numFmt w:val="bullet"/>
      <w:lvlText w:val="•"/>
      <w:lvlJc w:val="left"/>
      <w:pPr>
        <w:ind w:left="3634" w:hanging="721"/>
      </w:pPr>
      <w:rPr>
        <w:rFonts w:hint="default"/>
      </w:rPr>
    </w:lvl>
    <w:lvl w:ilvl="5">
      <w:start w:val="0"/>
      <w:numFmt w:val="bullet"/>
      <w:lvlText w:val="•"/>
      <w:lvlJc w:val="left"/>
      <w:pPr>
        <w:ind w:left="4327" w:hanging="721"/>
      </w:pPr>
      <w:rPr>
        <w:rFonts w:hint="default"/>
      </w:rPr>
    </w:lvl>
    <w:lvl w:ilvl="6">
      <w:start w:val="0"/>
      <w:numFmt w:val="bullet"/>
      <w:lvlText w:val="•"/>
      <w:lvlJc w:val="left"/>
      <w:pPr>
        <w:ind w:left="5021" w:hanging="721"/>
      </w:pPr>
      <w:rPr>
        <w:rFonts w:hint="default"/>
      </w:rPr>
    </w:lvl>
    <w:lvl w:ilvl="7">
      <w:start w:val="0"/>
      <w:numFmt w:val="bullet"/>
      <w:lvlText w:val="•"/>
      <w:lvlJc w:val="left"/>
      <w:pPr>
        <w:ind w:left="5714" w:hanging="721"/>
      </w:pPr>
      <w:rPr>
        <w:rFonts w:hint="default"/>
      </w:rPr>
    </w:lvl>
    <w:lvl w:ilvl="8">
      <w:start w:val="0"/>
      <w:numFmt w:val="bullet"/>
      <w:lvlText w:val="•"/>
      <w:lvlJc w:val="left"/>
      <w:pPr>
        <w:ind w:left="6408" w:hanging="721"/>
      </w:pPr>
      <w:rPr>
        <w:rFonts w:hint="default"/>
      </w:rPr>
    </w:lvl>
  </w:abstractNum>
  <w:abstractNum w:abstractNumId="22">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21">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2"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3" w:hanging="738"/>
      </w:pPr>
      <w:rPr>
        <w:rFonts w:hint="default"/>
      </w:rPr>
    </w:lvl>
    <w:lvl w:ilvl="7">
      <w:start w:val="0"/>
      <w:numFmt w:val="bullet"/>
      <w:lvlText w:val="•"/>
      <w:lvlJc w:val="left"/>
      <w:pPr>
        <w:ind w:left="5708" w:hanging="738"/>
      </w:pPr>
      <w:rPr>
        <w:rFonts w:hint="default"/>
      </w:rPr>
    </w:lvl>
    <w:lvl w:ilvl="8">
      <w:start w:val="0"/>
      <w:numFmt w:val="bullet"/>
      <w:lvlText w:val="•"/>
      <w:lvlJc w:val="left"/>
      <w:pPr>
        <w:ind w:left="6404" w:hanging="738"/>
      </w:pPr>
      <w:rPr>
        <w:rFonts w:hint="default"/>
      </w:rPr>
    </w:lvl>
  </w:abstractNum>
  <w:abstractNum w:abstractNumId="20">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2"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3" w:hanging="738"/>
      </w:pPr>
      <w:rPr>
        <w:rFonts w:hint="default"/>
      </w:rPr>
    </w:lvl>
    <w:lvl w:ilvl="7">
      <w:start w:val="0"/>
      <w:numFmt w:val="bullet"/>
      <w:lvlText w:val="•"/>
      <w:lvlJc w:val="left"/>
      <w:pPr>
        <w:ind w:left="5708" w:hanging="738"/>
      </w:pPr>
      <w:rPr>
        <w:rFonts w:hint="default"/>
      </w:rPr>
    </w:lvl>
    <w:lvl w:ilvl="8">
      <w:start w:val="0"/>
      <w:numFmt w:val="bullet"/>
      <w:lvlText w:val="•"/>
      <w:lvlJc w:val="left"/>
      <w:pPr>
        <w:ind w:left="6404" w:hanging="738"/>
      </w:pPr>
      <w:rPr>
        <w:rFonts w:hint="default"/>
      </w:rPr>
    </w:lvl>
  </w:abstractNum>
  <w:abstractNum w:abstractNumId="19">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8">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7">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6">
    <w:multiLevelType w:val="hybridMultilevel"/>
    <w:lvl w:ilvl="0">
      <w:start w:val="1"/>
      <w:numFmt w:val="decimal"/>
      <w:lvlText w:val="（%1）"/>
      <w:lvlJc w:val="left"/>
      <w:pPr>
        <w:ind w:left="795" w:hanging="738"/>
        <w:jc w:val="left"/>
      </w:pPr>
      <w:rPr>
        <w:rFonts w:hint="default" w:ascii="宋体" w:hAnsi="宋体" w:eastAsia="宋体" w:cs="宋体"/>
        <w:w w:val="100"/>
        <w:sz w:val="21"/>
        <w:szCs w:val="21"/>
      </w:rPr>
    </w:lvl>
    <w:lvl w:ilvl="1">
      <w:start w:val="0"/>
      <w:numFmt w:val="bullet"/>
      <w:lvlText w:val="•"/>
      <w:lvlJc w:val="left"/>
      <w:pPr>
        <w:ind w:left="1496" w:hanging="738"/>
      </w:pPr>
      <w:rPr>
        <w:rFonts w:hint="default"/>
      </w:rPr>
    </w:lvl>
    <w:lvl w:ilvl="2">
      <w:start w:val="0"/>
      <w:numFmt w:val="bullet"/>
      <w:lvlText w:val="•"/>
      <w:lvlJc w:val="left"/>
      <w:pPr>
        <w:ind w:left="219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86"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79"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72" w:hanging="738"/>
      </w:pPr>
      <w:rPr>
        <w:rFonts w:hint="default"/>
      </w:rPr>
    </w:lvl>
  </w:abstractNum>
  <w:abstractNum w:abstractNumId="15">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4">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3">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2">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11">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10">
    <w:multiLevelType w:val="hybridMultilevel"/>
    <w:lvl w:ilvl="0">
      <w:start w:val="1"/>
      <w:numFmt w:val="decimal"/>
      <w:lvlText w:val="（%1）"/>
      <w:lvlJc w:val="left"/>
      <w:pPr>
        <w:ind w:left="840" w:hanging="738"/>
        <w:jc w:val="left"/>
      </w:pPr>
      <w:rPr>
        <w:rFonts w:hint="default" w:ascii="黑体" w:hAnsi="黑体" w:eastAsia="黑体" w:cs="黑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9">
    <w:multiLevelType w:val="hybridMultilevel"/>
    <w:lvl w:ilvl="0">
      <w:start w:val="6"/>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0"/>
      <w:numFmt w:val="decimal"/>
      <w:lvlText w:val="%1"/>
      <w:lvlJc w:val="left"/>
      <w:pPr>
        <w:ind w:left="852" w:hanging="526"/>
        <w:jc w:val="left"/>
      </w:pPr>
      <w:rPr>
        <w:rFonts w:hint="default"/>
      </w:rPr>
    </w:lvl>
    <w:lvl w:ilvl="1">
      <w:start w:val="8"/>
      <w:numFmt w:val="decimal"/>
      <w:lvlText w:val="%1.%2"/>
      <w:lvlJc w:val="left"/>
      <w:pPr>
        <w:ind w:left="852" w:hanging="526"/>
        <w:jc w:val="left"/>
      </w:pPr>
      <w:rPr>
        <w:rFonts w:hint="default" w:ascii="宋体" w:hAnsi="宋体" w:eastAsia="宋体" w:cs="宋体"/>
        <w:w w:val="100"/>
        <w:sz w:val="21"/>
        <w:szCs w:val="21"/>
      </w:rPr>
    </w:lvl>
    <w:lvl w:ilvl="2">
      <w:start w:val="0"/>
      <w:numFmt w:val="bullet"/>
      <w:lvlText w:val="•"/>
      <w:lvlJc w:val="left"/>
      <w:pPr>
        <w:ind w:left="1573" w:hanging="526"/>
      </w:pPr>
      <w:rPr>
        <w:rFonts w:hint="default"/>
      </w:rPr>
    </w:lvl>
    <w:lvl w:ilvl="3">
      <w:start w:val="0"/>
      <w:numFmt w:val="bullet"/>
      <w:lvlText w:val="•"/>
      <w:lvlJc w:val="left"/>
      <w:pPr>
        <w:ind w:left="1930" w:hanging="526"/>
      </w:pPr>
      <w:rPr>
        <w:rFonts w:hint="default"/>
      </w:rPr>
    </w:lvl>
    <w:lvl w:ilvl="4">
      <w:start w:val="0"/>
      <w:numFmt w:val="bullet"/>
      <w:lvlText w:val="•"/>
      <w:lvlJc w:val="left"/>
      <w:pPr>
        <w:ind w:left="2287" w:hanging="526"/>
      </w:pPr>
      <w:rPr>
        <w:rFonts w:hint="default"/>
      </w:rPr>
    </w:lvl>
    <w:lvl w:ilvl="5">
      <w:start w:val="0"/>
      <w:numFmt w:val="bullet"/>
      <w:lvlText w:val="•"/>
      <w:lvlJc w:val="left"/>
      <w:pPr>
        <w:ind w:left="2644" w:hanging="526"/>
      </w:pPr>
      <w:rPr>
        <w:rFonts w:hint="default"/>
      </w:rPr>
    </w:lvl>
    <w:lvl w:ilvl="6">
      <w:start w:val="0"/>
      <w:numFmt w:val="bullet"/>
      <w:lvlText w:val="•"/>
      <w:lvlJc w:val="left"/>
      <w:pPr>
        <w:ind w:left="3001" w:hanging="526"/>
      </w:pPr>
      <w:rPr>
        <w:rFonts w:hint="default"/>
      </w:rPr>
    </w:lvl>
    <w:lvl w:ilvl="7">
      <w:start w:val="0"/>
      <w:numFmt w:val="bullet"/>
      <w:lvlText w:val="•"/>
      <w:lvlJc w:val="left"/>
      <w:pPr>
        <w:ind w:left="3358" w:hanging="526"/>
      </w:pPr>
      <w:rPr>
        <w:rFonts w:hint="default"/>
      </w:rPr>
    </w:lvl>
    <w:lvl w:ilvl="8">
      <w:start w:val="0"/>
      <w:numFmt w:val="bullet"/>
      <w:lvlText w:val="•"/>
      <w:lvlJc w:val="left"/>
      <w:pPr>
        <w:ind w:left="3715" w:hanging="526"/>
      </w:pPr>
      <w:rPr>
        <w:rFonts w:hint="default"/>
      </w:rPr>
    </w:lvl>
  </w:abstractNum>
  <w:abstractNum w:abstractNumId="2">
    <w:multiLevelType w:val="hybridMultilevel"/>
    <w:lvl w:ilvl="0">
      <w:start w:val="5"/>
      <w:numFmt w:val="decimal"/>
      <w:lvlText w:val="%1"/>
      <w:lvlJc w:val="left"/>
      <w:pPr>
        <w:ind w:left="749" w:hanging="423"/>
        <w:jc w:val="left"/>
      </w:pPr>
      <w:rPr>
        <w:rFonts w:hint="default"/>
      </w:rPr>
    </w:lvl>
    <w:lvl w:ilvl="1">
      <w:start w:val="1"/>
      <w:numFmt w:val="decimal"/>
      <w:lvlText w:val="%1.%2"/>
      <w:lvlJc w:val="left"/>
      <w:pPr>
        <w:ind w:left="749" w:hanging="423"/>
        <w:jc w:val="left"/>
      </w:pPr>
      <w:rPr>
        <w:rFonts w:hint="default" w:ascii="宋体" w:hAnsi="宋体" w:eastAsia="宋体" w:cs="宋体"/>
        <w:w w:val="100"/>
        <w:sz w:val="21"/>
        <w:szCs w:val="21"/>
      </w:rPr>
    </w:lvl>
    <w:lvl w:ilvl="2">
      <w:start w:val="0"/>
      <w:numFmt w:val="bullet"/>
      <w:lvlText w:val="•"/>
      <w:lvlJc w:val="left"/>
      <w:pPr>
        <w:ind w:left="1035" w:hanging="423"/>
      </w:pPr>
      <w:rPr>
        <w:rFonts w:hint="default"/>
      </w:rPr>
    </w:lvl>
    <w:lvl w:ilvl="3">
      <w:start w:val="0"/>
      <w:numFmt w:val="bullet"/>
      <w:lvlText w:val="•"/>
      <w:lvlJc w:val="left"/>
      <w:pPr>
        <w:ind w:left="1183" w:hanging="423"/>
      </w:pPr>
      <w:rPr>
        <w:rFonts w:hint="default"/>
      </w:rPr>
    </w:lvl>
    <w:lvl w:ilvl="4">
      <w:start w:val="0"/>
      <w:numFmt w:val="bullet"/>
      <w:lvlText w:val="•"/>
      <w:lvlJc w:val="left"/>
      <w:pPr>
        <w:ind w:left="1331" w:hanging="423"/>
      </w:pPr>
      <w:rPr>
        <w:rFonts w:hint="default"/>
      </w:rPr>
    </w:lvl>
    <w:lvl w:ilvl="5">
      <w:start w:val="0"/>
      <w:numFmt w:val="bullet"/>
      <w:lvlText w:val="•"/>
      <w:lvlJc w:val="left"/>
      <w:pPr>
        <w:ind w:left="1479" w:hanging="423"/>
      </w:pPr>
      <w:rPr>
        <w:rFonts w:hint="default"/>
      </w:rPr>
    </w:lvl>
    <w:lvl w:ilvl="6">
      <w:start w:val="0"/>
      <w:numFmt w:val="bullet"/>
      <w:lvlText w:val="•"/>
      <w:lvlJc w:val="left"/>
      <w:pPr>
        <w:ind w:left="1627" w:hanging="423"/>
      </w:pPr>
      <w:rPr>
        <w:rFonts w:hint="default"/>
      </w:rPr>
    </w:lvl>
    <w:lvl w:ilvl="7">
      <w:start w:val="0"/>
      <w:numFmt w:val="bullet"/>
      <w:lvlText w:val="•"/>
      <w:lvlJc w:val="left"/>
      <w:pPr>
        <w:ind w:left="1775" w:hanging="423"/>
      </w:pPr>
      <w:rPr>
        <w:rFonts w:hint="default"/>
      </w:rPr>
    </w:lvl>
    <w:lvl w:ilvl="8">
      <w:start w:val="0"/>
      <w:numFmt w:val="bullet"/>
      <w:lvlText w:val="•"/>
      <w:lvlJc w:val="left"/>
      <w:pPr>
        <w:ind w:left="1922" w:hanging="423"/>
      </w:pPr>
      <w:rPr>
        <w:rFonts w:hint="default"/>
      </w:rPr>
    </w:lvl>
  </w:abstractNum>
  <w:abstractNum w:abstractNumId="1">
    <w:multiLevelType w:val="hybridMultilevel"/>
    <w:lvl w:ilvl="0">
      <w:start w:val="1"/>
      <w:numFmt w:val="decimal"/>
      <w:lvlText w:val="%1."/>
      <w:lvlJc w:val="left"/>
      <w:pPr>
        <w:ind w:left="644" w:hanging="318"/>
        <w:jc w:val="left"/>
      </w:pPr>
      <w:rPr>
        <w:rFonts w:hint="default" w:ascii="宋体" w:hAnsi="宋体" w:eastAsia="宋体" w:cs="宋体"/>
        <w:b/>
        <w:bCs/>
        <w:w w:val="99"/>
        <w:sz w:val="21"/>
        <w:szCs w:val="21"/>
      </w:rPr>
    </w:lvl>
    <w:lvl w:ilvl="1">
      <w:start w:val="1"/>
      <w:numFmt w:val="decimal"/>
      <w:lvlText w:val="%1.%2"/>
      <w:lvlJc w:val="left"/>
      <w:pPr>
        <w:ind w:left="853" w:hanging="421"/>
        <w:jc w:val="left"/>
      </w:pPr>
      <w:rPr>
        <w:rFonts w:hint="default" w:ascii="宋体" w:hAnsi="宋体" w:eastAsia="宋体" w:cs="宋体"/>
        <w:w w:val="100"/>
        <w:sz w:val="21"/>
        <w:szCs w:val="21"/>
      </w:rPr>
    </w:lvl>
    <w:lvl w:ilvl="2">
      <w:start w:val="0"/>
      <w:numFmt w:val="bullet"/>
      <w:lvlText w:val="•"/>
      <w:lvlJc w:val="left"/>
      <w:pPr>
        <w:ind w:left="1047" w:hanging="421"/>
      </w:pPr>
      <w:rPr>
        <w:rFonts w:hint="default"/>
      </w:rPr>
    </w:lvl>
    <w:lvl w:ilvl="3">
      <w:start w:val="0"/>
      <w:numFmt w:val="bullet"/>
      <w:lvlText w:val="•"/>
      <w:lvlJc w:val="left"/>
      <w:pPr>
        <w:ind w:left="1234" w:hanging="421"/>
      </w:pPr>
      <w:rPr>
        <w:rFonts w:hint="default"/>
      </w:rPr>
    </w:lvl>
    <w:lvl w:ilvl="4">
      <w:start w:val="0"/>
      <w:numFmt w:val="bullet"/>
      <w:lvlText w:val="•"/>
      <w:lvlJc w:val="left"/>
      <w:pPr>
        <w:ind w:left="1421" w:hanging="421"/>
      </w:pPr>
      <w:rPr>
        <w:rFonts w:hint="default"/>
      </w:rPr>
    </w:lvl>
    <w:lvl w:ilvl="5">
      <w:start w:val="0"/>
      <w:numFmt w:val="bullet"/>
      <w:lvlText w:val="•"/>
      <w:lvlJc w:val="left"/>
      <w:pPr>
        <w:ind w:left="1609" w:hanging="421"/>
      </w:pPr>
      <w:rPr>
        <w:rFonts w:hint="default"/>
      </w:rPr>
    </w:lvl>
    <w:lvl w:ilvl="6">
      <w:start w:val="0"/>
      <w:numFmt w:val="bullet"/>
      <w:lvlText w:val="•"/>
      <w:lvlJc w:val="left"/>
      <w:pPr>
        <w:ind w:left="1796" w:hanging="421"/>
      </w:pPr>
      <w:rPr>
        <w:rFonts w:hint="default"/>
      </w:rPr>
    </w:lvl>
    <w:lvl w:ilvl="7">
      <w:start w:val="0"/>
      <w:numFmt w:val="bullet"/>
      <w:lvlText w:val="•"/>
      <w:lvlJc w:val="left"/>
      <w:pPr>
        <w:ind w:left="1983" w:hanging="421"/>
      </w:pPr>
      <w:rPr>
        <w:rFonts w:hint="default"/>
      </w:rPr>
    </w:lvl>
    <w:lvl w:ilvl="8">
      <w:start w:val="0"/>
      <w:numFmt w:val="bullet"/>
      <w:lvlText w:val="•"/>
      <w:lvlJc w:val="left"/>
      <w:pPr>
        <w:ind w:left="2170" w:hanging="421"/>
      </w:pPr>
      <w:rPr>
        <w:rFonts w:hint="default"/>
      </w:rPr>
    </w:lvl>
  </w:abstractNum>
  <w:abstractNum w:abstractNumId="0">
    <w:multiLevelType w:val="hybridMultilevel"/>
    <w:lvl w:ilvl="0">
      <w:start w:val="0"/>
      <w:numFmt w:val="bullet"/>
      <w:lvlText w:val=""/>
      <w:lvlJc w:val="left"/>
      <w:pPr>
        <w:ind w:left="1237"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37" w:hanging="38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2018-10-20T02:58:57Z</dcterms:created>
  <dcterms:modified xsi:type="dcterms:W3CDTF">2018-10-20T02:58:57Z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